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Default="00E33173">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E331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sidR="00B77573">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E33173">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E33173">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tcPr>
          <w:p w14:paraId="4C983A78" w14:textId="2F910AC2" w:rsidR="00B77573" w:rsidRDefault="00FB48CF" w:rsidP="7930396C">
            <w:pPr>
              <w:rPr>
                <w:rFonts w:cs="Arial"/>
                <w:sz w:val="22"/>
                <w:szCs w:val="22"/>
                <w:lang w:val="en-US" w:eastAsia="zh-Hans"/>
              </w:rPr>
            </w:pPr>
            <w:r>
              <w:rPr>
                <w:rFonts w:cs="Arial"/>
                <w:sz w:val="22"/>
                <w:szCs w:val="22"/>
                <w:lang w:val="en-US" w:eastAsia="zh-Hans"/>
              </w:rPr>
              <w:t>Mao</w:t>
            </w:r>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E33173">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tcPr>
          <w:p w14:paraId="0982AFDA" w14:textId="770CDE89" w:rsidR="00B77573" w:rsidRDefault="00FB48CF" w:rsidP="7930396C">
            <w:pPr>
              <w:rPr>
                <w:rFonts w:cs="Arial"/>
                <w:sz w:val="22"/>
                <w:szCs w:val="22"/>
                <w:lang w:val="en-US" w:eastAsia="zh-Hans"/>
              </w:rPr>
            </w:pPr>
            <w:r>
              <w:rPr>
                <w:rFonts w:cs="Arial"/>
                <w:sz w:val="22"/>
                <w:szCs w:val="22"/>
                <w:lang w:val="en-US" w:eastAsia="zh-Hans"/>
              </w:rPr>
              <w:t>Lei</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E33173">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tcPr>
          <w:p w14:paraId="75CFB1E4" w14:textId="6DA2966D" w:rsidR="00B77573" w:rsidRDefault="00FB48CF">
            <w:pPr>
              <w:rPr>
                <w:rFonts w:cs="Arial"/>
                <w:sz w:val="22"/>
                <w:szCs w:val="22"/>
              </w:rPr>
            </w:pPr>
            <w:r>
              <w:rPr>
                <w:rFonts w:cs="Arial"/>
                <w:sz w:val="22"/>
                <w:szCs w:val="22"/>
              </w:rPr>
              <w:t>2406288</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tcPr>
          <w:p w14:paraId="45A727F7" w14:textId="77777777" w:rsidR="00B77573" w:rsidRDefault="00B77573">
            <w:pPr>
              <w:rPr>
                <w:rFonts w:cs="Arial"/>
                <w:sz w:val="22"/>
                <w:szCs w:val="22"/>
                <w:lang w:eastAsia="zh-Hans"/>
              </w:rPr>
            </w:pP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tcPr>
          <w:p w14:paraId="1AF91D2A" w14:textId="77777777" w:rsidR="00B77573" w:rsidRDefault="00B77573">
            <w:pPr>
              <w:rPr>
                <w:rFonts w:cs="Arial"/>
                <w:sz w:val="22"/>
                <w:szCs w:val="22"/>
              </w:rPr>
            </w:pPr>
          </w:p>
        </w:tc>
      </w:tr>
      <w:tr w:rsidR="00B77573" w14:paraId="567B8265" w14:textId="77777777" w:rsidTr="7930396C">
        <w:tc>
          <w:tcPr>
            <w:tcW w:w="2055" w:type="dxa"/>
            <w:shd w:val="clear" w:color="auto" w:fill="F2F2F2" w:themeFill="background1" w:themeFillShade="F2"/>
          </w:tcPr>
          <w:p w14:paraId="7DD8280F" w14:textId="77777777" w:rsidR="00B77573" w:rsidRDefault="00E33173">
            <w:pPr>
              <w:rPr>
                <w:rFonts w:cs="Arial"/>
                <w:sz w:val="22"/>
                <w:szCs w:val="22"/>
              </w:rPr>
            </w:pPr>
            <w:r>
              <w:rPr>
                <w:rFonts w:cs="Arial"/>
                <w:sz w:val="22"/>
                <w:szCs w:val="22"/>
              </w:rPr>
              <w:t>Start Date</w:t>
            </w:r>
          </w:p>
        </w:tc>
        <w:tc>
          <w:tcPr>
            <w:tcW w:w="2056" w:type="dxa"/>
            <w:shd w:val="clear" w:color="auto" w:fill="FFFFFF" w:themeFill="background1"/>
          </w:tcPr>
          <w:p w14:paraId="6885D0B7" w14:textId="5EDB8E05" w:rsidR="00B77573" w:rsidRDefault="00FB48CF">
            <w:pPr>
              <w:rPr>
                <w:rFonts w:cs="Arial"/>
                <w:sz w:val="22"/>
                <w:szCs w:val="22"/>
              </w:rPr>
            </w:pPr>
            <w:r>
              <w:rPr>
                <w:rFonts w:cs="Arial"/>
                <w:sz w:val="22"/>
                <w:szCs w:val="22"/>
              </w:rPr>
              <w:t>2024.9</w:t>
            </w:r>
          </w:p>
        </w:tc>
        <w:tc>
          <w:tcPr>
            <w:tcW w:w="2835" w:type="dxa"/>
            <w:shd w:val="clear" w:color="auto" w:fill="F2F2F2" w:themeFill="background1" w:themeFillShade="F2"/>
          </w:tcPr>
          <w:p w14:paraId="70A4F3B0" w14:textId="77777777" w:rsidR="00B77573" w:rsidRDefault="00B77573">
            <w:pPr>
              <w:rPr>
                <w:rFonts w:cs="Arial"/>
                <w:sz w:val="22"/>
                <w:szCs w:val="22"/>
              </w:rPr>
            </w:pPr>
          </w:p>
        </w:tc>
        <w:tc>
          <w:tcPr>
            <w:tcW w:w="2835" w:type="dxa"/>
          </w:tcPr>
          <w:p w14:paraId="0325A6C5" w14:textId="397FFDBE" w:rsidR="00B77573" w:rsidRDefault="00FB48CF">
            <w:pPr>
              <w:rPr>
                <w:rFonts w:cs="Arial"/>
                <w:sz w:val="22"/>
                <w:szCs w:val="22"/>
              </w:rPr>
            </w:pPr>
            <w:r>
              <w:rPr>
                <w:rFonts w:cs="Arial"/>
                <w:sz w:val="22"/>
                <w:szCs w:val="22"/>
              </w:rPr>
              <w:t>2027.9</w:t>
            </w: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E33173">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tcPr>
          <w:p w14:paraId="111F828B" w14:textId="0F1A93C1" w:rsidR="00B77573" w:rsidRDefault="00E33173">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sidR="00FB48CF">
                  <w:rPr>
                    <w:rFonts w:ascii="MS Gothic" w:eastAsia="MS Gothic" w:hAnsi="MS Gothic" w:cs="Arial" w:hint="eastAsia"/>
                    <w:sz w:val="22"/>
                    <w:szCs w:val="22"/>
                  </w:rPr>
                  <w:t>☐</w:t>
                </w:r>
              </w:sdtContent>
            </w:sdt>
          </w:p>
        </w:tc>
        <w:tc>
          <w:tcPr>
            <w:tcW w:w="2835" w:type="dxa"/>
          </w:tcPr>
          <w:p w14:paraId="00DFCF3D" w14:textId="4F4BF480" w:rsidR="00B77573" w:rsidRDefault="00E33173">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FB48CF">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rsidTr="08504931">
        <w:tc>
          <w:tcPr>
            <w:tcW w:w="1623" w:type="dxa"/>
            <w:shd w:val="clear" w:color="auto" w:fill="F2F2F2" w:themeFill="background1" w:themeFillShade="F2"/>
          </w:tcPr>
          <w:p w14:paraId="0C2EE508" w14:textId="77777777" w:rsidR="00B77573" w:rsidRDefault="00E33173">
            <w:pPr>
              <w:rPr>
                <w:rFonts w:cs="Arial"/>
                <w:sz w:val="22"/>
                <w:szCs w:val="22"/>
              </w:rPr>
            </w:pPr>
            <w:r>
              <w:rPr>
                <w:rFonts w:cs="Arial"/>
                <w:sz w:val="22"/>
                <w:szCs w:val="22"/>
              </w:rPr>
              <w:t>PhD</w:t>
            </w:r>
          </w:p>
          <w:p w14:paraId="7E150CDA" w14:textId="77777777" w:rsidR="00B77573" w:rsidRDefault="00E33173">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E33173">
            <w:pPr>
              <w:rPr>
                <w:rFonts w:cs="Arial"/>
                <w:sz w:val="22"/>
                <w:szCs w:val="22"/>
              </w:rPr>
            </w:pPr>
            <w:r>
              <w:rPr>
                <w:rFonts w:cs="Arial"/>
                <w:sz w:val="22"/>
                <w:szCs w:val="22"/>
              </w:rPr>
              <w:t xml:space="preserve">PhD </w:t>
            </w:r>
          </w:p>
          <w:p w14:paraId="3D202538" w14:textId="77777777" w:rsidR="00B77573" w:rsidRDefault="00E33173">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E33173">
            <w:pPr>
              <w:rPr>
                <w:rFonts w:cs="Arial"/>
                <w:sz w:val="22"/>
                <w:szCs w:val="22"/>
              </w:rPr>
            </w:pPr>
            <w:r>
              <w:rPr>
                <w:rFonts w:cs="Arial"/>
                <w:sz w:val="22"/>
                <w:szCs w:val="22"/>
              </w:rPr>
              <w:t xml:space="preserve">PhD by </w:t>
            </w:r>
          </w:p>
          <w:p w14:paraId="6D11D54E" w14:textId="77777777" w:rsidR="00B77573" w:rsidRDefault="00E33173">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E33173">
            <w:pPr>
              <w:rPr>
                <w:rFonts w:cs="Arial"/>
                <w:sz w:val="22"/>
                <w:szCs w:val="22"/>
              </w:rPr>
            </w:pPr>
            <w:r>
              <w:rPr>
                <w:rFonts w:cs="Arial"/>
                <w:sz w:val="22"/>
                <w:szCs w:val="22"/>
              </w:rPr>
              <w:t>Professional Doctorate</w:t>
            </w:r>
          </w:p>
          <w:p w14:paraId="5338E6CC" w14:textId="77777777" w:rsidR="00B77573" w:rsidRDefault="00E33173">
            <w:pPr>
              <w:rPr>
                <w:rFonts w:cs="Arial"/>
                <w:sz w:val="22"/>
                <w:szCs w:val="22"/>
              </w:rPr>
            </w:pPr>
            <w:r>
              <w:rPr>
                <w:rFonts w:cs="Arial"/>
                <w:szCs w:val="22"/>
              </w:rPr>
              <w:t>(including DBA, DProf, Ed D)</w:t>
            </w:r>
          </w:p>
        </w:tc>
        <w:tc>
          <w:tcPr>
            <w:tcW w:w="1629" w:type="dxa"/>
            <w:shd w:val="clear" w:color="auto" w:fill="F2F2F2" w:themeFill="background1" w:themeFillShade="F2"/>
          </w:tcPr>
          <w:p w14:paraId="48FB1034" w14:textId="77777777" w:rsidR="00B77573" w:rsidRDefault="00E33173">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E33173">
            <w:pPr>
              <w:rPr>
                <w:rFonts w:cs="Arial"/>
                <w:sz w:val="22"/>
                <w:szCs w:val="22"/>
              </w:rPr>
            </w:pPr>
            <w:r>
              <w:rPr>
                <w:rFonts w:cs="Arial"/>
                <w:sz w:val="22"/>
                <w:szCs w:val="22"/>
              </w:rPr>
              <w:t>MPhil</w:t>
            </w:r>
          </w:p>
          <w:p w14:paraId="112C0192" w14:textId="77777777" w:rsidR="00B77573" w:rsidRDefault="00E33173">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rsidTr="08504931">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34CBC472" w:rsidR="00B77573" w:rsidRDefault="4E94F672">
                <w:pPr>
                  <w:jc w:val="center"/>
                  <w:rPr>
                    <w:rFonts w:cs="Arial"/>
                    <w:sz w:val="22"/>
                    <w:szCs w:val="22"/>
                  </w:rPr>
                </w:pPr>
                <w:r w:rsidRPr="08504931">
                  <w:rPr>
                    <w:rFonts w:ascii="MS Gothic" w:eastAsia="MS Gothic" w:hAnsi="MS Gothic" w:cs="MS Gothic"/>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1043AFBB" w:rsidR="00B77573" w:rsidRDefault="554DFFE6">
                <w:pPr>
                  <w:jc w:val="center"/>
                  <w:rPr>
                    <w:rFonts w:cs="Arial"/>
                    <w:sz w:val="22"/>
                    <w:szCs w:val="22"/>
                  </w:rPr>
                </w:pPr>
                <w:r w:rsidRPr="08504931">
                  <w:rPr>
                    <w:rFonts w:ascii="MS Gothic" w:eastAsia="MS Gothic" w:hAnsi="MS Gothic" w:cs="MS Gothic"/>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002C30E3" w14:textId="77777777" w:rsidTr="08504931">
        <w:tc>
          <w:tcPr>
            <w:tcW w:w="1623" w:type="dxa"/>
            <w:shd w:val="clear" w:color="auto" w:fill="D9D9D9" w:themeFill="background1" w:themeFillShade="D9"/>
          </w:tcPr>
          <w:p w14:paraId="5015986A" w14:textId="77777777" w:rsidR="00B77573" w:rsidRDefault="00E33173">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E33173">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E33173">
            <w:pPr>
              <w:jc w:val="center"/>
              <w:rPr>
                <w:rFonts w:cs="Arial"/>
                <w:sz w:val="22"/>
                <w:szCs w:val="22"/>
              </w:rPr>
            </w:pPr>
            <w:r>
              <w:rPr>
                <w:rFonts w:cs="Arial"/>
                <w:sz w:val="22"/>
                <w:szCs w:val="22"/>
              </w:rPr>
              <w:t>MRes</w:t>
            </w:r>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rsidTr="08504931">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Default="00E33173">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Default="00E33173">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Default="00E33173">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E33173">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1"/>
      </w:tblGrid>
      <w:tr w:rsidR="00B77573" w14:paraId="77021C71" w14:textId="77777777" w:rsidTr="002A786C">
        <w:trPr>
          <w:trHeight w:val="397"/>
        </w:trPr>
        <w:tc>
          <w:tcPr>
            <w:tcW w:w="9781" w:type="dxa"/>
            <w:tcBorders>
              <w:bottom w:val="single" w:sz="4" w:space="0" w:color="auto"/>
            </w:tcBorders>
            <w:shd w:val="clear" w:color="auto" w:fill="F2F2F2" w:themeFill="background1" w:themeFillShade="F2"/>
            <w:vAlign w:val="center"/>
          </w:tcPr>
          <w:p w14:paraId="6CE06150" w14:textId="77777777" w:rsidR="00B77573" w:rsidRDefault="00E33173">
            <w:pPr>
              <w:rPr>
                <w:rFonts w:cs="Arial"/>
                <w:sz w:val="22"/>
                <w:szCs w:val="22"/>
              </w:rPr>
            </w:pPr>
            <w:r>
              <w:rPr>
                <w:rFonts w:cs="Arial"/>
                <w:sz w:val="22"/>
                <w:szCs w:val="22"/>
              </w:rPr>
              <w:t>Current Proposed Title (20 / 30 words):</w:t>
            </w:r>
          </w:p>
        </w:tc>
      </w:tr>
      <w:tr w:rsidR="00B77573" w14:paraId="46DEBFBA" w14:textId="77777777" w:rsidTr="002A786C">
        <w:trPr>
          <w:trHeight w:val="397"/>
        </w:trPr>
        <w:tc>
          <w:tcPr>
            <w:tcW w:w="9781" w:type="dxa"/>
            <w:tcBorders>
              <w:bottom w:val="single" w:sz="4" w:space="0" w:color="auto"/>
            </w:tcBorders>
            <w:vAlign w:val="center"/>
          </w:tcPr>
          <w:p w14:paraId="270A07EC" w14:textId="548F8973" w:rsidR="00B77573" w:rsidRDefault="00FB48CF">
            <w:pPr>
              <w:rPr>
                <w:rFonts w:cs="Arial"/>
                <w:sz w:val="22"/>
                <w:szCs w:val="22"/>
              </w:rPr>
            </w:pPr>
            <w:r w:rsidRPr="00FB48CF">
              <w:rPr>
                <w:rFonts w:cs="Arial"/>
                <w:sz w:val="22"/>
                <w:szCs w:val="22"/>
              </w:rPr>
              <w:t xml:space="preserve">Cat-Related Memes and Gen Z Brand Image: A Hybrid Ethnographic Study of Meme–Brand Fit and Stance on Chinese </w:t>
            </w:r>
            <w:r w:rsidRPr="00FB48CF">
              <w:rPr>
                <w:rFonts w:cs="Arial"/>
                <w:sz w:val="22"/>
                <w:szCs w:val="22"/>
              </w:rPr>
              <w:t>social media</w:t>
            </w:r>
          </w:p>
        </w:tc>
      </w:tr>
      <w:tr w:rsidR="00B77573" w14:paraId="047A55B1" w14:textId="77777777" w:rsidTr="002A786C">
        <w:trPr>
          <w:trHeight w:val="397"/>
        </w:trPr>
        <w:tc>
          <w:tcPr>
            <w:tcW w:w="9781" w:type="dxa"/>
            <w:tcBorders>
              <w:top w:val="single" w:sz="4" w:space="0" w:color="auto"/>
              <w:bottom w:val="single" w:sz="4" w:space="0" w:color="auto"/>
            </w:tcBorders>
            <w:shd w:val="clear" w:color="auto" w:fill="F2F2F2" w:themeFill="background1" w:themeFillShade="F2"/>
            <w:vAlign w:val="center"/>
          </w:tcPr>
          <w:p w14:paraId="6A6E17FC" w14:textId="77777777" w:rsidR="00B77573" w:rsidRDefault="00E33173">
            <w:pPr>
              <w:rPr>
                <w:rFonts w:cs="Arial"/>
                <w:sz w:val="22"/>
                <w:szCs w:val="22"/>
              </w:rPr>
            </w:pPr>
            <w:r>
              <w:rPr>
                <w:rFonts w:cs="Arial"/>
                <w:sz w:val="22"/>
                <w:szCs w:val="22"/>
              </w:rPr>
              <w:t xml:space="preserve"> </w:t>
            </w:r>
          </w:p>
          <w:p w14:paraId="1C9B2173" w14:textId="77777777" w:rsidR="00B77573" w:rsidRDefault="00E33173">
            <w:pPr>
              <w:rPr>
                <w:rFonts w:cs="Arial"/>
                <w:sz w:val="22"/>
                <w:szCs w:val="22"/>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14:paraId="3F5B4463" w14:textId="77777777" w:rsidTr="002A786C">
        <w:trPr>
          <w:trHeight w:val="397"/>
        </w:trPr>
        <w:tc>
          <w:tcPr>
            <w:tcW w:w="9781" w:type="dxa"/>
            <w:tcBorders>
              <w:top w:val="single" w:sz="4" w:space="0" w:color="auto"/>
            </w:tcBorders>
            <w:vAlign w:val="center"/>
          </w:tcPr>
          <w:p w14:paraId="23152DAD" w14:textId="1B0AF566" w:rsidR="00FB48CF" w:rsidRPr="00FB48CF" w:rsidRDefault="00FB48CF" w:rsidP="00FB48CF">
            <w:pPr>
              <w:rPr>
                <w:rFonts w:cs="Arial" w:hint="eastAsia"/>
                <w:sz w:val="22"/>
                <w:szCs w:val="22"/>
              </w:rPr>
            </w:pPr>
            <w:r w:rsidRPr="00FB48CF">
              <w:rPr>
                <w:rFonts w:cs="Arial"/>
                <w:sz w:val="22"/>
                <w:szCs w:val="22"/>
              </w:rPr>
              <w:t xml:space="preserve">Across Chinese social media—especially Bilibili, Xiaohongshu and Douyin—memes have become the everyday language through which Gen Z construct and contest brand meaning (Malodia et al., 2022; Lemée, 2021). Following Swidler, culture may be seen as a “tool kit” of “symbols, stories, rituals, and </w:t>
            </w:r>
            <w:r w:rsidRPr="00FB48CF">
              <w:rPr>
                <w:rFonts w:cs="Arial"/>
                <w:sz w:val="22"/>
                <w:szCs w:val="22"/>
              </w:rPr>
              <w:t>worldviews</w:t>
            </w:r>
            <w:r w:rsidRPr="00FB48CF">
              <w:rPr>
                <w:rFonts w:cs="Arial"/>
                <w:sz w:val="22"/>
                <w:szCs w:val="22"/>
              </w:rPr>
              <w:t xml:space="preserve">” from which people build “strategies of action” (1986, p. 273). In this sense, cat-related memes function as readily available cultural tools: young internet users select and recombine them, in public and participatory ways, to make sense of brands; widespread smartphone use and near-constant connectivity further amplify this circulation (Vogels, Gelles-Watnick &amp; Massarat, 2022). The research question here is: within meme marketing on Chinese platforms, how can brands choose meme templates that are congruent with their brand identity </w:t>
            </w:r>
            <w:r w:rsidRPr="00FB48CF">
              <w:rPr>
                <w:rFonts w:cs="Arial"/>
                <w:sz w:val="22"/>
                <w:szCs w:val="22"/>
              </w:rPr>
              <w:t>to</w:t>
            </w:r>
            <w:r w:rsidRPr="00FB48CF">
              <w:rPr>
                <w:rFonts w:cs="Arial"/>
                <w:sz w:val="22"/>
                <w:szCs w:val="22"/>
              </w:rPr>
              <w:t xml:space="preserve"> shape brand image and, in turn, raise engagement among Gen Z?</w:t>
            </w:r>
          </w:p>
          <w:p w14:paraId="592E8277" w14:textId="77777777" w:rsidR="00FB48CF" w:rsidRDefault="00FB48CF" w:rsidP="00FB48CF">
            <w:pPr>
              <w:rPr>
                <w:rFonts w:cs="Arial"/>
                <w:sz w:val="22"/>
                <w:szCs w:val="22"/>
              </w:rPr>
            </w:pPr>
          </w:p>
          <w:p w14:paraId="7E860DDA" w14:textId="5B07E6CF" w:rsidR="00FB48CF" w:rsidRPr="00FB48CF" w:rsidRDefault="00FB48CF" w:rsidP="00FB48CF">
            <w:pPr>
              <w:rPr>
                <w:rFonts w:cs="Arial" w:hint="eastAsia"/>
                <w:sz w:val="22"/>
                <w:szCs w:val="22"/>
              </w:rPr>
            </w:pPr>
            <w:r w:rsidRPr="00FB48CF">
              <w:rPr>
                <w:rFonts w:cs="Arial"/>
                <w:sz w:val="22"/>
                <w:szCs w:val="22"/>
              </w:rPr>
              <w:t>Conceptually, the study sits at the junction of meme studies and brand image. Shifman defines internet memes as families that share content, form and stance, produced with awareness of prior variants and designed for remix; in short-video genres, stance—whether warm humour or sharper sarcasm—often steers uptake and interpretation (Shifman, 2013; 2014). CBBE models brand image as associative networks in memory (Keller, 1993; 2001; Keller &amp; Swaminathan, 2019), while classic work on brand personality/equity remains pertinent (Aaker, 1996; 1997). In UGC-heavy environments, brands’ authorship is increasingly redistributed: audience recirculation and reworking of existing material can, at times, carry greater reach and influence, expanding the range of “brand carriers” (e.g., streamers, meme creators). Consequently, meme–brand congruency and tone guardrails have become central concerns for researchers and creative practitioners alike (Hennig-Thurau et al., 2010; Laestadius &amp; Wahl, 2017).</w:t>
            </w:r>
          </w:p>
          <w:p w14:paraId="7D8D90A2" w14:textId="77777777" w:rsidR="00FB48CF" w:rsidRDefault="00FB48CF" w:rsidP="00FB48CF">
            <w:pPr>
              <w:rPr>
                <w:rFonts w:cs="Arial"/>
                <w:sz w:val="22"/>
                <w:szCs w:val="22"/>
              </w:rPr>
            </w:pPr>
          </w:p>
          <w:p w14:paraId="77CE5363" w14:textId="1443868D" w:rsidR="00FB48CF" w:rsidRPr="00FB48CF" w:rsidRDefault="00FB48CF" w:rsidP="00FB48CF">
            <w:pPr>
              <w:rPr>
                <w:rFonts w:cs="Arial" w:hint="eastAsia"/>
                <w:sz w:val="22"/>
                <w:szCs w:val="22"/>
              </w:rPr>
            </w:pPr>
            <w:r w:rsidRPr="00FB48CF">
              <w:rPr>
                <w:rFonts w:cs="Arial"/>
                <w:sz w:val="22"/>
                <w:szCs w:val="22"/>
              </w:rPr>
              <w:t>In 2024, the Yunnan crisps brand Lumila used cat-meme shorts on Bilibili to move from a regional “small factory” image towards national online recognition: an early clip reached about 1.8 million plays and entered Bilibili’s hot lists, driving rapid follower growth (Yunyingpai, 2024). Business coverage later projected 2024 online GMV at roughly £6.5 million (about ten times 2023), with around half attributed to Bilibili-driven e-commerce (Foodaily, 2024; The Paper, 2024). Read through the lens of meme–brand fit, Lumila’s warm, self-deprecating cat memes aligned with a down-to-earth persona; the brand produced a stream of short, story-like videos and actively encouraged co-creation—turning a cultural “tool kit” into effective “strategies of action” in practice (Swidler, 1986, p. 273).</w:t>
            </w:r>
          </w:p>
          <w:p w14:paraId="05244216" w14:textId="77777777" w:rsidR="00FB48CF" w:rsidRDefault="00FB48CF" w:rsidP="00FB48CF">
            <w:pPr>
              <w:rPr>
                <w:rFonts w:cs="Arial"/>
                <w:sz w:val="22"/>
                <w:szCs w:val="22"/>
              </w:rPr>
            </w:pPr>
          </w:p>
          <w:p w14:paraId="48A00E8E" w14:textId="73383812" w:rsidR="001D71EA" w:rsidRDefault="00FB48CF" w:rsidP="00FB48CF">
            <w:pPr>
              <w:rPr>
                <w:rFonts w:cs="Arial"/>
                <w:sz w:val="22"/>
                <w:szCs w:val="22"/>
              </w:rPr>
            </w:pPr>
            <w:r w:rsidRPr="00FB48CF">
              <w:rPr>
                <w:rFonts w:cs="Arial"/>
                <w:sz w:val="22"/>
                <w:szCs w:val="22"/>
              </w:rPr>
              <w:t xml:space="preserve">At a practical level, meme use is widespread among young internet users, and in recent years the communicative and marketing potential of memes has been increasingly recognised by practitioners and scholars. Yet in the Chinese-language internet there is still no clear, workable standard for brand–meme fit: even the same template can shift in meaning as users rework it, and creative teams lack professional guidance on which templates suit which brand identities, when to favour humour over sarcasm, how to adjust layout/tempo/caption syntax without breaching brand safety, and how to verify effects quickly beyond raw attention metrics. The high-participation dynamics of user-generated content (UGC) also make controversy costlier: executions read as “try-hard” or “cynical” can push associative networks in the wrong direction (Hennig-Thurau et al., 2010). For example, Pringles China used the “maodie” cat meme in a Douyin video; some users associated the template with an “anti-cat” subculture, and following the backlash the brand deleted the post and apologised. The case shows what happens when superficial resemblance in content/form is prioritised over a meme’s stance and its community usage history, destabilising brand safety. Recent studies link memes to engagement and image </w:t>
            </w:r>
            <w:r w:rsidRPr="00FB48CF">
              <w:rPr>
                <w:rFonts w:cs="Arial"/>
                <w:sz w:val="22"/>
                <w:szCs w:val="22"/>
              </w:rPr>
              <w:t>outcomes but</w:t>
            </w:r>
            <w:r w:rsidRPr="00FB48CF">
              <w:rPr>
                <w:rFonts w:cs="Arial"/>
                <w:sz w:val="22"/>
                <w:szCs w:val="22"/>
              </w:rPr>
              <w:t xml:space="preserve"> still stop short of mid-level rules specifying which combinations of content, form and stance reliably build brand image—and which backfire—under participatory remix conditions (Teng, Lo &amp; Lee, 2021; 2022).</w:t>
            </w:r>
          </w:p>
        </w:tc>
      </w:tr>
      <w:tr w:rsidR="00B77573" w14:paraId="5BABABCE" w14:textId="77777777" w:rsidTr="002A786C">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E33173">
            <w:pPr>
              <w:rPr>
                <w:rFonts w:cs="Arial"/>
                <w:sz w:val="22"/>
                <w:szCs w:val="22"/>
              </w:rPr>
            </w:pPr>
            <w:r>
              <w:rPr>
                <w:rFonts w:cs="Arial"/>
                <w:sz w:val="22"/>
                <w:szCs w:val="22"/>
              </w:rPr>
              <w:t>Aims and Objectives (approx.. 250 – 500 words)</w:t>
            </w:r>
          </w:p>
        </w:tc>
      </w:tr>
      <w:tr w:rsidR="00B77573" w14:paraId="1AEA8840" w14:textId="77777777" w:rsidTr="002A786C">
        <w:trPr>
          <w:trHeight w:val="397"/>
        </w:trPr>
        <w:tc>
          <w:tcPr>
            <w:tcW w:w="9781" w:type="dxa"/>
            <w:vAlign w:val="center"/>
          </w:tcPr>
          <w:p w14:paraId="1F0E7287" w14:textId="15B30AAA" w:rsidR="00FB48CF" w:rsidRPr="002A786C" w:rsidRDefault="00FB48CF" w:rsidP="00FB48CF">
            <w:pPr>
              <w:rPr>
                <w:rFonts w:eastAsiaTheme="minorEastAsia" w:cs="Arial" w:hint="eastAsia"/>
                <w:b/>
                <w:bCs/>
                <w:sz w:val="22"/>
                <w:szCs w:val="22"/>
                <w:lang w:eastAsia="zh-CN"/>
              </w:rPr>
            </w:pPr>
            <w:r w:rsidRPr="002A786C">
              <w:rPr>
                <w:rFonts w:cs="Arial"/>
                <w:b/>
                <w:bCs/>
                <w:sz w:val="22"/>
                <w:szCs w:val="22"/>
              </w:rPr>
              <w:t>Aim</w:t>
            </w:r>
            <w:r w:rsidR="002A786C" w:rsidRPr="002A786C">
              <w:rPr>
                <w:rFonts w:eastAsiaTheme="minorEastAsia" w:cs="Arial" w:hint="eastAsia"/>
                <w:b/>
                <w:bCs/>
                <w:sz w:val="22"/>
                <w:szCs w:val="22"/>
                <w:lang w:eastAsia="zh-CN"/>
              </w:rPr>
              <w:t>:</w:t>
            </w:r>
          </w:p>
          <w:p w14:paraId="40E7F883" w14:textId="73D2D926" w:rsidR="00FB48CF" w:rsidRDefault="00FB48CF" w:rsidP="00FB48CF">
            <w:pPr>
              <w:rPr>
                <w:rFonts w:cs="Arial"/>
                <w:sz w:val="22"/>
                <w:szCs w:val="22"/>
              </w:rPr>
            </w:pPr>
            <w:r w:rsidRPr="00FB48CF">
              <w:rPr>
                <w:rFonts w:cs="Arial"/>
                <w:sz w:val="22"/>
                <w:szCs w:val="22"/>
              </w:rPr>
              <w:t xml:space="preserve">This study aims to equip brands and creative teams with a practical toolkit for meme marketing on Chinese social media. The toolkit will help them select and adapt memes and assess meme–brand fit. Using this decision process, the project will produce a series of comparable advertising executions for comparative testing and validation, </w:t>
            </w:r>
            <w:r w:rsidRPr="00FB48CF">
              <w:rPr>
                <w:rFonts w:cs="Arial"/>
                <w:sz w:val="22"/>
                <w:szCs w:val="22"/>
              </w:rPr>
              <w:t>to</w:t>
            </w:r>
            <w:r w:rsidRPr="00FB48CF">
              <w:rPr>
                <w:rFonts w:cs="Arial"/>
                <w:sz w:val="22"/>
                <w:szCs w:val="22"/>
              </w:rPr>
              <w:t xml:space="preserve"> identify which meme factors most effectively strengthen Gen Z’s brand image and engagement.</w:t>
            </w:r>
          </w:p>
          <w:p w14:paraId="38C30C60" w14:textId="77777777" w:rsidR="00FB48CF" w:rsidRDefault="00FB48CF" w:rsidP="00FB48CF">
            <w:pPr>
              <w:rPr>
                <w:rFonts w:cs="Arial"/>
                <w:sz w:val="22"/>
                <w:szCs w:val="22"/>
              </w:rPr>
            </w:pPr>
          </w:p>
          <w:p w14:paraId="638F9757" w14:textId="0A1D00C4" w:rsidR="00FB48CF" w:rsidRPr="002A786C" w:rsidRDefault="00FB48CF" w:rsidP="00FB48CF">
            <w:pPr>
              <w:rPr>
                <w:rFonts w:eastAsiaTheme="minorEastAsia" w:cs="Arial" w:hint="eastAsia"/>
                <w:b/>
                <w:bCs/>
                <w:sz w:val="22"/>
                <w:szCs w:val="22"/>
                <w:lang w:eastAsia="zh-CN"/>
              </w:rPr>
            </w:pPr>
            <w:r w:rsidRPr="002A786C">
              <w:rPr>
                <w:rFonts w:cs="Arial"/>
                <w:b/>
                <w:bCs/>
                <w:sz w:val="22"/>
                <w:szCs w:val="22"/>
              </w:rPr>
              <w:t>Objectives</w:t>
            </w:r>
            <w:r w:rsidR="002A786C" w:rsidRPr="002A786C">
              <w:rPr>
                <w:rFonts w:eastAsiaTheme="minorEastAsia" w:cs="Arial" w:hint="eastAsia"/>
                <w:b/>
                <w:bCs/>
                <w:sz w:val="22"/>
                <w:szCs w:val="22"/>
                <w:lang w:eastAsia="zh-CN"/>
              </w:rPr>
              <w:t>:</w:t>
            </w:r>
          </w:p>
          <w:p w14:paraId="79AD0A63" w14:textId="77777777" w:rsidR="00FB48CF" w:rsidRDefault="00FB48CF" w:rsidP="00FB48CF">
            <w:pPr>
              <w:rPr>
                <w:rFonts w:cs="Arial"/>
                <w:sz w:val="22"/>
                <w:szCs w:val="22"/>
              </w:rPr>
            </w:pPr>
            <w:r w:rsidRPr="00FB48CF">
              <w:rPr>
                <w:rFonts w:cs="Arial"/>
                <w:sz w:val="22"/>
                <w:szCs w:val="22"/>
              </w:rPr>
              <w:t>Objective 1: To map real marketing cases and advertising works in which brands have used cat-related memes on Chinese social media, and to trace and refine their marketing and online circulation processes, thereby identifying the specific impact of meme–brand fit on brand building and laying the groundwork for subsequent research.</w:t>
            </w:r>
          </w:p>
          <w:p w14:paraId="22AF2A3E" w14:textId="77777777" w:rsidR="00FB48CF" w:rsidRPr="00FB48CF" w:rsidRDefault="00FB48CF" w:rsidP="00FB48CF">
            <w:pPr>
              <w:rPr>
                <w:rFonts w:cs="Arial" w:hint="eastAsia"/>
                <w:sz w:val="22"/>
                <w:szCs w:val="22"/>
              </w:rPr>
            </w:pPr>
          </w:p>
          <w:p w14:paraId="7E746DE6" w14:textId="77777777" w:rsidR="00FB48CF" w:rsidRPr="00FB48CF" w:rsidRDefault="00FB48CF" w:rsidP="00FB48CF">
            <w:pPr>
              <w:rPr>
                <w:rFonts w:cs="Arial" w:hint="eastAsia"/>
                <w:sz w:val="22"/>
                <w:szCs w:val="22"/>
              </w:rPr>
            </w:pPr>
            <w:r w:rsidRPr="00FB48CF">
              <w:rPr>
                <w:rFonts w:cs="Arial"/>
                <w:sz w:val="22"/>
                <w:szCs w:val="22"/>
              </w:rPr>
              <w:t>Objective 2: To observe and record how Gen Z discuss, respond to, participate in and create cat-related memes around brands across Chinese social media and offline settings; to analyse and distil these observations in order to identify empathy patterns within Chinese Gen Z’s meme culture and the risk triggers involved; and to produce a meme–brand image link chart for rapid, early-stage judgement of fit and likely image direction, as a core underpinning of the Toolkit.</w:t>
            </w:r>
          </w:p>
          <w:p w14:paraId="1CDFE84A" w14:textId="77777777" w:rsidR="00FB48CF" w:rsidRDefault="00FB48CF" w:rsidP="00FB48CF">
            <w:pPr>
              <w:rPr>
                <w:rFonts w:cs="Arial"/>
                <w:sz w:val="22"/>
                <w:szCs w:val="22"/>
              </w:rPr>
            </w:pPr>
          </w:p>
          <w:p w14:paraId="53A90D29" w14:textId="34F457FA" w:rsidR="00FB48CF" w:rsidRPr="00FB48CF" w:rsidRDefault="00FB48CF" w:rsidP="00FB48CF">
            <w:pPr>
              <w:rPr>
                <w:rFonts w:cs="Arial" w:hint="eastAsia"/>
                <w:sz w:val="22"/>
                <w:szCs w:val="22"/>
              </w:rPr>
            </w:pPr>
            <w:r w:rsidRPr="00FB48CF">
              <w:rPr>
                <w:rFonts w:cs="Arial"/>
                <w:sz w:val="22"/>
                <w:szCs w:val="22"/>
              </w:rPr>
              <w:t>Objective 3: To produce an advertising toolkit for using cat-related memes on Chinese social platforms, offering reference for a select–adapt–rapid verification process that tests meme–brand fit, reduces potential risk, and increases engagement among Gen Z.</w:t>
            </w:r>
          </w:p>
          <w:p w14:paraId="1056BC7D" w14:textId="77777777" w:rsidR="00FB48CF" w:rsidRDefault="00FB48CF" w:rsidP="00FB48CF">
            <w:pPr>
              <w:rPr>
                <w:rFonts w:cs="Arial"/>
                <w:sz w:val="22"/>
                <w:szCs w:val="22"/>
              </w:rPr>
            </w:pPr>
          </w:p>
          <w:p w14:paraId="3BB14681" w14:textId="6A89C4C6" w:rsidR="001D71EA" w:rsidRDefault="00FB48CF" w:rsidP="00FB48CF">
            <w:pPr>
              <w:rPr>
                <w:rFonts w:cs="Arial"/>
                <w:sz w:val="22"/>
                <w:szCs w:val="22"/>
              </w:rPr>
            </w:pPr>
            <w:r w:rsidRPr="00FB48CF">
              <w:rPr>
                <w:rFonts w:cs="Arial"/>
                <w:sz w:val="22"/>
                <w:szCs w:val="22"/>
              </w:rPr>
              <w:t>Objective 4: To co-design with practitioners and, through practitioner review, apply the Toolkit in real contexts to produce a series of adverts that validate its practical utility; and, using these adverts as one comparison set, conduct a comparative test to identify which meme-related factors most effectively enhance Gen Z brand image.</w:t>
            </w:r>
          </w:p>
        </w:tc>
      </w:tr>
      <w:tr w:rsidR="00B77573" w14:paraId="3B2963C3" w14:textId="77777777" w:rsidTr="002A786C">
        <w:trPr>
          <w:trHeight w:val="397"/>
        </w:trPr>
        <w:tc>
          <w:tcPr>
            <w:tcW w:w="9781" w:type="dxa"/>
            <w:shd w:val="clear" w:color="auto" w:fill="F2F2F2" w:themeFill="background1" w:themeFillShade="F2"/>
            <w:vAlign w:val="center"/>
          </w:tcPr>
          <w:p w14:paraId="02EF8E0E" w14:textId="77777777" w:rsidR="00B77573" w:rsidRDefault="00E33173">
            <w:pPr>
              <w:rPr>
                <w:rFonts w:cs="Arial"/>
                <w:sz w:val="22"/>
                <w:szCs w:val="22"/>
              </w:rPr>
            </w:pPr>
            <w:r>
              <w:rPr>
                <w:rFonts w:cs="Arial"/>
                <w:sz w:val="22"/>
                <w:szCs w:val="22"/>
              </w:rPr>
              <w:lastRenderedPageBreak/>
              <w:t xml:space="preserve">Proposed plan of work including timetable </w:t>
            </w:r>
          </w:p>
        </w:tc>
      </w:tr>
      <w:tr w:rsidR="00B77573" w14:paraId="6D638DD3" w14:textId="77777777" w:rsidTr="002A786C">
        <w:trPr>
          <w:trHeight w:val="397"/>
        </w:trPr>
        <w:tc>
          <w:tcPr>
            <w:tcW w:w="9781" w:type="dxa"/>
          </w:tcPr>
          <w:p w14:paraId="1C2C474C" w14:textId="77777777" w:rsidR="002A786C" w:rsidRDefault="002A786C" w:rsidP="002A786C">
            <w:pPr>
              <w:widowControl w:val="0"/>
              <w:spacing w:after="160" w:line="278" w:lineRule="auto"/>
              <w:jc w:val="center"/>
              <w:rPr>
                <w:rFonts w:eastAsiaTheme="minorEastAsia"/>
                <w:b/>
                <w:bCs/>
                <w:lang w:val="en-US" w:eastAsia="zh-CN"/>
              </w:rPr>
            </w:pPr>
          </w:p>
          <w:p w14:paraId="633AD116" w14:textId="58D91CA2" w:rsidR="001D71EA" w:rsidRPr="002A786C" w:rsidRDefault="002A786C" w:rsidP="002A786C">
            <w:pPr>
              <w:widowControl w:val="0"/>
              <w:spacing w:after="160" w:line="278" w:lineRule="auto"/>
              <w:jc w:val="center"/>
              <w:rPr>
                <w:rFonts w:cs="Arial" w:hint="eastAsia"/>
                <w:sz w:val="22"/>
                <w:szCs w:val="22"/>
              </w:rPr>
            </w:pPr>
            <w:r w:rsidRPr="00914C2B">
              <w:rPr>
                <w:rFonts w:cs="Arial"/>
                <w:sz w:val="22"/>
                <w:szCs w:val="22"/>
              </w:rPr>
              <w:t>Proposed plan of work (Sep 2025 – Sep 2027)</w:t>
            </w:r>
          </w:p>
          <w:tbl>
            <w:tblPr>
              <w:tblStyle w:val="af4"/>
              <w:tblW w:w="0" w:type="auto"/>
              <w:tblLook w:val="04A0" w:firstRow="1" w:lastRow="0" w:firstColumn="1" w:lastColumn="0" w:noHBand="0" w:noVBand="1"/>
            </w:tblPr>
            <w:tblGrid>
              <w:gridCol w:w="2321"/>
              <w:gridCol w:w="2839"/>
              <w:gridCol w:w="4395"/>
            </w:tblGrid>
            <w:tr w:rsidR="002A786C" w14:paraId="7E20CBD9" w14:textId="77777777" w:rsidTr="002A786C">
              <w:tc>
                <w:tcPr>
                  <w:tcW w:w="2321" w:type="dxa"/>
                  <w:shd w:val="clear" w:color="auto" w:fill="EEECE1" w:themeFill="background2"/>
                </w:tcPr>
                <w:p w14:paraId="43B61D2E" w14:textId="4A314EAE" w:rsidR="002A786C" w:rsidRPr="002A786C" w:rsidRDefault="002A786C" w:rsidP="002A786C">
                  <w:pPr>
                    <w:jc w:val="center"/>
                    <w:rPr>
                      <w:rFonts w:cs="Arial"/>
                      <w:b/>
                      <w:bCs/>
                    </w:rPr>
                  </w:pPr>
                  <w:r w:rsidRPr="002A786C">
                    <w:rPr>
                      <w:rFonts w:cs="Arial"/>
                      <w:b/>
                      <w:bCs/>
                    </w:rPr>
                    <w:t>Dates</w:t>
                  </w:r>
                </w:p>
              </w:tc>
              <w:tc>
                <w:tcPr>
                  <w:tcW w:w="2839" w:type="dxa"/>
                  <w:shd w:val="clear" w:color="auto" w:fill="EEECE1" w:themeFill="background2"/>
                </w:tcPr>
                <w:p w14:paraId="3C8A4FCC" w14:textId="7FEB0107" w:rsidR="002A786C" w:rsidRPr="002A786C" w:rsidRDefault="002A786C" w:rsidP="002A786C">
                  <w:pPr>
                    <w:jc w:val="center"/>
                    <w:rPr>
                      <w:rFonts w:cs="Arial"/>
                      <w:b/>
                      <w:bCs/>
                    </w:rPr>
                  </w:pPr>
                  <w:r w:rsidRPr="002A786C">
                    <w:rPr>
                      <w:rFonts w:eastAsiaTheme="minorEastAsia" w:cs="Arial"/>
                      <w:b/>
                      <w:bCs/>
                      <w:lang w:eastAsia="zh-CN"/>
                    </w:rPr>
                    <w:t>K</w:t>
                  </w:r>
                  <w:r w:rsidRPr="00914C2B">
                    <w:rPr>
                      <w:rFonts w:cs="Arial"/>
                      <w:b/>
                      <w:bCs/>
                    </w:rPr>
                    <w:t xml:space="preserve">ey </w:t>
                  </w:r>
                  <w:r w:rsidRPr="002A786C">
                    <w:rPr>
                      <w:rFonts w:eastAsiaTheme="minorEastAsia" w:cs="Arial"/>
                      <w:b/>
                      <w:bCs/>
                      <w:lang w:eastAsia="zh-CN"/>
                    </w:rPr>
                    <w:t>E</w:t>
                  </w:r>
                  <w:r w:rsidRPr="00914C2B">
                    <w:rPr>
                      <w:rFonts w:cs="Arial"/>
                      <w:b/>
                      <w:bCs/>
                    </w:rPr>
                    <w:t>lements</w:t>
                  </w:r>
                </w:p>
              </w:tc>
              <w:tc>
                <w:tcPr>
                  <w:tcW w:w="0" w:type="auto"/>
                  <w:shd w:val="clear" w:color="auto" w:fill="EEECE1" w:themeFill="background2"/>
                </w:tcPr>
                <w:p w14:paraId="212406AD" w14:textId="5CE3F4D3" w:rsidR="002A786C" w:rsidRPr="002A786C" w:rsidRDefault="002A786C" w:rsidP="002A786C">
                  <w:pPr>
                    <w:jc w:val="center"/>
                    <w:rPr>
                      <w:rFonts w:eastAsiaTheme="minorEastAsia" w:cs="Arial"/>
                      <w:b/>
                      <w:bCs/>
                      <w:lang w:eastAsia="zh-CN"/>
                    </w:rPr>
                  </w:pPr>
                  <w:r w:rsidRPr="002A786C">
                    <w:rPr>
                      <w:rFonts w:eastAsiaTheme="minorEastAsia" w:cs="Arial"/>
                      <w:b/>
                      <w:bCs/>
                      <w:lang w:eastAsia="zh-CN"/>
                    </w:rPr>
                    <w:t>Outputs</w:t>
                  </w:r>
                </w:p>
              </w:tc>
            </w:tr>
            <w:tr w:rsidR="002A786C" w14:paraId="1B8ACC2D" w14:textId="77777777" w:rsidTr="002A786C">
              <w:tc>
                <w:tcPr>
                  <w:tcW w:w="2321" w:type="dxa"/>
                </w:tcPr>
                <w:p w14:paraId="4B393C17" w14:textId="1883AC7E" w:rsidR="002A786C" w:rsidRPr="002A786C" w:rsidRDefault="002A786C" w:rsidP="002A786C">
                  <w:pPr>
                    <w:jc w:val="center"/>
                    <w:rPr>
                      <w:rFonts w:cs="Arial"/>
                      <w:lang w:eastAsia="zh-CN"/>
                    </w:rPr>
                  </w:pPr>
                  <w:r w:rsidRPr="002A786C">
                    <w:rPr>
                      <w:rFonts w:cs="Arial"/>
                      <w:lang w:eastAsia="zh-CN"/>
                    </w:rPr>
                    <w:t>Sep 2025</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115E78CF" w14:textId="77777777" w:rsidTr="002A786C">
                    <w:trPr>
                      <w:tblCellSpacing w:w="15" w:type="dxa"/>
                    </w:trPr>
                    <w:tc>
                      <w:tcPr>
                        <w:tcW w:w="36" w:type="dxa"/>
                        <w:vAlign w:val="center"/>
                        <w:hideMark/>
                      </w:tcPr>
                      <w:p w14:paraId="1FE0E283" w14:textId="77777777" w:rsidR="002A786C" w:rsidRPr="002A786C" w:rsidRDefault="002A786C" w:rsidP="002A786C">
                        <w:pPr>
                          <w:jc w:val="center"/>
                          <w:rPr>
                            <w:rFonts w:cs="Arial"/>
                            <w:lang w:val="en-US" w:eastAsia="zh-CN"/>
                          </w:rPr>
                        </w:pPr>
                      </w:p>
                    </w:tc>
                  </w:tr>
                </w:tbl>
                <w:p w14:paraId="704D6008"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778E695D" w14:textId="77777777" w:rsidTr="002A786C">
                    <w:trPr>
                      <w:tblCellSpacing w:w="15" w:type="dxa"/>
                    </w:trPr>
                    <w:tc>
                      <w:tcPr>
                        <w:tcW w:w="4233" w:type="dxa"/>
                        <w:vAlign w:val="center"/>
                        <w:hideMark/>
                      </w:tcPr>
                      <w:p w14:paraId="636A1402" w14:textId="77777777" w:rsidR="002A786C" w:rsidRPr="002A786C" w:rsidRDefault="002A786C" w:rsidP="002A786C">
                        <w:pPr>
                          <w:jc w:val="center"/>
                          <w:rPr>
                            <w:rFonts w:cs="Arial"/>
                            <w:lang w:val="en-US" w:eastAsia="zh-CN"/>
                          </w:rPr>
                        </w:pPr>
                        <w:r w:rsidRPr="002A786C">
                          <w:rPr>
                            <w:rFonts w:cs="Arial"/>
                            <w:lang w:val="en-US" w:eastAsia="zh-CN"/>
                          </w:rPr>
                          <w:t>PG1 — submit full project proposal</w:t>
                        </w:r>
                      </w:p>
                    </w:tc>
                  </w:tr>
                </w:tbl>
                <w:p w14:paraId="6DC32CB9" w14:textId="77777777" w:rsidR="002A786C" w:rsidRPr="002A786C" w:rsidRDefault="002A786C" w:rsidP="002A786C">
                  <w:pPr>
                    <w:jc w:val="center"/>
                    <w:rPr>
                      <w:rFonts w:cs="Arial"/>
                      <w:lang w:val="en-US" w:eastAsia="zh-CN"/>
                    </w:rPr>
                  </w:pPr>
                </w:p>
              </w:tc>
              <w:tc>
                <w:tcPr>
                  <w:tcW w:w="0" w:type="auto"/>
                </w:tcPr>
                <w:p w14:paraId="7397A466" w14:textId="74D35096" w:rsidR="002A786C" w:rsidRPr="002A786C" w:rsidRDefault="002A786C" w:rsidP="002A786C">
                  <w:pPr>
                    <w:jc w:val="center"/>
                    <w:rPr>
                      <w:rFonts w:cs="Arial"/>
                      <w:lang w:eastAsia="zh-CN"/>
                    </w:rPr>
                  </w:pPr>
                  <w:r w:rsidRPr="002A786C">
                    <w:rPr>
                      <w:rFonts w:cs="Arial"/>
                      <w:lang w:eastAsia="zh-CN"/>
                    </w:rPr>
                    <w:t>Clarify scope, aims and methods; align with supervisor</w:t>
                  </w:r>
                </w:p>
              </w:tc>
            </w:tr>
            <w:tr w:rsidR="002A786C" w14:paraId="1104FFA8" w14:textId="77777777" w:rsidTr="002A786C">
              <w:tc>
                <w:tcPr>
                  <w:tcW w:w="2321" w:type="dxa"/>
                </w:tcPr>
                <w:p w14:paraId="36C79C36" w14:textId="1357E1D8" w:rsidR="002A786C" w:rsidRPr="002A786C" w:rsidRDefault="002A786C" w:rsidP="002A786C">
                  <w:pPr>
                    <w:jc w:val="center"/>
                    <w:rPr>
                      <w:rFonts w:cs="Arial"/>
                      <w:lang w:eastAsia="zh-CN"/>
                    </w:rPr>
                  </w:pPr>
                  <w:r w:rsidRPr="002A786C">
                    <w:rPr>
                      <w:rFonts w:cs="Arial"/>
                      <w:lang w:eastAsia="zh-CN"/>
                    </w:rPr>
                    <w:t>Oct 2025</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0060207F" w14:textId="77777777" w:rsidTr="002A786C">
                    <w:trPr>
                      <w:tblCellSpacing w:w="15" w:type="dxa"/>
                    </w:trPr>
                    <w:tc>
                      <w:tcPr>
                        <w:tcW w:w="36" w:type="dxa"/>
                        <w:vAlign w:val="center"/>
                        <w:hideMark/>
                      </w:tcPr>
                      <w:p w14:paraId="5CA350D0" w14:textId="77777777" w:rsidR="002A786C" w:rsidRPr="002A786C" w:rsidRDefault="002A786C" w:rsidP="002A786C">
                        <w:pPr>
                          <w:jc w:val="center"/>
                          <w:rPr>
                            <w:rFonts w:cs="Arial"/>
                            <w:lang w:val="en-US" w:eastAsia="zh-CN"/>
                          </w:rPr>
                        </w:pPr>
                      </w:p>
                    </w:tc>
                  </w:tr>
                </w:tbl>
                <w:p w14:paraId="02CB4EF4"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48C98AFF" w14:textId="77777777" w:rsidTr="002A786C">
                    <w:trPr>
                      <w:tblCellSpacing w:w="15" w:type="dxa"/>
                    </w:trPr>
                    <w:tc>
                      <w:tcPr>
                        <w:tcW w:w="5553" w:type="dxa"/>
                        <w:vAlign w:val="center"/>
                        <w:hideMark/>
                      </w:tcPr>
                      <w:p w14:paraId="4CA09D90" w14:textId="77777777" w:rsidR="002A786C" w:rsidRPr="002A786C" w:rsidRDefault="002A786C" w:rsidP="002A786C">
                        <w:pPr>
                          <w:jc w:val="center"/>
                          <w:rPr>
                            <w:rFonts w:cs="Arial"/>
                            <w:lang w:val="en-US" w:eastAsia="zh-CN"/>
                          </w:rPr>
                        </w:pPr>
                        <w:r w:rsidRPr="002A786C">
                          <w:rPr>
                            <w:rFonts w:cs="Arial"/>
                            <w:lang w:val="en-US" w:eastAsia="zh-CN"/>
                          </w:rPr>
                          <w:t>PG2 — submit full ethics &amp; progress materials</w:t>
                        </w:r>
                      </w:p>
                    </w:tc>
                  </w:tr>
                </w:tbl>
                <w:p w14:paraId="22C0907F" w14:textId="77777777" w:rsidR="002A786C" w:rsidRPr="002A786C" w:rsidRDefault="002A786C" w:rsidP="002A786C">
                  <w:pPr>
                    <w:jc w:val="center"/>
                    <w:rPr>
                      <w:rFonts w:cs="Arial"/>
                      <w:lang w:val="en-US" w:eastAsia="zh-CN"/>
                    </w:rPr>
                  </w:pPr>
                </w:p>
              </w:tc>
              <w:tc>
                <w:tcPr>
                  <w:tcW w:w="0" w:type="auto"/>
                </w:tcPr>
                <w:p w14:paraId="5074198C" w14:textId="5A854B9C" w:rsidR="002A786C" w:rsidRPr="002A786C" w:rsidRDefault="002A786C" w:rsidP="002A786C">
                  <w:pPr>
                    <w:jc w:val="center"/>
                    <w:rPr>
                      <w:rFonts w:cs="Arial"/>
                      <w:lang w:eastAsia="zh-CN"/>
                    </w:rPr>
                  </w:pPr>
                  <w:r w:rsidRPr="002A786C">
                    <w:rPr>
                      <w:rFonts w:cs="Arial"/>
                      <w:lang w:eastAsia="zh-CN"/>
                    </w:rPr>
                    <w:t>Ethics approval secured; fieldwork may commence</w:t>
                  </w:r>
                </w:p>
              </w:tc>
            </w:tr>
            <w:tr w:rsidR="002A786C" w14:paraId="6D549DF3" w14:textId="77777777" w:rsidTr="002A786C">
              <w:tc>
                <w:tcPr>
                  <w:tcW w:w="2321" w:type="dxa"/>
                </w:tcPr>
                <w:p w14:paraId="07D083CF" w14:textId="3D0BF5B5" w:rsidR="002A786C" w:rsidRPr="002A786C" w:rsidRDefault="002A786C" w:rsidP="002A786C">
                  <w:pPr>
                    <w:jc w:val="center"/>
                    <w:rPr>
                      <w:rFonts w:cs="Arial"/>
                      <w:lang w:eastAsia="zh-CN"/>
                    </w:rPr>
                  </w:pPr>
                  <w:r w:rsidRPr="002A786C">
                    <w:rPr>
                      <w:rFonts w:cs="Arial"/>
                      <w:lang w:eastAsia="zh-CN"/>
                    </w:rPr>
                    <w:t>Nov–Dec 2025</w:t>
                  </w:r>
                </w:p>
              </w:tc>
              <w:tc>
                <w:tcPr>
                  <w:tcW w:w="2839" w:type="dxa"/>
                </w:tcPr>
                <w:p w14:paraId="655D6361" w14:textId="2C040E47" w:rsidR="002A786C" w:rsidRPr="002A786C" w:rsidRDefault="002A786C" w:rsidP="002A786C">
                  <w:pPr>
                    <w:jc w:val="center"/>
                    <w:rPr>
                      <w:rFonts w:cs="Arial"/>
                      <w:lang w:eastAsia="zh-CN"/>
                    </w:rPr>
                  </w:pPr>
                  <w:r w:rsidRPr="002A786C">
                    <w:rPr>
                      <w:rFonts w:cs="Arial"/>
                      <w:lang w:eastAsia="zh-CN"/>
                    </w:rPr>
                    <w:t>Desk research; platform mapping; draft observation cues &amp; codebook</w:t>
                  </w:r>
                </w:p>
              </w:tc>
              <w:tc>
                <w:tcPr>
                  <w:tcW w:w="0" w:type="auto"/>
                </w:tcPr>
                <w:p w14:paraId="4ABA6F82" w14:textId="6E3A256A" w:rsidR="002A786C" w:rsidRPr="002A786C" w:rsidRDefault="002A786C" w:rsidP="002A786C">
                  <w:pPr>
                    <w:jc w:val="center"/>
                    <w:rPr>
                      <w:rFonts w:cs="Arial"/>
                      <w:lang w:eastAsia="zh-CN"/>
                    </w:rPr>
                  </w:pPr>
                  <w:r w:rsidRPr="002A786C">
                    <w:rPr>
                      <w:rFonts w:cs="Arial"/>
                      <w:lang w:eastAsia="zh-CN"/>
                    </w:rPr>
                    <w:t>Common vocabulary and cues; clear problem framing; readiness for case/field work</w:t>
                  </w:r>
                </w:p>
              </w:tc>
            </w:tr>
            <w:tr w:rsidR="002A786C" w14:paraId="042532A8" w14:textId="77777777" w:rsidTr="002A786C">
              <w:tc>
                <w:tcPr>
                  <w:tcW w:w="2321" w:type="dxa"/>
                </w:tcPr>
                <w:p w14:paraId="623C574E" w14:textId="10873B61" w:rsidR="002A786C" w:rsidRPr="002A786C" w:rsidRDefault="002A786C" w:rsidP="002A786C">
                  <w:pPr>
                    <w:jc w:val="center"/>
                    <w:rPr>
                      <w:rFonts w:cs="Arial"/>
                      <w:lang w:eastAsia="zh-CN"/>
                    </w:rPr>
                  </w:pPr>
                  <w:r w:rsidRPr="002A786C">
                    <w:rPr>
                      <w:rFonts w:cs="Arial"/>
                      <w:lang w:eastAsia="zh-CN"/>
                    </w:rPr>
                    <w:t>Jan–Feb 2026</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7B957CD6" w14:textId="77777777" w:rsidTr="002A786C">
                    <w:trPr>
                      <w:tblCellSpacing w:w="15" w:type="dxa"/>
                    </w:trPr>
                    <w:tc>
                      <w:tcPr>
                        <w:tcW w:w="36" w:type="dxa"/>
                        <w:vAlign w:val="center"/>
                        <w:hideMark/>
                      </w:tcPr>
                      <w:p w14:paraId="0AD72AE6" w14:textId="77777777" w:rsidR="002A786C" w:rsidRPr="002A786C" w:rsidRDefault="002A786C" w:rsidP="002A786C">
                        <w:pPr>
                          <w:jc w:val="center"/>
                          <w:rPr>
                            <w:rFonts w:cs="Arial"/>
                            <w:lang w:val="en-US" w:eastAsia="zh-CN"/>
                          </w:rPr>
                        </w:pPr>
                      </w:p>
                    </w:tc>
                  </w:tr>
                </w:tbl>
                <w:p w14:paraId="30E3224B"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72C79768" w14:textId="77777777" w:rsidTr="002A786C">
                    <w:trPr>
                      <w:tblCellSpacing w:w="15" w:type="dxa"/>
                    </w:trPr>
                    <w:tc>
                      <w:tcPr>
                        <w:tcW w:w="6040" w:type="dxa"/>
                        <w:vAlign w:val="center"/>
                        <w:hideMark/>
                      </w:tcPr>
                      <w:p w14:paraId="14A7572A" w14:textId="77777777" w:rsidR="002A786C" w:rsidRPr="002A786C" w:rsidRDefault="002A786C" w:rsidP="002A786C">
                        <w:pPr>
                          <w:jc w:val="center"/>
                          <w:rPr>
                            <w:rFonts w:cs="Arial"/>
                            <w:lang w:val="en-US" w:eastAsia="zh-CN"/>
                          </w:rPr>
                        </w:pPr>
                        <w:r w:rsidRPr="002A786C">
                          <w:rPr>
                            <w:rFonts w:cs="Arial"/>
                            <w:lang w:val="en-US" w:eastAsia="zh-CN"/>
                          </w:rPr>
                          <w:t>Case study collection and cross-platform contrasts</w:t>
                        </w:r>
                      </w:p>
                    </w:tc>
                  </w:tr>
                </w:tbl>
                <w:p w14:paraId="3FEE380F" w14:textId="77777777" w:rsidR="002A786C" w:rsidRPr="002A786C" w:rsidRDefault="002A786C" w:rsidP="002A786C">
                  <w:pPr>
                    <w:jc w:val="center"/>
                    <w:rPr>
                      <w:rFonts w:cs="Arial"/>
                      <w:lang w:val="en-US" w:eastAsia="zh-CN"/>
                    </w:rPr>
                  </w:pPr>
                </w:p>
              </w:tc>
              <w:tc>
                <w:tcPr>
                  <w:tcW w:w="0" w:type="auto"/>
                </w:tcPr>
                <w:p w14:paraId="46CFC51E"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79"/>
                  </w:tblGrid>
                  <w:tr w:rsidR="002A786C" w:rsidRPr="002A786C" w14:paraId="7B4CB283" w14:textId="77777777" w:rsidTr="002A786C">
                    <w:trPr>
                      <w:tblCellSpacing w:w="15" w:type="dxa"/>
                    </w:trPr>
                    <w:tc>
                      <w:tcPr>
                        <w:tcW w:w="8580" w:type="dxa"/>
                        <w:vAlign w:val="center"/>
                        <w:hideMark/>
                      </w:tcPr>
                      <w:p w14:paraId="2BC9E46B" w14:textId="77777777" w:rsidR="002A786C" w:rsidRPr="002A786C" w:rsidRDefault="002A786C" w:rsidP="002A786C">
                        <w:pPr>
                          <w:jc w:val="center"/>
                          <w:rPr>
                            <w:rFonts w:cs="Arial"/>
                            <w:lang w:val="en-US" w:eastAsia="zh-CN"/>
                          </w:rPr>
                        </w:pPr>
                        <w:r w:rsidRPr="002A786C">
                          <w:rPr>
                            <w:rFonts w:cs="Arial"/>
                            <w:lang w:val="en-US" w:eastAsia="zh-CN"/>
                          </w:rPr>
                          <w:t>Reveal processes behind successful and unsuccessful cases; identify platform contingencies; prioritise learning questions</w:t>
                        </w:r>
                      </w:p>
                    </w:tc>
                  </w:tr>
                </w:tbl>
                <w:p w14:paraId="30E9606E" w14:textId="77777777" w:rsidR="002A786C" w:rsidRPr="002A786C" w:rsidRDefault="002A786C" w:rsidP="002A786C">
                  <w:pPr>
                    <w:jc w:val="center"/>
                    <w:rPr>
                      <w:rFonts w:cs="Arial"/>
                      <w:lang w:val="en-US" w:eastAsia="zh-CN"/>
                    </w:rPr>
                  </w:pPr>
                </w:p>
              </w:tc>
            </w:tr>
            <w:tr w:rsidR="002A786C" w14:paraId="6A94262F" w14:textId="77777777" w:rsidTr="002A786C">
              <w:tc>
                <w:tcPr>
                  <w:tcW w:w="2321" w:type="dxa"/>
                </w:tcPr>
                <w:p w14:paraId="2E79601B" w14:textId="60443DA4" w:rsidR="002A786C" w:rsidRPr="002A786C" w:rsidRDefault="002A786C" w:rsidP="002A786C">
                  <w:pPr>
                    <w:jc w:val="center"/>
                    <w:rPr>
                      <w:rFonts w:cs="Arial"/>
                      <w:lang w:eastAsia="zh-CN"/>
                    </w:rPr>
                  </w:pPr>
                  <w:r w:rsidRPr="002A786C">
                    <w:rPr>
                      <w:rFonts w:cs="Arial"/>
                      <w:lang w:eastAsia="zh-CN"/>
                    </w:rPr>
                    <w:t>Jan–Jun 2026</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1F7399EE" w14:textId="77777777" w:rsidTr="002A786C">
                    <w:trPr>
                      <w:tblCellSpacing w:w="15" w:type="dxa"/>
                    </w:trPr>
                    <w:tc>
                      <w:tcPr>
                        <w:tcW w:w="36" w:type="dxa"/>
                        <w:vAlign w:val="center"/>
                        <w:hideMark/>
                      </w:tcPr>
                      <w:p w14:paraId="41A98582" w14:textId="77777777" w:rsidR="002A786C" w:rsidRPr="002A786C" w:rsidRDefault="002A786C" w:rsidP="002A786C">
                        <w:pPr>
                          <w:jc w:val="center"/>
                          <w:rPr>
                            <w:rFonts w:cs="Arial"/>
                            <w:lang w:val="en-US" w:eastAsia="zh-CN"/>
                          </w:rPr>
                        </w:pPr>
                      </w:p>
                    </w:tc>
                  </w:tr>
                </w:tbl>
                <w:p w14:paraId="30E500CD"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62E50115" w14:textId="77777777" w:rsidTr="002A786C">
                    <w:trPr>
                      <w:tblCellSpacing w:w="15" w:type="dxa"/>
                    </w:trPr>
                    <w:tc>
                      <w:tcPr>
                        <w:tcW w:w="8580" w:type="dxa"/>
                        <w:vAlign w:val="center"/>
                        <w:hideMark/>
                      </w:tcPr>
                      <w:p w14:paraId="5C5C7AEF" w14:textId="77777777" w:rsidR="002A786C" w:rsidRPr="002A786C" w:rsidRDefault="002A786C" w:rsidP="002A786C">
                        <w:pPr>
                          <w:jc w:val="center"/>
                          <w:rPr>
                            <w:rFonts w:cs="Arial"/>
                            <w:lang w:val="en-US" w:eastAsia="zh-CN"/>
                          </w:rPr>
                        </w:pPr>
                        <w:r w:rsidRPr="002A786C">
                          <w:rPr>
                            <w:rFonts w:cs="Arial"/>
                            <w:lang w:val="en-US" w:eastAsia="zh-CN"/>
                          </w:rPr>
                          <w:t>Hybrid ethnography (online / offline / in-between; brief interviews / focus groups)</w:t>
                        </w:r>
                      </w:p>
                    </w:tc>
                  </w:tr>
                </w:tbl>
                <w:p w14:paraId="0168B697" w14:textId="77777777" w:rsidR="002A786C" w:rsidRPr="002A786C" w:rsidRDefault="002A786C" w:rsidP="002A786C">
                  <w:pPr>
                    <w:jc w:val="center"/>
                    <w:rPr>
                      <w:rFonts w:cs="Arial"/>
                      <w:lang w:val="en-US" w:eastAsia="zh-CN"/>
                    </w:rPr>
                  </w:pPr>
                </w:p>
              </w:tc>
              <w:tc>
                <w:tcPr>
                  <w:tcW w:w="0" w:type="auto"/>
                </w:tcPr>
                <w:p w14:paraId="29317CF9" w14:textId="6BDB6303" w:rsidR="002A786C" w:rsidRPr="002A786C" w:rsidRDefault="002A786C" w:rsidP="002A786C">
                  <w:pPr>
                    <w:jc w:val="center"/>
                    <w:rPr>
                      <w:rFonts w:cs="Arial"/>
                      <w:lang w:eastAsia="zh-CN"/>
                    </w:rPr>
                  </w:pPr>
                  <w:r w:rsidRPr="002A786C">
                    <w:rPr>
                      <w:rFonts w:cs="Arial"/>
                      <w:lang w:eastAsia="zh-CN"/>
                    </w:rPr>
                    <w:t>Actionable audience insights; meme-feature → image-impression mapping; note risk triggers</w:t>
                  </w:r>
                </w:p>
              </w:tc>
            </w:tr>
            <w:tr w:rsidR="002A786C" w14:paraId="3D176090" w14:textId="77777777" w:rsidTr="002A786C">
              <w:tc>
                <w:tcPr>
                  <w:tcW w:w="2321" w:type="dxa"/>
                </w:tcPr>
                <w:p w14:paraId="22151094" w14:textId="1FEA4492" w:rsidR="002A786C" w:rsidRPr="002A786C" w:rsidRDefault="002A786C" w:rsidP="002A786C">
                  <w:pPr>
                    <w:jc w:val="center"/>
                    <w:rPr>
                      <w:rFonts w:cs="Arial"/>
                      <w:lang w:eastAsia="zh-CN"/>
                    </w:rPr>
                  </w:pPr>
                  <w:r w:rsidRPr="002A786C">
                    <w:rPr>
                      <w:rFonts w:cs="Arial"/>
                      <w:lang w:eastAsia="zh-CN"/>
                    </w:rPr>
                    <w:t>Jul–Aug 2026</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56940E58" w14:textId="77777777" w:rsidTr="002A786C">
                    <w:trPr>
                      <w:tblCellSpacing w:w="15" w:type="dxa"/>
                    </w:trPr>
                    <w:tc>
                      <w:tcPr>
                        <w:tcW w:w="36" w:type="dxa"/>
                        <w:vAlign w:val="center"/>
                        <w:hideMark/>
                      </w:tcPr>
                      <w:p w14:paraId="3F270267" w14:textId="77777777" w:rsidR="002A786C" w:rsidRPr="002A786C" w:rsidRDefault="002A786C" w:rsidP="002A786C">
                        <w:pPr>
                          <w:jc w:val="center"/>
                          <w:rPr>
                            <w:rFonts w:cs="Arial"/>
                            <w:lang w:val="en-US" w:eastAsia="zh-CN"/>
                          </w:rPr>
                        </w:pPr>
                      </w:p>
                    </w:tc>
                  </w:tr>
                </w:tbl>
                <w:p w14:paraId="08F73983"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592139E6" w14:textId="77777777" w:rsidTr="002A786C">
                    <w:trPr>
                      <w:tblCellSpacing w:w="15" w:type="dxa"/>
                    </w:trPr>
                    <w:tc>
                      <w:tcPr>
                        <w:tcW w:w="7607" w:type="dxa"/>
                        <w:vAlign w:val="center"/>
                        <w:hideMark/>
                      </w:tcPr>
                      <w:p w14:paraId="0F660D84" w14:textId="77777777" w:rsidR="002A786C" w:rsidRPr="002A786C" w:rsidRDefault="002A786C" w:rsidP="002A786C">
                        <w:pPr>
                          <w:jc w:val="center"/>
                          <w:rPr>
                            <w:rFonts w:cs="Arial"/>
                            <w:lang w:val="en-US" w:eastAsia="zh-CN"/>
                          </w:rPr>
                        </w:pPr>
                        <w:r w:rsidRPr="002A786C">
                          <w:rPr>
                            <w:rFonts w:cs="Arial"/>
                            <w:lang w:val="en-US" w:eastAsia="zh-CN"/>
                          </w:rPr>
                          <w:t>Design translation: build the Toolkit; prepare exemplar adverts</w:t>
                        </w:r>
                      </w:p>
                    </w:tc>
                  </w:tr>
                </w:tbl>
                <w:p w14:paraId="1D29C46D" w14:textId="77777777" w:rsidR="002A786C" w:rsidRPr="002A786C" w:rsidRDefault="002A786C" w:rsidP="002A786C">
                  <w:pPr>
                    <w:jc w:val="center"/>
                    <w:rPr>
                      <w:rFonts w:cs="Arial"/>
                      <w:lang w:val="en-US" w:eastAsia="zh-CN"/>
                    </w:rPr>
                  </w:pPr>
                </w:p>
              </w:tc>
              <w:tc>
                <w:tcPr>
                  <w:tcW w:w="0" w:type="auto"/>
                </w:tcPr>
                <w:p w14:paraId="66614816" w14:textId="61CE407C" w:rsidR="002A786C" w:rsidRPr="002A786C" w:rsidRDefault="002A786C" w:rsidP="002A786C">
                  <w:pPr>
                    <w:jc w:val="center"/>
                    <w:rPr>
                      <w:rFonts w:cs="Arial"/>
                      <w:lang w:eastAsia="zh-CN"/>
                    </w:rPr>
                  </w:pPr>
                  <w:r w:rsidRPr="002A786C">
                    <w:rPr>
                      <w:rFonts w:cs="Arial"/>
                      <w:lang w:eastAsia="zh-CN"/>
                    </w:rPr>
                    <w:t>Convert evidence into decision tools and guardrails; define a pre-release quick-check routine</w:t>
                  </w:r>
                </w:p>
              </w:tc>
            </w:tr>
            <w:tr w:rsidR="002A786C" w14:paraId="6478EC2A" w14:textId="77777777" w:rsidTr="002A786C">
              <w:tc>
                <w:tcPr>
                  <w:tcW w:w="2321" w:type="dxa"/>
                </w:tcPr>
                <w:p w14:paraId="0B034458" w14:textId="6FA64AB1" w:rsidR="002A786C" w:rsidRPr="002A786C" w:rsidRDefault="002A786C" w:rsidP="002A786C">
                  <w:pPr>
                    <w:jc w:val="center"/>
                    <w:rPr>
                      <w:rFonts w:cs="Arial"/>
                      <w:lang w:eastAsia="zh-CN"/>
                    </w:rPr>
                  </w:pPr>
                  <w:r w:rsidRPr="002A786C">
                    <w:rPr>
                      <w:rFonts w:cs="Arial"/>
                      <w:lang w:eastAsia="zh-CN"/>
                    </w:rPr>
                    <w:t>Sep–Oct 2026</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547AC879" w14:textId="77777777" w:rsidTr="002A786C">
                    <w:trPr>
                      <w:tblCellSpacing w:w="15" w:type="dxa"/>
                    </w:trPr>
                    <w:tc>
                      <w:tcPr>
                        <w:tcW w:w="36" w:type="dxa"/>
                        <w:vAlign w:val="center"/>
                        <w:hideMark/>
                      </w:tcPr>
                      <w:p w14:paraId="12940B1B" w14:textId="77777777" w:rsidR="002A786C" w:rsidRPr="002A786C" w:rsidRDefault="002A786C" w:rsidP="002A786C">
                        <w:pPr>
                          <w:jc w:val="center"/>
                          <w:rPr>
                            <w:rFonts w:cs="Arial"/>
                            <w:lang w:val="en-US" w:eastAsia="zh-CN"/>
                          </w:rPr>
                        </w:pPr>
                      </w:p>
                    </w:tc>
                  </w:tr>
                </w:tbl>
                <w:p w14:paraId="0569B69B"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63F1969A" w14:textId="77777777" w:rsidTr="002A786C">
                    <w:trPr>
                      <w:tblCellSpacing w:w="15" w:type="dxa"/>
                    </w:trPr>
                    <w:tc>
                      <w:tcPr>
                        <w:tcW w:w="5931" w:type="dxa"/>
                        <w:vAlign w:val="center"/>
                        <w:hideMark/>
                      </w:tcPr>
                      <w:p w14:paraId="438F1A52" w14:textId="77777777" w:rsidR="002A786C" w:rsidRPr="002A786C" w:rsidRDefault="002A786C" w:rsidP="002A786C">
                        <w:pPr>
                          <w:jc w:val="center"/>
                          <w:rPr>
                            <w:rFonts w:cs="Arial"/>
                            <w:lang w:val="en-US" w:eastAsia="zh-CN"/>
                          </w:rPr>
                        </w:pPr>
                        <w:r w:rsidRPr="002A786C">
                          <w:rPr>
                            <w:rFonts w:cs="Arial"/>
                            <w:lang w:val="en-US" w:eastAsia="zh-CN"/>
                          </w:rPr>
                          <w:t>Practitioner co-design (Shenzhen) and integration</w:t>
                        </w:r>
                      </w:p>
                    </w:tc>
                  </w:tr>
                </w:tbl>
                <w:p w14:paraId="17619C64" w14:textId="77777777" w:rsidR="002A786C" w:rsidRPr="002A786C" w:rsidRDefault="002A786C" w:rsidP="002A786C">
                  <w:pPr>
                    <w:jc w:val="center"/>
                    <w:rPr>
                      <w:rFonts w:cs="Arial"/>
                      <w:lang w:val="en-US" w:eastAsia="zh-CN"/>
                    </w:rPr>
                  </w:pPr>
                </w:p>
              </w:tc>
              <w:tc>
                <w:tcPr>
                  <w:tcW w:w="0" w:type="auto"/>
                </w:tcPr>
                <w:p w14:paraId="16B9798E" w14:textId="517A66BA" w:rsidR="002A786C" w:rsidRPr="002A786C" w:rsidRDefault="002A786C" w:rsidP="002A786C">
                  <w:pPr>
                    <w:jc w:val="center"/>
                    <w:rPr>
                      <w:rFonts w:cs="Arial"/>
                      <w:lang w:eastAsia="zh-CN"/>
                    </w:rPr>
                  </w:pPr>
                  <w:r w:rsidRPr="002A786C">
                    <w:rPr>
                      <w:rFonts w:cs="Arial"/>
                      <w:lang w:eastAsia="zh-CN"/>
                    </w:rPr>
                    <w:t>Improve usability and workflow fit; agree adoption conditions; lock test stimuli</w:t>
                  </w:r>
                </w:p>
              </w:tc>
            </w:tr>
            <w:tr w:rsidR="002A786C" w14:paraId="7A2038D3" w14:textId="77777777" w:rsidTr="002A786C">
              <w:tc>
                <w:tcPr>
                  <w:tcW w:w="2321" w:type="dxa"/>
                </w:tcPr>
                <w:p w14:paraId="20E8A6EE" w14:textId="6D6BCA45" w:rsidR="002A786C" w:rsidRPr="002A786C" w:rsidRDefault="002A786C" w:rsidP="002A786C">
                  <w:pPr>
                    <w:jc w:val="center"/>
                    <w:rPr>
                      <w:rFonts w:cs="Arial"/>
                      <w:lang w:eastAsia="zh-CN"/>
                    </w:rPr>
                  </w:pPr>
                  <w:r w:rsidRPr="002A786C">
                    <w:rPr>
                      <w:rFonts w:cs="Arial"/>
                      <w:lang w:eastAsia="zh-CN"/>
                    </w:rPr>
                    <w:t>Nov–Dec 2026</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7A8AB8E2" w14:textId="77777777" w:rsidTr="002A786C">
                    <w:trPr>
                      <w:tblCellSpacing w:w="15" w:type="dxa"/>
                    </w:trPr>
                    <w:tc>
                      <w:tcPr>
                        <w:tcW w:w="36" w:type="dxa"/>
                        <w:vAlign w:val="center"/>
                        <w:hideMark/>
                      </w:tcPr>
                      <w:p w14:paraId="63C79422" w14:textId="77777777" w:rsidR="002A786C" w:rsidRPr="002A786C" w:rsidRDefault="002A786C" w:rsidP="002A786C">
                        <w:pPr>
                          <w:jc w:val="center"/>
                          <w:rPr>
                            <w:rFonts w:cs="Arial"/>
                            <w:lang w:val="en-US" w:eastAsia="zh-CN"/>
                          </w:rPr>
                        </w:pPr>
                      </w:p>
                    </w:tc>
                  </w:tr>
                </w:tbl>
                <w:p w14:paraId="36E3C2D1"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065D199A" w14:textId="77777777" w:rsidTr="002A786C">
                    <w:trPr>
                      <w:tblCellSpacing w:w="15" w:type="dxa"/>
                    </w:trPr>
                    <w:tc>
                      <w:tcPr>
                        <w:tcW w:w="4132" w:type="dxa"/>
                        <w:vAlign w:val="center"/>
                        <w:hideMark/>
                      </w:tcPr>
                      <w:p w14:paraId="5AB5AA8F" w14:textId="77777777" w:rsidR="002A786C" w:rsidRPr="002A786C" w:rsidRDefault="002A786C" w:rsidP="002A786C">
                        <w:pPr>
                          <w:jc w:val="center"/>
                          <w:rPr>
                            <w:rFonts w:cs="Arial"/>
                            <w:lang w:val="en-US" w:eastAsia="zh-CN"/>
                          </w:rPr>
                        </w:pPr>
                        <w:r w:rsidRPr="002A786C">
                          <w:rPr>
                            <w:rFonts w:cs="Arial"/>
                            <w:lang w:val="en-US" w:eastAsia="zh-CN"/>
                          </w:rPr>
                          <w:t>Light comparative check (Nanchang)</w:t>
                        </w:r>
                      </w:p>
                    </w:tc>
                  </w:tr>
                </w:tbl>
                <w:p w14:paraId="1858AA37" w14:textId="77777777" w:rsidR="002A786C" w:rsidRPr="002A786C" w:rsidRDefault="002A786C" w:rsidP="002A786C">
                  <w:pPr>
                    <w:jc w:val="center"/>
                    <w:rPr>
                      <w:rFonts w:cs="Arial"/>
                      <w:lang w:eastAsia="zh-CN"/>
                    </w:rPr>
                  </w:pPr>
                </w:p>
              </w:tc>
              <w:tc>
                <w:tcPr>
                  <w:tcW w:w="0" w:type="auto"/>
                </w:tcPr>
                <w:p w14:paraId="1C86CAD6" w14:textId="4E448E31" w:rsidR="002A786C" w:rsidRPr="002A786C" w:rsidRDefault="002A786C" w:rsidP="002A786C">
                  <w:pPr>
                    <w:jc w:val="center"/>
                    <w:rPr>
                      <w:rFonts w:cs="Arial"/>
                      <w:lang w:eastAsia="zh-CN"/>
                    </w:rPr>
                  </w:pPr>
                  <w:r w:rsidRPr="002A786C">
                    <w:rPr>
                      <w:rFonts w:cs="Arial"/>
                      <w:lang w:eastAsia="zh-CN"/>
                    </w:rPr>
                    <w:t>Directional evidence on meme factors → brand-image lift; practical signals to refine guidance</w:t>
                  </w:r>
                </w:p>
              </w:tc>
            </w:tr>
            <w:tr w:rsidR="002A786C" w14:paraId="2E2108B2" w14:textId="77777777" w:rsidTr="002A786C">
              <w:tc>
                <w:tcPr>
                  <w:tcW w:w="2321" w:type="dxa"/>
                </w:tcPr>
                <w:p w14:paraId="7EC65879" w14:textId="60386870" w:rsidR="002A786C" w:rsidRPr="002A786C" w:rsidRDefault="002A786C" w:rsidP="002A786C">
                  <w:pPr>
                    <w:jc w:val="center"/>
                    <w:rPr>
                      <w:rFonts w:cs="Arial"/>
                      <w:lang w:eastAsia="zh-CN"/>
                    </w:rPr>
                  </w:pPr>
                  <w:r w:rsidRPr="002A786C">
                    <w:rPr>
                      <w:rFonts w:cs="Arial"/>
                      <w:lang w:eastAsia="zh-CN"/>
                    </w:rPr>
                    <w:t>Feb–Mar 2027</w:t>
                  </w:r>
                </w:p>
              </w:tc>
              <w:tc>
                <w:tcPr>
                  <w:tcW w:w="283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86C" w:rsidRPr="002A786C" w14:paraId="49C5B6EF" w14:textId="77777777" w:rsidTr="002A786C">
                    <w:trPr>
                      <w:tblCellSpacing w:w="15" w:type="dxa"/>
                    </w:trPr>
                    <w:tc>
                      <w:tcPr>
                        <w:tcW w:w="36" w:type="dxa"/>
                        <w:vAlign w:val="center"/>
                        <w:hideMark/>
                      </w:tcPr>
                      <w:p w14:paraId="00EAC64A" w14:textId="77777777" w:rsidR="002A786C" w:rsidRPr="002A786C" w:rsidRDefault="002A786C" w:rsidP="002A786C">
                        <w:pPr>
                          <w:jc w:val="center"/>
                          <w:rPr>
                            <w:rFonts w:cs="Arial"/>
                            <w:lang w:val="en-US" w:eastAsia="zh-CN"/>
                          </w:rPr>
                        </w:pPr>
                      </w:p>
                    </w:tc>
                  </w:tr>
                </w:tbl>
                <w:p w14:paraId="4107D58D" w14:textId="77777777" w:rsidR="002A786C" w:rsidRPr="002A786C" w:rsidRDefault="002A786C" w:rsidP="002A786C">
                  <w:pPr>
                    <w:jc w:val="center"/>
                    <w:rPr>
                      <w:rFonts w:cs="Arial"/>
                      <w:vanish/>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tblGrid>
                  <w:tr w:rsidR="002A786C" w:rsidRPr="002A786C" w14:paraId="45F38DC2" w14:textId="77777777" w:rsidTr="002A786C">
                    <w:trPr>
                      <w:tblCellSpacing w:w="15" w:type="dxa"/>
                    </w:trPr>
                    <w:tc>
                      <w:tcPr>
                        <w:tcW w:w="8580" w:type="dxa"/>
                        <w:vAlign w:val="center"/>
                        <w:hideMark/>
                      </w:tcPr>
                      <w:p w14:paraId="649868A6" w14:textId="77777777" w:rsidR="002A786C" w:rsidRPr="002A786C" w:rsidRDefault="002A786C" w:rsidP="002A786C">
                        <w:pPr>
                          <w:jc w:val="center"/>
                          <w:rPr>
                            <w:rFonts w:cs="Arial"/>
                            <w:lang w:val="en-US" w:eastAsia="zh-CN"/>
                          </w:rPr>
                        </w:pPr>
                        <w:r w:rsidRPr="002A786C">
                          <w:rPr>
                            <w:rFonts w:cs="Arial"/>
                            <w:lang w:val="en-US" w:eastAsia="zh-CN"/>
                          </w:rPr>
                          <w:t>Feed findings back into the Toolkit; draft Methods and Case Study sections</w:t>
                        </w:r>
                      </w:p>
                    </w:tc>
                  </w:tr>
                </w:tbl>
                <w:p w14:paraId="1A3D2759" w14:textId="77777777" w:rsidR="002A786C" w:rsidRPr="002A786C" w:rsidRDefault="002A786C" w:rsidP="002A786C">
                  <w:pPr>
                    <w:jc w:val="center"/>
                    <w:rPr>
                      <w:rFonts w:cs="Arial"/>
                      <w:lang w:val="en-US" w:eastAsia="zh-CN"/>
                    </w:rPr>
                  </w:pPr>
                </w:p>
              </w:tc>
              <w:tc>
                <w:tcPr>
                  <w:tcW w:w="0" w:type="auto"/>
                </w:tcPr>
                <w:p w14:paraId="371B51E1" w14:textId="2C26527E" w:rsidR="002A786C" w:rsidRPr="002A786C" w:rsidRDefault="002A786C" w:rsidP="002A786C">
                  <w:pPr>
                    <w:jc w:val="center"/>
                    <w:rPr>
                      <w:rFonts w:cs="Arial"/>
                      <w:lang w:eastAsia="zh-CN"/>
                    </w:rPr>
                  </w:pPr>
                  <w:r w:rsidRPr="002A786C">
                    <w:rPr>
                      <w:rFonts w:cs="Arial"/>
                      <w:lang w:eastAsia="zh-CN"/>
                    </w:rPr>
                    <w:t>Consolidated guidance for practice; coherent narrative from evidence to tool</w:t>
                  </w:r>
                </w:p>
              </w:tc>
            </w:tr>
            <w:tr w:rsidR="002A786C" w14:paraId="0E77ACD7" w14:textId="77777777" w:rsidTr="002A786C">
              <w:tc>
                <w:tcPr>
                  <w:tcW w:w="2321" w:type="dxa"/>
                </w:tcPr>
                <w:p w14:paraId="0B47F906" w14:textId="3FB1B52D" w:rsidR="002A786C" w:rsidRPr="002A786C" w:rsidRDefault="002A786C" w:rsidP="002A786C">
                  <w:pPr>
                    <w:jc w:val="center"/>
                    <w:rPr>
                      <w:rFonts w:cs="Arial"/>
                      <w:lang w:eastAsia="zh-CN"/>
                    </w:rPr>
                  </w:pPr>
                  <w:r w:rsidRPr="002A786C">
                    <w:rPr>
                      <w:rFonts w:cs="Arial"/>
                      <w:lang w:eastAsia="zh-CN"/>
                    </w:rPr>
                    <w:t>Apr–Sep 2027</w:t>
                  </w:r>
                </w:p>
              </w:tc>
              <w:tc>
                <w:tcPr>
                  <w:tcW w:w="2839" w:type="dxa"/>
                </w:tcPr>
                <w:p w14:paraId="63291F10" w14:textId="2ABB0360" w:rsidR="002A786C" w:rsidRPr="002A786C" w:rsidRDefault="002A786C" w:rsidP="002A786C">
                  <w:pPr>
                    <w:jc w:val="center"/>
                    <w:rPr>
                      <w:rFonts w:cs="Arial"/>
                      <w:lang w:eastAsia="zh-CN"/>
                    </w:rPr>
                  </w:pPr>
                  <w:r w:rsidRPr="002A786C">
                    <w:rPr>
                      <w:rFonts w:cs="Arial"/>
                      <w:lang w:eastAsia="zh-CN"/>
                    </w:rPr>
                    <w:t>Thesis writing (six months); curate examinable artefacts; final checks &amp; submission</w:t>
                  </w:r>
                </w:p>
              </w:tc>
              <w:tc>
                <w:tcPr>
                  <w:tcW w:w="0" w:type="auto"/>
                </w:tcPr>
                <w:p w14:paraId="3B999862" w14:textId="0A53E35F" w:rsidR="002A786C" w:rsidRPr="002A786C" w:rsidRDefault="002A786C" w:rsidP="002A786C">
                  <w:pPr>
                    <w:jc w:val="center"/>
                    <w:rPr>
                      <w:rFonts w:cs="Arial"/>
                      <w:lang w:eastAsia="zh-CN"/>
                    </w:rPr>
                  </w:pPr>
                  <w:r w:rsidRPr="002A786C">
                    <w:rPr>
                      <w:rFonts w:cs="Arial"/>
                      <w:lang w:eastAsia="zh-CN"/>
                    </w:rPr>
                    <w:t>Integrated thesis; Toolkit and exemplar adverts packaged for examination; submission completed</w:t>
                  </w:r>
                </w:p>
              </w:tc>
            </w:tr>
          </w:tbl>
          <w:p w14:paraId="5261FB2D" w14:textId="77777777" w:rsidR="002A786C" w:rsidRDefault="002A786C" w:rsidP="002A786C">
            <w:pPr>
              <w:rPr>
                <w:rFonts w:eastAsiaTheme="minorEastAsia" w:cs="Arial"/>
                <w:sz w:val="22"/>
                <w:szCs w:val="22"/>
                <w:lang w:eastAsia="zh-CN"/>
              </w:rPr>
            </w:pPr>
          </w:p>
          <w:p w14:paraId="62E10401" w14:textId="77777777" w:rsidR="00743F51" w:rsidRPr="002A786C" w:rsidRDefault="00743F51" w:rsidP="002A786C">
            <w:pPr>
              <w:rPr>
                <w:rFonts w:eastAsiaTheme="minorEastAsia" w:cs="Arial" w:hint="eastAsia"/>
                <w:sz w:val="22"/>
                <w:szCs w:val="22"/>
                <w:lang w:eastAsia="zh-CN"/>
              </w:rPr>
            </w:pPr>
          </w:p>
        </w:tc>
      </w:tr>
      <w:tr w:rsidR="00B77573" w14:paraId="2E92A44F" w14:textId="77777777" w:rsidTr="002A786C">
        <w:trPr>
          <w:trHeight w:val="397"/>
        </w:trPr>
        <w:tc>
          <w:tcPr>
            <w:tcW w:w="9781" w:type="dxa"/>
            <w:shd w:val="clear" w:color="auto" w:fill="F2F2F2" w:themeFill="background1" w:themeFillShade="F2"/>
            <w:vAlign w:val="center"/>
          </w:tcPr>
          <w:p w14:paraId="1F44D456" w14:textId="77777777" w:rsidR="00B77573" w:rsidRDefault="00E33173">
            <w:pPr>
              <w:rPr>
                <w:rFonts w:cs="Arial"/>
                <w:sz w:val="22"/>
                <w:szCs w:val="22"/>
              </w:rPr>
            </w:pPr>
            <w:r>
              <w:rPr>
                <w:rFonts w:cs="Arial"/>
                <w:sz w:val="22"/>
                <w:szCs w:val="22"/>
              </w:rPr>
              <w:lastRenderedPageBreak/>
              <w:t>Proposed methodology (approx. 500 words):</w:t>
            </w:r>
          </w:p>
        </w:tc>
      </w:tr>
      <w:tr w:rsidR="00B77573" w14:paraId="61D1B7FC" w14:textId="77777777" w:rsidTr="002A786C">
        <w:trPr>
          <w:trHeight w:val="397"/>
        </w:trPr>
        <w:tc>
          <w:tcPr>
            <w:tcW w:w="9781" w:type="dxa"/>
            <w:vAlign w:val="center"/>
          </w:tcPr>
          <w:p w14:paraId="439CB2B6" w14:textId="77777777" w:rsidR="00743F51" w:rsidRPr="00743F51" w:rsidRDefault="00743F51" w:rsidP="00743F51">
            <w:pPr>
              <w:rPr>
                <w:rFonts w:eastAsiaTheme="minorEastAsia" w:cs="Arial"/>
                <w:sz w:val="22"/>
                <w:szCs w:val="22"/>
                <w:lang w:val="en-US" w:eastAsia="zh-CN"/>
              </w:rPr>
            </w:pPr>
            <w:r w:rsidRPr="00743F51">
              <w:rPr>
                <w:rFonts w:cs="Arial"/>
                <w:sz w:val="22"/>
                <w:szCs w:val="22"/>
                <w:lang w:val="en-US"/>
              </w:rPr>
              <w:t>This is a practice-based, mixed-methods study led by hybrid ethnography. It examines how cat-related memes are created and integrated into advertising on Chinese social media to increase Gen Z engagement and build brand image, and then translates findings into a practitioner-facing toolkit. The stance is pragmatic mixed-methods, i.e., methods are chosen for what they enable in practice (Feilzer, 2010; Tashakkori and Teddlie, 2010), with design work used to materialise knowledge as usable artefacts (Gaver, 2012).</w:t>
            </w:r>
          </w:p>
          <w:p w14:paraId="258BFC44" w14:textId="77777777" w:rsidR="00743F51" w:rsidRPr="00743F51" w:rsidRDefault="00743F51" w:rsidP="00743F51">
            <w:pPr>
              <w:rPr>
                <w:rFonts w:eastAsiaTheme="minorEastAsia" w:cs="Arial" w:hint="eastAsia"/>
                <w:sz w:val="22"/>
                <w:szCs w:val="22"/>
                <w:lang w:val="en-US" w:eastAsia="zh-CN"/>
              </w:rPr>
            </w:pPr>
          </w:p>
          <w:p w14:paraId="6D80BD4A" w14:textId="77777777" w:rsidR="00743F51" w:rsidRDefault="00743F51" w:rsidP="00743F51">
            <w:pPr>
              <w:rPr>
                <w:rFonts w:eastAsiaTheme="minorEastAsia" w:cs="Arial"/>
                <w:sz w:val="22"/>
                <w:szCs w:val="22"/>
                <w:lang w:val="en-US" w:eastAsia="zh-CN"/>
              </w:rPr>
            </w:pPr>
            <w:r w:rsidRPr="00743F51">
              <w:rPr>
                <w:rFonts w:cs="Arial"/>
                <w:b/>
                <w:bCs/>
                <w:sz w:val="22"/>
                <w:szCs w:val="22"/>
                <w:lang w:val="en-US"/>
              </w:rPr>
              <w:t>Library-based &amp; online desk research (supports O1–O3).</w:t>
            </w:r>
            <w:r w:rsidRPr="00743F51">
              <w:rPr>
                <w:rFonts w:cs="Arial"/>
                <w:sz w:val="22"/>
                <w:szCs w:val="22"/>
                <w:lang w:val="en-US"/>
              </w:rPr>
              <w:br/>
              <w:t>A focused review consolidates the content–form–stance account of internet memes (Shifman, 2013; 2014) with brand image/brand equity in CBBE (Keller, 1993; 2001; Keller and Swaminathan, 2019), alongside work on UGC/creator cultures and design-led inquiry. In parallel, norms on Bilibili, Xiaohongshu and Douyin are mapped to produce a shared glossary, observation cues and a compact coding guide that steer fieldwork and later design translation. This establishes common language for judging meme–brand fit and expected image pathways.</w:t>
            </w:r>
          </w:p>
          <w:p w14:paraId="3122DB85" w14:textId="77777777" w:rsidR="00743F51" w:rsidRPr="00743F51" w:rsidRDefault="00743F51" w:rsidP="00743F51">
            <w:pPr>
              <w:rPr>
                <w:rFonts w:eastAsiaTheme="minorEastAsia" w:cs="Arial" w:hint="eastAsia"/>
                <w:sz w:val="22"/>
                <w:szCs w:val="22"/>
                <w:lang w:val="en-US" w:eastAsia="zh-CN"/>
              </w:rPr>
            </w:pPr>
          </w:p>
          <w:p w14:paraId="7EEAC387" w14:textId="77777777" w:rsidR="00743F51" w:rsidRDefault="00743F51" w:rsidP="00743F51">
            <w:pPr>
              <w:rPr>
                <w:rFonts w:eastAsiaTheme="minorEastAsia" w:cs="Arial"/>
                <w:sz w:val="22"/>
                <w:szCs w:val="22"/>
                <w:lang w:val="en-US" w:eastAsia="zh-CN"/>
              </w:rPr>
            </w:pPr>
            <w:r w:rsidRPr="00743F51">
              <w:rPr>
                <w:rFonts w:cs="Arial"/>
                <w:b/>
                <w:bCs/>
                <w:sz w:val="22"/>
                <w:szCs w:val="22"/>
                <w:lang w:val="en-US"/>
              </w:rPr>
              <w:t>Case study (achieves O1; informs O3–O4).</w:t>
            </w:r>
            <w:r w:rsidRPr="00743F51">
              <w:rPr>
                <w:rFonts w:cs="Arial"/>
                <w:sz w:val="22"/>
                <w:szCs w:val="22"/>
                <w:lang w:val="en-US"/>
              </w:rPr>
              <w:br/>
              <w:t>Two to three representative brand × cat-meme cases on Chinese platforms will be documented using small-N, multi-source logic with analytic generalisation (Yin, 2018). Because “finding the right meme and turning it into advertising” is itself a challenge, emphasis falls on key decisions and evidence across creation and circulation—successful and unsuccessful executions alike—plus cross-platform contrasts where the same template travels differently. These contingencies become platform context notes inside the toolkit to guide later selection/adaptation.</w:t>
            </w:r>
          </w:p>
          <w:p w14:paraId="0884AD89" w14:textId="77777777" w:rsidR="00743F51" w:rsidRPr="00743F51" w:rsidRDefault="00743F51" w:rsidP="00743F51">
            <w:pPr>
              <w:rPr>
                <w:rFonts w:eastAsiaTheme="minorEastAsia" w:cs="Arial" w:hint="eastAsia"/>
                <w:sz w:val="22"/>
                <w:szCs w:val="22"/>
                <w:lang w:val="en-US" w:eastAsia="zh-CN"/>
              </w:rPr>
            </w:pPr>
          </w:p>
          <w:p w14:paraId="0F5C17CB" w14:textId="77777777" w:rsidR="00743F51" w:rsidRDefault="00743F51" w:rsidP="00743F51">
            <w:pPr>
              <w:rPr>
                <w:rFonts w:eastAsiaTheme="minorEastAsia" w:cs="Arial"/>
                <w:sz w:val="22"/>
                <w:szCs w:val="22"/>
                <w:lang w:val="en-US" w:eastAsia="zh-CN"/>
              </w:rPr>
            </w:pPr>
            <w:r w:rsidRPr="00743F51">
              <w:rPr>
                <w:rFonts w:cs="Arial"/>
                <w:b/>
                <w:bCs/>
                <w:sz w:val="22"/>
                <w:szCs w:val="22"/>
                <w:lang w:val="en-US"/>
              </w:rPr>
              <w:t>Hybrid ethnography (achieves O2; feeds O3).</w:t>
            </w:r>
            <w:r w:rsidRPr="00743F51">
              <w:rPr>
                <w:rFonts w:cs="Arial"/>
                <w:sz w:val="22"/>
                <w:szCs w:val="22"/>
                <w:lang w:val="en-US"/>
              </w:rPr>
              <w:br/>
              <w:t>Fieldwork follows memes online, offline, and the in-between, aligning observation to community rhythms rather than a single site (Przybylski, 2020). Methods combine online participant-observation in short-video threads/comment cultures with situational notes at everyday touchpoints (e.g., cafés, dorms, pop-ups, co-viewing) and consent-based views of private channels (DMs/group chats), using dated screenshots and periodic revisits to keep an audit trail. To support rigour, online–offline data assembly brings participant-generated clips/screens together with researcher notes and allows participants to challenge interpretations (Liu, 2023; Przybylski, 2020). Short semi-structured interviews/mini-groups with meme-literate undergraduates in Nanchang (18–24) capture everyday judgement terms (fit; authentic vs try-hard; humour vs sarcasm; red lines). A concise thematic read then links meme features (template, stance, layout/tempo, caption syntax) to brand-image impressions (e.g., playful, authentic, approachable, cool).</w:t>
            </w:r>
          </w:p>
          <w:p w14:paraId="1B5C8BBC" w14:textId="77777777" w:rsidR="00743F51" w:rsidRPr="00743F51" w:rsidRDefault="00743F51" w:rsidP="00743F51">
            <w:pPr>
              <w:rPr>
                <w:rFonts w:eastAsiaTheme="minorEastAsia" w:cs="Arial" w:hint="eastAsia"/>
                <w:sz w:val="22"/>
                <w:szCs w:val="22"/>
                <w:lang w:val="en-US" w:eastAsia="zh-CN"/>
              </w:rPr>
            </w:pPr>
          </w:p>
          <w:p w14:paraId="5B098310" w14:textId="77777777" w:rsidR="00743F51" w:rsidRDefault="00743F51" w:rsidP="00743F51">
            <w:pPr>
              <w:rPr>
                <w:rFonts w:eastAsiaTheme="minorEastAsia" w:cs="Arial"/>
                <w:sz w:val="22"/>
                <w:szCs w:val="22"/>
                <w:lang w:val="en-US" w:eastAsia="zh-CN"/>
              </w:rPr>
            </w:pPr>
            <w:r w:rsidRPr="00743F51">
              <w:rPr>
                <w:rFonts w:cs="Arial"/>
                <w:b/>
                <w:bCs/>
                <w:sz w:val="22"/>
                <w:szCs w:val="22"/>
                <w:lang w:val="en-US"/>
              </w:rPr>
              <w:t>Design translation &amp; practitioner co-design (achieves O3; prepares O4).</w:t>
            </w:r>
            <w:r w:rsidRPr="00743F51">
              <w:rPr>
                <w:rFonts w:cs="Arial"/>
                <w:sz w:val="22"/>
                <w:szCs w:val="22"/>
                <w:lang w:val="en-US"/>
              </w:rPr>
              <w:br/>
              <w:t>Following Research through Design (Gaver, 2012), insights are shaped into a compact Meme–Brand Fit Toolkit for real briefs: fit guidance, tone guardrails, 4–6 pattern cards for meme-style shorts, a small exemplar set, and a one-page pre-release image-oriented check. Two short review rounds with 4A creatives in Shenzhen focus on usability and workflow fit; feedback is folded into the toolkit with a brief usage note. Using the same process (brief → creative → pre-flight), a small series of meme-based adverts is produced for comparison.</w:t>
            </w:r>
          </w:p>
          <w:p w14:paraId="0F0950B9" w14:textId="77777777" w:rsidR="00743F51" w:rsidRPr="00743F51" w:rsidRDefault="00743F51" w:rsidP="00743F51">
            <w:pPr>
              <w:rPr>
                <w:rFonts w:eastAsiaTheme="minorEastAsia" w:cs="Arial" w:hint="eastAsia"/>
                <w:sz w:val="22"/>
                <w:szCs w:val="22"/>
                <w:lang w:val="en-US" w:eastAsia="zh-CN"/>
              </w:rPr>
            </w:pPr>
          </w:p>
          <w:p w14:paraId="16F5DF1F" w14:textId="77777777" w:rsidR="00743F51" w:rsidRPr="00743F51" w:rsidRDefault="00743F51" w:rsidP="00743F51">
            <w:pPr>
              <w:rPr>
                <w:rFonts w:cs="Arial"/>
                <w:sz w:val="22"/>
                <w:szCs w:val="22"/>
                <w:lang w:val="en-US"/>
              </w:rPr>
            </w:pPr>
            <w:r w:rsidRPr="00743F51">
              <w:rPr>
                <w:rFonts w:cs="Arial"/>
                <w:b/>
                <w:bCs/>
                <w:sz w:val="22"/>
                <w:szCs w:val="22"/>
                <w:lang w:val="en-US"/>
              </w:rPr>
              <w:t>Light comparative check (achieves O4).</w:t>
            </w:r>
            <w:r w:rsidRPr="00743F51">
              <w:rPr>
                <w:rFonts w:cs="Arial"/>
                <w:sz w:val="22"/>
                <w:szCs w:val="22"/>
                <w:lang w:val="en-US"/>
              </w:rPr>
              <w:br/>
              <w:t xml:space="preserve">A modest comparison with ≈120–150 undergraduates in Nanchang (18–24) assigns each participant to one short stimulus (high-fit cat-meme, low-fit cat-meme, or non-meme baseline) and a brief mobile questionnaire. The aim is directional evidence on how specific meme factors act through engagement pathways to influence brand image—reported in CBBE—Imagery terms (Keller, 1993; 2001)—and to make targeted refinements to toolkit content and execution guidance. </w:t>
            </w:r>
            <w:r w:rsidRPr="00743F51">
              <w:rPr>
                <w:rFonts w:cs="Arial"/>
                <w:sz w:val="22"/>
                <w:szCs w:val="22"/>
                <w:lang w:val="en-US"/>
              </w:rPr>
              <w:lastRenderedPageBreak/>
              <w:t>This pragmatic move addresses gaps linking content/form/stance to image lift under Chinese platform conditions (Feilzer, 2010; Tashakkori and Teddlie, 2010).</w:t>
            </w:r>
          </w:p>
          <w:p w14:paraId="38E5C560" w14:textId="77777777" w:rsidR="00B77573" w:rsidRPr="00743F51" w:rsidRDefault="00B77573" w:rsidP="00FB48CF">
            <w:pPr>
              <w:rPr>
                <w:rFonts w:cs="Arial"/>
                <w:sz w:val="22"/>
                <w:szCs w:val="22"/>
                <w:lang w:val="en-US"/>
              </w:rPr>
            </w:pPr>
          </w:p>
        </w:tc>
      </w:tr>
      <w:tr w:rsidR="00B77573" w14:paraId="2B343844" w14:textId="77777777" w:rsidTr="002A786C">
        <w:trPr>
          <w:trHeight w:val="397"/>
        </w:trPr>
        <w:tc>
          <w:tcPr>
            <w:tcW w:w="9781" w:type="dxa"/>
            <w:shd w:val="clear" w:color="auto" w:fill="F2F2F2" w:themeFill="background1" w:themeFillShade="F2"/>
            <w:vAlign w:val="center"/>
          </w:tcPr>
          <w:p w14:paraId="458C1CA8" w14:textId="77777777" w:rsidR="00B77573" w:rsidRDefault="00E33173">
            <w:pPr>
              <w:rPr>
                <w:rFonts w:cs="Arial"/>
                <w:sz w:val="22"/>
                <w:szCs w:val="22"/>
              </w:rPr>
            </w:pPr>
            <w:r>
              <w:rPr>
                <w:rFonts w:cs="Arial"/>
                <w:sz w:val="22"/>
                <w:szCs w:val="22"/>
              </w:rPr>
              <w:lastRenderedPageBreak/>
              <w:t>Introductory bibliography:</w:t>
            </w:r>
          </w:p>
        </w:tc>
      </w:tr>
      <w:tr w:rsidR="00B77573" w14:paraId="0CF23B26" w14:textId="77777777" w:rsidTr="002A786C">
        <w:trPr>
          <w:trHeight w:val="397"/>
        </w:trPr>
        <w:tc>
          <w:tcPr>
            <w:tcW w:w="9781" w:type="dxa"/>
            <w:vAlign w:val="center"/>
          </w:tcPr>
          <w:p w14:paraId="77062252" w14:textId="37A3486E" w:rsidR="00B77573" w:rsidRDefault="00872587">
            <w:pPr>
              <w:rPr>
                <w:rFonts w:cs="Arial"/>
                <w:sz w:val="22"/>
                <w:szCs w:val="22"/>
              </w:rPr>
            </w:pPr>
            <w:r w:rsidRPr="00872587">
              <w:rPr>
                <w:rFonts w:cs="Arial"/>
                <w:sz w:val="22"/>
                <w:szCs w:val="22"/>
              </w:rPr>
              <w:t>[1] Aaker, D.A. (1996) Building Strong Brands. New York: The Free Press.</w:t>
            </w:r>
            <w:r w:rsidRPr="00872587">
              <w:rPr>
                <w:rFonts w:cs="Arial"/>
                <w:sz w:val="22"/>
                <w:szCs w:val="22"/>
              </w:rPr>
              <w:br/>
              <w:t>[2] Aaker, J.L. (1997) ‘Dimensions of brand personality’, Journal of Marketing Research, 34(3), pp. 347–356. https://doi.org/10.1177/002224379703400304</w:t>
            </w:r>
            <w:r w:rsidRPr="00872587">
              <w:rPr>
                <w:rFonts w:cs="Arial"/>
                <w:sz w:val="22"/>
                <w:szCs w:val="22"/>
              </w:rPr>
              <w:br/>
              <w:t>[3] Eisend, M. (2011) ‘How humor in advertising works: A meta-analytic test of alternative models’, Marketing Letters, 22, pp. 115–132. https://doi.org/10.1007/s11002-010-9116-z</w:t>
            </w:r>
            <w:r w:rsidRPr="00872587">
              <w:rPr>
                <w:rFonts w:cs="Arial"/>
                <w:sz w:val="22"/>
                <w:szCs w:val="22"/>
              </w:rPr>
              <w:br/>
              <w:t>[4] Feilzer, M.Y. (2010) ‘Doing mixed methods research pragmatically: Implications for the rediscovery of pragmatism as a research paradigm’, Journal of Mixed Methods Research, 4(1), pp. 6–16. https://doi.org/10.1177/1558689809349691</w:t>
            </w:r>
            <w:r w:rsidRPr="00872587">
              <w:rPr>
                <w:rFonts w:cs="Arial"/>
                <w:sz w:val="22"/>
                <w:szCs w:val="22"/>
              </w:rPr>
              <w:br/>
              <w:t>[5] Foodaily</w:t>
            </w:r>
            <w:r w:rsidRPr="00872587">
              <w:rPr>
                <w:rFonts w:ascii="宋体" w:eastAsia="宋体" w:hAnsi="宋体" w:cs="宋体" w:hint="eastAsia"/>
                <w:sz w:val="22"/>
                <w:szCs w:val="22"/>
              </w:rPr>
              <w:t>（每日食品）</w:t>
            </w:r>
            <w:r w:rsidRPr="00872587">
              <w:rPr>
                <w:rFonts w:cs="Arial"/>
                <w:sz w:val="22"/>
                <w:szCs w:val="22"/>
              </w:rPr>
              <w:t xml:space="preserve"> (2024) ‘</w:t>
            </w:r>
            <w:r w:rsidRPr="00872587">
              <w:rPr>
                <w:rFonts w:ascii="宋体" w:eastAsia="宋体" w:hAnsi="宋体" w:cs="宋体" w:hint="eastAsia"/>
                <w:sz w:val="22"/>
                <w:szCs w:val="22"/>
              </w:rPr>
              <w:t>一家小厂如何在</w:t>
            </w:r>
            <w:r w:rsidRPr="00872587">
              <w:rPr>
                <w:rFonts w:cs="Arial"/>
                <w:sz w:val="22"/>
                <w:szCs w:val="22"/>
              </w:rPr>
              <w:t>B</w:t>
            </w:r>
            <w:r w:rsidRPr="00872587">
              <w:rPr>
                <w:rFonts w:ascii="宋体" w:eastAsia="宋体" w:hAnsi="宋体" w:cs="宋体" w:hint="eastAsia"/>
                <w:sz w:val="22"/>
                <w:szCs w:val="22"/>
              </w:rPr>
              <w:t>站成了</w:t>
            </w:r>
            <w:r w:rsidRPr="00872587">
              <w:rPr>
                <w:rFonts w:cs="Arial"/>
                <w:sz w:val="22"/>
                <w:szCs w:val="22"/>
              </w:rPr>
              <w:t>“</w:t>
            </w:r>
            <w:r w:rsidRPr="00872587">
              <w:rPr>
                <w:rFonts w:ascii="宋体" w:eastAsia="宋体" w:hAnsi="宋体" w:cs="宋体" w:hint="eastAsia"/>
                <w:sz w:val="22"/>
                <w:szCs w:val="22"/>
              </w:rPr>
              <w:t>新晋顶流</w:t>
            </w:r>
            <w:r w:rsidRPr="00872587">
              <w:rPr>
                <w:rFonts w:cs="Arial"/>
                <w:sz w:val="22"/>
                <w:szCs w:val="22"/>
              </w:rPr>
              <w:t>”</w:t>
            </w:r>
            <w:r w:rsidRPr="00872587">
              <w:rPr>
                <w:rFonts w:ascii="宋体" w:eastAsia="宋体" w:hAnsi="宋体" w:cs="宋体" w:hint="eastAsia"/>
                <w:sz w:val="22"/>
                <w:szCs w:val="22"/>
              </w:rPr>
              <w:t>？噜咪啦</w:t>
            </w:r>
            <w:r w:rsidRPr="00872587">
              <w:rPr>
                <w:rFonts w:cs="Arial"/>
                <w:sz w:val="22"/>
                <w:szCs w:val="22"/>
              </w:rPr>
              <w:t xml:space="preserve"> 2024 </w:t>
            </w:r>
            <w:r w:rsidRPr="00872587">
              <w:rPr>
                <w:rFonts w:ascii="宋体" w:eastAsia="宋体" w:hAnsi="宋体" w:cs="宋体" w:hint="eastAsia"/>
                <w:sz w:val="22"/>
                <w:szCs w:val="22"/>
              </w:rPr>
              <w:t>爆红路径拆解</w:t>
            </w:r>
            <w:r w:rsidRPr="00872587">
              <w:rPr>
                <w:rFonts w:cs="Arial"/>
                <w:sz w:val="22"/>
                <w:szCs w:val="22"/>
              </w:rPr>
              <w:t>’, Foodaily, 22 June. Available at: https://www.foodaily.com (Accessed: 3 September 2025).</w:t>
            </w:r>
            <w:r w:rsidRPr="00872587">
              <w:rPr>
                <w:rFonts w:cs="Arial"/>
                <w:sz w:val="22"/>
                <w:szCs w:val="22"/>
              </w:rPr>
              <w:br/>
              <w:t>[6] Gaver, W. (2012) ‘What should we expect from Research through Design?’, in CHI ’12: Proceedings of the SIGCHI Conference on Human Factors in Computing Systems, pp. 937–946. https://doi.org/10.1145/2207676.2208538</w:t>
            </w:r>
            <w:r w:rsidRPr="00872587">
              <w:rPr>
                <w:rFonts w:cs="Arial"/>
                <w:sz w:val="22"/>
                <w:szCs w:val="22"/>
              </w:rPr>
              <w:br/>
              <w:t>[7] Hatch, M.J. and Schultz, M. (eds.) (2004) Organizational Identity: A Reader. Oxford: Oxford University Press.</w:t>
            </w:r>
            <w:r w:rsidRPr="00872587">
              <w:rPr>
                <w:rFonts w:cs="Arial"/>
                <w:sz w:val="22"/>
                <w:szCs w:val="22"/>
              </w:rPr>
              <w:br/>
              <w:t>[8] Hennig-Thurau, T., Malthouse, E.C., Friege, C., Gensler, S., Lobschat, L., Rangaswamy, A. and Skiera, B. (2010) ‘The impact of new media on customer relationships’, Journal of Service Research, 13(3), pp. 311–330. https://doi.org/10.1177/1094670510375460</w:t>
            </w:r>
            <w:r w:rsidRPr="00872587">
              <w:rPr>
                <w:rFonts w:cs="Arial"/>
                <w:sz w:val="22"/>
                <w:szCs w:val="22"/>
              </w:rPr>
              <w:br/>
              <w:t>[9] Keller, K.L. (1993) ‘Conceptualizing, measuring, and managing customer-based brand equity’, Journal of Marketing, 57(1), pp. 1–22. https://doi.org/10.1177/002224299305700101</w:t>
            </w:r>
            <w:r w:rsidRPr="00872587">
              <w:rPr>
                <w:rFonts w:cs="Arial"/>
                <w:sz w:val="22"/>
                <w:szCs w:val="22"/>
              </w:rPr>
              <w:br/>
              <w:t>[10] Keller, K.L. (2001) ‘Building customer-based brand equity: A blueprint for creating strong brands’, Marketing Management, 10(2), pp. 15–19.</w:t>
            </w:r>
            <w:r w:rsidRPr="00872587">
              <w:rPr>
                <w:rFonts w:cs="Arial"/>
                <w:sz w:val="22"/>
                <w:szCs w:val="22"/>
              </w:rPr>
              <w:br/>
              <w:t>[11] Keller, K.L. and Swaminathan, V. (2019) Strategic Brand Management: Building, Measuring, and Managing Brand Equity. 5th edn. Harlow: Pearson.</w:t>
            </w:r>
            <w:r w:rsidRPr="00872587">
              <w:rPr>
                <w:rFonts w:cs="Arial"/>
                <w:sz w:val="22"/>
                <w:szCs w:val="22"/>
              </w:rPr>
              <w:br/>
              <w:t>[12] Kozinets, R.V. (2010) Netnography: Doing Ethnographic Research Online. London: SAGE.</w:t>
            </w:r>
            <w:r w:rsidRPr="00872587">
              <w:rPr>
                <w:rFonts w:cs="Arial"/>
                <w:sz w:val="22"/>
                <w:szCs w:val="22"/>
              </w:rPr>
              <w:br/>
              <w:t>[13] Kozinets, R.V. (2015) Netnography: Redefined. 2nd edn. London: SAGE.</w:t>
            </w:r>
            <w:r w:rsidRPr="00872587">
              <w:rPr>
                <w:rFonts w:cs="Arial"/>
                <w:sz w:val="22"/>
                <w:szCs w:val="22"/>
              </w:rPr>
              <w:br/>
              <w:t xml:space="preserve">[14] Laestadius, L.I. and Wahl, M.M. (2017) ‘Mobilizing social media users to become advertisers: Corporate hashtag campaigns as a public health concern’, Digital Health, 3, pp. 1–12. </w:t>
            </w:r>
            <w:hyperlink r:id="rId12" w:tgtFrame="_new" w:history="1">
              <w:r w:rsidRPr="00872587">
                <w:t>https://doi.org/10.1177/2055207617710802</w:t>
              </w:r>
            </w:hyperlink>
            <w:r w:rsidRPr="00872587">
              <w:rPr>
                <w:rFonts w:cs="Arial"/>
                <w:sz w:val="22"/>
                <w:szCs w:val="22"/>
              </w:rPr>
              <w:br/>
              <w:t>[15] Lemée, A. (2021) ‘Chief Meme Officers, Doge, and Voltswagen: Who captures and determines economic value?’, Medium, 9 June. Available at: https://aliceleme.medium.com (Accessed: 3 September 2025).</w:t>
            </w:r>
            <w:r w:rsidRPr="00872587">
              <w:rPr>
                <w:rFonts w:cs="Arial"/>
                <w:sz w:val="22"/>
                <w:szCs w:val="22"/>
              </w:rPr>
              <w:br/>
              <w:t xml:space="preserve">[16] Liu, R.-F. (2023) ‘Hybrid ethnography: Access, positioning, and data assembly’, Ethnography, OnlineFirst. </w:t>
            </w:r>
            <w:hyperlink r:id="rId13" w:tgtFrame="_new" w:history="1">
              <w:r w:rsidRPr="00872587">
                <w:t>https://doi.org/10.1177/14661381221145451</w:t>
              </w:r>
            </w:hyperlink>
            <w:r w:rsidRPr="00872587">
              <w:rPr>
                <w:rFonts w:cs="Arial"/>
                <w:sz w:val="22"/>
                <w:szCs w:val="22"/>
              </w:rPr>
              <w:br/>
              <w:t>[17] Malodia, S., Dhir, A., Bilgihan, A., Sinha, P. and Tikoo, T. (2022) ‘Meme marketing: How can marketers drive better engagement using viral memes?’, Psychology &amp; Marketing, 39(9), pp. 1775–1801. https://doi.org/10.1002/mar.21702</w:t>
            </w:r>
            <w:r w:rsidRPr="00872587">
              <w:rPr>
                <w:rFonts w:cs="Arial"/>
                <w:sz w:val="22"/>
                <w:szCs w:val="22"/>
              </w:rPr>
              <w:br/>
              <w:t xml:space="preserve">[18] Manghani, S. (2021) ‘Practice PhD toolkit’, Journal of Visual Art Practice, 20(4), pp. 373–398. </w:t>
            </w:r>
            <w:hyperlink r:id="rId14" w:tgtFrame="_new" w:history="1">
              <w:r w:rsidRPr="00872587">
                <w:t>https://doi.org/10.1080/14702029.2021.1988276</w:t>
              </w:r>
            </w:hyperlink>
            <w:r w:rsidRPr="00872587">
              <w:rPr>
                <w:rFonts w:cs="Arial"/>
                <w:sz w:val="22"/>
                <w:szCs w:val="22"/>
              </w:rPr>
              <w:br/>
              <w:t xml:space="preserve">[19] Pew Research Center — Vogels, E.A., Gelles-Watnick, R. and Massarat, N. (2022) Teens, Social Media and Technology 2022. 10 August. Available at: </w:t>
            </w:r>
            <w:hyperlink r:id="rId15" w:tgtFrame="_new" w:history="1">
              <w:r w:rsidRPr="00872587">
                <w:t>https://www.pewresearch.org/internet/2022/08/10/teens-social-media-and-technology-2022/</w:t>
              </w:r>
            </w:hyperlink>
            <w:r w:rsidRPr="00872587">
              <w:rPr>
                <w:rFonts w:cs="Arial"/>
                <w:sz w:val="22"/>
                <w:szCs w:val="22"/>
              </w:rPr>
              <w:t xml:space="preserve"> (Accessed: 3 September 2025).</w:t>
            </w:r>
            <w:r w:rsidRPr="00872587">
              <w:rPr>
                <w:rFonts w:cs="Arial"/>
                <w:sz w:val="22"/>
                <w:szCs w:val="22"/>
              </w:rPr>
              <w:br/>
              <w:t>[20] Przybylski, L. (2020) Hybrid Ethnography: Online, Offline, and In Between. London: SAGE.</w:t>
            </w:r>
            <w:r w:rsidRPr="00872587">
              <w:rPr>
                <w:rFonts w:cs="Arial"/>
                <w:sz w:val="22"/>
                <w:szCs w:val="22"/>
              </w:rPr>
              <w:br/>
              <w:t>[21] Ramish, M.S., Saraih, U.N., Suanda, J. and Ansari, J. (2022) ‘Impact of meme advertising on brand equity’, International Journal of Business and Technopreneurship, 12(2), pp. 115–130.</w:t>
            </w:r>
            <w:r w:rsidRPr="00872587">
              <w:rPr>
                <w:rFonts w:cs="Arial"/>
                <w:sz w:val="22"/>
                <w:szCs w:val="22"/>
              </w:rPr>
              <w:br/>
              <w:t xml:space="preserve">[22] Rathi, N. and Jain, P. (2024) ‘Memes, memetics and their applications: A systematic review of literature’, e-mentor, 2(104), pp. 14–22. </w:t>
            </w:r>
            <w:hyperlink r:id="rId16" w:tgtFrame="_new" w:history="1">
              <w:r w:rsidRPr="00872587">
                <w:t>https://doi.org/10.15219/em104.1657</w:t>
              </w:r>
            </w:hyperlink>
            <w:r w:rsidRPr="00872587">
              <w:rPr>
                <w:rFonts w:cs="Arial"/>
                <w:sz w:val="22"/>
                <w:szCs w:val="22"/>
              </w:rPr>
              <w:br/>
            </w:r>
            <w:r w:rsidRPr="00872587">
              <w:rPr>
                <w:rFonts w:cs="Arial"/>
                <w:sz w:val="22"/>
                <w:szCs w:val="22"/>
              </w:rPr>
              <w:lastRenderedPageBreak/>
              <w:t>[23] Shifman, L. (2013) ‘Memes in a digital world: Reconciling with a conceptual troublemaker’, Journal of Computer-Mediated Communication, 18(3), pp. 362–377. https://doi.org/10.1111/jcc4.12013</w:t>
            </w:r>
            <w:r w:rsidRPr="00872587">
              <w:rPr>
                <w:rFonts w:cs="Arial"/>
                <w:sz w:val="22"/>
                <w:szCs w:val="22"/>
              </w:rPr>
              <w:br/>
              <w:t>[24] Shifman, L. (2014) Memes in Digital Culture. Cambridge, MA: MIT Press.</w:t>
            </w:r>
            <w:r w:rsidRPr="00872587">
              <w:rPr>
                <w:rFonts w:cs="Arial"/>
                <w:sz w:val="22"/>
                <w:szCs w:val="22"/>
              </w:rPr>
              <w:br/>
              <w:t>[25] Sina Finance</w:t>
            </w:r>
            <w:r w:rsidRPr="00872587">
              <w:rPr>
                <w:rFonts w:ascii="宋体" w:eastAsia="宋体" w:hAnsi="宋体" w:cs="宋体" w:hint="eastAsia"/>
                <w:sz w:val="22"/>
                <w:szCs w:val="22"/>
              </w:rPr>
              <w:t>（新浪财经）</w:t>
            </w:r>
            <w:r w:rsidRPr="00872587">
              <w:rPr>
                <w:rFonts w:cs="Arial"/>
                <w:sz w:val="22"/>
                <w:szCs w:val="22"/>
              </w:rPr>
              <w:t xml:space="preserve"> (2025) ‘</w:t>
            </w:r>
            <w:r w:rsidRPr="00872587">
              <w:rPr>
                <w:rFonts w:ascii="宋体" w:eastAsia="宋体" w:hAnsi="宋体" w:cs="宋体" w:hint="eastAsia"/>
                <w:sz w:val="22"/>
                <w:szCs w:val="22"/>
              </w:rPr>
              <w:t>品客为抖音视频</w:t>
            </w:r>
            <w:r w:rsidRPr="00872587">
              <w:rPr>
                <w:rFonts w:cs="Arial"/>
                <w:sz w:val="22"/>
                <w:szCs w:val="22"/>
              </w:rPr>
              <w:t>“</w:t>
            </w:r>
            <w:r w:rsidRPr="00872587">
              <w:rPr>
                <w:rFonts w:ascii="宋体" w:eastAsia="宋体" w:hAnsi="宋体" w:cs="宋体" w:hint="eastAsia"/>
                <w:sz w:val="22"/>
                <w:szCs w:val="22"/>
              </w:rPr>
              <w:t>耄耋猫</w:t>
            </w:r>
            <w:r w:rsidRPr="00872587">
              <w:rPr>
                <w:rFonts w:cs="Arial"/>
                <w:sz w:val="22"/>
                <w:szCs w:val="22"/>
              </w:rPr>
              <w:t>”</w:t>
            </w:r>
            <w:r w:rsidRPr="00872587">
              <w:rPr>
                <w:rFonts w:ascii="宋体" w:eastAsia="宋体" w:hAnsi="宋体" w:cs="宋体" w:hint="eastAsia"/>
                <w:sz w:val="22"/>
                <w:szCs w:val="22"/>
              </w:rPr>
              <w:t>引发争议致歉</w:t>
            </w:r>
            <w:r w:rsidRPr="00872587">
              <w:rPr>
                <w:rFonts w:cs="Arial"/>
                <w:sz w:val="22"/>
                <w:szCs w:val="22"/>
              </w:rPr>
              <w:t xml:space="preserve">’, </w:t>
            </w:r>
            <w:r w:rsidRPr="00872587">
              <w:rPr>
                <w:rFonts w:ascii="宋体" w:eastAsia="宋体" w:hAnsi="宋体" w:cs="宋体" w:hint="eastAsia"/>
                <w:sz w:val="22"/>
                <w:szCs w:val="22"/>
              </w:rPr>
              <w:t>新浪财经</w:t>
            </w:r>
            <w:r w:rsidRPr="00872587">
              <w:rPr>
                <w:rFonts w:cs="Arial"/>
                <w:sz w:val="22"/>
                <w:szCs w:val="22"/>
              </w:rPr>
              <w:t>, 9 May. Available at: https://finance.sina.com.cn (Accessed: 3 September 2025).</w:t>
            </w:r>
            <w:r w:rsidRPr="00872587">
              <w:rPr>
                <w:rFonts w:cs="Arial"/>
                <w:sz w:val="22"/>
                <w:szCs w:val="22"/>
              </w:rPr>
              <w:br/>
              <w:t>[26] Swidler, A. (1986) ‘Culture in action: Symbols and strategies’, American Sociological Review, 51(2), pp. 273–286. https://doi.org/10.2307/2095521</w:t>
            </w:r>
            <w:r w:rsidRPr="00872587">
              <w:rPr>
                <w:rFonts w:cs="Arial"/>
                <w:sz w:val="22"/>
                <w:szCs w:val="22"/>
              </w:rPr>
              <w:br/>
              <w:t>[27] Tashakkori, A. and Teddlie, C. (eds.) (2010) SAGE Handbook of Mixed Methods in Social &amp; Behavioral Research. 2nd edn. Thousand Oaks, CA: SAGE.</w:t>
            </w:r>
            <w:r w:rsidRPr="00872587">
              <w:rPr>
                <w:rFonts w:cs="Arial"/>
                <w:sz w:val="22"/>
                <w:szCs w:val="22"/>
              </w:rPr>
              <w:br/>
              <w:t xml:space="preserve">[28] Teng, H., Lo, C.-F. and Lee, H.-H. (2021) ‘How do internet memes affect brand image?’, Online Information Review, ahead-of-print. </w:t>
            </w:r>
            <w:hyperlink r:id="rId17" w:tgtFrame="_new" w:history="1">
              <w:r w:rsidRPr="00872587">
                <w:t>https://doi.org/10.1108/OIR-05-2020-0192</w:t>
              </w:r>
            </w:hyperlink>
            <w:r w:rsidRPr="00872587">
              <w:rPr>
                <w:rFonts w:cs="Arial"/>
                <w:sz w:val="22"/>
                <w:szCs w:val="22"/>
              </w:rPr>
              <w:br/>
              <w:t>[29] The Paper</w:t>
            </w:r>
            <w:r w:rsidRPr="00872587">
              <w:rPr>
                <w:rFonts w:ascii="宋体" w:eastAsia="宋体" w:hAnsi="宋体" w:cs="宋体" w:hint="eastAsia"/>
                <w:sz w:val="22"/>
                <w:szCs w:val="22"/>
              </w:rPr>
              <w:t>（澎湃新闻）</w:t>
            </w:r>
            <w:r w:rsidRPr="00872587">
              <w:rPr>
                <w:rFonts w:cs="Arial"/>
                <w:sz w:val="22"/>
                <w:szCs w:val="22"/>
              </w:rPr>
              <w:t xml:space="preserve"> (2024) ‘B</w:t>
            </w:r>
            <w:r w:rsidRPr="00872587">
              <w:rPr>
                <w:rFonts w:ascii="宋体" w:eastAsia="宋体" w:hAnsi="宋体" w:cs="宋体" w:hint="eastAsia"/>
                <w:sz w:val="22"/>
                <w:szCs w:val="22"/>
              </w:rPr>
              <w:t>站出圈的</w:t>
            </w:r>
            <w:r w:rsidRPr="00872587">
              <w:rPr>
                <w:rFonts w:cs="Arial"/>
                <w:sz w:val="22"/>
                <w:szCs w:val="22"/>
              </w:rPr>
              <w:t>“</w:t>
            </w:r>
            <w:r w:rsidRPr="00872587">
              <w:rPr>
                <w:rFonts w:ascii="宋体" w:eastAsia="宋体" w:hAnsi="宋体" w:cs="宋体" w:hint="eastAsia"/>
                <w:sz w:val="22"/>
                <w:szCs w:val="22"/>
              </w:rPr>
              <w:t>噜咪啦</w:t>
            </w:r>
            <w:r w:rsidRPr="00872587">
              <w:rPr>
                <w:rFonts w:cs="Arial"/>
                <w:sz w:val="22"/>
                <w:szCs w:val="22"/>
              </w:rPr>
              <w:t>”</w:t>
            </w:r>
            <w:r w:rsidRPr="00872587">
              <w:rPr>
                <w:rFonts w:ascii="宋体" w:eastAsia="宋体" w:hAnsi="宋体" w:cs="宋体" w:hint="eastAsia"/>
                <w:sz w:val="22"/>
                <w:szCs w:val="22"/>
              </w:rPr>
              <w:t>是怎么火的？与其负责人聊了聊</w:t>
            </w:r>
            <w:r w:rsidRPr="00872587">
              <w:rPr>
                <w:rFonts w:cs="Arial"/>
                <w:sz w:val="22"/>
                <w:szCs w:val="22"/>
              </w:rPr>
              <w:t xml:space="preserve">’, </w:t>
            </w:r>
            <w:r w:rsidRPr="00872587">
              <w:rPr>
                <w:rFonts w:ascii="宋体" w:eastAsia="宋体" w:hAnsi="宋体" w:cs="宋体" w:hint="eastAsia"/>
                <w:sz w:val="22"/>
                <w:szCs w:val="22"/>
              </w:rPr>
              <w:t>澎湃新闻</w:t>
            </w:r>
            <w:r w:rsidRPr="00872587">
              <w:rPr>
                <w:rFonts w:cs="Arial"/>
                <w:sz w:val="22"/>
                <w:szCs w:val="22"/>
              </w:rPr>
              <w:t>, 18 June. Available at: https://www.thepaper.cn (Accessed: 3 September 2025).</w:t>
            </w:r>
            <w:r w:rsidRPr="00872587">
              <w:rPr>
                <w:rFonts w:cs="Arial"/>
                <w:sz w:val="22"/>
                <w:szCs w:val="22"/>
              </w:rPr>
              <w:br/>
              <w:t xml:space="preserve">[30] Thibault, M. and Marino, G. (2018) ‘Who run the world? Cats: Cat lovers, cat memes, and cat languages across the web’, International Journal for the Semiotics of Law, 31, pp. 473–490. </w:t>
            </w:r>
            <w:hyperlink r:id="rId18" w:tgtFrame="_new" w:history="1">
              <w:r w:rsidRPr="00872587">
                <w:t>https://doi.org/10.1007/s11196-018-9559-8</w:t>
              </w:r>
            </w:hyperlink>
            <w:r w:rsidRPr="00872587">
              <w:rPr>
                <w:rFonts w:cs="Arial"/>
                <w:sz w:val="22"/>
                <w:szCs w:val="22"/>
              </w:rPr>
              <w:br/>
              <w:t xml:space="preserve">[31] Vardeman, C. (2024) ‘Advertising to Gen-Z college students with memes? A focus group study’, Qualitative Market Research: An International Journal, 27(1), pp. 1–18. </w:t>
            </w:r>
            <w:hyperlink r:id="rId19" w:tgtFrame="_new" w:history="1">
              <w:r w:rsidRPr="00872587">
                <w:t>https://doi.org/10.1108/QMR-05-2023-0073</w:t>
              </w:r>
            </w:hyperlink>
            <w:r w:rsidRPr="00872587">
              <w:rPr>
                <w:rFonts w:cs="Arial"/>
                <w:sz w:val="22"/>
                <w:szCs w:val="22"/>
              </w:rPr>
              <w:br/>
              <w:t xml:space="preserve">[32] Yaoyuneyong, G., Foster, J., Johnson, E. and Johnson, D. (2016) ‘Augmented reality marketing: Consumer preferences and attitudes toward hypermedia print ads’, Journal of Interactive Advertising, 16(1), pp. 16–30. </w:t>
            </w:r>
            <w:hyperlink r:id="rId20" w:tgtFrame="_new" w:history="1">
              <w:r w:rsidRPr="00872587">
                <w:t>https://doi.org/10.1080/15252019.2015.1125316</w:t>
              </w:r>
            </w:hyperlink>
            <w:r w:rsidRPr="00872587">
              <w:rPr>
                <w:rFonts w:cs="Arial"/>
                <w:sz w:val="22"/>
                <w:szCs w:val="22"/>
              </w:rPr>
              <w:br/>
              <w:t>[33] Yang, X. and Hayashi, T. (n.d.) ‘Exploring the effects of internet memes in social media marketing through A/B testing’. Working paper, Keio University Graduate School of Business Administration.</w:t>
            </w:r>
            <w:r w:rsidRPr="00872587">
              <w:rPr>
                <w:rFonts w:cs="Arial"/>
                <w:sz w:val="22"/>
                <w:szCs w:val="22"/>
              </w:rPr>
              <w:br/>
              <w:t xml:space="preserve">[34] </w:t>
            </w:r>
            <w:r w:rsidRPr="00872587">
              <w:rPr>
                <w:rFonts w:ascii="宋体" w:eastAsia="宋体" w:hAnsi="宋体" w:cs="宋体" w:hint="eastAsia"/>
                <w:sz w:val="22"/>
                <w:szCs w:val="22"/>
              </w:rPr>
              <w:t>运营派（</w:t>
            </w:r>
            <w:r w:rsidRPr="00872587">
              <w:rPr>
                <w:rFonts w:cs="Arial"/>
                <w:sz w:val="22"/>
                <w:szCs w:val="22"/>
              </w:rPr>
              <w:t>Yunyingpai</w:t>
            </w:r>
            <w:r w:rsidRPr="00872587">
              <w:rPr>
                <w:rFonts w:ascii="宋体" w:eastAsia="宋体" w:hAnsi="宋体" w:cs="宋体" w:hint="eastAsia"/>
                <w:sz w:val="22"/>
                <w:szCs w:val="22"/>
              </w:rPr>
              <w:t>）</w:t>
            </w:r>
            <w:r w:rsidRPr="00872587">
              <w:rPr>
                <w:rFonts w:cs="Arial"/>
                <w:sz w:val="22"/>
                <w:szCs w:val="22"/>
              </w:rPr>
              <w:t xml:space="preserve"> (2024) ‘</w:t>
            </w:r>
            <w:r w:rsidRPr="00872587">
              <w:rPr>
                <w:rFonts w:ascii="宋体" w:eastAsia="宋体" w:hAnsi="宋体" w:cs="宋体" w:hint="eastAsia"/>
                <w:sz w:val="22"/>
                <w:szCs w:val="22"/>
              </w:rPr>
              <w:t>案例拆解｜噜咪啦</w:t>
            </w:r>
            <w:r w:rsidRPr="00872587">
              <w:rPr>
                <w:rFonts w:cs="Arial"/>
                <w:sz w:val="22"/>
                <w:szCs w:val="22"/>
              </w:rPr>
              <w:t>B</w:t>
            </w:r>
            <w:r w:rsidRPr="00872587">
              <w:rPr>
                <w:rFonts w:ascii="宋体" w:eastAsia="宋体" w:hAnsi="宋体" w:cs="宋体" w:hint="eastAsia"/>
                <w:sz w:val="22"/>
                <w:szCs w:val="22"/>
              </w:rPr>
              <w:t>站爆红：</w:t>
            </w:r>
            <w:r w:rsidRPr="00872587">
              <w:rPr>
                <w:rFonts w:cs="Arial"/>
                <w:sz w:val="22"/>
                <w:szCs w:val="22"/>
              </w:rPr>
              <w:t>1120W</w:t>
            </w:r>
            <w:r w:rsidRPr="00872587">
              <w:rPr>
                <w:rFonts w:ascii="宋体" w:eastAsia="宋体" w:hAnsi="宋体" w:cs="宋体" w:hint="eastAsia"/>
                <w:sz w:val="22"/>
                <w:szCs w:val="22"/>
              </w:rPr>
              <w:t>播放，如何打出</w:t>
            </w:r>
            <w:r w:rsidRPr="00872587">
              <w:rPr>
                <w:rFonts w:cs="Arial"/>
                <w:sz w:val="22"/>
                <w:szCs w:val="22"/>
              </w:rPr>
              <w:t>“</w:t>
            </w:r>
            <w:r w:rsidRPr="00872587">
              <w:rPr>
                <w:rFonts w:ascii="宋体" w:eastAsia="宋体" w:hAnsi="宋体" w:cs="宋体" w:hint="eastAsia"/>
                <w:sz w:val="22"/>
                <w:szCs w:val="22"/>
              </w:rPr>
              <w:t>土味国民品牌</w:t>
            </w:r>
            <w:r w:rsidRPr="00872587">
              <w:rPr>
                <w:rFonts w:cs="Arial"/>
                <w:sz w:val="22"/>
                <w:szCs w:val="22"/>
              </w:rPr>
              <w:t>”</w:t>
            </w:r>
            <w:r w:rsidRPr="00872587">
              <w:rPr>
                <w:rFonts w:ascii="宋体" w:eastAsia="宋体" w:hAnsi="宋体" w:cs="宋体" w:hint="eastAsia"/>
                <w:sz w:val="22"/>
                <w:szCs w:val="22"/>
              </w:rPr>
              <w:t>的底色？</w:t>
            </w:r>
            <w:r w:rsidRPr="00872587">
              <w:rPr>
                <w:rFonts w:cs="Arial"/>
                <w:sz w:val="22"/>
                <w:szCs w:val="22"/>
              </w:rPr>
              <w:t xml:space="preserve">’, </w:t>
            </w:r>
            <w:r w:rsidRPr="00872587">
              <w:rPr>
                <w:rFonts w:ascii="宋体" w:eastAsia="宋体" w:hAnsi="宋体" w:cs="宋体" w:hint="eastAsia"/>
                <w:sz w:val="22"/>
                <w:szCs w:val="22"/>
              </w:rPr>
              <w:t>运营派</w:t>
            </w:r>
            <w:r w:rsidRPr="00872587">
              <w:rPr>
                <w:rFonts w:cs="Arial"/>
                <w:sz w:val="22"/>
                <w:szCs w:val="22"/>
              </w:rPr>
              <w:t>, 21 May. Available at: https://www.yunyingpai.com (Accessed: 3 September 2025).</w:t>
            </w:r>
          </w:p>
          <w:p w14:paraId="415FA2B8" w14:textId="77777777" w:rsidR="00B77573" w:rsidRDefault="00B77573">
            <w:pPr>
              <w:rPr>
                <w:rFonts w:cs="Arial"/>
                <w:sz w:val="22"/>
                <w:szCs w:val="22"/>
              </w:rPr>
            </w:pPr>
          </w:p>
        </w:tc>
      </w:tr>
      <w:tr w:rsidR="00B77573" w14:paraId="2F728C1E" w14:textId="77777777" w:rsidTr="002A786C">
        <w:trPr>
          <w:trHeight w:val="397"/>
        </w:trPr>
        <w:tc>
          <w:tcPr>
            <w:tcW w:w="9781" w:type="dxa"/>
            <w:shd w:val="clear" w:color="auto" w:fill="F2F2F2" w:themeFill="background1" w:themeFillShade="F2"/>
            <w:vAlign w:val="center"/>
          </w:tcPr>
          <w:p w14:paraId="43D3CD2A" w14:textId="77777777" w:rsidR="00B77573" w:rsidRDefault="00E33173">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rsidTr="002A786C">
        <w:trPr>
          <w:trHeight w:val="397"/>
        </w:trPr>
        <w:tc>
          <w:tcPr>
            <w:tcW w:w="9781" w:type="dxa"/>
            <w:vAlign w:val="center"/>
          </w:tcPr>
          <w:p w14:paraId="7648DCA5" w14:textId="124C259E" w:rsidR="00386FEB" w:rsidRPr="00386FEB" w:rsidRDefault="00386FEB" w:rsidP="00386FEB">
            <w:pPr>
              <w:rPr>
                <w:rFonts w:eastAsiaTheme="minorEastAsia" w:cs="Arial" w:hint="eastAsia"/>
                <w:b/>
                <w:bCs/>
                <w:sz w:val="22"/>
                <w:szCs w:val="22"/>
                <w:lang w:eastAsia="zh-CN"/>
              </w:rPr>
            </w:pPr>
            <w:r w:rsidRPr="00386FEB">
              <w:rPr>
                <w:rFonts w:cs="Arial"/>
                <w:b/>
                <w:bCs/>
                <w:sz w:val="22"/>
                <w:szCs w:val="22"/>
              </w:rPr>
              <w:t>Facilities</w:t>
            </w:r>
            <w:r w:rsidRPr="00386FEB">
              <w:rPr>
                <w:rFonts w:eastAsiaTheme="minorEastAsia" w:cs="Arial" w:hint="eastAsia"/>
                <w:b/>
                <w:bCs/>
                <w:sz w:val="22"/>
                <w:szCs w:val="22"/>
                <w:lang w:eastAsia="zh-CN"/>
              </w:rPr>
              <w:t>:</w:t>
            </w:r>
          </w:p>
          <w:p w14:paraId="7504BF88" w14:textId="5E01633C" w:rsidR="00386FEB" w:rsidRDefault="00386FEB" w:rsidP="00386FEB">
            <w:pPr>
              <w:rPr>
                <w:rFonts w:eastAsiaTheme="minorEastAsia" w:cs="Arial"/>
                <w:sz w:val="22"/>
                <w:szCs w:val="22"/>
                <w:lang w:eastAsia="zh-CN"/>
              </w:rPr>
            </w:pPr>
            <w:r w:rsidRPr="00386FEB">
              <w:rPr>
                <w:rFonts w:cs="Arial"/>
                <w:sz w:val="22"/>
                <w:szCs w:val="22"/>
              </w:rPr>
              <w:t>University library and journal databases (including CNKI/Wanfang); on-platform access to Bilibili, Xiaohongshu and Douyin for observing public materials; standard qualitative/survey software (e.g. NVivo/ATLAS.ti, Qualtrics/WJX); basic video tools for short exemplar edits. Data will be stored in encrypted cloud storage and on encrypted physical hard drives.</w:t>
            </w:r>
          </w:p>
          <w:p w14:paraId="0F07014F" w14:textId="77777777" w:rsidR="00386FEB" w:rsidRPr="00386FEB" w:rsidRDefault="00386FEB" w:rsidP="00386FEB">
            <w:pPr>
              <w:rPr>
                <w:rFonts w:eastAsiaTheme="minorEastAsia" w:cs="Arial" w:hint="eastAsia"/>
                <w:sz w:val="22"/>
                <w:szCs w:val="22"/>
                <w:lang w:eastAsia="zh-CN"/>
              </w:rPr>
            </w:pPr>
          </w:p>
          <w:p w14:paraId="4D3B0C17" w14:textId="045E18BC" w:rsidR="00386FEB" w:rsidRPr="00386FEB" w:rsidRDefault="00386FEB" w:rsidP="00386FEB">
            <w:pPr>
              <w:rPr>
                <w:rFonts w:eastAsiaTheme="minorEastAsia" w:cs="Arial" w:hint="eastAsia"/>
                <w:b/>
                <w:bCs/>
                <w:sz w:val="22"/>
                <w:szCs w:val="22"/>
                <w:lang w:eastAsia="zh-CN"/>
              </w:rPr>
            </w:pPr>
            <w:r w:rsidRPr="00386FEB">
              <w:rPr>
                <w:rFonts w:cs="Arial"/>
                <w:b/>
                <w:bCs/>
                <w:sz w:val="22"/>
                <w:szCs w:val="22"/>
              </w:rPr>
              <w:t>Access and permissions</w:t>
            </w:r>
            <w:r w:rsidRPr="00386FEB">
              <w:rPr>
                <w:rFonts w:eastAsiaTheme="minorEastAsia" w:cs="Arial" w:hint="eastAsia"/>
                <w:b/>
                <w:bCs/>
                <w:sz w:val="22"/>
                <w:szCs w:val="22"/>
                <w:lang w:eastAsia="zh-CN"/>
              </w:rPr>
              <w:t>:</w:t>
            </w:r>
          </w:p>
          <w:p w14:paraId="5234B147" w14:textId="6D4BAEA3" w:rsidR="00386FEB" w:rsidRDefault="00386FEB" w:rsidP="00386FEB">
            <w:pPr>
              <w:rPr>
                <w:rFonts w:eastAsiaTheme="minorEastAsia" w:cs="Arial"/>
                <w:sz w:val="22"/>
                <w:szCs w:val="22"/>
                <w:lang w:eastAsia="zh-CN"/>
              </w:rPr>
            </w:pPr>
            <w:r w:rsidRPr="00386FEB">
              <w:rPr>
                <w:rFonts w:cs="Arial"/>
                <w:sz w:val="22"/>
                <w:szCs w:val="22"/>
              </w:rPr>
              <w:t>Library/database access via university credentials; platform use in line with platform terms. For campus-based work in Nanchang, permissions will be obtained from relevant university units/student societies. Ethical approval will be sought at PG2 before any fieldwork.</w:t>
            </w:r>
          </w:p>
          <w:p w14:paraId="550D1740" w14:textId="77777777" w:rsidR="00386FEB" w:rsidRPr="00386FEB" w:rsidRDefault="00386FEB" w:rsidP="00386FEB">
            <w:pPr>
              <w:rPr>
                <w:rFonts w:eastAsiaTheme="minorEastAsia" w:cs="Arial" w:hint="eastAsia"/>
                <w:sz w:val="22"/>
                <w:szCs w:val="22"/>
                <w:lang w:eastAsia="zh-CN"/>
              </w:rPr>
            </w:pPr>
          </w:p>
          <w:p w14:paraId="63D1A269" w14:textId="4B94B3D1" w:rsidR="00386FEB" w:rsidRPr="00386FEB" w:rsidRDefault="00386FEB" w:rsidP="00386FEB">
            <w:pPr>
              <w:rPr>
                <w:rFonts w:eastAsiaTheme="minorEastAsia" w:cs="Arial" w:hint="eastAsia"/>
                <w:b/>
                <w:bCs/>
                <w:sz w:val="22"/>
                <w:szCs w:val="22"/>
                <w:lang w:eastAsia="zh-CN"/>
              </w:rPr>
            </w:pPr>
            <w:r w:rsidRPr="00386FEB">
              <w:rPr>
                <w:rFonts w:cs="Arial"/>
                <w:b/>
                <w:bCs/>
                <w:sz w:val="22"/>
                <w:szCs w:val="22"/>
              </w:rPr>
              <w:t>Travel</w:t>
            </w:r>
            <w:r w:rsidRPr="00386FEB">
              <w:rPr>
                <w:rFonts w:eastAsiaTheme="minorEastAsia" w:cs="Arial" w:hint="eastAsia"/>
                <w:b/>
                <w:bCs/>
                <w:sz w:val="22"/>
                <w:szCs w:val="22"/>
                <w:lang w:eastAsia="zh-CN"/>
              </w:rPr>
              <w:t>:</w:t>
            </w:r>
          </w:p>
          <w:p w14:paraId="4A81C7C9" w14:textId="7C507EF7" w:rsidR="00386FEB" w:rsidRDefault="00386FEB" w:rsidP="00386FEB">
            <w:pPr>
              <w:rPr>
                <w:rFonts w:eastAsiaTheme="minorEastAsia" w:cs="Arial"/>
                <w:sz w:val="22"/>
                <w:szCs w:val="22"/>
                <w:lang w:eastAsia="zh-CN"/>
              </w:rPr>
            </w:pPr>
            <w:r w:rsidRPr="00386FEB">
              <w:rPr>
                <w:rFonts w:cs="Arial"/>
                <w:sz w:val="22"/>
                <w:szCs w:val="22"/>
              </w:rPr>
              <w:t>The primary fieldwork will take place in Nanchang, Jiangxi (China), with short domestic visits to Shenzhen for practitioner workshops. This will involve international travel between the UK and China for defined fieldwork windows; outside those windows, analysis and writing will be carried out in the UK. Travel will be self-funded and kept modest.</w:t>
            </w:r>
          </w:p>
          <w:p w14:paraId="35DB56BD" w14:textId="77777777" w:rsidR="00386FEB" w:rsidRPr="00386FEB" w:rsidRDefault="00386FEB" w:rsidP="00386FEB">
            <w:pPr>
              <w:rPr>
                <w:rFonts w:eastAsiaTheme="minorEastAsia" w:cs="Arial" w:hint="eastAsia"/>
                <w:sz w:val="22"/>
                <w:szCs w:val="22"/>
                <w:lang w:eastAsia="zh-CN"/>
              </w:rPr>
            </w:pPr>
          </w:p>
          <w:p w14:paraId="74BC5FEA" w14:textId="06DCBACA" w:rsidR="00386FEB" w:rsidRPr="00386FEB" w:rsidRDefault="00386FEB" w:rsidP="00386FEB">
            <w:pPr>
              <w:rPr>
                <w:rFonts w:eastAsiaTheme="minorEastAsia" w:cs="Arial" w:hint="eastAsia"/>
                <w:b/>
                <w:bCs/>
                <w:sz w:val="22"/>
                <w:szCs w:val="22"/>
                <w:lang w:eastAsia="zh-CN"/>
              </w:rPr>
            </w:pPr>
            <w:r w:rsidRPr="00386FEB">
              <w:rPr>
                <w:rFonts w:cs="Arial"/>
                <w:b/>
                <w:bCs/>
                <w:sz w:val="22"/>
                <w:szCs w:val="22"/>
              </w:rPr>
              <w:t>Fieldwork and interviews</w:t>
            </w:r>
            <w:r w:rsidRPr="00386FEB">
              <w:rPr>
                <w:rFonts w:eastAsiaTheme="minorEastAsia" w:cs="Arial" w:hint="eastAsia"/>
                <w:b/>
                <w:bCs/>
                <w:sz w:val="22"/>
                <w:szCs w:val="22"/>
                <w:lang w:eastAsia="zh-CN"/>
              </w:rPr>
              <w:t>:</w:t>
            </w:r>
          </w:p>
          <w:p w14:paraId="6FDA3F6F" w14:textId="79B88885" w:rsidR="00386FEB" w:rsidRPr="00386FEB" w:rsidRDefault="00386FEB" w:rsidP="00386FEB">
            <w:pPr>
              <w:rPr>
                <w:rFonts w:cs="Arial"/>
                <w:sz w:val="22"/>
                <w:szCs w:val="22"/>
              </w:rPr>
            </w:pPr>
            <w:r w:rsidRPr="00386FEB">
              <w:rPr>
                <w:rFonts w:cs="Arial"/>
                <w:sz w:val="22"/>
                <w:szCs w:val="22"/>
              </w:rPr>
              <w:lastRenderedPageBreak/>
              <w:t>The study uses hybrid ethnography focused on undergraduates in Nanchang (online observation plus brief in-person sessions). Short semi-structured interviews/focus groups with Gen Z participants (18–24) will be conducted with consent, anonymisation and secure data handling.</w:t>
            </w:r>
          </w:p>
          <w:p w14:paraId="211EDAAC" w14:textId="77777777" w:rsidR="00B77573" w:rsidRPr="00386FEB" w:rsidRDefault="00B77573">
            <w:pPr>
              <w:rPr>
                <w:rFonts w:eastAsiaTheme="minorEastAsia" w:cs="Arial" w:hint="eastAsia"/>
                <w:sz w:val="22"/>
                <w:szCs w:val="22"/>
                <w:lang w:eastAsia="zh-CN"/>
              </w:rPr>
            </w:pP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Default="00B77573">
      <w:pPr>
        <w:rPr>
          <w:rFonts w:eastAsiaTheme="minorEastAsia" w:cs="Arial"/>
          <w:sz w:val="22"/>
          <w:szCs w:val="22"/>
          <w:lang w:eastAsia="zh-CN"/>
        </w:rPr>
      </w:pPr>
    </w:p>
    <w:p w14:paraId="16635D40" w14:textId="77777777" w:rsidR="002A786C" w:rsidRPr="002A786C" w:rsidRDefault="002A786C">
      <w:pPr>
        <w:rPr>
          <w:rFonts w:eastAsiaTheme="minorEastAsia" w:cs="Arial" w:hint="eastAsia"/>
          <w:sz w:val="22"/>
          <w:szCs w:val="22"/>
          <w:lang w:eastAsia="zh-CN"/>
        </w:rPr>
      </w:pPr>
    </w:p>
    <w:p w14:paraId="5620ED97" w14:textId="77777777" w:rsidR="00B77573" w:rsidRDefault="00E33173">
      <w:pPr>
        <w:rPr>
          <w:rFonts w:cs="Arial"/>
          <w:b/>
          <w:sz w:val="22"/>
          <w:szCs w:val="22"/>
        </w:rPr>
      </w:pPr>
      <w:r>
        <w:rPr>
          <w:rFonts w:cs="Arial"/>
          <w:b/>
          <w:sz w:val="22"/>
          <w:szCs w:val="22"/>
        </w:rPr>
        <w:t>Intellectual Property IP</w:t>
      </w:r>
    </w:p>
    <w:p w14:paraId="4847AFB8" w14:textId="77777777" w:rsidR="00B77573" w:rsidRDefault="00E33173">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tcPr>
          <w:p w14:paraId="012CF4F9"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E33173">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E33173">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3FB7B2F0" w14:textId="77777777" w:rsidR="00B77573" w:rsidRDefault="00E33173">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05586A79" w14:textId="188DE5E9" w:rsidR="00B77573" w:rsidRDefault="002A786C">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E33173">
            <w:pPr>
              <w:rPr>
                <w:sz w:val="22"/>
              </w:rPr>
            </w:pPr>
            <w:r>
              <w:rPr>
                <w:sz w:val="22"/>
              </w:rPr>
              <w:t xml:space="preserve">Is the research dependent upon background IP owned by: </w:t>
            </w:r>
          </w:p>
          <w:p w14:paraId="72E8DDEC" w14:textId="77777777" w:rsidR="00B77573" w:rsidRDefault="00E33173">
            <w:pPr>
              <w:rPr>
                <w:rFonts w:cs="Arial"/>
                <w:sz w:val="22"/>
                <w:szCs w:val="22"/>
              </w:rPr>
            </w:pPr>
            <w:r>
              <w:rPr>
                <w:sz w:val="22"/>
              </w:rPr>
              <w:t>If so, please provide details below</w:t>
            </w:r>
          </w:p>
        </w:tc>
        <w:tc>
          <w:tcPr>
            <w:tcW w:w="1418" w:type="dxa"/>
          </w:tcPr>
          <w:p w14:paraId="6A96A3DD" w14:textId="77777777" w:rsidR="00B77573" w:rsidRDefault="00E33173">
            <w:pPr>
              <w:jc w:val="center"/>
              <w:rPr>
                <w:sz w:val="22"/>
              </w:rPr>
            </w:pPr>
            <w:r>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30193C2A" w14:textId="77777777" w:rsidR="00B77573" w:rsidRDefault="00E33173">
                <w:pPr>
                  <w:jc w:val="center"/>
                  <w:rPr>
                    <w:rFonts w:cs="Arial"/>
                    <w:sz w:val="22"/>
                    <w:szCs w:val="22"/>
                  </w:rPr>
                </w:pPr>
                <w:r>
                  <w:rPr>
                    <w:rFonts w:ascii="MS Gothic" w:eastAsia="MS Gothic" w:hAnsi="MS Gothic" w:cs="Arial"/>
                    <w:sz w:val="22"/>
                    <w:szCs w:val="22"/>
                  </w:rPr>
                  <w:t>☐</w:t>
                </w:r>
              </w:p>
            </w:sdtContent>
          </w:sdt>
        </w:tc>
        <w:tc>
          <w:tcPr>
            <w:tcW w:w="1417" w:type="dxa"/>
          </w:tcPr>
          <w:p w14:paraId="5325D9CB" w14:textId="77777777" w:rsidR="00B77573" w:rsidRDefault="00E33173">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Default="00E33173">
                <w:pPr>
                  <w:jc w:val="center"/>
                  <w:rPr>
                    <w:rFonts w:cs="Arial"/>
                    <w:sz w:val="22"/>
                    <w:szCs w:val="22"/>
                  </w:rPr>
                </w:pPr>
                <w:r>
                  <w:rPr>
                    <w:rFonts w:ascii="MS Gothic" w:eastAsia="MS Gothic" w:hAnsi="MS Gothic" w:cs="Arial"/>
                    <w:sz w:val="22"/>
                    <w:szCs w:val="22"/>
                  </w:rPr>
                  <w:t>☐</w:t>
                </w:r>
              </w:p>
            </w:sdtContent>
          </w:sdt>
        </w:tc>
      </w:tr>
      <w:tr w:rsidR="00B77573" w14:paraId="3EE8985F" w14:textId="77777777">
        <w:trPr>
          <w:trHeight w:val="572"/>
        </w:trPr>
        <w:tc>
          <w:tcPr>
            <w:tcW w:w="9781" w:type="dxa"/>
            <w:gridSpan w:val="3"/>
          </w:tcPr>
          <w:p w14:paraId="7C2C0A06" w14:textId="77777777" w:rsidR="00B77573" w:rsidRDefault="00E33173">
            <w:pPr>
              <w:rPr>
                <w:i/>
                <w:sz w:val="18"/>
                <w:szCs w:val="18"/>
              </w:rPr>
            </w:pPr>
            <w:r>
              <w:rPr>
                <w:i/>
                <w:sz w:val="18"/>
                <w:szCs w:val="18"/>
              </w:rPr>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tcPr>
          <w:p w14:paraId="7C2A5205" w14:textId="77777777" w:rsidR="00B77573" w:rsidRDefault="00E33173">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E33173">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E33173">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E33173">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E33173">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474EFA2E" w14:textId="100B2B69" w:rsidR="00B77573" w:rsidRDefault="002A786C">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tcPr>
              <w:p w14:paraId="3BE096FF" w14:textId="77777777" w:rsidR="00B77573" w:rsidRDefault="00E33173">
                <w:pPr>
                  <w:jc w:val="center"/>
                  <w:rPr>
                    <w:rFonts w:cs="Arial"/>
                    <w:sz w:val="22"/>
                    <w:szCs w:val="22"/>
                  </w:rPr>
                </w:pPr>
                <w:r>
                  <w:rPr>
                    <w:rFonts w:ascii="MS Gothic" w:eastAsia="MS Gothic" w:hAnsi="MS Gothic" w:cs="Arial"/>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E33173">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21" w:history="1">
              <w:r w:rsidR="00B77573">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tcPr>
          <w:p w14:paraId="26FB668C" w14:textId="3C8D3275" w:rsidR="00B77573"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2A786C">
                  <w:rPr>
                    <w:rFonts w:ascii="MS Gothic" w:eastAsia="MS Gothic" w:hAnsi="MS Gothic" w:cs="Arial" w:hint="eastAsia"/>
                    <w:sz w:val="22"/>
                    <w:szCs w:val="22"/>
                  </w:rPr>
                  <w:t>☒</w:t>
                </w:r>
              </w:sdtContent>
            </w:sdt>
          </w:p>
        </w:tc>
        <w:tc>
          <w:tcPr>
            <w:tcW w:w="1417" w:type="dxa"/>
          </w:tcPr>
          <w:p w14:paraId="1599CD7F" w14:textId="77777777" w:rsidR="00B77573"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E33173">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E33173">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2062"/>
              <w:gridCol w:w="6064"/>
              <w:gridCol w:w="1395"/>
            </w:tblGrid>
            <w:tr w:rsidR="00B77573"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E33173">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13D2438A" w14:textId="77777777" w:rsidR="00B77573" w:rsidRDefault="00B77573">
                  <w:pPr>
                    <w:rPr>
                      <w:rFonts w:cs="Arial"/>
                      <w:sz w:val="22"/>
                      <w:szCs w:val="22"/>
                    </w:rPr>
                  </w:pPr>
                </w:p>
              </w:tc>
              <w:tc>
                <w:tcPr>
                  <w:tcW w:w="1417" w:type="dxa"/>
                </w:tcPr>
                <w:p w14:paraId="0475CA85" w14:textId="77777777" w:rsidR="00B77573" w:rsidRDefault="00E33173">
                  <w:pPr>
                    <w:rPr>
                      <w:rFonts w:cs="Arial"/>
                      <w:sz w:val="22"/>
                      <w:szCs w:val="22"/>
                    </w:rPr>
                  </w:pPr>
                  <w:r>
                    <w:rPr>
                      <w:rFonts w:cs="Arial"/>
                      <w:sz w:val="22"/>
                      <w:szCs w:val="22"/>
                    </w:rPr>
                    <w:t>Date:</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77777777" w:rsidR="00B77573" w:rsidRDefault="00B77573">
      <w:pPr>
        <w:rPr>
          <w:rFonts w:cs="Arial"/>
          <w:sz w:val="22"/>
          <w:szCs w:val="22"/>
        </w:rPr>
      </w:pPr>
    </w:p>
    <w:p w14:paraId="51057E28" w14:textId="77777777" w:rsidR="00B77573" w:rsidRDefault="00E33173">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E33173">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E33173">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E33173">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E33173">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E33173">
            <w:pPr>
              <w:rPr>
                <w:rFonts w:cs="Arial"/>
                <w:sz w:val="22"/>
                <w:szCs w:val="22"/>
              </w:rPr>
            </w:pPr>
            <w:r>
              <w:rPr>
                <w:rFonts w:cs="Arial"/>
                <w:sz w:val="22"/>
                <w:szCs w:val="22"/>
              </w:rPr>
              <w:t>Director of Studies</w:t>
            </w:r>
          </w:p>
        </w:tc>
        <w:tc>
          <w:tcPr>
            <w:tcW w:w="5387" w:type="dxa"/>
          </w:tcPr>
          <w:p w14:paraId="29755B6A" w14:textId="77777777" w:rsidR="00B77573" w:rsidRDefault="00E33173">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E33173">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E33173">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E33173">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E33173">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22"/>
      <w:footerReference w:type="default" r:id="rId23"/>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5D374" w14:textId="77777777" w:rsidR="00C92A0F" w:rsidRDefault="00C92A0F">
      <w:r>
        <w:separator/>
      </w:r>
    </w:p>
  </w:endnote>
  <w:endnote w:type="continuationSeparator" w:id="0">
    <w:p w14:paraId="39D1C2CB" w14:textId="77777777" w:rsidR="00C92A0F" w:rsidRDefault="00C92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Default="00E33173">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E33173">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FCB7F" w14:textId="77777777" w:rsidR="00C92A0F" w:rsidRDefault="00C92A0F">
      <w:r>
        <w:separator/>
      </w:r>
    </w:p>
  </w:footnote>
  <w:footnote w:type="continuationSeparator" w:id="0">
    <w:p w14:paraId="0AC69825" w14:textId="77777777" w:rsidR="00C92A0F" w:rsidRDefault="00C92A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Default="00E33173">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E33173">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E33173">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7534042">
    <w:abstractNumId w:val="1"/>
  </w:num>
  <w:num w:numId="2" w16cid:durableId="596987635">
    <w:abstractNumId w:val="2"/>
  </w:num>
  <w:num w:numId="3" w16cid:durableId="387072315">
    <w:abstractNumId w:val="5"/>
  </w:num>
  <w:num w:numId="4" w16cid:durableId="490146190">
    <w:abstractNumId w:val="4"/>
  </w:num>
  <w:num w:numId="5" w16cid:durableId="554971370">
    <w:abstractNumId w:val="3"/>
  </w:num>
  <w:num w:numId="6" w16cid:durableId="1740713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5B32"/>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44F84"/>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A786C"/>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86FEB"/>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43F51"/>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2587"/>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2A0F"/>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33173"/>
    <w:rsid w:val="00E60894"/>
    <w:rsid w:val="00E800B4"/>
    <w:rsid w:val="00E90E39"/>
    <w:rsid w:val="00E90FFB"/>
    <w:rsid w:val="00EA4DDB"/>
    <w:rsid w:val="00EB0AB9"/>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B48CF"/>
    <w:rsid w:val="00FD60D8"/>
    <w:rsid w:val="00FD70D5"/>
    <w:rsid w:val="00FE3258"/>
    <w:rsid w:val="00FF5FBE"/>
    <w:rsid w:val="08504931"/>
    <w:rsid w:val="0A3781F5"/>
    <w:rsid w:val="10A18646"/>
    <w:rsid w:val="14C6F300"/>
    <w:rsid w:val="3A13BD2A"/>
    <w:rsid w:val="3AFF2909"/>
    <w:rsid w:val="3FFF0FD4"/>
    <w:rsid w:val="4E94F672"/>
    <w:rsid w:val="554DFFE6"/>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paragraph" w:styleId="3">
    <w:name w:val="heading 3"/>
    <w:basedOn w:val="a"/>
    <w:next w:val="a"/>
    <w:link w:val="30"/>
    <w:uiPriority w:val="9"/>
    <w:semiHidden/>
    <w:unhideWhenUsed/>
    <w:qFormat/>
    <w:rsid w:val="00743F51"/>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character" w:styleId="af5">
    <w:name w:val="Unresolved Mention"/>
    <w:basedOn w:val="a0"/>
    <w:uiPriority w:val="99"/>
    <w:semiHidden/>
    <w:unhideWhenUsed/>
    <w:rsid w:val="00872587"/>
    <w:rPr>
      <w:color w:val="605E5C"/>
      <w:shd w:val="clear" w:color="auto" w:fill="E1DFDD"/>
    </w:rPr>
  </w:style>
  <w:style w:type="character" w:customStyle="1" w:styleId="30">
    <w:name w:val="标题 3 字符"/>
    <w:basedOn w:val="a0"/>
    <w:link w:val="3"/>
    <w:uiPriority w:val="9"/>
    <w:semiHidden/>
    <w:rsid w:val="00743F51"/>
    <w:rPr>
      <w:rFonts w:ascii="Arial" w:eastAsia="Times New Roman" w:hAnsi="Arial"/>
      <w:b/>
      <w:bCs/>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4661381221145451?utm_source=chatgpt.com" TargetMode="External"/><Relationship Id="rId18" Type="http://schemas.openxmlformats.org/officeDocument/2006/relationships/hyperlink" Target="https://doi.org/10.1007/s11196-018-9559-8?utm_source=chatgpt.com" TargetMode="External"/><Relationship Id="rId3" Type="http://schemas.openxmlformats.org/officeDocument/2006/relationships/customXml" Target="../customXml/item3.xml"/><Relationship Id="rId21" Type="http://schemas.openxmlformats.org/officeDocument/2006/relationships/hyperlink" Target="https://www.uwtsd.ac.uk/iiced/protecting-innovation-and-creativity---intellectual-property/" TargetMode="External"/><Relationship Id="rId7" Type="http://schemas.openxmlformats.org/officeDocument/2006/relationships/settings" Target="settings.xml"/><Relationship Id="rId12" Type="http://schemas.openxmlformats.org/officeDocument/2006/relationships/hyperlink" Target="https://doi.org/10.1177/2055207617710802?utm_source=chatgpt.com" TargetMode="External"/><Relationship Id="rId17" Type="http://schemas.openxmlformats.org/officeDocument/2006/relationships/hyperlink" Target="https://doi.org/10.1108/OIR-05-2020-0192?utm_source=chatgpt.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5219/em104.1657?utm_source=chatgpt.com" TargetMode="External"/><Relationship Id="rId20" Type="http://schemas.openxmlformats.org/officeDocument/2006/relationships/hyperlink" Target="https://doi.org/10.1080/15252019.2015.1125316?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ewresearch.org/internet/2022/08/10/teens-social-media-and-technology-2022/?utm_source=chatgpt.com"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08/QMR-05-2023-0073?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4702029.2021.1988276?utm_source=chatgpt.com"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1DE03D-6025-493D-9279-8EFE34D20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3322</Words>
  <Characters>19471</Characters>
  <Application>Microsoft Office Word</Application>
  <DocSecurity>0</DocSecurity>
  <Lines>526</Lines>
  <Paragraphs>180</Paragraphs>
  <ScaleCrop>false</ScaleCrop>
  <Company>UWTSD</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Lei Mao (2406288)</cp:lastModifiedBy>
  <cp:revision>13</cp:revision>
  <cp:lastPrinted>2016-11-02T17:01:00Z</cp:lastPrinted>
  <dcterms:created xsi:type="dcterms:W3CDTF">2025-06-09T13:43:00Z</dcterms:created>
  <dcterms:modified xsi:type="dcterms:W3CDTF">2025-09-03T00:44:00Z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