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34D81" w:rsidRDefault="00234D81">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p>
    <w:p w14:paraId="00000002" w14:textId="77777777" w:rsidR="00234D81" w:rsidRDefault="00234D81">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p>
    <w:p w14:paraId="00000003"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This reflection is based on a fifteen-minute counselling session conducted online on Microsoft Teams. The client is a fellow student who is role-playing with a case study provided by the tutor. The session was recorded with full permission from all partici</w:t>
      </w:r>
      <w:r>
        <w:rPr>
          <w:rFonts w:ascii="Times New Roman" w:eastAsia="Times New Roman" w:hAnsi="Times New Roman" w:cs="Times New Roman"/>
          <w:color w:val="0E101A"/>
          <w:sz w:val="24"/>
          <w:szCs w:val="24"/>
        </w:rPr>
        <w:t>pants and was supervised by tutor Ruth Groff. Also present was an observer who was also a fellow student.</w:t>
      </w:r>
    </w:p>
    <w:p w14:paraId="00000004"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My introduction was clear and </w:t>
      </w:r>
      <w:proofErr w:type="gramStart"/>
      <w:r>
        <w:rPr>
          <w:rFonts w:ascii="Times New Roman" w:eastAsia="Times New Roman" w:hAnsi="Times New Roman" w:cs="Times New Roman"/>
          <w:color w:val="0E101A"/>
          <w:sz w:val="24"/>
          <w:szCs w:val="24"/>
        </w:rPr>
        <w:t>open</w:t>
      </w:r>
      <w:proofErr w:type="gramEnd"/>
      <w:r>
        <w:rPr>
          <w:rFonts w:ascii="Times New Roman" w:eastAsia="Times New Roman" w:hAnsi="Times New Roman" w:cs="Times New Roman"/>
          <w:color w:val="0E101A"/>
          <w:sz w:val="24"/>
          <w:szCs w:val="24"/>
        </w:rPr>
        <w:t xml:space="preserve"> and I ensured the contract was formed correctly. I also mentioned the observers and informed the client of the time</w:t>
      </w:r>
      <w:r>
        <w:rPr>
          <w:rFonts w:ascii="Times New Roman" w:eastAsia="Times New Roman" w:hAnsi="Times New Roman" w:cs="Times New Roman"/>
          <w:color w:val="0E101A"/>
          <w:sz w:val="24"/>
          <w:szCs w:val="24"/>
        </w:rPr>
        <w:t xml:space="preserve"> allowance. I then checked that the client understood the contract terms. </w:t>
      </w:r>
    </w:p>
    <w:p w14:paraId="00000005"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 began with an open question asking what had brought the client into this session, which led to an understanding it regarded her issues with university. Unfortunately, my physical </w:t>
      </w:r>
      <w:r>
        <w:rPr>
          <w:rFonts w:ascii="Times New Roman" w:eastAsia="Times New Roman" w:hAnsi="Times New Roman" w:cs="Times New Roman"/>
          <w:color w:val="0E101A"/>
          <w:sz w:val="24"/>
          <w:szCs w:val="24"/>
        </w:rPr>
        <w:t>reaction to this was to tilt my head back slightly and roll my eyes. In addition, I looked away from the screen several times, appearing uninterested or bored during the session. However, I was still recovering from Covid-19 and found that the after-effect</w:t>
      </w:r>
      <w:r>
        <w:rPr>
          <w:rFonts w:ascii="Times New Roman" w:eastAsia="Times New Roman" w:hAnsi="Times New Roman" w:cs="Times New Roman"/>
          <w:color w:val="0E101A"/>
          <w:sz w:val="24"/>
          <w:szCs w:val="24"/>
        </w:rPr>
        <w:t>s of this were light sensitivity and concentration levels. This had affected my performance drastically and made me realise how I had relied heavily upon both to give my full attention to the client, especially as you would need to recall previous conversa</w:t>
      </w:r>
      <w:r>
        <w:rPr>
          <w:rFonts w:ascii="Times New Roman" w:eastAsia="Times New Roman" w:hAnsi="Times New Roman" w:cs="Times New Roman"/>
          <w:color w:val="0E101A"/>
          <w:sz w:val="24"/>
          <w:szCs w:val="24"/>
        </w:rPr>
        <w:t>tions to reflect on (DeSimone, 2022). </w:t>
      </w:r>
    </w:p>
    <w:p w14:paraId="00000006"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made several mistakes by asking closed questions, such as when I asked, "have you spoken to your tutors about that?". This type of questioning meant the client could only give a one-word answers and often they don't</w:t>
      </w:r>
      <w:r>
        <w:rPr>
          <w:rFonts w:ascii="Times New Roman" w:eastAsia="Times New Roman" w:hAnsi="Times New Roman" w:cs="Times New Roman"/>
          <w:color w:val="0E101A"/>
          <w:sz w:val="24"/>
          <w:szCs w:val="24"/>
        </w:rPr>
        <w:t xml:space="preserve"> expand on the issue, leading to a possible awkward feeling. On this occasion, the client did continue to speak. I must now ensure that in future, questions I ask the client are to be open-ended. I also realised I would ask a closed question and answer it </w:t>
      </w:r>
      <w:r>
        <w:rPr>
          <w:rFonts w:ascii="Times New Roman" w:eastAsia="Times New Roman" w:hAnsi="Times New Roman" w:cs="Times New Roman"/>
          <w:color w:val="0E101A"/>
          <w:sz w:val="24"/>
          <w:szCs w:val="24"/>
        </w:rPr>
        <w:t xml:space="preserve">too, for example, when I asked, "do you feel comfortable talking to tutors about </w:t>
      </w:r>
      <w:r>
        <w:rPr>
          <w:rFonts w:ascii="Times New Roman" w:eastAsia="Times New Roman" w:hAnsi="Times New Roman" w:cs="Times New Roman"/>
          <w:color w:val="0E101A"/>
          <w:sz w:val="24"/>
          <w:szCs w:val="24"/>
        </w:rPr>
        <w:lastRenderedPageBreak/>
        <w:t xml:space="preserve">this, no?". This could influence the client in how they answer and potentially make them feel that their opinions or emotions are being overlooked and ignored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Rautalinko</w:t>
      </w:r>
      <w:proofErr w:type="spellEnd"/>
      <w:r>
        <w:rPr>
          <w:rFonts w:ascii="Times New Roman" w:eastAsia="Times New Roman" w:hAnsi="Times New Roman" w:cs="Times New Roman"/>
          <w:sz w:val="24"/>
          <w:szCs w:val="24"/>
        </w:rPr>
        <w:t>, 201</w:t>
      </w:r>
      <w:r>
        <w:rPr>
          <w:rFonts w:ascii="Times New Roman" w:eastAsia="Times New Roman" w:hAnsi="Times New Roman" w:cs="Times New Roman"/>
          <w:sz w:val="24"/>
          <w:szCs w:val="24"/>
        </w:rPr>
        <w:t>3)</w:t>
      </w:r>
      <w:r>
        <w:rPr>
          <w:rFonts w:ascii="Times New Roman" w:eastAsia="Times New Roman" w:hAnsi="Times New Roman" w:cs="Times New Roman"/>
          <w:color w:val="0E101A"/>
          <w:sz w:val="24"/>
          <w:szCs w:val="24"/>
        </w:rPr>
        <w:t>.</w:t>
      </w:r>
    </w:p>
    <w:p w14:paraId="00000007"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also realised that I had not used any positive encouragements earlier in this session, such as nodding my head or using vocal cues such as '</w:t>
      </w:r>
      <w:proofErr w:type="spellStart"/>
      <w:r>
        <w:rPr>
          <w:rFonts w:ascii="Times New Roman" w:eastAsia="Times New Roman" w:hAnsi="Times New Roman" w:cs="Times New Roman"/>
          <w:color w:val="0E101A"/>
          <w:sz w:val="24"/>
          <w:szCs w:val="24"/>
        </w:rPr>
        <w:t>mhmm</w:t>
      </w:r>
      <w:proofErr w:type="spellEnd"/>
      <w:r>
        <w:rPr>
          <w:rFonts w:ascii="Times New Roman" w:eastAsia="Times New Roman" w:hAnsi="Times New Roman" w:cs="Times New Roman"/>
          <w:color w:val="0E101A"/>
          <w:sz w:val="24"/>
          <w:szCs w:val="24"/>
        </w:rPr>
        <w:t xml:space="preserve">'. Using positive encouragements lets the client know that they are being listened to and validates their </w:t>
      </w:r>
      <w:r>
        <w:rPr>
          <w:rFonts w:ascii="Times New Roman" w:eastAsia="Times New Roman" w:hAnsi="Times New Roman" w:cs="Times New Roman"/>
          <w:color w:val="0E101A"/>
          <w:sz w:val="24"/>
          <w:szCs w:val="24"/>
        </w:rPr>
        <w:t xml:space="preserve">emotions and feelings. It also conveys that attention is being paid to them </w:t>
      </w:r>
      <w:r>
        <w:rPr>
          <w:rFonts w:ascii="Times New Roman" w:eastAsia="Times New Roman" w:hAnsi="Times New Roman" w:cs="Times New Roman"/>
          <w:sz w:val="24"/>
          <w:szCs w:val="24"/>
        </w:rPr>
        <w:t>(Sharpley et al., 2010)</w:t>
      </w:r>
      <w:r>
        <w:rPr>
          <w:rFonts w:ascii="Times New Roman" w:eastAsia="Times New Roman" w:hAnsi="Times New Roman" w:cs="Times New Roman"/>
          <w:color w:val="0E101A"/>
          <w:sz w:val="24"/>
          <w:szCs w:val="24"/>
        </w:rPr>
        <w:t xml:space="preserve">. </w:t>
      </w:r>
    </w:p>
    <w:p w14:paraId="00000008"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Throughout this course, it has become clear how using open questions as a counsellor can build a good rapport and give the client space and time to elabor</w:t>
      </w:r>
      <w:r>
        <w:rPr>
          <w:rFonts w:ascii="Times New Roman" w:eastAsia="Times New Roman" w:hAnsi="Times New Roman" w:cs="Times New Roman"/>
          <w:color w:val="0E101A"/>
          <w:sz w:val="24"/>
          <w:szCs w:val="24"/>
        </w:rPr>
        <w:t xml:space="preserve">ate on what has been asked. This can also allow the client to reflect and think more deeply regarding their emotions </w:t>
      </w:r>
      <w:r>
        <w:rPr>
          <w:rFonts w:ascii="Times New Roman" w:eastAsia="Times New Roman" w:hAnsi="Times New Roman" w:cs="Times New Roman"/>
          <w:sz w:val="24"/>
          <w:szCs w:val="24"/>
        </w:rPr>
        <w:t>(McLeod, 2011).</w:t>
      </w:r>
    </w:p>
    <w:p w14:paraId="00000009"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Frankel et al. (2012) explain how a counsellor needs to practice and harness the skill of reflection to further their skill</w:t>
      </w:r>
      <w:r>
        <w:rPr>
          <w:rFonts w:ascii="Times New Roman" w:eastAsia="Times New Roman" w:hAnsi="Times New Roman" w:cs="Times New Roman"/>
          <w:color w:val="0E101A"/>
          <w:sz w:val="24"/>
          <w:szCs w:val="24"/>
        </w:rPr>
        <w:t>s and potentially their emotional intelligence, which can further counsellor development when practised together. Significantly, reflecting can advance problem-solving skills that result in a better insight into issues. Using these skills simultaneously wo</w:t>
      </w:r>
      <w:r>
        <w:rPr>
          <w:rFonts w:ascii="Times New Roman" w:eastAsia="Times New Roman" w:hAnsi="Times New Roman" w:cs="Times New Roman"/>
          <w:color w:val="0E101A"/>
          <w:sz w:val="24"/>
          <w:szCs w:val="24"/>
        </w:rPr>
        <w:t xml:space="preserve">uld be beneficial not just for the counsellor but also the client (Bassot, 2015). </w:t>
      </w:r>
    </w:p>
    <w:p w14:paraId="0000000A"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Unconditional positive regard, empathy, and congruency were the three core conditions put forward by Carl Rogers (1957). These skills have become the foundation of specific </w:t>
      </w:r>
      <w:r>
        <w:rPr>
          <w:rFonts w:ascii="Times New Roman" w:eastAsia="Times New Roman" w:hAnsi="Times New Roman" w:cs="Times New Roman"/>
          <w:color w:val="0E101A"/>
          <w:sz w:val="24"/>
          <w:szCs w:val="24"/>
        </w:rPr>
        <w:t>counselling courses and practices. One of the other skills needed for the counsellor is a solid impartial mindset and concreteness to help the client successfully. I am confident that I have obtained and practised these skills within a counselling backgrou</w:t>
      </w:r>
      <w:r>
        <w:rPr>
          <w:rFonts w:ascii="Times New Roman" w:eastAsia="Times New Roman" w:hAnsi="Times New Roman" w:cs="Times New Roman"/>
          <w:color w:val="0E101A"/>
          <w:sz w:val="24"/>
          <w:szCs w:val="24"/>
        </w:rPr>
        <w:t>nd and the work environment (McLeod, 2011).  At 1.56 I show congruency when the client explains how she needs help now before it gets too extreme. I explain that she needs to take into consideration how that is a positive step in the right direction and th</w:t>
      </w:r>
      <w:r>
        <w:rPr>
          <w:rFonts w:ascii="Times New Roman" w:eastAsia="Times New Roman" w:hAnsi="Times New Roman" w:cs="Times New Roman"/>
          <w:color w:val="0E101A"/>
          <w:sz w:val="24"/>
          <w:szCs w:val="24"/>
        </w:rPr>
        <w:t xml:space="preserve">at she should acknowledge that. At 5.27 </w:t>
      </w:r>
      <w:r>
        <w:rPr>
          <w:rFonts w:ascii="Times New Roman" w:eastAsia="Times New Roman" w:hAnsi="Times New Roman" w:cs="Times New Roman"/>
          <w:color w:val="0E101A"/>
          <w:sz w:val="24"/>
          <w:szCs w:val="24"/>
        </w:rPr>
        <w:lastRenderedPageBreak/>
        <w:t xml:space="preserve">I openly show unconditional positive regard when she feels she has a lack of confidence to be on the course. I explain that to be on the course you need to be good, which she agrees with.   </w:t>
      </w:r>
    </w:p>
    <w:p w14:paraId="0000000B"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Asking the client what th</w:t>
      </w:r>
      <w:r>
        <w:rPr>
          <w:rFonts w:ascii="Times New Roman" w:eastAsia="Times New Roman" w:hAnsi="Times New Roman" w:cs="Times New Roman"/>
          <w:color w:val="0E101A"/>
          <w:sz w:val="24"/>
          <w:szCs w:val="24"/>
        </w:rPr>
        <w:t>ey feel would be the best course of action for them, was also beneficial, as the client acknowledged they had control of the situation. This worked well in my opinion, with this issue, as she felt overwhelmed and unable to control any aspect of it initiall</w:t>
      </w:r>
      <w:r>
        <w:rPr>
          <w:rFonts w:ascii="Times New Roman" w:eastAsia="Times New Roman" w:hAnsi="Times New Roman" w:cs="Times New Roman"/>
          <w:color w:val="0E101A"/>
          <w:sz w:val="24"/>
          <w:szCs w:val="24"/>
        </w:rPr>
        <w:t>y. Upon realising that focusing on one assignment at a time and doing this step by step, the client realised it would be less overwhelming and put her back on track.</w:t>
      </w:r>
    </w:p>
    <w:p w14:paraId="0000000C"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Upon reflection, I found that I should realise and understand that if I am physically and </w:t>
      </w:r>
      <w:r>
        <w:rPr>
          <w:rFonts w:ascii="Times New Roman" w:eastAsia="Times New Roman" w:hAnsi="Times New Roman" w:cs="Times New Roman"/>
          <w:color w:val="0E101A"/>
          <w:sz w:val="24"/>
          <w:szCs w:val="24"/>
        </w:rPr>
        <w:t>mentally unwell, I should focus on recovering as it impacts my role as a counsellor. To continue when unwell could have detrimental effects on the client and the rapport that needs to be built.  </w:t>
      </w:r>
    </w:p>
    <w:p w14:paraId="0000000D"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One of the issues I have tried to work on is that of suggest</w:t>
      </w:r>
      <w:r>
        <w:rPr>
          <w:rFonts w:ascii="Times New Roman" w:eastAsia="Times New Roman" w:hAnsi="Times New Roman" w:cs="Times New Roman"/>
          <w:color w:val="0E101A"/>
          <w:sz w:val="24"/>
          <w:szCs w:val="24"/>
        </w:rPr>
        <w:t>ing what the client could do and not letting them come to their own conclusions. I tend to advise rather than encourage the client to form their own ideas. I understand that the counsellor needs to be a blank space that the client can project upon. I now t</w:t>
      </w:r>
      <w:r>
        <w:rPr>
          <w:rFonts w:ascii="Times New Roman" w:eastAsia="Times New Roman" w:hAnsi="Times New Roman" w:cs="Times New Roman"/>
          <w:color w:val="0E101A"/>
          <w:sz w:val="24"/>
          <w:szCs w:val="24"/>
        </w:rPr>
        <w:t xml:space="preserve">ry to use silence instead to let the client fill the space but still find it challenging to implement. Dayton-Sakari et al. (1997) constructed a study that showed how counsellors benefitted from reflecting on being a counsellor and unifying their past and </w:t>
      </w:r>
      <w:r>
        <w:rPr>
          <w:rFonts w:ascii="Times New Roman" w:eastAsia="Times New Roman" w:hAnsi="Times New Roman" w:cs="Times New Roman"/>
          <w:color w:val="0E101A"/>
          <w:sz w:val="24"/>
          <w:szCs w:val="24"/>
        </w:rPr>
        <w:t>present experiences. This gave insight that previously the counsellor was unaware of. They mainly did this by using silence to fill their thoughts and feelings about their experiences.</w:t>
      </w:r>
    </w:p>
    <w:p w14:paraId="0000000E"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Having this counselling session online was difficult as alongside light</w:t>
      </w:r>
      <w:r>
        <w:rPr>
          <w:rFonts w:ascii="Times New Roman" w:eastAsia="Times New Roman" w:hAnsi="Times New Roman" w:cs="Times New Roman"/>
          <w:color w:val="0E101A"/>
          <w:sz w:val="24"/>
          <w:szCs w:val="24"/>
        </w:rPr>
        <w:t xml:space="preserve"> sensitivity, I was unable to correctly perform S.O.L.E.R. Specifically body language. Although body language can give out a lot of information about the client and how they feel, the client can also see the counsellor exhibit positive body language in res</w:t>
      </w:r>
      <w:r>
        <w:rPr>
          <w:rFonts w:ascii="Times New Roman" w:eastAsia="Times New Roman" w:hAnsi="Times New Roman" w:cs="Times New Roman"/>
          <w:color w:val="0E101A"/>
          <w:sz w:val="24"/>
          <w:szCs w:val="24"/>
        </w:rPr>
        <w:t xml:space="preserve">ponse. This aids rapport building and openness. It is a vital process of showing active listening skills. I had nodded and </w:t>
      </w:r>
      <w:r>
        <w:rPr>
          <w:rFonts w:ascii="Times New Roman" w:eastAsia="Times New Roman" w:hAnsi="Times New Roman" w:cs="Times New Roman"/>
          <w:color w:val="0E101A"/>
          <w:sz w:val="24"/>
          <w:szCs w:val="24"/>
        </w:rPr>
        <w:lastRenderedPageBreak/>
        <w:t>presented minimal encouragers to exhibit these skills though it was still challenging and awkward at times due to the internet connec</w:t>
      </w:r>
      <w:r>
        <w:rPr>
          <w:rFonts w:ascii="Times New Roman" w:eastAsia="Times New Roman" w:hAnsi="Times New Roman" w:cs="Times New Roman"/>
          <w:color w:val="0E101A"/>
          <w:sz w:val="24"/>
          <w:szCs w:val="24"/>
        </w:rPr>
        <w:t xml:space="preserve">tion cutting out sporadically </w:t>
      </w:r>
      <w:r>
        <w:rPr>
          <w:rFonts w:ascii="Times New Roman" w:eastAsia="Times New Roman" w:hAnsi="Times New Roman" w:cs="Times New Roman"/>
          <w:sz w:val="24"/>
          <w:szCs w:val="24"/>
        </w:rPr>
        <w:t>(McCann et al., 2013).</w:t>
      </w:r>
      <w:r>
        <w:rPr>
          <w:rFonts w:ascii="Times New Roman" w:eastAsia="Times New Roman" w:hAnsi="Times New Roman" w:cs="Times New Roman"/>
          <w:color w:val="0E101A"/>
          <w:sz w:val="24"/>
          <w:szCs w:val="24"/>
        </w:rPr>
        <w:t xml:space="preserve">           </w:t>
      </w:r>
    </w:p>
    <w:p w14:paraId="0000000F"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A strength I noticed, through this reflection, is how I encourage the client to see their issue from a different perspective. For example, as I questioned why she felt she needed to isolate he</w:t>
      </w:r>
      <w:r>
        <w:rPr>
          <w:rFonts w:ascii="Times New Roman" w:eastAsia="Times New Roman" w:hAnsi="Times New Roman" w:cs="Times New Roman"/>
          <w:color w:val="0E101A"/>
          <w:sz w:val="24"/>
          <w:szCs w:val="24"/>
        </w:rPr>
        <w:t>rself from socialising with other students on her course, the client explained it was because she had not submitted any work and would not enjoy herself. The client then realised that it was not beneficial for her to not socialise as it could help take her</w:t>
      </w:r>
      <w:r>
        <w:rPr>
          <w:rFonts w:ascii="Times New Roman" w:eastAsia="Times New Roman" w:hAnsi="Times New Roman" w:cs="Times New Roman"/>
          <w:color w:val="0E101A"/>
          <w:sz w:val="24"/>
          <w:szCs w:val="24"/>
        </w:rPr>
        <w:t xml:space="preserve"> mind off the issues she is struggling with. I then ensured she knew how positive it was for her to realise this, which led to her understanding that maybe just focusing on one assignment at a time would be best to tackle this issue </w:t>
      </w:r>
      <w:r>
        <w:rPr>
          <w:rFonts w:ascii="Times New Roman" w:eastAsia="Times New Roman" w:hAnsi="Times New Roman" w:cs="Times New Roman"/>
          <w:sz w:val="24"/>
          <w:szCs w:val="24"/>
        </w:rPr>
        <w:t>(Williams et al., 2012)</w:t>
      </w:r>
      <w:r>
        <w:rPr>
          <w:rFonts w:ascii="Times New Roman" w:eastAsia="Times New Roman" w:hAnsi="Times New Roman" w:cs="Times New Roman"/>
          <w:sz w:val="24"/>
          <w:szCs w:val="24"/>
        </w:rPr>
        <w:t>.</w:t>
      </w:r>
    </w:p>
    <w:p w14:paraId="00000010"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found the ending of the session to be very positive. I ensured the client that I was there for them and welcomed any issues the client wanted to put forward without judgement. Understanding they are not alone and that any of the problems the client wan</w:t>
      </w:r>
      <w:r>
        <w:rPr>
          <w:rFonts w:ascii="Times New Roman" w:eastAsia="Times New Roman" w:hAnsi="Times New Roman" w:cs="Times New Roman"/>
          <w:color w:val="0E101A"/>
          <w:sz w:val="24"/>
          <w:szCs w:val="24"/>
        </w:rPr>
        <w:t>ted to talk about would be dealt with as a team. This is especially vital as the client needs to understand their feelings and emotions are valid and that it is a safe space for them to explore these emotions and thoughts they might have. I believe this wa</w:t>
      </w:r>
      <w:r>
        <w:rPr>
          <w:rFonts w:ascii="Times New Roman" w:eastAsia="Times New Roman" w:hAnsi="Times New Roman" w:cs="Times New Roman"/>
          <w:color w:val="0E101A"/>
          <w:sz w:val="24"/>
          <w:szCs w:val="24"/>
        </w:rPr>
        <w:t xml:space="preserve">s a beneficial learning curve for future experiences as I now understand how vital practising the core conditions, alongside reflection, is to </w:t>
      </w:r>
      <w:proofErr w:type="spellStart"/>
      <w:r>
        <w:rPr>
          <w:rFonts w:ascii="Times New Roman" w:eastAsia="Times New Roman" w:hAnsi="Times New Roman" w:cs="Times New Roman"/>
          <w:color w:val="0E101A"/>
          <w:sz w:val="24"/>
          <w:szCs w:val="24"/>
        </w:rPr>
        <w:t>furtheing</w:t>
      </w:r>
      <w:proofErr w:type="spellEnd"/>
      <w:r>
        <w:rPr>
          <w:rFonts w:ascii="Times New Roman" w:eastAsia="Times New Roman" w:hAnsi="Times New Roman" w:cs="Times New Roman"/>
          <w:color w:val="0E101A"/>
          <w:sz w:val="24"/>
          <w:szCs w:val="24"/>
        </w:rPr>
        <w:t xml:space="preserve"> my counselling skills. In future, I need to make sure I am physically and mentally fit for my client as</w:t>
      </w:r>
      <w:r>
        <w:rPr>
          <w:rFonts w:ascii="Times New Roman" w:eastAsia="Times New Roman" w:hAnsi="Times New Roman" w:cs="Times New Roman"/>
          <w:color w:val="0E101A"/>
          <w:sz w:val="24"/>
          <w:szCs w:val="24"/>
        </w:rPr>
        <w:t xml:space="preserve"> this can be detrimental to the client's experience, especially as it might come across as being uninterested and neglectful.</w:t>
      </w:r>
    </w:p>
    <w:p w14:paraId="00000011"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In conclusion, I felt that the atmosphere I created was inviting and calm without any visual distractions, as it should be. Howeve</w:t>
      </w:r>
      <w:r>
        <w:rPr>
          <w:rFonts w:ascii="Times New Roman" w:eastAsia="Times New Roman" w:hAnsi="Times New Roman" w:cs="Times New Roman"/>
          <w:color w:val="0E101A"/>
          <w:sz w:val="24"/>
          <w:szCs w:val="24"/>
        </w:rPr>
        <w:t>r, the lighting was an issue, as it got brighter from the sun you couldn't see my face clearly towards the end of the session. This can impact eye contact and ability to show emotion through facial expressions.</w:t>
      </w:r>
    </w:p>
    <w:p w14:paraId="00000012"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I believe that the experience I gained throug</w:t>
      </w:r>
      <w:r>
        <w:rPr>
          <w:rFonts w:ascii="Times New Roman" w:eastAsia="Times New Roman" w:hAnsi="Times New Roman" w:cs="Times New Roman"/>
          <w:color w:val="0E101A"/>
          <w:sz w:val="24"/>
          <w:szCs w:val="24"/>
        </w:rPr>
        <w:t xml:space="preserve">h these sessions and training has led me to reflect and further my counselling skills. Practising them daily has given me the confidence to approach situations differently to gain a better perspective. Thus, reflection has been a skill I've relied upon to </w:t>
      </w:r>
      <w:r>
        <w:rPr>
          <w:rFonts w:ascii="Times New Roman" w:eastAsia="Times New Roman" w:hAnsi="Times New Roman" w:cs="Times New Roman"/>
          <w:color w:val="0E101A"/>
          <w:sz w:val="24"/>
          <w:szCs w:val="24"/>
        </w:rPr>
        <w:t xml:space="preserve">do this. Gibbs reflective cycle (1988) has assisted me in achieving this, alongside implementing the helper’s model. I have found that these skills have also helped my emotional intelligence and strengthened my use of core conditions. Thus, has enabled me </w:t>
      </w:r>
      <w:r>
        <w:rPr>
          <w:rFonts w:ascii="Times New Roman" w:eastAsia="Times New Roman" w:hAnsi="Times New Roman" w:cs="Times New Roman"/>
          <w:color w:val="0E101A"/>
          <w:sz w:val="24"/>
          <w:szCs w:val="24"/>
        </w:rPr>
        <w:t xml:space="preserve">to create a safe space for addressing my own emotions and issues, which is the first step to being resilient </w:t>
      </w: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Wosket</w:t>
      </w:r>
      <w:proofErr w:type="spellEnd"/>
      <w:r>
        <w:rPr>
          <w:rFonts w:ascii="Times New Roman" w:eastAsia="Times New Roman" w:hAnsi="Times New Roman" w:cs="Times New Roman"/>
          <w:sz w:val="24"/>
          <w:szCs w:val="24"/>
        </w:rPr>
        <w:t>, 2008).</w:t>
      </w:r>
    </w:p>
    <w:p w14:paraId="00000013"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also understand that I need to be genuine and challenge my own limitations and find ways of working on them to become a better co</w:t>
      </w:r>
      <w:r>
        <w:rPr>
          <w:rFonts w:ascii="Times New Roman" w:eastAsia="Times New Roman" w:hAnsi="Times New Roman" w:cs="Times New Roman"/>
          <w:color w:val="0E101A"/>
          <w:sz w:val="24"/>
          <w:szCs w:val="24"/>
        </w:rPr>
        <w:t>unsellor. This will also broaden my learning agility and have a positive outcome. Once overcome, it can be turned into a strength.</w:t>
      </w:r>
    </w:p>
    <w:p w14:paraId="00000014" w14:textId="77777777" w:rsidR="00234D81" w:rsidRDefault="00893C1E">
      <w:pPr>
        <w:pBdr>
          <w:top w:val="nil"/>
          <w:left w:val="nil"/>
          <w:bottom w:val="nil"/>
          <w:right w:val="nil"/>
          <w:between w:val="nil"/>
        </w:pBdr>
        <w:spacing w:after="0"/>
        <w:ind w:left="0" w:firstLine="720"/>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w:t>
      </w:r>
    </w:p>
    <w:p w14:paraId="00000015" w14:textId="77777777" w:rsidR="00234D81" w:rsidRDefault="00234D81">
      <w:pPr>
        <w:ind w:firstLine="720"/>
        <w:rPr>
          <w:rFonts w:ascii="Times New Roman" w:eastAsia="Times New Roman" w:hAnsi="Times New Roman" w:cs="Times New Roman"/>
          <w:sz w:val="24"/>
          <w:szCs w:val="24"/>
        </w:rPr>
      </w:pPr>
    </w:p>
    <w:p w14:paraId="00000016" w14:textId="77777777" w:rsidR="00234D81" w:rsidRDefault="00234D81">
      <w:pPr>
        <w:rPr>
          <w:rFonts w:ascii="Times New Roman" w:eastAsia="Times New Roman" w:hAnsi="Times New Roman" w:cs="Times New Roman"/>
          <w:sz w:val="24"/>
          <w:szCs w:val="24"/>
        </w:rPr>
      </w:pPr>
    </w:p>
    <w:p w14:paraId="00000017" w14:textId="77777777" w:rsidR="00234D81" w:rsidRDefault="00234D81">
      <w:pPr>
        <w:rPr>
          <w:rFonts w:ascii="Times New Roman" w:eastAsia="Times New Roman" w:hAnsi="Times New Roman" w:cs="Times New Roman"/>
          <w:sz w:val="24"/>
          <w:szCs w:val="24"/>
        </w:rPr>
      </w:pPr>
    </w:p>
    <w:p w14:paraId="00000018" w14:textId="77777777" w:rsidR="00234D81" w:rsidRDefault="00234D81">
      <w:pPr>
        <w:rPr>
          <w:rFonts w:ascii="Times New Roman" w:eastAsia="Times New Roman" w:hAnsi="Times New Roman" w:cs="Times New Roman"/>
          <w:sz w:val="24"/>
          <w:szCs w:val="24"/>
        </w:rPr>
      </w:pPr>
    </w:p>
    <w:p w14:paraId="00000019" w14:textId="77777777" w:rsidR="00234D81" w:rsidRDefault="00234D81">
      <w:pPr>
        <w:rPr>
          <w:rFonts w:ascii="Times New Roman" w:eastAsia="Times New Roman" w:hAnsi="Times New Roman" w:cs="Times New Roman"/>
          <w:sz w:val="24"/>
          <w:szCs w:val="24"/>
        </w:rPr>
      </w:pPr>
    </w:p>
    <w:p w14:paraId="0000001A" w14:textId="77777777" w:rsidR="00234D81" w:rsidRDefault="00234D81">
      <w:pPr>
        <w:rPr>
          <w:rFonts w:ascii="Times New Roman" w:eastAsia="Times New Roman" w:hAnsi="Times New Roman" w:cs="Times New Roman"/>
          <w:sz w:val="24"/>
          <w:szCs w:val="24"/>
        </w:rPr>
      </w:pPr>
    </w:p>
    <w:p w14:paraId="0000001B" w14:textId="77777777" w:rsidR="00234D81" w:rsidRDefault="00234D81">
      <w:pPr>
        <w:rPr>
          <w:rFonts w:ascii="Times New Roman" w:eastAsia="Times New Roman" w:hAnsi="Times New Roman" w:cs="Times New Roman"/>
          <w:sz w:val="24"/>
          <w:szCs w:val="24"/>
        </w:rPr>
      </w:pPr>
    </w:p>
    <w:p w14:paraId="0000001C" w14:textId="77777777" w:rsidR="00234D81" w:rsidRDefault="00234D81">
      <w:pPr>
        <w:ind w:left="0" w:hanging="720"/>
        <w:rPr>
          <w:rFonts w:ascii="Times New Roman" w:eastAsia="Times New Roman" w:hAnsi="Times New Roman" w:cs="Times New Roman"/>
          <w:sz w:val="24"/>
          <w:szCs w:val="24"/>
        </w:rPr>
      </w:pPr>
    </w:p>
    <w:p w14:paraId="0000001D" w14:textId="77777777" w:rsidR="00234D81" w:rsidRDefault="00234D81">
      <w:pPr>
        <w:rPr>
          <w:rFonts w:ascii="Times New Roman" w:eastAsia="Times New Roman" w:hAnsi="Times New Roman" w:cs="Times New Roman"/>
          <w:sz w:val="24"/>
          <w:szCs w:val="24"/>
        </w:rPr>
      </w:pPr>
    </w:p>
    <w:p w14:paraId="0000001E" w14:textId="77777777" w:rsidR="00234D81" w:rsidRDefault="00234D81">
      <w:pPr>
        <w:ind w:left="0" w:hanging="720"/>
        <w:rPr>
          <w:rFonts w:ascii="Times New Roman" w:eastAsia="Times New Roman" w:hAnsi="Times New Roman" w:cs="Times New Roman"/>
          <w:sz w:val="24"/>
          <w:szCs w:val="24"/>
        </w:rPr>
      </w:pPr>
    </w:p>
    <w:p w14:paraId="0000001F" w14:textId="77777777" w:rsidR="00234D81" w:rsidRDefault="00893C1E">
      <w:pPr>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References</w:t>
      </w:r>
    </w:p>
    <w:p w14:paraId="00000020"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Bassot, B. (2015). The Reflective Practice Guide. </w:t>
      </w:r>
      <w:r>
        <w:rPr>
          <w:rFonts w:ascii="Times New Roman" w:eastAsia="Times New Roman" w:hAnsi="Times New Roman" w:cs="Times New Roman"/>
          <w:i/>
          <w:sz w:val="24"/>
          <w:szCs w:val="24"/>
        </w:rPr>
        <w:t>An Interdisciplinary Approach to Critical Reflection</w:t>
      </w:r>
      <w:r>
        <w:rPr>
          <w:rFonts w:ascii="Times New Roman" w:eastAsia="Times New Roman" w:hAnsi="Times New Roman" w:cs="Times New Roman"/>
          <w:sz w:val="24"/>
          <w:szCs w:val="24"/>
        </w:rPr>
        <w:t xml:space="preserve">. https://doi.org/10.4324/9781315768298 </w:t>
      </w:r>
    </w:p>
    <w:p w14:paraId="00000021"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Bedford, C. L. (2014). </w:t>
      </w:r>
      <w:r>
        <w:rPr>
          <w:rFonts w:ascii="Times New Roman" w:eastAsia="Times New Roman" w:hAnsi="Times New Roman" w:cs="Times New Roman"/>
          <w:i/>
          <w:sz w:val="24"/>
          <w:szCs w:val="24"/>
        </w:rPr>
        <w:t>The role of learning agility in Workplace Performance and Career Advancement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Proquest</w:t>
      </w:r>
      <w:proofErr w:type="spellEnd"/>
      <w:r>
        <w:rPr>
          <w:rFonts w:ascii="Times New Roman" w:eastAsia="Times New Roman" w:hAnsi="Times New Roman" w:cs="Times New Roman"/>
          <w:sz w:val="24"/>
          <w:szCs w:val="24"/>
        </w:rPr>
        <w:t xml:space="preserve">. </w:t>
      </w:r>
    </w:p>
    <w:p w14:paraId="00000022" w14:textId="77777777" w:rsidR="00234D81" w:rsidRDefault="00893C1E">
      <w:pPr>
        <w:spacing w:before="280" w:after="280" w:line="24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Boldero</w:t>
      </w:r>
      <w:proofErr w:type="spellEnd"/>
      <w:r>
        <w:rPr>
          <w:rFonts w:ascii="Times New Roman" w:eastAsia="Times New Roman" w:hAnsi="Times New Roman" w:cs="Times New Roman"/>
          <w:sz w:val="24"/>
          <w:szCs w:val="24"/>
        </w:rPr>
        <w:t>, J., &amp; Fallon, B. (1995). Adolescent help-s</w:t>
      </w:r>
      <w:r>
        <w:rPr>
          <w:rFonts w:ascii="Times New Roman" w:eastAsia="Times New Roman" w:hAnsi="Times New Roman" w:cs="Times New Roman"/>
          <w:sz w:val="24"/>
          <w:szCs w:val="24"/>
        </w:rPr>
        <w:t xml:space="preserve">eeking: What do they get help for and from whom? </w:t>
      </w:r>
      <w:r>
        <w:rPr>
          <w:rFonts w:ascii="Times New Roman" w:eastAsia="Times New Roman" w:hAnsi="Times New Roman" w:cs="Times New Roman"/>
          <w:i/>
          <w:sz w:val="24"/>
          <w:szCs w:val="24"/>
        </w:rPr>
        <w:t>Journal of Adolescence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18</w:t>
      </w:r>
      <w:r>
        <w:rPr>
          <w:rFonts w:ascii="Times New Roman" w:eastAsia="Times New Roman" w:hAnsi="Times New Roman" w:cs="Times New Roman"/>
          <w:sz w:val="24"/>
          <w:szCs w:val="24"/>
        </w:rPr>
        <w:t xml:space="preserve">(2), 193–209. https://doi.org/10.1006/jado.1995.1013 </w:t>
      </w:r>
    </w:p>
    <w:p w14:paraId="00000023" w14:textId="77777777" w:rsidR="00234D81" w:rsidRDefault="00893C1E">
      <w:pPr>
        <w:spacing w:before="280" w:after="280" w:line="24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Burzotta</w:t>
      </w:r>
      <w:proofErr w:type="spellEnd"/>
      <w:r>
        <w:rPr>
          <w:rFonts w:ascii="Times New Roman" w:eastAsia="Times New Roman" w:hAnsi="Times New Roman" w:cs="Times New Roman"/>
          <w:sz w:val="24"/>
          <w:szCs w:val="24"/>
        </w:rPr>
        <w:t xml:space="preserve">, L., &amp; Noble, H. (2011). The dimensions of Interprofessional Practice. </w:t>
      </w:r>
      <w:r>
        <w:rPr>
          <w:rFonts w:ascii="Times New Roman" w:eastAsia="Times New Roman" w:hAnsi="Times New Roman" w:cs="Times New Roman"/>
          <w:i/>
          <w:sz w:val="24"/>
          <w:szCs w:val="24"/>
        </w:rPr>
        <w:t>British Journal of Nursing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(5), 310–315. htt</w:t>
      </w:r>
      <w:r>
        <w:rPr>
          <w:rFonts w:ascii="Times New Roman" w:eastAsia="Times New Roman" w:hAnsi="Times New Roman" w:cs="Times New Roman"/>
          <w:sz w:val="24"/>
          <w:szCs w:val="24"/>
        </w:rPr>
        <w:t xml:space="preserve">ps://doi.org/10.12968/bjon.2011.20.5.310 </w:t>
      </w:r>
    </w:p>
    <w:p w14:paraId="00000024"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Dayton-Sakari, M. E., Liedtke, W. E., &amp; Ed, M. C. S. (1997). </w:t>
      </w:r>
      <w:r>
        <w:rPr>
          <w:rFonts w:ascii="Times New Roman" w:eastAsia="Times New Roman" w:hAnsi="Times New Roman" w:cs="Times New Roman"/>
          <w:i/>
          <w:sz w:val="24"/>
          <w:szCs w:val="24"/>
        </w:rPr>
        <w:t xml:space="preserve">Connections '96. proceedings of a faculty conference (2 </w:t>
      </w:r>
      <w:proofErr w:type="spellStart"/>
      <w:r>
        <w:rPr>
          <w:rFonts w:ascii="Times New Roman" w:eastAsia="Times New Roman" w:hAnsi="Times New Roman" w:cs="Times New Roman"/>
          <w:i/>
          <w:sz w:val="24"/>
          <w:szCs w:val="24"/>
        </w:rPr>
        <w:t>nd</w:t>
      </w:r>
      <w:proofErr w:type="spellEnd"/>
      <w:r>
        <w:rPr>
          <w:rFonts w:ascii="Times New Roman" w:eastAsia="Times New Roman" w:hAnsi="Times New Roman" w:cs="Times New Roman"/>
          <w:i/>
          <w:sz w:val="24"/>
          <w:szCs w:val="24"/>
        </w:rPr>
        <w:t>, Victoria, British Columbia, Canada, May 1996)</w:t>
      </w:r>
      <w:r>
        <w:rPr>
          <w:rFonts w:ascii="Times New Roman" w:eastAsia="Times New Roman" w:hAnsi="Times New Roman" w:cs="Times New Roman"/>
          <w:sz w:val="24"/>
          <w:szCs w:val="24"/>
        </w:rPr>
        <w:t xml:space="preserve">. University of Victoria. </w:t>
      </w:r>
    </w:p>
    <w:p w14:paraId="00000025"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DeSimone, D. C. (2022, February 11). </w:t>
      </w:r>
      <w:r>
        <w:rPr>
          <w:rFonts w:ascii="Times New Roman" w:eastAsia="Times New Roman" w:hAnsi="Times New Roman" w:cs="Times New Roman"/>
          <w:i/>
          <w:sz w:val="24"/>
          <w:szCs w:val="24"/>
        </w:rPr>
        <w:t>Unusual covid-19 symptoms: What are they?</w:t>
      </w:r>
      <w:r>
        <w:rPr>
          <w:rFonts w:ascii="Times New Roman" w:eastAsia="Times New Roman" w:hAnsi="Times New Roman" w:cs="Times New Roman"/>
          <w:sz w:val="24"/>
          <w:szCs w:val="24"/>
        </w:rPr>
        <w:t xml:space="preserve"> Mayo Clinic. Retrieved March 2, 2022, from ht</w:t>
      </w:r>
      <w:r>
        <w:rPr>
          <w:rFonts w:ascii="Times New Roman" w:eastAsia="Times New Roman" w:hAnsi="Times New Roman" w:cs="Times New Roman"/>
          <w:sz w:val="24"/>
          <w:szCs w:val="24"/>
        </w:rPr>
        <w:t xml:space="preserve">tps://www.mayoclinic.org/diseases-conditions/coronavirus/expert-answers/coronavirus-unusual-symptoms/faq-20487367 </w:t>
      </w:r>
    </w:p>
    <w:p w14:paraId="00000026"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Frankel, M., Rachlin, H., &amp; Yip-</w:t>
      </w:r>
      <w:proofErr w:type="spellStart"/>
      <w:r>
        <w:rPr>
          <w:rFonts w:ascii="Times New Roman" w:eastAsia="Times New Roman" w:hAnsi="Times New Roman" w:cs="Times New Roman"/>
          <w:sz w:val="24"/>
          <w:szCs w:val="24"/>
        </w:rPr>
        <w:t>Bannicq</w:t>
      </w:r>
      <w:proofErr w:type="spellEnd"/>
      <w:r>
        <w:rPr>
          <w:rFonts w:ascii="Times New Roman" w:eastAsia="Times New Roman" w:hAnsi="Times New Roman" w:cs="Times New Roman"/>
          <w:sz w:val="24"/>
          <w:szCs w:val="24"/>
        </w:rPr>
        <w:t>, M. (2012). How nondirective therapy directs: The power of empathy in the context of unconditional po</w:t>
      </w:r>
      <w:r>
        <w:rPr>
          <w:rFonts w:ascii="Times New Roman" w:eastAsia="Times New Roman" w:hAnsi="Times New Roman" w:cs="Times New Roman"/>
          <w:sz w:val="24"/>
          <w:szCs w:val="24"/>
        </w:rPr>
        <w:t xml:space="preserve">sitive regard. </w:t>
      </w:r>
      <w:r>
        <w:rPr>
          <w:rFonts w:ascii="Times New Roman" w:eastAsia="Times New Roman" w:hAnsi="Times New Roman" w:cs="Times New Roman"/>
          <w:i/>
          <w:sz w:val="24"/>
          <w:szCs w:val="24"/>
        </w:rPr>
        <w:t>Person-</w:t>
      </w:r>
      <w:proofErr w:type="spellStart"/>
      <w:r>
        <w:rPr>
          <w:rFonts w:ascii="Times New Roman" w:eastAsia="Times New Roman" w:hAnsi="Times New Roman" w:cs="Times New Roman"/>
          <w:i/>
          <w:sz w:val="24"/>
          <w:szCs w:val="24"/>
        </w:rPr>
        <w:t>Centered</w:t>
      </w:r>
      <w:proofErr w:type="spellEnd"/>
      <w:r>
        <w:rPr>
          <w:rFonts w:ascii="Times New Roman" w:eastAsia="Times New Roman" w:hAnsi="Times New Roman" w:cs="Times New Roman"/>
          <w:i/>
          <w:sz w:val="24"/>
          <w:szCs w:val="24"/>
        </w:rPr>
        <w:t xml:space="preserve"> &amp; Experiential Psychotherapies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xml:space="preserve">(3), 205–214. https://doi.org/10.1080/14779757.2012.695292 </w:t>
      </w:r>
    </w:p>
    <w:p w14:paraId="00000027"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Halpern, H. (2009). Supervision and the </w:t>
      </w:r>
      <w:proofErr w:type="spellStart"/>
      <w:r>
        <w:rPr>
          <w:rFonts w:ascii="Times New Roman" w:eastAsia="Times New Roman" w:hAnsi="Times New Roman" w:cs="Times New Roman"/>
          <w:sz w:val="24"/>
          <w:szCs w:val="24"/>
        </w:rPr>
        <w:t>johari</w:t>
      </w:r>
      <w:proofErr w:type="spellEnd"/>
      <w:r>
        <w:rPr>
          <w:rFonts w:ascii="Times New Roman" w:eastAsia="Times New Roman" w:hAnsi="Times New Roman" w:cs="Times New Roman"/>
          <w:sz w:val="24"/>
          <w:szCs w:val="24"/>
        </w:rPr>
        <w:t xml:space="preserve"> window: A framework for asking questions. </w:t>
      </w:r>
      <w:r>
        <w:rPr>
          <w:rFonts w:ascii="Times New Roman" w:eastAsia="Times New Roman" w:hAnsi="Times New Roman" w:cs="Times New Roman"/>
          <w:i/>
          <w:sz w:val="24"/>
          <w:szCs w:val="24"/>
        </w:rPr>
        <w:t>Education for Primary Care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20</w:t>
      </w:r>
      <w:r>
        <w:rPr>
          <w:rFonts w:ascii="Times New Roman" w:eastAsia="Times New Roman" w:hAnsi="Times New Roman" w:cs="Times New Roman"/>
          <w:sz w:val="24"/>
          <w:szCs w:val="24"/>
        </w:rPr>
        <w:t xml:space="preserve">(1), 10–14. </w:t>
      </w:r>
      <w:r>
        <w:rPr>
          <w:rFonts w:ascii="Times New Roman" w:eastAsia="Times New Roman" w:hAnsi="Times New Roman" w:cs="Times New Roman"/>
          <w:sz w:val="24"/>
          <w:szCs w:val="24"/>
        </w:rPr>
        <w:t xml:space="preserve">https://doi.org/10.1080/14739879.2009.11493757 </w:t>
      </w:r>
    </w:p>
    <w:p w14:paraId="00000028"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King, R., </w:t>
      </w:r>
      <w:proofErr w:type="spellStart"/>
      <w:r>
        <w:rPr>
          <w:rFonts w:ascii="Times New Roman" w:eastAsia="Times New Roman" w:hAnsi="Times New Roman" w:cs="Times New Roman"/>
          <w:sz w:val="24"/>
          <w:szCs w:val="24"/>
        </w:rPr>
        <w:t>Bambling</w:t>
      </w:r>
      <w:proofErr w:type="spellEnd"/>
      <w:r>
        <w:rPr>
          <w:rFonts w:ascii="Times New Roman" w:eastAsia="Times New Roman" w:hAnsi="Times New Roman" w:cs="Times New Roman"/>
          <w:sz w:val="24"/>
          <w:szCs w:val="24"/>
        </w:rPr>
        <w:t xml:space="preserve">, M., Lloyd, C., </w:t>
      </w:r>
      <w:proofErr w:type="spellStart"/>
      <w:r>
        <w:rPr>
          <w:rFonts w:ascii="Times New Roman" w:eastAsia="Times New Roman" w:hAnsi="Times New Roman" w:cs="Times New Roman"/>
          <w:sz w:val="24"/>
          <w:szCs w:val="24"/>
        </w:rPr>
        <w:t>Gomurra</w:t>
      </w:r>
      <w:proofErr w:type="spellEnd"/>
      <w:r>
        <w:rPr>
          <w:rFonts w:ascii="Times New Roman" w:eastAsia="Times New Roman" w:hAnsi="Times New Roman" w:cs="Times New Roman"/>
          <w:sz w:val="24"/>
          <w:szCs w:val="24"/>
        </w:rPr>
        <w:t>, R., Smith, S., Reid, W., &amp; Wegner, K. (2006). Online counselling: The motives and experiences of young people who choose the internet instead of face to face or tel</w:t>
      </w:r>
      <w:r>
        <w:rPr>
          <w:rFonts w:ascii="Times New Roman" w:eastAsia="Times New Roman" w:hAnsi="Times New Roman" w:cs="Times New Roman"/>
          <w:sz w:val="24"/>
          <w:szCs w:val="24"/>
        </w:rPr>
        <w:t xml:space="preserve">ephone counselling. </w:t>
      </w:r>
      <w:r>
        <w:rPr>
          <w:rFonts w:ascii="Times New Roman" w:eastAsia="Times New Roman" w:hAnsi="Times New Roman" w:cs="Times New Roman"/>
          <w:i/>
          <w:sz w:val="24"/>
          <w:szCs w:val="24"/>
        </w:rPr>
        <w:t>Counselling and Psychotherapy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 xml:space="preserve">(3), 169–174. https://doi.org/10.1080/14733140600848179 </w:t>
      </w:r>
    </w:p>
    <w:p w14:paraId="00000029"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MacCormack, T., Butow, P., Dunn, S., Roets, D., Remond, L., Lim, J., &amp; Simonian, J. (2001, January 26). </w:t>
      </w:r>
      <w:r>
        <w:rPr>
          <w:rFonts w:ascii="Times New Roman" w:eastAsia="Times New Roman" w:hAnsi="Times New Roman" w:cs="Times New Roman"/>
          <w:i/>
          <w:sz w:val="24"/>
          <w:szCs w:val="24"/>
        </w:rPr>
        <w:t>Cognitive-existential group therap</w:t>
      </w:r>
      <w:r>
        <w:rPr>
          <w:rFonts w:ascii="Times New Roman" w:eastAsia="Times New Roman" w:hAnsi="Times New Roman" w:cs="Times New Roman"/>
          <w:i/>
          <w:sz w:val="24"/>
          <w:szCs w:val="24"/>
        </w:rPr>
        <w:t>y for patients with primary breast cancer--techniques and themes</w:t>
      </w:r>
      <w:r>
        <w:rPr>
          <w:rFonts w:ascii="Times New Roman" w:eastAsia="Times New Roman" w:hAnsi="Times New Roman" w:cs="Times New Roman"/>
          <w:sz w:val="24"/>
          <w:szCs w:val="24"/>
        </w:rPr>
        <w:t xml:space="preserve">. Psycho-oncology. Retrieved February 21, 2022, from https://pubmed.ncbi.nlm.nih.gov/9126713/ </w:t>
      </w:r>
    </w:p>
    <w:p w14:paraId="0000002A"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McCann, C. M., Beddoe, E., McCormick, K., Huggard, P., Kedge, S., Adamson, C., &amp; Huggard, J. (201</w:t>
      </w:r>
      <w:r>
        <w:rPr>
          <w:rFonts w:ascii="Times New Roman" w:eastAsia="Times New Roman" w:hAnsi="Times New Roman" w:cs="Times New Roman"/>
          <w:sz w:val="24"/>
          <w:szCs w:val="24"/>
        </w:rPr>
        <w:t xml:space="preserve">3, March). </w:t>
      </w:r>
      <w:r>
        <w:rPr>
          <w:rFonts w:ascii="Times New Roman" w:eastAsia="Times New Roman" w:hAnsi="Times New Roman" w:cs="Times New Roman"/>
          <w:i/>
          <w:sz w:val="24"/>
          <w:szCs w:val="24"/>
        </w:rPr>
        <w:t>Resilience in the health professions: A review of recent literature</w:t>
      </w:r>
      <w:r>
        <w:rPr>
          <w:rFonts w:ascii="Times New Roman" w:eastAsia="Times New Roman" w:hAnsi="Times New Roman" w:cs="Times New Roman"/>
          <w:sz w:val="24"/>
          <w:szCs w:val="24"/>
        </w:rPr>
        <w:t xml:space="preserve">. International Journal of Wellbeing. Retrieved February 23, 2022, from https://internationaljournalofwellbeing.org/index.php/ijow/article/view/153 </w:t>
      </w:r>
    </w:p>
    <w:p w14:paraId="0000002B"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McLeod, J. (2011). </w:t>
      </w:r>
      <w:r>
        <w:rPr>
          <w:rFonts w:ascii="Times New Roman" w:eastAsia="Times New Roman" w:hAnsi="Times New Roman" w:cs="Times New Roman"/>
          <w:i/>
          <w:sz w:val="24"/>
          <w:szCs w:val="24"/>
        </w:rPr>
        <w:t>Counsellin</w:t>
      </w:r>
      <w:r>
        <w:rPr>
          <w:rFonts w:ascii="Times New Roman" w:eastAsia="Times New Roman" w:hAnsi="Times New Roman" w:cs="Times New Roman"/>
          <w:i/>
          <w:sz w:val="24"/>
          <w:szCs w:val="24"/>
        </w:rPr>
        <w:t>g skills: A practical guide for counsellors and helping professionals: A practical guide for counsellors and helping professionals</w:t>
      </w:r>
      <w:r>
        <w:rPr>
          <w:rFonts w:ascii="Times New Roman" w:eastAsia="Times New Roman" w:hAnsi="Times New Roman" w:cs="Times New Roman"/>
          <w:sz w:val="24"/>
          <w:szCs w:val="24"/>
        </w:rPr>
        <w:t xml:space="preserve">. Open University Press. </w:t>
      </w:r>
    </w:p>
    <w:p w14:paraId="0000002C" w14:textId="77777777" w:rsidR="00234D81" w:rsidRDefault="00893C1E">
      <w:pPr>
        <w:spacing w:before="280" w:after="280" w:line="24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Pakiz</w:t>
      </w:r>
      <w:proofErr w:type="spellEnd"/>
      <w:r>
        <w:rPr>
          <w:rFonts w:ascii="Times New Roman" w:eastAsia="Times New Roman" w:hAnsi="Times New Roman" w:cs="Times New Roman"/>
          <w:sz w:val="24"/>
          <w:szCs w:val="24"/>
        </w:rPr>
        <w:t xml:space="preserve">, B., Giaconia, R. M., Lefkowitz, E. S., </w:t>
      </w:r>
      <w:proofErr w:type="spellStart"/>
      <w:r>
        <w:rPr>
          <w:rFonts w:ascii="Times New Roman" w:eastAsia="Times New Roman" w:hAnsi="Times New Roman" w:cs="Times New Roman"/>
          <w:sz w:val="24"/>
          <w:szCs w:val="24"/>
        </w:rPr>
        <w:t>Reinherz</w:t>
      </w:r>
      <w:proofErr w:type="spellEnd"/>
      <w:r>
        <w:rPr>
          <w:rFonts w:ascii="Times New Roman" w:eastAsia="Times New Roman" w:hAnsi="Times New Roman" w:cs="Times New Roman"/>
          <w:sz w:val="24"/>
          <w:szCs w:val="24"/>
        </w:rPr>
        <w:t xml:space="preserve">, H. Z., &amp; Frost, A. K. (1993). Prevalence of </w:t>
      </w:r>
      <w:r>
        <w:rPr>
          <w:rFonts w:ascii="Times New Roman" w:eastAsia="Times New Roman" w:hAnsi="Times New Roman" w:cs="Times New Roman"/>
          <w:sz w:val="24"/>
          <w:szCs w:val="24"/>
        </w:rPr>
        <w:t xml:space="preserve">psychiatric disorders in a community population of older adolescents. </w:t>
      </w:r>
      <w:r>
        <w:rPr>
          <w:rFonts w:ascii="Times New Roman" w:eastAsia="Times New Roman" w:hAnsi="Times New Roman" w:cs="Times New Roman"/>
          <w:i/>
          <w:sz w:val="24"/>
          <w:szCs w:val="24"/>
        </w:rPr>
        <w:t>Journal of the American Academy of Child &amp; Adolescent Psychiatry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 xml:space="preserve">(2), 369–377. https://doi.org/10.1097/00004583-199303000-00019 </w:t>
      </w:r>
    </w:p>
    <w:p w14:paraId="0000002D" w14:textId="77777777" w:rsidR="00234D81" w:rsidRDefault="00893C1E">
      <w:pPr>
        <w:spacing w:before="280" w:after="280" w:line="24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Rautalinko</w:t>
      </w:r>
      <w:proofErr w:type="spellEnd"/>
      <w:r>
        <w:rPr>
          <w:rFonts w:ascii="Times New Roman" w:eastAsia="Times New Roman" w:hAnsi="Times New Roman" w:cs="Times New Roman"/>
          <w:sz w:val="24"/>
          <w:szCs w:val="24"/>
        </w:rPr>
        <w:t>, E. (2013). Reflective listening and open-e</w:t>
      </w:r>
      <w:r>
        <w:rPr>
          <w:rFonts w:ascii="Times New Roman" w:eastAsia="Times New Roman" w:hAnsi="Times New Roman" w:cs="Times New Roman"/>
          <w:sz w:val="24"/>
          <w:szCs w:val="24"/>
        </w:rPr>
        <w:t xml:space="preserve">nded questions in counselling: Preferences moderated by social skills and cognitive ability. </w:t>
      </w:r>
      <w:r>
        <w:rPr>
          <w:rFonts w:ascii="Times New Roman" w:eastAsia="Times New Roman" w:hAnsi="Times New Roman" w:cs="Times New Roman"/>
          <w:i/>
          <w:sz w:val="24"/>
          <w:szCs w:val="24"/>
        </w:rPr>
        <w:t>Counselling and Psychotherapy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 xml:space="preserve">(1), 24–31. https://doi.org/10.1080/14733145.2012.687387 </w:t>
      </w:r>
    </w:p>
    <w:p w14:paraId="0000002E"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Schwartz, M. D., Valdimarsdottir, H. B., </w:t>
      </w:r>
      <w:proofErr w:type="spellStart"/>
      <w:r>
        <w:rPr>
          <w:rFonts w:ascii="Times New Roman" w:eastAsia="Times New Roman" w:hAnsi="Times New Roman" w:cs="Times New Roman"/>
          <w:sz w:val="24"/>
          <w:szCs w:val="24"/>
        </w:rPr>
        <w:t>Peshkin</w:t>
      </w:r>
      <w:proofErr w:type="spellEnd"/>
      <w:r>
        <w:rPr>
          <w:rFonts w:ascii="Times New Roman" w:eastAsia="Times New Roman" w:hAnsi="Times New Roman" w:cs="Times New Roman"/>
          <w:sz w:val="24"/>
          <w:szCs w:val="24"/>
        </w:rPr>
        <w:t xml:space="preserve">, B. N., </w:t>
      </w:r>
      <w:proofErr w:type="spellStart"/>
      <w:r>
        <w:rPr>
          <w:rFonts w:ascii="Times New Roman" w:eastAsia="Times New Roman" w:hAnsi="Times New Roman" w:cs="Times New Roman"/>
          <w:sz w:val="24"/>
          <w:szCs w:val="24"/>
        </w:rPr>
        <w:t>Mandel</w:t>
      </w:r>
      <w:r>
        <w:rPr>
          <w:rFonts w:ascii="Times New Roman" w:eastAsia="Times New Roman" w:hAnsi="Times New Roman" w:cs="Times New Roman"/>
          <w:sz w:val="24"/>
          <w:szCs w:val="24"/>
        </w:rPr>
        <w:t>blatt</w:t>
      </w:r>
      <w:proofErr w:type="spellEnd"/>
      <w:r>
        <w:rPr>
          <w:rFonts w:ascii="Times New Roman" w:eastAsia="Times New Roman" w:hAnsi="Times New Roman" w:cs="Times New Roman"/>
          <w:sz w:val="24"/>
          <w:szCs w:val="24"/>
        </w:rPr>
        <w:t xml:space="preserve">, J., Nusbaum, R., Huang, A.-T., Chang, Y., Graves, K., Isaacs, C., Wood, M., McKinnon, W., Garber, J., McCormick, S., Kinney, A. Y., Luta, G., Kelleher, S., Leventhal, K.-G., </w:t>
      </w:r>
      <w:proofErr w:type="spellStart"/>
      <w:r>
        <w:rPr>
          <w:rFonts w:ascii="Times New Roman" w:eastAsia="Times New Roman" w:hAnsi="Times New Roman" w:cs="Times New Roman"/>
          <w:sz w:val="24"/>
          <w:szCs w:val="24"/>
        </w:rPr>
        <w:t>Vegella</w:t>
      </w:r>
      <w:proofErr w:type="spellEnd"/>
      <w:r>
        <w:rPr>
          <w:rFonts w:ascii="Times New Roman" w:eastAsia="Times New Roman" w:hAnsi="Times New Roman" w:cs="Times New Roman"/>
          <w:sz w:val="24"/>
          <w:szCs w:val="24"/>
        </w:rPr>
        <w:t>, P., Tong, A., &amp; King, L. (2014). Randomized noninferiority trial o</w:t>
      </w:r>
      <w:r>
        <w:rPr>
          <w:rFonts w:ascii="Times New Roman" w:eastAsia="Times New Roman" w:hAnsi="Times New Roman" w:cs="Times New Roman"/>
          <w:sz w:val="24"/>
          <w:szCs w:val="24"/>
        </w:rPr>
        <w:t xml:space="preserve">f telephone versus in-person genetic </w:t>
      </w:r>
      <w:proofErr w:type="spellStart"/>
      <w:r>
        <w:rPr>
          <w:rFonts w:ascii="Times New Roman" w:eastAsia="Times New Roman" w:hAnsi="Times New Roman" w:cs="Times New Roman"/>
          <w:sz w:val="24"/>
          <w:szCs w:val="24"/>
        </w:rPr>
        <w:t>counseling</w:t>
      </w:r>
      <w:proofErr w:type="spellEnd"/>
      <w:r>
        <w:rPr>
          <w:rFonts w:ascii="Times New Roman" w:eastAsia="Times New Roman" w:hAnsi="Times New Roman" w:cs="Times New Roman"/>
          <w:sz w:val="24"/>
          <w:szCs w:val="24"/>
        </w:rPr>
        <w:t xml:space="preserve"> for hereditary breast and ovarian cancer. </w:t>
      </w:r>
      <w:r>
        <w:rPr>
          <w:rFonts w:ascii="Times New Roman" w:eastAsia="Times New Roman" w:hAnsi="Times New Roman" w:cs="Times New Roman"/>
          <w:i/>
          <w:sz w:val="24"/>
          <w:szCs w:val="24"/>
        </w:rPr>
        <w:t>Journal of Clinical Oncology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32</w:t>
      </w:r>
      <w:r>
        <w:rPr>
          <w:rFonts w:ascii="Times New Roman" w:eastAsia="Times New Roman" w:hAnsi="Times New Roman" w:cs="Times New Roman"/>
          <w:sz w:val="24"/>
          <w:szCs w:val="24"/>
        </w:rPr>
        <w:t xml:space="preserve">(7), 618–626. https://doi.org/10.1200/jco.2013.51.3226 </w:t>
      </w:r>
    </w:p>
    <w:p w14:paraId="0000002F"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Senge, P. M. (1997). The fifth discipline. </w:t>
      </w:r>
      <w:r>
        <w:rPr>
          <w:rFonts w:ascii="Times New Roman" w:eastAsia="Times New Roman" w:hAnsi="Times New Roman" w:cs="Times New Roman"/>
          <w:i/>
          <w:sz w:val="24"/>
          <w:szCs w:val="24"/>
        </w:rPr>
        <w:t>Measuring Business Excellence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46–51. https://doi.org/10.1108/eb025496 </w:t>
      </w:r>
    </w:p>
    <w:p w14:paraId="00000030"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Sharpley, C. F., </w:t>
      </w:r>
      <w:proofErr w:type="spellStart"/>
      <w:r>
        <w:rPr>
          <w:rFonts w:ascii="Times New Roman" w:eastAsia="Times New Roman" w:hAnsi="Times New Roman" w:cs="Times New Roman"/>
          <w:sz w:val="24"/>
          <w:szCs w:val="24"/>
        </w:rPr>
        <w:t>Fairnie</w:t>
      </w:r>
      <w:proofErr w:type="spellEnd"/>
      <w:r>
        <w:rPr>
          <w:rFonts w:ascii="Times New Roman" w:eastAsia="Times New Roman" w:hAnsi="Times New Roman" w:cs="Times New Roman"/>
          <w:sz w:val="24"/>
          <w:szCs w:val="24"/>
        </w:rPr>
        <w:t xml:space="preserve">, E., Tabary-Collins, E., Bates, R., &amp; Lee, P. (2010). The use of counsellor verbal response modes and client-perceived rapport. </w:t>
      </w:r>
      <w:r>
        <w:rPr>
          <w:rFonts w:ascii="Times New Roman" w:eastAsia="Times New Roman" w:hAnsi="Times New Roman" w:cs="Times New Roman"/>
          <w:i/>
          <w:sz w:val="24"/>
          <w:szCs w:val="24"/>
        </w:rPr>
        <w:t>Counselling Psychology Quarterly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w:t>
      </w:r>
      <w:r>
        <w:rPr>
          <w:rFonts w:ascii="Times New Roman" w:eastAsia="Times New Roman" w:hAnsi="Times New Roman" w:cs="Times New Roman"/>
          <w:sz w:val="24"/>
          <w:szCs w:val="24"/>
        </w:rPr>
        <w:t xml:space="preserve">(1), 99–116. https://doi.org/10.1080/09515070050011097 </w:t>
      </w:r>
    </w:p>
    <w:p w14:paraId="00000031" w14:textId="77777777" w:rsidR="00234D81" w:rsidRDefault="00893C1E">
      <w:pPr>
        <w:spacing w:before="280" w:after="280" w:line="240" w:lineRule="auto"/>
        <w:ind w:left="567" w:hanging="567"/>
        <w:rPr>
          <w:rFonts w:ascii="Times New Roman" w:eastAsia="Times New Roman" w:hAnsi="Times New Roman" w:cs="Times New Roman"/>
          <w:sz w:val="24"/>
          <w:szCs w:val="24"/>
        </w:rPr>
      </w:pPr>
      <w:r>
        <w:rPr>
          <w:rFonts w:ascii="Times New Roman" w:eastAsia="Times New Roman" w:hAnsi="Times New Roman" w:cs="Times New Roman"/>
          <w:sz w:val="24"/>
          <w:szCs w:val="24"/>
        </w:rPr>
        <w:t>Williams, K</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Woolliams</w:t>
      </w:r>
      <w:proofErr w:type="spellEnd"/>
      <w:r>
        <w:rPr>
          <w:rFonts w:ascii="Times New Roman" w:eastAsia="Times New Roman" w:hAnsi="Times New Roman" w:cs="Times New Roman"/>
          <w:sz w:val="24"/>
          <w:szCs w:val="24"/>
        </w:rPr>
        <w:t xml:space="preserve">, M., &amp; Spiro, J. (2012). Using a framework for Reflection: Gibbs’ reflective cycle. </w:t>
      </w:r>
      <w:r>
        <w:rPr>
          <w:rFonts w:ascii="Times New Roman" w:eastAsia="Times New Roman" w:hAnsi="Times New Roman" w:cs="Times New Roman"/>
          <w:i/>
          <w:sz w:val="24"/>
          <w:szCs w:val="24"/>
        </w:rPr>
        <w:t>Reflective Writing</w:t>
      </w:r>
      <w:r>
        <w:rPr>
          <w:rFonts w:ascii="Times New Roman" w:eastAsia="Times New Roman" w:hAnsi="Times New Roman" w:cs="Times New Roman"/>
          <w:sz w:val="24"/>
          <w:szCs w:val="24"/>
        </w:rPr>
        <w:t xml:space="preserve">, 90–102. https://doi.org/10.1007/978-0-230-37724-0_16 </w:t>
      </w:r>
    </w:p>
    <w:p w14:paraId="00000032" w14:textId="77777777" w:rsidR="00234D81" w:rsidRDefault="00893C1E">
      <w:pPr>
        <w:spacing w:before="280" w:after="280" w:line="240" w:lineRule="auto"/>
        <w:ind w:left="567" w:hanging="567"/>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Wosket</w:t>
      </w:r>
      <w:proofErr w:type="spellEnd"/>
      <w:r>
        <w:rPr>
          <w:rFonts w:ascii="Times New Roman" w:eastAsia="Times New Roman" w:hAnsi="Times New Roman" w:cs="Times New Roman"/>
          <w:sz w:val="24"/>
          <w:szCs w:val="24"/>
        </w:rPr>
        <w:t xml:space="preserve">, V. (2008). Egan's skilled helper model. </w:t>
      </w:r>
      <w:r>
        <w:rPr>
          <w:rFonts w:ascii="Times New Roman" w:eastAsia="Times New Roman" w:hAnsi="Times New Roman" w:cs="Times New Roman"/>
          <w:i/>
          <w:sz w:val="24"/>
          <w:szCs w:val="24"/>
        </w:rPr>
        <w:t>Developments and Implications in Coun</w:t>
      </w:r>
      <w:r>
        <w:rPr>
          <w:rFonts w:ascii="Times New Roman" w:eastAsia="Times New Roman" w:hAnsi="Times New Roman" w:cs="Times New Roman"/>
          <w:i/>
          <w:sz w:val="24"/>
          <w:szCs w:val="24"/>
        </w:rPr>
        <w:t>selling</w:t>
      </w:r>
      <w:r>
        <w:rPr>
          <w:rFonts w:ascii="Times New Roman" w:eastAsia="Times New Roman" w:hAnsi="Times New Roman" w:cs="Times New Roman"/>
          <w:sz w:val="24"/>
          <w:szCs w:val="24"/>
        </w:rPr>
        <w:t xml:space="preserve">. https://doi.org/10.4324/9780203965153 </w:t>
      </w:r>
    </w:p>
    <w:p w14:paraId="00000033" w14:textId="77777777" w:rsidR="00234D81" w:rsidRDefault="00234D81">
      <w:pPr>
        <w:spacing w:before="280" w:line="240" w:lineRule="auto"/>
        <w:ind w:left="567" w:hanging="567"/>
        <w:rPr>
          <w:rFonts w:ascii="Times New Roman" w:eastAsia="Times New Roman" w:hAnsi="Times New Roman" w:cs="Times New Roman"/>
          <w:sz w:val="24"/>
          <w:szCs w:val="24"/>
        </w:rPr>
      </w:pPr>
    </w:p>
    <w:sectPr w:rsidR="00234D81">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D81"/>
    <w:rsid w:val="00234D81"/>
    <w:rsid w:val="006C0DB6"/>
    <w:rsid w:val="00893C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C6670"/>
  <w15:docId w15:val="{F7CF03C3-52BA-4095-8983-8517734F7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480"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7</Pages>
  <Words>2008</Words>
  <Characters>11449</Characters>
  <Application>Microsoft Office Word</Application>
  <DocSecurity>0</DocSecurity>
  <Lines>95</Lines>
  <Paragraphs>26</Paragraphs>
  <ScaleCrop>false</ScaleCrop>
  <Company/>
  <LinksUpToDate>false</LinksUpToDate>
  <CharactersWithSpaces>13431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Sabha Mahmood</cp:lastModifiedBy>
  <cp:revision>3</cp:revision>
  <dcterms:created xsi:type="dcterms:W3CDTF">2022-04-13T20:26:00Z</dcterms:created>
  <dcterms:modified xsi:type="dcterms:W3CDTF">2022-04-13T20:27:00Z</dcterms:modified>
</cp:coreProperties>
</file>