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E4310" w14:textId="1DA2C4BF" w:rsidR="0077521B" w:rsidRPr="006E59F6" w:rsidRDefault="0077521B" w:rsidP="006E59F6">
      <w:pPr>
        <w:spacing w:line="360" w:lineRule="auto"/>
        <w:jc w:val="center"/>
        <w:rPr>
          <w:rFonts w:ascii="Times New Roman" w:hAnsi="Times New Roman" w:cs="Times New Roman"/>
          <w:b/>
          <w:bCs/>
          <w:sz w:val="72"/>
          <w:szCs w:val="72"/>
        </w:rPr>
      </w:pPr>
      <w:r w:rsidRPr="006E59F6">
        <w:rPr>
          <w:rFonts w:ascii="Times New Roman" w:hAnsi="Times New Roman" w:cs="Times New Roman"/>
          <w:b/>
          <w:bCs/>
          <w:sz w:val="72"/>
          <w:szCs w:val="72"/>
        </w:rPr>
        <w:t>Breaking Barriers: Enhancing Accessibility in the Hospitality Industry</w:t>
      </w:r>
    </w:p>
    <w:p w14:paraId="6358B9F5" w14:textId="77777777" w:rsidR="0077521B" w:rsidRDefault="0077521B" w:rsidP="0077521B">
      <w:pPr>
        <w:spacing w:line="480" w:lineRule="auto"/>
        <w:jc w:val="center"/>
        <w:rPr>
          <w:rFonts w:ascii="Times New Roman" w:hAnsi="Times New Roman" w:cs="Times New Roman"/>
          <w:b/>
          <w:bCs/>
          <w:i/>
          <w:iCs/>
          <w:sz w:val="48"/>
          <w:szCs w:val="48"/>
        </w:rPr>
      </w:pPr>
    </w:p>
    <w:p w14:paraId="61E08937" w14:textId="77777777" w:rsidR="0077521B" w:rsidRDefault="0077521B" w:rsidP="0077521B">
      <w:pPr>
        <w:spacing w:line="480" w:lineRule="auto"/>
        <w:jc w:val="center"/>
        <w:rPr>
          <w:rFonts w:ascii="Times New Roman" w:hAnsi="Times New Roman" w:cs="Times New Roman"/>
          <w:b/>
          <w:bCs/>
          <w:i/>
          <w:iCs/>
          <w:sz w:val="48"/>
          <w:szCs w:val="48"/>
        </w:rPr>
      </w:pPr>
    </w:p>
    <w:p w14:paraId="7450F788" w14:textId="77777777" w:rsidR="0077521B" w:rsidRDefault="0077521B" w:rsidP="0077521B">
      <w:pPr>
        <w:spacing w:line="480" w:lineRule="auto"/>
        <w:jc w:val="center"/>
        <w:rPr>
          <w:rFonts w:ascii="Times New Roman" w:hAnsi="Times New Roman" w:cs="Times New Roman"/>
          <w:b/>
          <w:bCs/>
          <w:i/>
          <w:iCs/>
          <w:sz w:val="48"/>
          <w:szCs w:val="48"/>
        </w:rPr>
      </w:pPr>
    </w:p>
    <w:p w14:paraId="4E38572D" w14:textId="77777777" w:rsidR="0077521B" w:rsidRPr="0077521B" w:rsidRDefault="0077521B" w:rsidP="006E59F6">
      <w:pPr>
        <w:spacing w:line="480" w:lineRule="auto"/>
        <w:rPr>
          <w:rFonts w:ascii="Times New Roman" w:hAnsi="Times New Roman" w:cs="Times New Roman"/>
          <w:b/>
          <w:bCs/>
          <w:sz w:val="48"/>
          <w:szCs w:val="48"/>
        </w:rPr>
      </w:pPr>
    </w:p>
    <w:p w14:paraId="62CF8D35" w14:textId="56C16638" w:rsidR="0077521B" w:rsidRPr="006E59F6" w:rsidRDefault="0077521B" w:rsidP="004D2B1F">
      <w:pPr>
        <w:spacing w:after="0" w:line="360" w:lineRule="auto"/>
        <w:rPr>
          <w:rFonts w:ascii="Times New Roman" w:hAnsi="Times New Roman" w:cs="Times New Roman"/>
          <w:b/>
          <w:bCs/>
          <w:sz w:val="36"/>
          <w:szCs w:val="36"/>
        </w:rPr>
      </w:pPr>
      <w:r w:rsidRPr="006E59F6">
        <w:rPr>
          <w:rFonts w:ascii="Times New Roman" w:hAnsi="Times New Roman" w:cs="Times New Roman"/>
          <w:b/>
          <w:bCs/>
          <w:sz w:val="36"/>
          <w:szCs w:val="36"/>
        </w:rPr>
        <w:t>Student Name: Ciprian Anghel</w:t>
      </w:r>
      <w:r w:rsidRPr="006E59F6">
        <w:rPr>
          <w:rFonts w:ascii="Times New Roman" w:hAnsi="Times New Roman" w:cs="Times New Roman"/>
          <w:b/>
          <w:bCs/>
          <w:sz w:val="36"/>
          <w:szCs w:val="36"/>
        </w:rPr>
        <w:br/>
        <w:t>Student Number: 2223637</w:t>
      </w:r>
      <w:r w:rsidRPr="006E59F6">
        <w:rPr>
          <w:rFonts w:ascii="Times New Roman" w:hAnsi="Times New Roman" w:cs="Times New Roman"/>
          <w:b/>
          <w:bCs/>
          <w:sz w:val="36"/>
          <w:szCs w:val="36"/>
        </w:rPr>
        <w:br/>
        <w:t>Module Title: International Meetings Management BMIH6007</w:t>
      </w:r>
      <w:r w:rsidRPr="006E59F6">
        <w:rPr>
          <w:rFonts w:ascii="Times New Roman" w:hAnsi="Times New Roman" w:cs="Times New Roman"/>
          <w:b/>
          <w:bCs/>
          <w:sz w:val="36"/>
          <w:szCs w:val="36"/>
        </w:rPr>
        <w:br/>
        <w:t>Lecturer’s Name:</w:t>
      </w:r>
      <w:r w:rsidRPr="006E59F6">
        <w:rPr>
          <w:sz w:val="36"/>
          <w:szCs w:val="36"/>
        </w:rPr>
        <w:t xml:space="preserve"> </w:t>
      </w:r>
      <w:r w:rsidRPr="006E59F6">
        <w:rPr>
          <w:rFonts w:ascii="Times New Roman" w:hAnsi="Times New Roman" w:cs="Times New Roman"/>
          <w:b/>
          <w:bCs/>
          <w:sz w:val="36"/>
          <w:szCs w:val="36"/>
        </w:rPr>
        <w:t>Kathryn Flynn</w:t>
      </w:r>
    </w:p>
    <w:p w14:paraId="1665C374" w14:textId="4EE171CD" w:rsidR="004D2B1F" w:rsidRPr="006E59F6" w:rsidRDefault="004D2B1F" w:rsidP="004D2B1F">
      <w:pPr>
        <w:spacing w:after="0" w:line="360" w:lineRule="auto"/>
        <w:rPr>
          <w:rFonts w:ascii="Times New Roman" w:hAnsi="Times New Roman" w:cs="Times New Roman"/>
          <w:b/>
          <w:bCs/>
          <w:sz w:val="36"/>
          <w:szCs w:val="36"/>
        </w:rPr>
      </w:pPr>
      <w:r w:rsidRPr="006E59F6">
        <w:rPr>
          <w:rFonts w:ascii="Times New Roman" w:hAnsi="Times New Roman" w:cs="Times New Roman"/>
          <w:b/>
          <w:bCs/>
          <w:sz w:val="36"/>
          <w:szCs w:val="36"/>
        </w:rPr>
        <w:t>Word count:</w:t>
      </w:r>
      <w:r w:rsidR="006D590A" w:rsidRPr="006E59F6">
        <w:rPr>
          <w:rFonts w:ascii="Times New Roman" w:hAnsi="Times New Roman" w:cs="Times New Roman"/>
          <w:b/>
          <w:bCs/>
          <w:sz w:val="36"/>
          <w:szCs w:val="36"/>
        </w:rPr>
        <w:t xml:space="preserve"> 27</w:t>
      </w:r>
      <w:r w:rsidR="001815DF">
        <w:rPr>
          <w:rFonts w:ascii="Times New Roman" w:hAnsi="Times New Roman" w:cs="Times New Roman"/>
          <w:b/>
          <w:bCs/>
          <w:sz w:val="36"/>
          <w:szCs w:val="36"/>
        </w:rPr>
        <w:t>54</w:t>
      </w:r>
      <w:r w:rsidR="006D590A" w:rsidRPr="006E59F6">
        <w:rPr>
          <w:rFonts w:ascii="Times New Roman" w:hAnsi="Times New Roman" w:cs="Times New Roman"/>
          <w:b/>
          <w:bCs/>
          <w:sz w:val="36"/>
          <w:szCs w:val="36"/>
        </w:rPr>
        <w:t xml:space="preserve"> words</w:t>
      </w:r>
    </w:p>
    <w:p w14:paraId="72CE26FC" w14:textId="77777777" w:rsidR="0077521B" w:rsidRDefault="0077521B" w:rsidP="0077521B">
      <w:pPr>
        <w:spacing w:line="480" w:lineRule="auto"/>
        <w:rPr>
          <w:rFonts w:ascii="Times New Roman" w:hAnsi="Times New Roman" w:cs="Times New Roman"/>
          <w:sz w:val="24"/>
          <w:szCs w:val="24"/>
        </w:rPr>
      </w:pPr>
    </w:p>
    <w:p w14:paraId="1B08F48E" w14:textId="77777777" w:rsidR="00DE13B2" w:rsidRPr="00C15066" w:rsidRDefault="00DE13B2" w:rsidP="00DE13B2">
      <w:pPr>
        <w:spacing w:line="360" w:lineRule="auto"/>
        <w:jc w:val="both"/>
        <w:rPr>
          <w:rFonts w:ascii="Times New Roman" w:hAnsi="Times New Roman" w:cs="Times New Roman"/>
          <w:b/>
          <w:bCs/>
          <w:sz w:val="24"/>
          <w:szCs w:val="24"/>
        </w:rPr>
      </w:pPr>
      <w:r w:rsidRPr="00C15066">
        <w:rPr>
          <w:rFonts w:ascii="Times New Roman" w:hAnsi="Times New Roman" w:cs="Times New Roman"/>
          <w:b/>
          <w:bCs/>
          <w:sz w:val="24"/>
          <w:szCs w:val="24"/>
        </w:rPr>
        <w:lastRenderedPageBreak/>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0CBB59F8" w14:textId="77777777" w:rsidR="004D2B1F" w:rsidRPr="004D2B1F" w:rsidRDefault="004D2B1F" w:rsidP="004D2B1F">
      <w:pPr>
        <w:spacing w:line="480" w:lineRule="auto"/>
        <w:rPr>
          <w:rFonts w:ascii="Times New Roman" w:hAnsi="Times New Roman" w:cs="Times New Roman"/>
          <w:b/>
          <w:sz w:val="32"/>
          <w:szCs w:val="32"/>
        </w:rPr>
      </w:pPr>
      <w:r w:rsidRPr="004D2B1F">
        <w:rPr>
          <w:rFonts w:ascii="Times New Roman" w:hAnsi="Times New Roman" w:cs="Times New Roman"/>
          <w:b/>
          <w:sz w:val="32"/>
          <w:szCs w:val="32"/>
        </w:rPr>
        <w:t>Executive Summary</w:t>
      </w:r>
    </w:p>
    <w:p w14:paraId="7E60EDB9" w14:textId="77777777" w:rsidR="004D5E48" w:rsidRPr="004D5E48" w:rsidRDefault="004D5E48" w:rsidP="004D5E48">
      <w:pPr>
        <w:spacing w:line="480" w:lineRule="auto"/>
        <w:rPr>
          <w:rFonts w:ascii="Times New Roman" w:hAnsi="Times New Roman" w:cs="Times New Roman"/>
          <w:sz w:val="24"/>
          <w:szCs w:val="24"/>
        </w:rPr>
      </w:pPr>
      <w:r w:rsidRPr="004D5E48">
        <w:rPr>
          <w:rFonts w:ascii="Times New Roman" w:hAnsi="Times New Roman" w:cs="Times New Roman"/>
          <w:sz w:val="24"/>
          <w:szCs w:val="24"/>
        </w:rPr>
        <w:t>The event "Breaking Barriers: Enhancing Accessibility in the Hospitality Industry" aims to address the ongoing challenges faced by individuals with disabilities in the hospitality sector. Despite regulations like the Equality Act 2010 and the Americans with Disabilities Act (ADA), many hospitality businesses still fall short of meeting accessibility standards. Held at the Manchester Central Convention Complex, the event will adopt a hybrid format to ensure inclusivity for both in-person and virtual attendees. Structured around the Event Management Body of Knowledge (EMBOK) framework (Kumar, Islam, &amp; Ragavan, 2025), the event will cover essential topics such as accessible hotel design, inclusive customer service, assistive technologies, and global compliance standards. The primary objectives include training 200 attendees on accessibility requirements, showcasing 10 innovative assistive technologies, and fostering at least 15 new collaborations among stakeholders (Kruse et al., 2024). A comprehensive management plan will be executed by a skilled team, ensuring that logistical, technical, and accessibility needs are met. With a budget of £22,000, supported by ticket sales and sponsorships, the event is financially sustainable and aims to reinvest any surplus into future accessibility initiatives. This event seeks to inspire meaningful industry change by promoting inclusivity, encouraging collaboration, and highlighting the importance of accessibility as both a legal obligation and a moral responsibility.</w:t>
      </w:r>
    </w:p>
    <w:p w14:paraId="2B6C99D6" w14:textId="77777777" w:rsidR="00B41813" w:rsidRPr="004D2B1F" w:rsidRDefault="00B41813" w:rsidP="000E1C2A">
      <w:pPr>
        <w:spacing w:line="480" w:lineRule="auto"/>
        <w:rPr>
          <w:rFonts w:ascii="Times New Roman" w:hAnsi="Times New Roman" w:cs="Times New Roman"/>
          <w:sz w:val="24"/>
          <w:szCs w:val="24"/>
        </w:rPr>
      </w:pPr>
    </w:p>
    <w:p w14:paraId="02C02707" w14:textId="5C5D7D3A" w:rsidR="000E1C2A" w:rsidRDefault="000E1C2A" w:rsidP="0077521B">
      <w:pPr>
        <w:spacing w:line="480" w:lineRule="auto"/>
        <w:rPr>
          <w:rFonts w:ascii="Times New Roman" w:hAnsi="Times New Roman" w:cs="Times New Roman"/>
          <w:sz w:val="24"/>
          <w:szCs w:val="24"/>
        </w:rPr>
      </w:pPr>
    </w:p>
    <w:p w14:paraId="326875EF" w14:textId="7206EBE1" w:rsidR="000E1C2A" w:rsidRDefault="000E1C2A" w:rsidP="000E1C2A">
      <w:pPr>
        <w:spacing w:after="0" w:line="360" w:lineRule="auto"/>
        <w:rPr>
          <w:rFonts w:ascii="Times New Roman" w:hAnsi="Times New Roman" w:cs="Times New Roman"/>
          <w:b/>
          <w:bCs/>
          <w:sz w:val="32"/>
          <w:szCs w:val="32"/>
        </w:rPr>
      </w:pPr>
      <w:r w:rsidRPr="000E1C2A">
        <w:rPr>
          <w:rFonts w:ascii="Times New Roman" w:hAnsi="Times New Roman" w:cs="Times New Roman"/>
          <w:b/>
          <w:bCs/>
          <w:sz w:val="32"/>
          <w:szCs w:val="32"/>
        </w:rPr>
        <w:t>Table of contents:</w:t>
      </w:r>
    </w:p>
    <w:p w14:paraId="5EA916AE" w14:textId="3D588F94" w:rsidR="000E1C2A" w:rsidRDefault="000E1C2A" w:rsidP="000E1C2A">
      <w:pPr>
        <w:spacing w:after="0" w:line="360" w:lineRule="auto"/>
        <w:rPr>
          <w:rFonts w:ascii="Times New Roman" w:hAnsi="Times New Roman" w:cs="Times New Roman"/>
          <w:sz w:val="28"/>
          <w:szCs w:val="28"/>
        </w:rPr>
      </w:pPr>
      <w:r w:rsidRPr="000E1C2A">
        <w:rPr>
          <w:rFonts w:ascii="Times New Roman" w:hAnsi="Times New Roman" w:cs="Times New Roman"/>
          <w:sz w:val="28"/>
          <w:szCs w:val="28"/>
        </w:rPr>
        <w:t>Introduction</w:t>
      </w:r>
      <w:r w:rsidR="006D590A">
        <w:rPr>
          <w:rFonts w:ascii="Times New Roman" w:hAnsi="Times New Roman" w:cs="Times New Roman"/>
          <w:sz w:val="28"/>
          <w:szCs w:val="28"/>
        </w:rPr>
        <w:t>………………………………………………………………..4</w:t>
      </w:r>
    </w:p>
    <w:p w14:paraId="5E7BAD81" w14:textId="631DB2DA" w:rsidR="006D590A" w:rsidRDefault="006D590A"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The Event Cycle…………………………………………………………...</w:t>
      </w:r>
      <w:r w:rsidR="00DE13B2">
        <w:rPr>
          <w:rFonts w:ascii="Times New Roman" w:hAnsi="Times New Roman" w:cs="Times New Roman"/>
          <w:sz w:val="28"/>
          <w:szCs w:val="28"/>
        </w:rPr>
        <w:t>5</w:t>
      </w:r>
    </w:p>
    <w:p w14:paraId="1E915EE3" w14:textId="1AF41128" w:rsidR="006D590A" w:rsidRDefault="006D590A"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Event Concept……………………………………………………………..</w:t>
      </w:r>
      <w:r w:rsidR="008D3A2B">
        <w:rPr>
          <w:rFonts w:ascii="Times New Roman" w:hAnsi="Times New Roman" w:cs="Times New Roman"/>
          <w:sz w:val="28"/>
          <w:szCs w:val="28"/>
        </w:rPr>
        <w:t>7</w:t>
      </w:r>
    </w:p>
    <w:p w14:paraId="6DEDB2F7" w14:textId="2BFE4911" w:rsidR="006D590A" w:rsidRDefault="006D590A"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Aim and Objectives………………………………………………………..</w:t>
      </w:r>
      <w:r w:rsidR="00DE13B2">
        <w:rPr>
          <w:rFonts w:ascii="Times New Roman" w:hAnsi="Times New Roman" w:cs="Times New Roman"/>
          <w:sz w:val="28"/>
          <w:szCs w:val="28"/>
        </w:rPr>
        <w:t>8</w:t>
      </w:r>
    </w:p>
    <w:p w14:paraId="56046458" w14:textId="76028961" w:rsidR="00711FE2" w:rsidRDefault="00711FE2"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Event Management………………………………………………………..</w:t>
      </w:r>
      <w:r w:rsidR="00DE13B2">
        <w:rPr>
          <w:rFonts w:ascii="Times New Roman" w:hAnsi="Times New Roman" w:cs="Times New Roman"/>
          <w:sz w:val="28"/>
          <w:szCs w:val="28"/>
        </w:rPr>
        <w:t>9</w:t>
      </w:r>
    </w:p>
    <w:p w14:paraId="79D1859E" w14:textId="48ED52EB" w:rsidR="00C772A6" w:rsidRDefault="00711FE2"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Event Budget……………………………………………………………..1</w:t>
      </w:r>
      <w:r w:rsidR="00DE13B2">
        <w:rPr>
          <w:rFonts w:ascii="Times New Roman" w:hAnsi="Times New Roman" w:cs="Times New Roman"/>
          <w:sz w:val="28"/>
          <w:szCs w:val="28"/>
        </w:rPr>
        <w:t>1</w:t>
      </w:r>
    </w:p>
    <w:p w14:paraId="5BACE4B7" w14:textId="43A2DBC8" w:rsidR="00C772A6" w:rsidRDefault="00C772A6"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Industry trends, Issues and Impacts………………………………………1</w:t>
      </w:r>
      <w:r w:rsidR="00DE13B2">
        <w:rPr>
          <w:rFonts w:ascii="Times New Roman" w:hAnsi="Times New Roman" w:cs="Times New Roman"/>
          <w:sz w:val="28"/>
          <w:szCs w:val="28"/>
        </w:rPr>
        <w:t>2</w:t>
      </w:r>
    </w:p>
    <w:p w14:paraId="5DE4647F" w14:textId="0FC33E2F" w:rsidR="00C772A6" w:rsidRDefault="00C772A6"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Situational and Cultural Considerations………………………………….1</w:t>
      </w:r>
      <w:r w:rsidR="00DE13B2">
        <w:rPr>
          <w:rFonts w:ascii="Times New Roman" w:hAnsi="Times New Roman" w:cs="Times New Roman"/>
          <w:sz w:val="28"/>
          <w:szCs w:val="28"/>
        </w:rPr>
        <w:t>4</w:t>
      </w:r>
    </w:p>
    <w:p w14:paraId="76E47053" w14:textId="27377F86" w:rsidR="00C772A6" w:rsidRDefault="00C772A6"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PESTEL Analysis…………………………………………………………1</w:t>
      </w:r>
      <w:r w:rsidR="00DE13B2">
        <w:rPr>
          <w:rFonts w:ascii="Times New Roman" w:hAnsi="Times New Roman" w:cs="Times New Roman"/>
          <w:sz w:val="28"/>
          <w:szCs w:val="28"/>
        </w:rPr>
        <w:t>4</w:t>
      </w:r>
    </w:p>
    <w:p w14:paraId="72C6DBEF" w14:textId="74998C6C" w:rsidR="00C772A6" w:rsidRDefault="00C772A6"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Conclusion………………………………………………………………...1</w:t>
      </w:r>
      <w:r w:rsidR="00DE13B2">
        <w:rPr>
          <w:rFonts w:ascii="Times New Roman" w:hAnsi="Times New Roman" w:cs="Times New Roman"/>
          <w:sz w:val="28"/>
          <w:szCs w:val="28"/>
        </w:rPr>
        <w:t>5</w:t>
      </w:r>
    </w:p>
    <w:p w14:paraId="0096B5A5" w14:textId="238BDCD1" w:rsidR="006D590A" w:rsidRDefault="00C772A6" w:rsidP="000E1C2A">
      <w:pPr>
        <w:spacing w:after="0" w:line="360" w:lineRule="auto"/>
        <w:rPr>
          <w:rFonts w:ascii="Times New Roman" w:hAnsi="Times New Roman" w:cs="Times New Roman"/>
          <w:sz w:val="28"/>
          <w:szCs w:val="28"/>
        </w:rPr>
      </w:pPr>
      <w:r>
        <w:rPr>
          <w:rFonts w:ascii="Times New Roman" w:hAnsi="Times New Roman" w:cs="Times New Roman"/>
          <w:sz w:val="28"/>
          <w:szCs w:val="28"/>
        </w:rPr>
        <w:t>Reference List…………………………………………………………….</w:t>
      </w:r>
      <w:r w:rsidR="00DE13B2">
        <w:rPr>
          <w:rFonts w:ascii="Times New Roman" w:hAnsi="Times New Roman" w:cs="Times New Roman"/>
          <w:sz w:val="28"/>
          <w:szCs w:val="28"/>
        </w:rPr>
        <w:t>16</w:t>
      </w:r>
    </w:p>
    <w:p w14:paraId="4A85344B" w14:textId="77777777" w:rsidR="006D590A" w:rsidRDefault="006D590A" w:rsidP="000E1C2A">
      <w:pPr>
        <w:spacing w:after="0" w:line="360" w:lineRule="auto"/>
        <w:rPr>
          <w:rFonts w:ascii="Times New Roman" w:hAnsi="Times New Roman" w:cs="Times New Roman"/>
          <w:sz w:val="28"/>
          <w:szCs w:val="28"/>
        </w:rPr>
      </w:pPr>
    </w:p>
    <w:p w14:paraId="2E85E1EC" w14:textId="77777777" w:rsidR="006D590A" w:rsidRDefault="006D590A" w:rsidP="000E1C2A">
      <w:pPr>
        <w:spacing w:after="0" w:line="360" w:lineRule="auto"/>
        <w:rPr>
          <w:rFonts w:ascii="Times New Roman" w:hAnsi="Times New Roman" w:cs="Times New Roman"/>
          <w:sz w:val="28"/>
          <w:szCs w:val="28"/>
        </w:rPr>
      </w:pPr>
    </w:p>
    <w:p w14:paraId="5F6D8FB2" w14:textId="77777777" w:rsidR="006D590A" w:rsidRDefault="006D590A" w:rsidP="000E1C2A">
      <w:pPr>
        <w:spacing w:after="0" w:line="360" w:lineRule="auto"/>
        <w:rPr>
          <w:rFonts w:ascii="Times New Roman" w:hAnsi="Times New Roman" w:cs="Times New Roman"/>
          <w:sz w:val="28"/>
          <w:szCs w:val="28"/>
        </w:rPr>
      </w:pPr>
    </w:p>
    <w:p w14:paraId="5998BD46" w14:textId="77777777" w:rsidR="006D590A" w:rsidRDefault="006D590A" w:rsidP="000E1C2A">
      <w:pPr>
        <w:spacing w:after="0" w:line="360" w:lineRule="auto"/>
        <w:rPr>
          <w:rFonts w:ascii="Times New Roman" w:hAnsi="Times New Roman" w:cs="Times New Roman"/>
          <w:sz w:val="28"/>
          <w:szCs w:val="28"/>
        </w:rPr>
      </w:pPr>
    </w:p>
    <w:p w14:paraId="0816B292" w14:textId="77777777" w:rsidR="006D590A" w:rsidRDefault="006D590A" w:rsidP="000E1C2A">
      <w:pPr>
        <w:spacing w:after="0" w:line="360" w:lineRule="auto"/>
        <w:rPr>
          <w:rFonts w:ascii="Times New Roman" w:hAnsi="Times New Roman" w:cs="Times New Roman"/>
          <w:sz w:val="28"/>
          <w:szCs w:val="28"/>
        </w:rPr>
      </w:pPr>
    </w:p>
    <w:p w14:paraId="02C4558B" w14:textId="77777777" w:rsidR="006D590A" w:rsidRDefault="006D590A" w:rsidP="000E1C2A">
      <w:pPr>
        <w:spacing w:after="0" w:line="360" w:lineRule="auto"/>
        <w:rPr>
          <w:rFonts w:ascii="Times New Roman" w:hAnsi="Times New Roman" w:cs="Times New Roman"/>
          <w:sz w:val="28"/>
          <w:szCs w:val="28"/>
        </w:rPr>
      </w:pPr>
    </w:p>
    <w:p w14:paraId="781303FE" w14:textId="77777777" w:rsidR="006D590A" w:rsidRDefault="006D590A" w:rsidP="000E1C2A">
      <w:pPr>
        <w:spacing w:after="0" w:line="360" w:lineRule="auto"/>
        <w:rPr>
          <w:rFonts w:ascii="Times New Roman" w:hAnsi="Times New Roman" w:cs="Times New Roman"/>
          <w:sz w:val="28"/>
          <w:szCs w:val="28"/>
        </w:rPr>
      </w:pPr>
    </w:p>
    <w:p w14:paraId="1E9AA036" w14:textId="77777777" w:rsidR="006D590A" w:rsidRDefault="006D590A" w:rsidP="000E1C2A">
      <w:pPr>
        <w:spacing w:after="0" w:line="360" w:lineRule="auto"/>
        <w:rPr>
          <w:rFonts w:ascii="Times New Roman" w:hAnsi="Times New Roman" w:cs="Times New Roman"/>
          <w:sz w:val="28"/>
          <w:szCs w:val="28"/>
        </w:rPr>
      </w:pPr>
    </w:p>
    <w:p w14:paraId="175BE87D" w14:textId="77777777" w:rsidR="006D590A" w:rsidRDefault="006D590A" w:rsidP="000E1C2A">
      <w:pPr>
        <w:spacing w:after="0" w:line="360" w:lineRule="auto"/>
        <w:rPr>
          <w:rFonts w:ascii="Times New Roman" w:hAnsi="Times New Roman" w:cs="Times New Roman"/>
          <w:sz w:val="28"/>
          <w:szCs w:val="28"/>
        </w:rPr>
      </w:pPr>
    </w:p>
    <w:p w14:paraId="6ABAC47C" w14:textId="77777777" w:rsidR="006D590A" w:rsidRDefault="006D590A" w:rsidP="000E1C2A">
      <w:pPr>
        <w:spacing w:after="0" w:line="360" w:lineRule="auto"/>
        <w:rPr>
          <w:rFonts w:ascii="Times New Roman" w:hAnsi="Times New Roman" w:cs="Times New Roman"/>
          <w:sz w:val="28"/>
          <w:szCs w:val="28"/>
        </w:rPr>
      </w:pPr>
    </w:p>
    <w:p w14:paraId="10F70E92" w14:textId="77777777" w:rsidR="006D590A" w:rsidRDefault="006D590A" w:rsidP="000E1C2A">
      <w:pPr>
        <w:spacing w:after="0" w:line="360" w:lineRule="auto"/>
        <w:rPr>
          <w:rFonts w:ascii="Times New Roman" w:hAnsi="Times New Roman" w:cs="Times New Roman"/>
          <w:sz w:val="28"/>
          <w:szCs w:val="28"/>
        </w:rPr>
      </w:pPr>
    </w:p>
    <w:p w14:paraId="44FD98D6" w14:textId="77777777" w:rsidR="006D590A" w:rsidRDefault="006D590A" w:rsidP="000E1C2A">
      <w:pPr>
        <w:spacing w:after="0" w:line="360" w:lineRule="auto"/>
        <w:rPr>
          <w:rFonts w:ascii="Times New Roman" w:hAnsi="Times New Roman" w:cs="Times New Roman"/>
          <w:sz w:val="28"/>
          <w:szCs w:val="28"/>
        </w:rPr>
      </w:pPr>
    </w:p>
    <w:p w14:paraId="5D55E0EC" w14:textId="77777777" w:rsidR="006D590A" w:rsidRPr="000E1C2A" w:rsidRDefault="006D590A" w:rsidP="000E1C2A">
      <w:pPr>
        <w:spacing w:after="0" w:line="360" w:lineRule="auto"/>
        <w:rPr>
          <w:rFonts w:ascii="Times New Roman" w:hAnsi="Times New Roman" w:cs="Times New Roman"/>
          <w:sz w:val="28"/>
          <w:szCs w:val="28"/>
        </w:rPr>
      </w:pPr>
    </w:p>
    <w:p w14:paraId="69BA7905" w14:textId="318E974A" w:rsidR="0077521B" w:rsidRPr="004D2B1F" w:rsidRDefault="0077521B" w:rsidP="0077521B">
      <w:pPr>
        <w:spacing w:line="480" w:lineRule="auto"/>
        <w:rPr>
          <w:rFonts w:ascii="Times New Roman" w:hAnsi="Times New Roman" w:cs="Times New Roman"/>
          <w:b/>
          <w:bCs/>
          <w:sz w:val="32"/>
          <w:szCs w:val="32"/>
        </w:rPr>
      </w:pPr>
      <w:r w:rsidRPr="004D2B1F">
        <w:rPr>
          <w:rFonts w:ascii="Times New Roman" w:hAnsi="Times New Roman" w:cs="Times New Roman"/>
          <w:b/>
          <w:bCs/>
          <w:sz w:val="32"/>
          <w:szCs w:val="32"/>
        </w:rPr>
        <w:lastRenderedPageBreak/>
        <w:t>Introduction</w:t>
      </w:r>
    </w:p>
    <w:p w14:paraId="7BE4BA6C" w14:textId="2DB44625" w:rsidR="004D5E48" w:rsidRPr="004D5E48" w:rsidRDefault="0077521B" w:rsidP="004D5E48">
      <w:pPr>
        <w:spacing w:line="480" w:lineRule="auto"/>
        <w:rPr>
          <w:rFonts w:ascii="Times New Roman" w:hAnsi="Times New Roman" w:cs="Times New Roman"/>
          <w:sz w:val="24"/>
          <w:szCs w:val="24"/>
        </w:rPr>
      </w:pPr>
      <w:r>
        <w:rPr>
          <w:rFonts w:ascii="Times New Roman" w:hAnsi="Times New Roman" w:cs="Times New Roman"/>
          <w:sz w:val="24"/>
          <w:szCs w:val="24"/>
        </w:rPr>
        <w:tab/>
      </w:r>
      <w:r w:rsidR="004D5E48" w:rsidRPr="004D5E48">
        <w:rPr>
          <w:rFonts w:ascii="Times New Roman" w:hAnsi="Times New Roman" w:cs="Times New Roman"/>
          <w:sz w:val="24"/>
          <w:szCs w:val="24"/>
        </w:rPr>
        <w:t>The event</w:t>
      </w:r>
      <w:r w:rsidR="00BE61AD">
        <w:rPr>
          <w:rFonts w:ascii="Times New Roman" w:hAnsi="Times New Roman" w:cs="Times New Roman"/>
          <w:sz w:val="24"/>
          <w:szCs w:val="24"/>
        </w:rPr>
        <w:t xml:space="preserve"> </w:t>
      </w:r>
      <w:r w:rsidR="004D5E48" w:rsidRPr="00BE61AD">
        <w:rPr>
          <w:rFonts w:ascii="Times New Roman" w:hAnsi="Times New Roman" w:cs="Times New Roman"/>
          <w:sz w:val="24"/>
          <w:szCs w:val="24"/>
        </w:rPr>
        <w:t>“Breaking Barriers: Enhancing Accessibility in the Hospitality Industry,”</w:t>
      </w:r>
      <w:r w:rsidR="004D5E48" w:rsidRPr="004D5E48">
        <w:rPr>
          <w:rFonts w:ascii="Times New Roman" w:hAnsi="Times New Roman" w:cs="Times New Roman"/>
          <w:sz w:val="24"/>
          <w:szCs w:val="24"/>
        </w:rPr>
        <w:t xml:space="preserve"> lies at the very foundation of the report to handle the crisis of accessibility of the disabled into the hospitality industry. Accessibility remains a pressing global issue, with over one billion people worldwide living with disabilities. Despite legal mandates such as the Equality Act 2010 and the Americans with Disabilities Act (ADA), many venues and services in the hospitality industry fail to meet accessibility standards. It is a collaborative event aimed at bringing in multiple professionals, human resources, the advocacy groups all to raise the need to have the said group included in the workforce in the hospitality industry. The Manchester Central Convention Complex has been chosen as the venue due to its excellent accessibility features, including ramps, elevators, and sensory-friendly spaces (Rodrigues, Dias, &amp; Teixeira, 2024). Conveniently located in the heart of Manchester, the venue offers seamless public transport connection, ensuring convenience for attendees from diverse locations. The hybrid format will maximize participation by accommodating both in-person and virtual attendees, thereby ensuring the event’s inclusivity and broad reach (Tourism, 2025). By addressing the unique challenges faced by the hospitality industry, the event aims to set new standards for inclusiveness. Key topics to be covered include accessible hotel design, inclusive customer service practices, assistive technology innovations, and compliance with global accessibility standards. The event is intended to prepare the participants to create an inclusive environment that would be able to accommodate the special class with disabilities of diverse nature and the entire event acts as networking and connection forum (Li, Xu, Liu, &amp; Cao, 2024).</w:t>
      </w:r>
    </w:p>
    <w:p w14:paraId="10D0BB72" w14:textId="77777777" w:rsidR="004D5E48" w:rsidRPr="004D5E48" w:rsidRDefault="004D5E48" w:rsidP="004D5E48">
      <w:pPr>
        <w:spacing w:line="480" w:lineRule="auto"/>
        <w:rPr>
          <w:rFonts w:ascii="Times New Roman" w:hAnsi="Times New Roman" w:cs="Times New Roman"/>
          <w:sz w:val="24"/>
          <w:szCs w:val="24"/>
        </w:rPr>
      </w:pPr>
      <w:r w:rsidRPr="004D5E48">
        <w:rPr>
          <w:rFonts w:ascii="Times New Roman" w:hAnsi="Times New Roman" w:cs="Times New Roman"/>
          <w:sz w:val="24"/>
          <w:szCs w:val="24"/>
        </w:rPr>
        <w:tab/>
        <w:t xml:space="preserve">There will be a special time together where both the business experts and the attendees will interact in a manner to promote diversity and inclusivity and the best practices to do so. The </w:t>
      </w:r>
      <w:r w:rsidRPr="004D5E48">
        <w:rPr>
          <w:rFonts w:ascii="Times New Roman" w:hAnsi="Times New Roman" w:cs="Times New Roman"/>
          <w:sz w:val="24"/>
          <w:szCs w:val="24"/>
        </w:rPr>
        <w:lastRenderedPageBreak/>
        <w:t>hybrid nature of the event ensures that stakeholders unable to attend in person can still actively engage with the sessions through live streaming and virtual networking opportunities. By bringing together a diverse group of stakeholders, the conference will promote the exchange of ideas and best practices. The event seeks to inspire a cultural shift within the hospitality industry, emphasizing the importance of accessibility not only as a legal obligation but also as a moral imperative and a significant driver of business success. If an organization cares and caters to any visitor with his or her conditions, that same organization is likely to experience a surge in revenue as the customers increase and more referrals mean high productivity returns. Therefore, the conference aims to ensure that the attendees garner enough necessary skills that help them discharge their standards professionally and bring a decisive change in the hospitality industry (Rogers &amp; Wynn-Moylan, 2022).</w:t>
      </w:r>
    </w:p>
    <w:p w14:paraId="4631FE19" w14:textId="32B3C1C8" w:rsidR="00C772A6" w:rsidRDefault="0077521B" w:rsidP="004D5E48">
      <w:pPr>
        <w:spacing w:line="480" w:lineRule="auto"/>
        <w:rPr>
          <w:rFonts w:ascii="Times New Roman" w:hAnsi="Times New Roman" w:cs="Times New Roman"/>
          <w:b/>
          <w:bCs/>
          <w:sz w:val="32"/>
          <w:szCs w:val="32"/>
        </w:rPr>
      </w:pPr>
      <w:r w:rsidRPr="00676379">
        <w:rPr>
          <w:rFonts w:ascii="Times New Roman" w:hAnsi="Times New Roman" w:cs="Times New Roman"/>
          <w:b/>
          <w:bCs/>
          <w:sz w:val="32"/>
          <w:szCs w:val="32"/>
        </w:rPr>
        <w:t>The Event Cycle</w:t>
      </w:r>
    </w:p>
    <w:p w14:paraId="20255809" w14:textId="538EB919" w:rsidR="004D5E48" w:rsidRPr="004D5E48" w:rsidRDefault="004D5E48" w:rsidP="004D5E48">
      <w:pPr>
        <w:spacing w:line="480" w:lineRule="auto"/>
        <w:rPr>
          <w:rFonts w:ascii="Times New Roman" w:hAnsi="Times New Roman" w:cs="Times New Roman"/>
          <w:sz w:val="24"/>
          <w:szCs w:val="24"/>
        </w:rPr>
      </w:pPr>
      <w:r>
        <w:rPr>
          <w:rFonts w:ascii="Times New Roman" w:hAnsi="Times New Roman" w:cs="Times New Roman"/>
          <w:sz w:val="24"/>
          <w:szCs w:val="24"/>
        </w:rPr>
        <w:t>We</w:t>
      </w:r>
      <w:r w:rsidRPr="004D5E48">
        <w:rPr>
          <w:rFonts w:ascii="Times New Roman" w:hAnsi="Times New Roman" w:cs="Times New Roman"/>
          <w:sz w:val="24"/>
          <w:szCs w:val="24"/>
        </w:rPr>
        <w:t xml:space="preserve"> adopted EMBOK as an approach that would be key in running the event from the beginning, implementation stage up and until the post-event review and guide the personnel to be aware of the standards and expectations. It comprises five essential stages: initiation, planning, implementation, execution, and closure, ensuring a comprehensive approach to managing the diverse and often complex aspects of event management. This framework not only aligns the event with its core objectives but also integrates strategic insights to optimize outcomes (Onwuzulike, Uzondu, &amp; Joseph, 2024). At the very beginning based on this model, accessibility in the hospitality industry is prioritized as the key matter to pursue through the event. It is at this moment that the important elements are scheduled to be implemented while evaluating the value of the entire meeting. It is important to do diligent market research which points to the specific issues and needs the audience may have. This ensures the event's relevance and its ability to </w:t>
      </w:r>
      <w:r w:rsidRPr="004D5E48">
        <w:rPr>
          <w:rFonts w:ascii="Times New Roman" w:hAnsi="Times New Roman" w:cs="Times New Roman"/>
          <w:sz w:val="24"/>
          <w:szCs w:val="24"/>
        </w:rPr>
        <w:lastRenderedPageBreak/>
        <w:t xml:space="preserve">resonate with stakeholders. Before taking the event off, if there are investigations especially from those deemed to attend, the necessary precautionary measures can be taken to allow the disabled to feel free and comfortable when attending. The next important step is the planning which includes the logistics and the general preparation for the entire process. Accessibility was achieved by adopting a hybrid format which accommodated both the virtual and physical audience, hence broadening the attendance base. The venue was chosen based on its suitability for individuals with varied needs, including wheelchair access and assistive technologies. The decision to settle on experts in their lines made the event so natural, powerful, and credible and valuable to the attendees. Resource allocation plans, budgets, and detailed timelines were meticulously crafted to maintain operational efficiency and accountability. To ensure the event’s success and prepare for any unprecedented event, risk assessment, and mitigation strategies are crafted with the necessary mechanisms to cater to any anomaly (Basri &amp; Ayu, 2024). In the implementation stage, efforts focused on targeted marketing campaigns tailored to the audience, highlighting the event’s unique accessibility features. To ensure the needed inclusivity tips were home as expected, a collaborative effort with Scope and RNIB, institutions that have long-standing experience with inclusivity was a priority for enriching the audience. Strategic partnerships enabled wider outreach and credibility, while promotional strategies were employed to build anticipation and engagement. On the event day, the execution stage involves seamless delivery of planned activities (Getz &amp; Page, 2019), such as workshops, panel discussions, exhibitions, and networking sessions. Testing of the technical appliances and systems is compulsory to ensure they do not fail in the hour of the greatest need. An experienced team will coordinate operations, monitor attendee engagement, and address real-time challenges effectively. Finally, the closure stage emphasizes evaluation and reflection. As a means of </w:t>
      </w:r>
      <w:r w:rsidRPr="004D5E48">
        <w:rPr>
          <w:rFonts w:ascii="Times New Roman" w:hAnsi="Times New Roman" w:cs="Times New Roman"/>
          <w:sz w:val="24"/>
          <w:szCs w:val="24"/>
        </w:rPr>
        <w:lastRenderedPageBreak/>
        <w:t>follow-up, the administration of the surveys and interviews will give details of the successes and failures of the event from the attendees which will form part of the progress report for future management. These insights will inform future improvements, reinforcing the commitment to accessibility and quality. By adhering to the EMBOK framework, the event cycle facilitates a systematic, goal-driven, and efficient approach to event management, ensuring both immediate success and long-term value creation.</w:t>
      </w:r>
    </w:p>
    <w:p w14:paraId="3B1D36D4" w14:textId="749254FB" w:rsidR="00676379" w:rsidRPr="004D2B1F" w:rsidRDefault="00676379" w:rsidP="004D2B1F">
      <w:pPr>
        <w:spacing w:line="480" w:lineRule="auto"/>
        <w:rPr>
          <w:rFonts w:ascii="Times New Roman" w:hAnsi="Times New Roman" w:cs="Times New Roman"/>
          <w:sz w:val="24"/>
          <w:szCs w:val="24"/>
        </w:rPr>
      </w:pPr>
      <w:r>
        <w:rPr>
          <w:noProof/>
          <w14:ligatures w14:val="standardContextual"/>
        </w:rPr>
        <w:drawing>
          <wp:inline distT="0" distB="0" distL="0" distR="0" wp14:anchorId="74495AB8" wp14:editId="57FA267B">
            <wp:extent cx="5943600" cy="3861435"/>
            <wp:effectExtent l="0" t="0" r="0" b="5715"/>
            <wp:docPr id="1405403363" name="Picture 1"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03363" name="Picture 1" descr="A diagram of a cycle&#10;&#10;AI-generated content may be incorrect."/>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3861435"/>
                    </a:xfrm>
                    <a:prstGeom prst="rect">
                      <a:avLst/>
                    </a:prstGeom>
                  </pic:spPr>
                </pic:pic>
              </a:graphicData>
            </a:graphic>
          </wp:inline>
        </w:drawing>
      </w:r>
    </w:p>
    <w:p w14:paraId="30570963" w14:textId="3F3DC643" w:rsidR="0077521B" w:rsidRDefault="0077521B" w:rsidP="0077521B">
      <w:pPr>
        <w:spacing w:line="480" w:lineRule="auto"/>
        <w:rPr>
          <w:rFonts w:ascii="Times New Roman" w:hAnsi="Times New Roman" w:cs="Times New Roman"/>
          <w:b/>
          <w:bCs/>
          <w:sz w:val="32"/>
          <w:szCs w:val="32"/>
        </w:rPr>
      </w:pPr>
      <w:r w:rsidRPr="00676379">
        <w:rPr>
          <w:rFonts w:ascii="Times New Roman" w:hAnsi="Times New Roman" w:cs="Times New Roman"/>
          <w:b/>
          <w:bCs/>
          <w:sz w:val="32"/>
          <w:szCs w:val="32"/>
        </w:rPr>
        <w:t>Event Concept</w:t>
      </w:r>
    </w:p>
    <w:p w14:paraId="649AEB01" w14:textId="77777777" w:rsidR="004D5E48" w:rsidRPr="004D5E48" w:rsidRDefault="004D5E48" w:rsidP="004D5E48">
      <w:pPr>
        <w:spacing w:after="0" w:line="480" w:lineRule="auto"/>
        <w:rPr>
          <w:rFonts w:ascii="Times New Roman" w:hAnsi="Times New Roman" w:cs="Times New Roman"/>
          <w:sz w:val="24"/>
          <w:szCs w:val="24"/>
        </w:rPr>
      </w:pPr>
      <w:r w:rsidRPr="004D5E48">
        <w:rPr>
          <w:rFonts w:ascii="Times New Roman" w:hAnsi="Times New Roman" w:cs="Times New Roman"/>
          <w:sz w:val="24"/>
          <w:szCs w:val="24"/>
        </w:rPr>
        <w:t xml:space="preserve">The event concept is designed to provide a meaningful and impactful experience for all attendees. There will be a close connection between the sessions to keep the participants positively engaged throughout. The experts from the industry level will speak more on accessibility issues, especially in the hospitality industry, which will be followed by later </w:t>
      </w:r>
      <w:r w:rsidRPr="004D5E48">
        <w:rPr>
          <w:rFonts w:ascii="Times New Roman" w:hAnsi="Times New Roman" w:cs="Times New Roman"/>
          <w:sz w:val="24"/>
          <w:szCs w:val="24"/>
        </w:rPr>
        <w:lastRenderedPageBreak/>
        <w:t xml:space="preserve">workout sessions for more interaction. These workshops will focus on practical topics, such as legal compliance and best practices for creating inclusive environments. In the afternoon, panel discussions will bring together experts, advocates, and innovators to discuss cutting-edge accessibility solutions, including assistive technologies like braille programs, sensory-friendly tools, and captioning services. There will be a display of the tools and technologies that spark the need for adoption of the accessibility options in industry and organizations . The day will conclude with networking sessions to facilitate meaningful collaborations; and a fundraising event aimed at supporting future initiatives in accessibility. The event’s hybrid format will also allow virtual attendees to participate fully, ensuring inclusivity for individuals who cannot attend in person. </w:t>
      </w:r>
    </w:p>
    <w:p w14:paraId="5082F4D5" w14:textId="77777777" w:rsidR="00915BF9" w:rsidRPr="00711FE2" w:rsidRDefault="00676379" w:rsidP="00915BF9">
      <w:pPr>
        <w:spacing w:after="0" w:line="480" w:lineRule="auto"/>
        <w:rPr>
          <w:rFonts w:ascii="Times New Roman" w:hAnsi="Times New Roman" w:cs="Times New Roman"/>
          <w:b/>
          <w:bCs/>
          <w:sz w:val="32"/>
          <w:szCs w:val="32"/>
        </w:rPr>
      </w:pPr>
      <w:r w:rsidRPr="00676379">
        <w:rPr>
          <w:rFonts w:ascii="Times New Roman" w:hAnsi="Times New Roman" w:cs="Times New Roman"/>
          <w:b/>
          <w:bCs/>
          <w:sz w:val="32"/>
          <w:szCs w:val="32"/>
        </w:rPr>
        <w:t>Aim and Objectives</w:t>
      </w:r>
    </w:p>
    <w:p w14:paraId="3891A5CF" w14:textId="44782728" w:rsidR="00676379" w:rsidRPr="00676379" w:rsidRDefault="00676379" w:rsidP="00915BF9">
      <w:pPr>
        <w:spacing w:after="0" w:line="360" w:lineRule="auto"/>
        <w:rPr>
          <w:rFonts w:ascii="Times New Roman" w:hAnsi="Times New Roman" w:cs="Times New Roman"/>
          <w:b/>
          <w:bCs/>
          <w:sz w:val="24"/>
          <w:szCs w:val="24"/>
        </w:rPr>
      </w:pPr>
      <w:r w:rsidRPr="00676379">
        <w:rPr>
          <w:rFonts w:ascii="Times New Roman" w:hAnsi="Times New Roman" w:cs="Times New Roman"/>
          <w:b/>
          <w:bCs/>
          <w:sz w:val="24"/>
          <w:szCs w:val="24"/>
        </w:rPr>
        <w:t>Main Goal:</w:t>
      </w:r>
    </w:p>
    <w:p w14:paraId="4692D73B" w14:textId="77777777" w:rsidR="00676379" w:rsidRPr="00676379" w:rsidRDefault="00676379" w:rsidP="00915BF9">
      <w:pPr>
        <w:spacing w:line="360" w:lineRule="auto"/>
        <w:rPr>
          <w:rFonts w:ascii="Times New Roman" w:hAnsi="Times New Roman" w:cs="Times New Roman"/>
          <w:sz w:val="24"/>
          <w:szCs w:val="24"/>
        </w:rPr>
      </w:pPr>
      <w:r w:rsidRPr="00676379">
        <w:rPr>
          <w:rFonts w:ascii="Times New Roman" w:hAnsi="Times New Roman" w:cs="Times New Roman"/>
          <w:sz w:val="24"/>
          <w:szCs w:val="24"/>
        </w:rPr>
        <w:t xml:space="preserve"> Create awareness in the hospitality industry to embrace accessibility and inclusivity, focusing on the disabled community.</w:t>
      </w:r>
    </w:p>
    <w:p w14:paraId="0A57D4E5" w14:textId="77777777" w:rsidR="00676379" w:rsidRPr="00676379" w:rsidRDefault="00676379" w:rsidP="00915BF9">
      <w:pPr>
        <w:spacing w:line="360" w:lineRule="auto"/>
        <w:rPr>
          <w:rFonts w:ascii="Times New Roman" w:hAnsi="Times New Roman" w:cs="Times New Roman"/>
          <w:b/>
          <w:bCs/>
          <w:sz w:val="24"/>
          <w:szCs w:val="24"/>
        </w:rPr>
      </w:pPr>
      <w:r w:rsidRPr="00676379">
        <w:rPr>
          <w:rFonts w:ascii="Times New Roman" w:hAnsi="Times New Roman" w:cs="Times New Roman"/>
          <w:b/>
          <w:bCs/>
          <w:sz w:val="24"/>
          <w:szCs w:val="24"/>
        </w:rPr>
        <w:t>Objective 1:</w:t>
      </w:r>
    </w:p>
    <w:p w14:paraId="668EFC3A" w14:textId="77777777" w:rsidR="00676379" w:rsidRPr="00676379" w:rsidRDefault="00676379" w:rsidP="00915BF9">
      <w:pPr>
        <w:spacing w:line="360" w:lineRule="auto"/>
        <w:rPr>
          <w:rFonts w:ascii="Times New Roman" w:hAnsi="Times New Roman" w:cs="Times New Roman"/>
          <w:sz w:val="24"/>
          <w:szCs w:val="24"/>
        </w:rPr>
      </w:pPr>
      <w:r w:rsidRPr="00676379">
        <w:rPr>
          <w:rFonts w:ascii="Times New Roman" w:hAnsi="Times New Roman" w:cs="Times New Roman"/>
          <w:sz w:val="24"/>
          <w:szCs w:val="24"/>
        </w:rPr>
        <w:t>Conduct three workshops to train 200 attendees on legal and practical accessibility requirements.</w:t>
      </w:r>
    </w:p>
    <w:p w14:paraId="166F2F44" w14:textId="77777777" w:rsidR="00676379" w:rsidRPr="00676379" w:rsidRDefault="00676379" w:rsidP="00915BF9">
      <w:pPr>
        <w:numPr>
          <w:ilvl w:val="0"/>
          <w:numId w:val="1"/>
        </w:numPr>
        <w:tabs>
          <w:tab w:val="clear" w:pos="720"/>
          <w:tab w:val="num" w:pos="1080"/>
        </w:tabs>
        <w:spacing w:line="360" w:lineRule="auto"/>
        <w:rPr>
          <w:rFonts w:ascii="Times New Roman" w:hAnsi="Times New Roman" w:cs="Times New Roman"/>
          <w:sz w:val="24"/>
          <w:szCs w:val="24"/>
        </w:rPr>
      </w:pPr>
      <w:r w:rsidRPr="00676379">
        <w:rPr>
          <w:rFonts w:ascii="Times New Roman" w:hAnsi="Times New Roman" w:cs="Times New Roman"/>
          <w:sz w:val="24"/>
          <w:szCs w:val="24"/>
        </w:rPr>
        <w:t>Empower participants with knowledge to implement accessibility changes within their organizations.</w:t>
      </w:r>
    </w:p>
    <w:p w14:paraId="4274F049" w14:textId="77777777" w:rsidR="00676379" w:rsidRPr="00676379" w:rsidRDefault="00676379" w:rsidP="00915BF9">
      <w:pPr>
        <w:spacing w:line="360" w:lineRule="auto"/>
        <w:rPr>
          <w:rFonts w:ascii="Times New Roman" w:hAnsi="Times New Roman" w:cs="Times New Roman"/>
          <w:b/>
          <w:bCs/>
          <w:sz w:val="24"/>
          <w:szCs w:val="24"/>
        </w:rPr>
      </w:pPr>
      <w:r w:rsidRPr="00676379">
        <w:rPr>
          <w:rFonts w:ascii="Times New Roman" w:hAnsi="Times New Roman" w:cs="Times New Roman"/>
          <w:b/>
          <w:bCs/>
          <w:sz w:val="24"/>
          <w:szCs w:val="24"/>
        </w:rPr>
        <w:t xml:space="preserve">Objective 2: </w:t>
      </w:r>
    </w:p>
    <w:p w14:paraId="1B32FD49" w14:textId="77777777" w:rsidR="00676379" w:rsidRPr="00676379" w:rsidRDefault="00676379" w:rsidP="00915BF9">
      <w:pPr>
        <w:spacing w:line="360" w:lineRule="auto"/>
        <w:rPr>
          <w:rFonts w:ascii="Times New Roman" w:hAnsi="Times New Roman" w:cs="Times New Roman"/>
          <w:sz w:val="24"/>
          <w:szCs w:val="24"/>
        </w:rPr>
      </w:pPr>
      <w:r w:rsidRPr="00676379">
        <w:rPr>
          <w:rFonts w:ascii="Times New Roman" w:hAnsi="Times New Roman" w:cs="Times New Roman"/>
          <w:sz w:val="24"/>
          <w:szCs w:val="24"/>
        </w:rPr>
        <w:t>Showcase 10 innovative assistive technologies during the exhibition to highlight practical accessibility solutions.</w:t>
      </w:r>
    </w:p>
    <w:p w14:paraId="0E2B880E" w14:textId="77777777" w:rsidR="00676379" w:rsidRPr="00676379" w:rsidRDefault="00676379" w:rsidP="00915BF9">
      <w:pPr>
        <w:numPr>
          <w:ilvl w:val="0"/>
          <w:numId w:val="2"/>
        </w:numPr>
        <w:tabs>
          <w:tab w:val="clear" w:pos="720"/>
          <w:tab w:val="num" w:pos="1080"/>
        </w:tabs>
        <w:spacing w:line="360" w:lineRule="auto"/>
        <w:rPr>
          <w:rFonts w:ascii="Times New Roman" w:hAnsi="Times New Roman" w:cs="Times New Roman"/>
          <w:sz w:val="24"/>
          <w:szCs w:val="24"/>
        </w:rPr>
      </w:pPr>
      <w:r w:rsidRPr="00676379">
        <w:rPr>
          <w:rFonts w:ascii="Times New Roman" w:hAnsi="Times New Roman" w:cs="Times New Roman"/>
          <w:sz w:val="24"/>
          <w:szCs w:val="24"/>
        </w:rPr>
        <w:t>Examples include virtual reality-based accessibility simulations and mobile applications for inclusive navigation (Veronese, Crowther, Lee, &amp; Boyle, 2025).</w:t>
      </w:r>
    </w:p>
    <w:p w14:paraId="370F2CD8" w14:textId="77777777" w:rsidR="00676379" w:rsidRPr="00676379" w:rsidRDefault="00676379" w:rsidP="00915BF9">
      <w:pPr>
        <w:spacing w:line="360" w:lineRule="auto"/>
        <w:rPr>
          <w:rFonts w:ascii="Times New Roman" w:hAnsi="Times New Roman" w:cs="Times New Roman"/>
          <w:b/>
          <w:bCs/>
          <w:sz w:val="24"/>
          <w:szCs w:val="24"/>
        </w:rPr>
      </w:pPr>
      <w:r w:rsidRPr="00676379">
        <w:rPr>
          <w:rFonts w:ascii="Times New Roman" w:hAnsi="Times New Roman" w:cs="Times New Roman"/>
          <w:b/>
          <w:bCs/>
          <w:sz w:val="24"/>
          <w:szCs w:val="24"/>
        </w:rPr>
        <w:t xml:space="preserve">Objective 3: </w:t>
      </w:r>
    </w:p>
    <w:p w14:paraId="5C38374E" w14:textId="77777777" w:rsidR="00676379" w:rsidRPr="00676379" w:rsidRDefault="00676379" w:rsidP="00915BF9">
      <w:pPr>
        <w:spacing w:line="360" w:lineRule="auto"/>
        <w:rPr>
          <w:rFonts w:ascii="Times New Roman" w:hAnsi="Times New Roman" w:cs="Times New Roman"/>
          <w:sz w:val="24"/>
          <w:szCs w:val="24"/>
        </w:rPr>
      </w:pPr>
      <w:r w:rsidRPr="00676379">
        <w:rPr>
          <w:rFonts w:ascii="Times New Roman" w:hAnsi="Times New Roman" w:cs="Times New Roman"/>
          <w:sz w:val="24"/>
          <w:szCs w:val="24"/>
        </w:rPr>
        <w:lastRenderedPageBreak/>
        <w:t>Facilitate networking opportunities, leading to at least 15 new collaborations among stakeholders.</w:t>
      </w:r>
    </w:p>
    <w:p w14:paraId="3E0AEFB8" w14:textId="05634631" w:rsidR="00C772A6" w:rsidRPr="00676379" w:rsidRDefault="00676379" w:rsidP="00915BF9">
      <w:pPr>
        <w:spacing w:line="360" w:lineRule="auto"/>
        <w:rPr>
          <w:rFonts w:ascii="Times New Roman" w:hAnsi="Times New Roman" w:cs="Times New Roman"/>
          <w:sz w:val="24"/>
          <w:szCs w:val="24"/>
        </w:rPr>
      </w:pPr>
      <w:r w:rsidRPr="00676379">
        <w:rPr>
          <w:rFonts w:ascii="Times New Roman" w:hAnsi="Times New Roman" w:cs="Times New Roman"/>
          <w:sz w:val="24"/>
          <w:szCs w:val="24"/>
        </w:rPr>
        <w:t>Aim: Drive transformation in the hospitality industry and foster collaborations among stakeholders for a more inclusive sector.</w:t>
      </w:r>
    </w:p>
    <w:p w14:paraId="769D662E" w14:textId="77777777" w:rsidR="00676379" w:rsidRPr="00676379" w:rsidRDefault="00676379" w:rsidP="00676379">
      <w:pPr>
        <w:spacing w:line="480" w:lineRule="auto"/>
        <w:rPr>
          <w:rFonts w:ascii="Times New Roman" w:hAnsi="Times New Roman" w:cs="Times New Roman"/>
          <w:b/>
          <w:bCs/>
          <w:sz w:val="32"/>
          <w:szCs w:val="32"/>
        </w:rPr>
      </w:pPr>
      <w:r w:rsidRPr="00676379">
        <w:rPr>
          <w:rFonts w:ascii="Times New Roman" w:hAnsi="Times New Roman" w:cs="Times New Roman"/>
          <w:b/>
          <w:bCs/>
          <w:sz w:val="32"/>
          <w:szCs w:val="32"/>
        </w:rPr>
        <w:t>Event Management</w:t>
      </w:r>
    </w:p>
    <w:p w14:paraId="3DBA64C7" w14:textId="488A2687" w:rsidR="004D5E48" w:rsidRPr="004D5E48" w:rsidRDefault="00676379" w:rsidP="004D5E48">
      <w:pPr>
        <w:spacing w:line="480" w:lineRule="auto"/>
        <w:rPr>
          <w:rFonts w:ascii="Times New Roman" w:hAnsi="Times New Roman" w:cs="Times New Roman"/>
          <w:sz w:val="24"/>
          <w:szCs w:val="24"/>
        </w:rPr>
      </w:pPr>
      <w:r w:rsidRPr="00676379">
        <w:rPr>
          <w:rFonts w:ascii="Times New Roman" w:hAnsi="Times New Roman" w:cs="Times New Roman"/>
          <w:b/>
          <w:bCs/>
          <w:sz w:val="24"/>
          <w:szCs w:val="24"/>
        </w:rPr>
        <w:tab/>
      </w:r>
      <w:r w:rsidR="00177E0F">
        <w:rPr>
          <w:rFonts w:ascii="Times New Roman" w:hAnsi="Times New Roman" w:cs="Times New Roman"/>
          <w:sz w:val="24"/>
          <w:szCs w:val="24"/>
        </w:rPr>
        <w:t>E</w:t>
      </w:r>
      <w:r w:rsidR="004D5E48" w:rsidRPr="004D5E48">
        <w:rPr>
          <w:rFonts w:ascii="Times New Roman" w:hAnsi="Times New Roman" w:cs="Times New Roman"/>
          <w:sz w:val="24"/>
          <w:szCs w:val="24"/>
        </w:rPr>
        <w:t xml:space="preserve">fficient management </w:t>
      </w:r>
      <w:r w:rsidR="00177E0F">
        <w:rPr>
          <w:rFonts w:ascii="Times New Roman" w:hAnsi="Times New Roman" w:cs="Times New Roman"/>
          <w:sz w:val="24"/>
          <w:szCs w:val="24"/>
        </w:rPr>
        <w:t>for</w:t>
      </w:r>
      <w:r w:rsidR="004D5E48" w:rsidRPr="004D5E48">
        <w:rPr>
          <w:rFonts w:ascii="Times New Roman" w:hAnsi="Times New Roman" w:cs="Times New Roman"/>
          <w:sz w:val="24"/>
          <w:szCs w:val="24"/>
        </w:rPr>
        <w:t xml:space="preserve"> th</w:t>
      </w:r>
      <w:r w:rsidR="00177E0F">
        <w:rPr>
          <w:rFonts w:ascii="Times New Roman" w:hAnsi="Times New Roman" w:cs="Times New Roman"/>
          <w:sz w:val="24"/>
          <w:szCs w:val="24"/>
        </w:rPr>
        <w:t>is</w:t>
      </w:r>
      <w:r w:rsidR="004D5E48" w:rsidRPr="004D5E48">
        <w:rPr>
          <w:rFonts w:ascii="Times New Roman" w:hAnsi="Times New Roman" w:cs="Times New Roman"/>
          <w:sz w:val="24"/>
          <w:szCs w:val="24"/>
        </w:rPr>
        <w:t xml:space="preserve"> event</w:t>
      </w:r>
      <w:r w:rsidR="00177E0F">
        <w:rPr>
          <w:rFonts w:ascii="Times New Roman" w:hAnsi="Times New Roman" w:cs="Times New Roman"/>
          <w:sz w:val="24"/>
          <w:szCs w:val="24"/>
        </w:rPr>
        <w:t xml:space="preserve"> it is essential</w:t>
      </w:r>
      <w:r w:rsidR="004D5E48" w:rsidRPr="004D5E48">
        <w:rPr>
          <w:rFonts w:ascii="Times New Roman" w:hAnsi="Times New Roman" w:cs="Times New Roman"/>
          <w:sz w:val="24"/>
          <w:szCs w:val="24"/>
        </w:rPr>
        <w:t xml:space="preserve">. Diverse staff will coordinate the different levels of engagement to ensure success. A skilled and diverse team, including an event manager, an accessibility coordinator, a technical team, and volunteers, will be critical in delivering a seamless experience. The event manager will oversee all logistical components, from venue selection to scheduling, ensuring that all operational activities are cohesive. To ensure that the neurodivergent members feel comfortable and accommodated, personnel in charge of coordinating the accessibility facilities, the coordinator will be tasked with the responsibility of ensuring that all that they may need is available. There is a need to have special washrooms, wheelchair sets, and other technologies that may assist them to be active and normal in the event. Operational activities will include vendor coordination for catering, audio-visual services, and assistive technology suppliers. Comprehensive risk management plans will be implemented to address potential challenges, such as technical failures, adverse weather conditions, or speaker cancellations. Marketing efforts will focus on engaging the target audience through a multi-channel approach, including digital campaigns, email outreach, and partnerships with disability organizations. Collaborating with industry leaders and influencers on platforms like LinkedIn and Twitter will amplify the event’s reach and visibility among hospitality professionals. </w:t>
      </w:r>
    </w:p>
    <w:p w14:paraId="32B907ED" w14:textId="77777777" w:rsidR="004D5E48" w:rsidRDefault="004D5E48" w:rsidP="004D5E48">
      <w:pPr>
        <w:spacing w:line="480" w:lineRule="auto"/>
        <w:rPr>
          <w:rFonts w:ascii="Times New Roman" w:hAnsi="Times New Roman" w:cs="Times New Roman"/>
          <w:sz w:val="24"/>
          <w:szCs w:val="24"/>
        </w:rPr>
      </w:pPr>
      <w:r w:rsidRPr="004D5E48">
        <w:rPr>
          <w:rFonts w:ascii="Times New Roman" w:hAnsi="Times New Roman" w:cs="Times New Roman"/>
          <w:sz w:val="24"/>
          <w:szCs w:val="24"/>
        </w:rPr>
        <w:lastRenderedPageBreak/>
        <w:t>To publish the event, there are reputable means that will be used such as blogging, twitter, and Facebook and Feedback mechanisms, such as surveys and live Q&amp;A sessions, will be integrated to enhance attendee engagement and refine future events (Fox et al., 2014). When the essential components include strategic planning, inclusive strategies, and the so-called groundwork preparations the event will be effectively managed. The EMBOK Model provides a structured framework for event management, covering domains such as administration, marketing, operations, and risk. Integrating this model ensures a comprehensive approach to managing international meetings and events (Robson, 2018). A model by the name of Event Management Body of Knowledge (EMBOK) framework, guides the preparation of the event from scratch to the successful end that helps in the ultimate delivery of the required services. Strategic planning follows Mintzberg’s Strategic Management Theory (1994), balancing deliberate organization with adaptability, particularly through the event’s hybrid format that accommodates both in-person and virtual attendees. Risk management is aligned with ISO 31000 Risk Management Standards alternatives that ensure that the technical and operational hitches have been fixed in the required times. Financial sustainability follows Bowdin et al.’s Event Management Framework (2011) (Al-Filali, Abdulaal, Alawi, &amp; Makki, 2024), incorporating diversified revenue streams such as sponsorships, ticket sales, and grants. Post-event evaluation leverages Kirkpatrick’s Four-Level Training Evaluation Model (2006) which is key in evaluating the event’s progress and providing insights that would furnish the management with the required standards. These models integrated prepare the international hospitality events to be of such a high caliber to attract as many visitors as possible.</w:t>
      </w:r>
    </w:p>
    <w:p w14:paraId="2BA82A2A" w14:textId="77777777" w:rsidR="008D3A2B" w:rsidRDefault="008D3A2B" w:rsidP="004D5E48">
      <w:pPr>
        <w:spacing w:line="480" w:lineRule="auto"/>
        <w:rPr>
          <w:rFonts w:ascii="Times New Roman" w:hAnsi="Times New Roman" w:cs="Times New Roman"/>
          <w:sz w:val="24"/>
          <w:szCs w:val="24"/>
        </w:rPr>
      </w:pPr>
    </w:p>
    <w:p w14:paraId="089A2948" w14:textId="77777777" w:rsidR="008D3A2B" w:rsidRPr="004D5E48" w:rsidRDefault="008D3A2B" w:rsidP="004D5E48">
      <w:pPr>
        <w:spacing w:line="480" w:lineRule="auto"/>
        <w:rPr>
          <w:rFonts w:ascii="Times New Roman" w:hAnsi="Times New Roman" w:cs="Times New Roman"/>
          <w:sz w:val="24"/>
          <w:szCs w:val="24"/>
        </w:rPr>
      </w:pPr>
    </w:p>
    <w:p w14:paraId="5A2A8290" w14:textId="7F71DC92" w:rsidR="0077521B" w:rsidRPr="000E1C2A" w:rsidRDefault="0077521B" w:rsidP="004D5E48">
      <w:pPr>
        <w:spacing w:line="480" w:lineRule="auto"/>
        <w:rPr>
          <w:rFonts w:ascii="Times New Roman" w:hAnsi="Times New Roman" w:cs="Times New Roman"/>
          <w:b/>
          <w:bCs/>
          <w:sz w:val="32"/>
          <w:szCs w:val="32"/>
        </w:rPr>
      </w:pPr>
      <w:r w:rsidRPr="000E1C2A">
        <w:rPr>
          <w:rFonts w:ascii="Times New Roman" w:hAnsi="Times New Roman" w:cs="Times New Roman"/>
          <w:b/>
          <w:bCs/>
          <w:sz w:val="32"/>
          <w:szCs w:val="32"/>
        </w:rPr>
        <w:lastRenderedPageBreak/>
        <w:t>Event Budget</w:t>
      </w:r>
    </w:p>
    <w:p w14:paraId="1BA3E3EC" w14:textId="77777777" w:rsidR="000A5ABC" w:rsidRPr="000A5ABC" w:rsidRDefault="0077521B" w:rsidP="000A5ABC">
      <w:pPr>
        <w:spacing w:line="480" w:lineRule="auto"/>
        <w:rPr>
          <w:rFonts w:ascii="Times New Roman" w:hAnsi="Times New Roman" w:cs="Times New Roman"/>
          <w:sz w:val="24"/>
          <w:szCs w:val="24"/>
        </w:rPr>
      </w:pPr>
      <w:r w:rsidRPr="000E1C2A">
        <w:rPr>
          <w:rFonts w:ascii="Times New Roman" w:hAnsi="Times New Roman" w:cs="Times New Roman"/>
          <w:sz w:val="24"/>
          <w:szCs w:val="24"/>
        </w:rPr>
        <w:tab/>
      </w:r>
      <w:r w:rsidR="000A5ABC" w:rsidRPr="000A5ABC">
        <w:rPr>
          <w:rFonts w:ascii="Times New Roman" w:hAnsi="Times New Roman" w:cs="Times New Roman"/>
          <w:sz w:val="24"/>
          <w:szCs w:val="24"/>
        </w:rPr>
        <w:t>The financial feasibility of the event is supported by a detailed budget that outlines income and expenditures (O’Toole, 2011). The whole event was estimated to consume £22,000, allocated as follows: £8,000 for venue rental, £4,000 for marketing, £5,000 for catering, and £5,000 for technology and accessibility features. The budget was judiciously crafted to ensure that the highest quality and provisional inclusivity expectations were met. Income generation will rely on ticket sales and sponsorships. With an expected attendance of 200 participants at £120 per ticket, ticket sales will generate £24,000. Sponsorship packages, available in gold, silver, and bronze tiers, are projected to bring in an additional £12,000. After covering expenses, the event is expected to yield a surplus of £12,000, which will be reinvested into future accessibility initiatives. The financial choice in place ensured that the event will successfully be completed, furthermore, the decision to consider donors and grants from the international partners would be pursued (Meredith, 2022).</w:t>
      </w:r>
    </w:p>
    <w:p w14:paraId="796B92C6" w14:textId="77777777" w:rsidR="000A5ABC" w:rsidRPr="000A5ABC" w:rsidRDefault="000A5ABC" w:rsidP="008D3A2B">
      <w:pPr>
        <w:spacing w:line="360" w:lineRule="auto"/>
        <w:rPr>
          <w:rFonts w:ascii="Times New Roman" w:hAnsi="Times New Roman" w:cs="Times New Roman"/>
          <w:sz w:val="24"/>
          <w:szCs w:val="24"/>
        </w:rPr>
      </w:pPr>
    </w:p>
    <w:tbl>
      <w:tblPr>
        <w:tblStyle w:val="TableGrid"/>
        <w:tblW w:w="8635" w:type="dxa"/>
        <w:tblLook w:val="04A0" w:firstRow="1" w:lastRow="0" w:firstColumn="1" w:lastColumn="0" w:noHBand="0" w:noVBand="1"/>
      </w:tblPr>
      <w:tblGrid>
        <w:gridCol w:w="2350"/>
        <w:gridCol w:w="2235"/>
        <w:gridCol w:w="4050"/>
      </w:tblGrid>
      <w:tr w:rsidR="000A5ABC" w:rsidRPr="000A5ABC" w14:paraId="4B8945DA" w14:textId="77777777" w:rsidTr="000A5ABC">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2EEA9F0E" w14:textId="77777777" w:rsidR="000A5ABC" w:rsidRPr="000A5ABC" w:rsidRDefault="000A5ABC" w:rsidP="008D3A2B">
            <w:pPr>
              <w:spacing w:after="160" w:line="360" w:lineRule="auto"/>
              <w:rPr>
                <w:rFonts w:ascii="Times New Roman" w:hAnsi="Times New Roman" w:cs="Times New Roman"/>
                <w:b/>
                <w:bCs/>
                <w:sz w:val="24"/>
                <w:szCs w:val="24"/>
              </w:rPr>
            </w:pPr>
            <w:r w:rsidRPr="000A5ABC">
              <w:rPr>
                <w:rFonts w:ascii="Times New Roman" w:hAnsi="Times New Roman" w:cs="Times New Roman"/>
                <w:b/>
                <w:bCs/>
                <w:sz w:val="24"/>
                <w:szCs w:val="24"/>
              </w:rPr>
              <w:t>Funding Source</w:t>
            </w:r>
          </w:p>
        </w:tc>
        <w:tc>
          <w:tcPr>
            <w:tcW w:w="2235" w:type="dxa"/>
            <w:tcBorders>
              <w:top w:val="single" w:sz="4" w:space="0" w:color="auto"/>
              <w:left w:val="single" w:sz="4" w:space="0" w:color="auto"/>
              <w:bottom w:val="single" w:sz="4" w:space="0" w:color="auto"/>
              <w:right w:val="single" w:sz="4" w:space="0" w:color="auto"/>
            </w:tcBorders>
            <w:noWrap/>
            <w:hideMark/>
          </w:tcPr>
          <w:p w14:paraId="79E4AFED" w14:textId="77777777" w:rsidR="000A5ABC" w:rsidRPr="000A5ABC" w:rsidRDefault="000A5ABC" w:rsidP="008D3A2B">
            <w:pPr>
              <w:spacing w:after="160" w:line="360" w:lineRule="auto"/>
              <w:rPr>
                <w:rFonts w:ascii="Times New Roman" w:hAnsi="Times New Roman" w:cs="Times New Roman"/>
                <w:b/>
                <w:bCs/>
                <w:sz w:val="24"/>
                <w:szCs w:val="24"/>
              </w:rPr>
            </w:pPr>
            <w:r w:rsidRPr="000A5ABC">
              <w:rPr>
                <w:rFonts w:ascii="Times New Roman" w:hAnsi="Times New Roman" w:cs="Times New Roman"/>
                <w:b/>
                <w:bCs/>
                <w:sz w:val="24"/>
                <w:szCs w:val="24"/>
              </w:rPr>
              <w:t>Estimated Amount ($)</w:t>
            </w:r>
          </w:p>
        </w:tc>
        <w:tc>
          <w:tcPr>
            <w:tcW w:w="4050" w:type="dxa"/>
            <w:tcBorders>
              <w:top w:val="single" w:sz="4" w:space="0" w:color="auto"/>
              <w:left w:val="single" w:sz="4" w:space="0" w:color="auto"/>
              <w:bottom w:val="single" w:sz="4" w:space="0" w:color="auto"/>
              <w:right w:val="single" w:sz="4" w:space="0" w:color="auto"/>
            </w:tcBorders>
            <w:noWrap/>
            <w:hideMark/>
          </w:tcPr>
          <w:p w14:paraId="553E211D" w14:textId="77777777" w:rsidR="000A5ABC" w:rsidRPr="000A5ABC" w:rsidRDefault="000A5ABC" w:rsidP="008D3A2B">
            <w:pPr>
              <w:spacing w:after="160" w:line="360" w:lineRule="auto"/>
              <w:rPr>
                <w:rFonts w:ascii="Times New Roman" w:hAnsi="Times New Roman" w:cs="Times New Roman"/>
                <w:b/>
                <w:bCs/>
                <w:sz w:val="24"/>
                <w:szCs w:val="24"/>
              </w:rPr>
            </w:pPr>
            <w:r w:rsidRPr="000A5ABC">
              <w:rPr>
                <w:rFonts w:ascii="Times New Roman" w:hAnsi="Times New Roman" w:cs="Times New Roman"/>
                <w:b/>
                <w:bCs/>
                <w:sz w:val="24"/>
                <w:szCs w:val="24"/>
              </w:rPr>
              <w:t>Notes</w:t>
            </w:r>
          </w:p>
        </w:tc>
      </w:tr>
      <w:tr w:rsidR="000A5ABC" w:rsidRPr="000A5ABC" w14:paraId="5DE2DEA4" w14:textId="77777777" w:rsidTr="000A5ABC">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6C49A0BF"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Ticket Sales</w:t>
            </w:r>
          </w:p>
        </w:tc>
        <w:tc>
          <w:tcPr>
            <w:tcW w:w="2235" w:type="dxa"/>
            <w:tcBorders>
              <w:top w:val="single" w:sz="4" w:space="0" w:color="auto"/>
              <w:left w:val="single" w:sz="4" w:space="0" w:color="auto"/>
              <w:bottom w:val="single" w:sz="4" w:space="0" w:color="auto"/>
              <w:right w:val="single" w:sz="4" w:space="0" w:color="auto"/>
            </w:tcBorders>
            <w:noWrap/>
            <w:hideMark/>
          </w:tcPr>
          <w:p w14:paraId="5FA8B672"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50,000</w:t>
            </w:r>
          </w:p>
        </w:tc>
        <w:tc>
          <w:tcPr>
            <w:tcW w:w="4050" w:type="dxa"/>
            <w:tcBorders>
              <w:top w:val="single" w:sz="4" w:space="0" w:color="auto"/>
              <w:left w:val="single" w:sz="4" w:space="0" w:color="auto"/>
              <w:bottom w:val="single" w:sz="4" w:space="0" w:color="auto"/>
              <w:right w:val="single" w:sz="4" w:space="0" w:color="auto"/>
            </w:tcBorders>
            <w:noWrap/>
            <w:hideMark/>
          </w:tcPr>
          <w:p w14:paraId="666C2561"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Based on projected attendance</w:t>
            </w:r>
          </w:p>
        </w:tc>
      </w:tr>
      <w:tr w:rsidR="000A5ABC" w:rsidRPr="000A5ABC" w14:paraId="1CEE1E0F" w14:textId="77777777" w:rsidTr="000A5ABC">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638422B3"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Sponsorships</w:t>
            </w:r>
          </w:p>
        </w:tc>
        <w:tc>
          <w:tcPr>
            <w:tcW w:w="2235" w:type="dxa"/>
            <w:tcBorders>
              <w:top w:val="single" w:sz="4" w:space="0" w:color="auto"/>
              <w:left w:val="single" w:sz="4" w:space="0" w:color="auto"/>
              <w:bottom w:val="single" w:sz="4" w:space="0" w:color="auto"/>
              <w:right w:val="single" w:sz="4" w:space="0" w:color="auto"/>
            </w:tcBorders>
            <w:noWrap/>
            <w:hideMark/>
          </w:tcPr>
          <w:p w14:paraId="5F342729"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30,000</w:t>
            </w:r>
          </w:p>
        </w:tc>
        <w:tc>
          <w:tcPr>
            <w:tcW w:w="4050" w:type="dxa"/>
            <w:tcBorders>
              <w:top w:val="single" w:sz="4" w:space="0" w:color="auto"/>
              <w:left w:val="single" w:sz="4" w:space="0" w:color="auto"/>
              <w:bottom w:val="single" w:sz="4" w:space="0" w:color="auto"/>
              <w:right w:val="single" w:sz="4" w:space="0" w:color="auto"/>
            </w:tcBorders>
            <w:noWrap/>
            <w:hideMark/>
          </w:tcPr>
          <w:p w14:paraId="6ECF2C94"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Corporate sponsors</w:t>
            </w:r>
          </w:p>
        </w:tc>
      </w:tr>
      <w:tr w:rsidR="000A5ABC" w:rsidRPr="000A5ABC" w14:paraId="6EC7563C" w14:textId="77777777" w:rsidTr="000A5ABC">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7603D553"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Grants &amp; Government Aid</w:t>
            </w:r>
          </w:p>
        </w:tc>
        <w:tc>
          <w:tcPr>
            <w:tcW w:w="2235" w:type="dxa"/>
            <w:tcBorders>
              <w:top w:val="single" w:sz="4" w:space="0" w:color="auto"/>
              <w:left w:val="single" w:sz="4" w:space="0" w:color="auto"/>
              <w:bottom w:val="single" w:sz="4" w:space="0" w:color="auto"/>
              <w:right w:val="single" w:sz="4" w:space="0" w:color="auto"/>
            </w:tcBorders>
            <w:noWrap/>
            <w:hideMark/>
          </w:tcPr>
          <w:p w14:paraId="0C1BD3FB"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15,000</w:t>
            </w:r>
          </w:p>
        </w:tc>
        <w:tc>
          <w:tcPr>
            <w:tcW w:w="4050" w:type="dxa"/>
            <w:tcBorders>
              <w:top w:val="single" w:sz="4" w:space="0" w:color="auto"/>
              <w:left w:val="single" w:sz="4" w:space="0" w:color="auto"/>
              <w:bottom w:val="single" w:sz="4" w:space="0" w:color="auto"/>
              <w:right w:val="single" w:sz="4" w:space="0" w:color="auto"/>
            </w:tcBorders>
            <w:noWrap/>
            <w:hideMark/>
          </w:tcPr>
          <w:p w14:paraId="229FFD5B"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Event tourism funding</w:t>
            </w:r>
          </w:p>
        </w:tc>
      </w:tr>
      <w:tr w:rsidR="000A5ABC" w:rsidRPr="000A5ABC" w14:paraId="0FD77F1E" w14:textId="77777777" w:rsidTr="000A5ABC">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70443541"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Merchandise Sales</w:t>
            </w:r>
          </w:p>
        </w:tc>
        <w:tc>
          <w:tcPr>
            <w:tcW w:w="2235" w:type="dxa"/>
            <w:tcBorders>
              <w:top w:val="single" w:sz="4" w:space="0" w:color="auto"/>
              <w:left w:val="single" w:sz="4" w:space="0" w:color="auto"/>
              <w:bottom w:val="single" w:sz="4" w:space="0" w:color="auto"/>
              <w:right w:val="single" w:sz="4" w:space="0" w:color="auto"/>
            </w:tcBorders>
            <w:noWrap/>
            <w:hideMark/>
          </w:tcPr>
          <w:p w14:paraId="03BBE964"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10,000</w:t>
            </w:r>
          </w:p>
        </w:tc>
        <w:tc>
          <w:tcPr>
            <w:tcW w:w="4050" w:type="dxa"/>
            <w:tcBorders>
              <w:top w:val="single" w:sz="4" w:space="0" w:color="auto"/>
              <w:left w:val="single" w:sz="4" w:space="0" w:color="auto"/>
              <w:bottom w:val="single" w:sz="4" w:space="0" w:color="auto"/>
              <w:right w:val="single" w:sz="4" w:space="0" w:color="auto"/>
            </w:tcBorders>
            <w:noWrap/>
            <w:hideMark/>
          </w:tcPr>
          <w:p w14:paraId="5AF54EA9" w14:textId="77777777" w:rsidR="000A5ABC" w:rsidRPr="000A5ABC" w:rsidRDefault="000A5ABC" w:rsidP="008D3A2B">
            <w:pPr>
              <w:spacing w:after="160" w:line="360" w:lineRule="auto"/>
              <w:rPr>
                <w:rFonts w:ascii="Times New Roman" w:hAnsi="Times New Roman" w:cs="Times New Roman"/>
                <w:sz w:val="24"/>
                <w:szCs w:val="24"/>
              </w:rPr>
            </w:pPr>
            <w:r w:rsidRPr="000A5ABC">
              <w:rPr>
                <w:rFonts w:ascii="Times New Roman" w:hAnsi="Times New Roman" w:cs="Times New Roman"/>
                <w:sz w:val="24"/>
                <w:szCs w:val="24"/>
              </w:rPr>
              <w:t>Branded event merchandise</w:t>
            </w:r>
          </w:p>
        </w:tc>
      </w:tr>
      <w:tr w:rsidR="000A5ABC" w:rsidRPr="000A5ABC" w14:paraId="7E055162" w14:textId="77777777" w:rsidTr="000A5ABC">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59344D95" w14:textId="77777777" w:rsidR="000A5ABC" w:rsidRPr="000A5ABC" w:rsidRDefault="000A5ABC" w:rsidP="008D3A2B">
            <w:pPr>
              <w:spacing w:after="160" w:line="360" w:lineRule="auto"/>
              <w:rPr>
                <w:rFonts w:ascii="Times New Roman" w:hAnsi="Times New Roman" w:cs="Times New Roman"/>
                <w:b/>
                <w:bCs/>
                <w:sz w:val="24"/>
                <w:szCs w:val="24"/>
              </w:rPr>
            </w:pPr>
            <w:r w:rsidRPr="000A5ABC">
              <w:rPr>
                <w:rFonts w:ascii="Times New Roman" w:hAnsi="Times New Roman" w:cs="Times New Roman"/>
                <w:b/>
                <w:bCs/>
                <w:sz w:val="24"/>
                <w:szCs w:val="24"/>
              </w:rPr>
              <w:t>Total Funding</w:t>
            </w:r>
          </w:p>
        </w:tc>
        <w:tc>
          <w:tcPr>
            <w:tcW w:w="2235" w:type="dxa"/>
            <w:tcBorders>
              <w:top w:val="single" w:sz="4" w:space="0" w:color="auto"/>
              <w:left w:val="single" w:sz="4" w:space="0" w:color="auto"/>
              <w:bottom w:val="single" w:sz="4" w:space="0" w:color="auto"/>
              <w:right w:val="single" w:sz="4" w:space="0" w:color="auto"/>
            </w:tcBorders>
            <w:noWrap/>
            <w:hideMark/>
          </w:tcPr>
          <w:p w14:paraId="469122FF" w14:textId="77777777" w:rsidR="000A5ABC" w:rsidRPr="000A5ABC" w:rsidRDefault="000A5ABC" w:rsidP="008D3A2B">
            <w:pPr>
              <w:spacing w:after="160" w:line="360" w:lineRule="auto"/>
              <w:rPr>
                <w:rFonts w:ascii="Times New Roman" w:hAnsi="Times New Roman" w:cs="Times New Roman"/>
                <w:b/>
                <w:bCs/>
                <w:sz w:val="24"/>
                <w:szCs w:val="24"/>
              </w:rPr>
            </w:pPr>
            <w:r w:rsidRPr="000A5ABC">
              <w:rPr>
                <w:rFonts w:ascii="Times New Roman" w:hAnsi="Times New Roman" w:cs="Times New Roman"/>
                <w:b/>
                <w:bCs/>
                <w:sz w:val="24"/>
                <w:szCs w:val="24"/>
              </w:rPr>
              <w:t>105,000</w:t>
            </w:r>
          </w:p>
        </w:tc>
        <w:tc>
          <w:tcPr>
            <w:tcW w:w="4050" w:type="dxa"/>
            <w:tcBorders>
              <w:top w:val="single" w:sz="4" w:space="0" w:color="auto"/>
              <w:left w:val="single" w:sz="4" w:space="0" w:color="auto"/>
              <w:bottom w:val="single" w:sz="4" w:space="0" w:color="auto"/>
              <w:right w:val="single" w:sz="4" w:space="0" w:color="auto"/>
            </w:tcBorders>
            <w:noWrap/>
            <w:hideMark/>
          </w:tcPr>
          <w:p w14:paraId="48F8709F" w14:textId="77777777" w:rsidR="000A5ABC" w:rsidRPr="000A5ABC" w:rsidRDefault="000A5ABC" w:rsidP="008D3A2B">
            <w:pPr>
              <w:spacing w:after="160" w:line="360" w:lineRule="auto"/>
              <w:rPr>
                <w:rFonts w:ascii="Times New Roman" w:hAnsi="Times New Roman" w:cs="Times New Roman"/>
                <w:i/>
                <w:iCs/>
                <w:sz w:val="24"/>
                <w:szCs w:val="24"/>
              </w:rPr>
            </w:pPr>
            <w:r w:rsidRPr="000A5ABC">
              <w:rPr>
                <w:rFonts w:ascii="Times New Roman" w:hAnsi="Times New Roman" w:cs="Times New Roman"/>
                <w:i/>
                <w:iCs/>
                <w:sz w:val="24"/>
                <w:szCs w:val="24"/>
              </w:rPr>
              <w:t>Projected Budget</w:t>
            </w:r>
          </w:p>
        </w:tc>
      </w:tr>
    </w:tbl>
    <w:p w14:paraId="7F371745" w14:textId="220962A8" w:rsidR="00C772A6" w:rsidRPr="00E0663D" w:rsidRDefault="000A5ABC" w:rsidP="000A5ABC">
      <w:pPr>
        <w:spacing w:line="480" w:lineRule="auto"/>
        <w:rPr>
          <w:rFonts w:ascii="Times New Roman" w:hAnsi="Times New Roman" w:cs="Times New Roman"/>
          <w:sz w:val="24"/>
          <w:szCs w:val="24"/>
        </w:rPr>
      </w:pPr>
      <w:r w:rsidRPr="000A5ABC">
        <w:rPr>
          <w:rFonts w:ascii="Times New Roman" w:hAnsi="Times New Roman" w:cs="Times New Roman"/>
          <w:sz w:val="24"/>
          <w:szCs w:val="24"/>
        </w:rPr>
        <w:t>Table 1: Funding table for the project</w:t>
      </w:r>
    </w:p>
    <w:p w14:paraId="41958B8F" w14:textId="5E37DF45" w:rsidR="0077521B" w:rsidRPr="00E0663D" w:rsidRDefault="00E0663D" w:rsidP="0077521B">
      <w:pPr>
        <w:spacing w:line="480" w:lineRule="auto"/>
        <w:rPr>
          <w:rFonts w:ascii="Times New Roman" w:hAnsi="Times New Roman" w:cs="Times New Roman"/>
          <w:b/>
          <w:bCs/>
          <w:sz w:val="32"/>
          <w:szCs w:val="32"/>
        </w:rPr>
      </w:pPr>
      <w:r w:rsidRPr="00E0663D">
        <w:rPr>
          <w:rFonts w:ascii="Times New Roman" w:hAnsi="Times New Roman" w:cs="Times New Roman"/>
          <w:b/>
          <w:bCs/>
          <w:sz w:val="32"/>
          <w:szCs w:val="32"/>
        </w:rPr>
        <w:lastRenderedPageBreak/>
        <w:t>I</w:t>
      </w:r>
      <w:r w:rsidR="0077521B" w:rsidRPr="00E0663D">
        <w:rPr>
          <w:rFonts w:ascii="Times New Roman" w:hAnsi="Times New Roman" w:cs="Times New Roman"/>
          <w:b/>
          <w:bCs/>
          <w:sz w:val="32"/>
          <w:szCs w:val="32"/>
        </w:rPr>
        <w:t>ndustry Trends, Issues and Impacts</w:t>
      </w:r>
    </w:p>
    <w:p w14:paraId="7EF0FC12" w14:textId="77777777" w:rsidR="000A5ABC" w:rsidRPr="000A5ABC" w:rsidRDefault="0077521B" w:rsidP="000A5ABC">
      <w:pPr>
        <w:spacing w:line="480" w:lineRule="auto"/>
        <w:rPr>
          <w:rFonts w:ascii="Times New Roman" w:hAnsi="Times New Roman" w:cs="Times New Roman"/>
          <w:sz w:val="24"/>
          <w:szCs w:val="24"/>
        </w:rPr>
      </w:pPr>
      <w:r>
        <w:rPr>
          <w:rFonts w:ascii="Times New Roman" w:hAnsi="Times New Roman" w:cs="Times New Roman"/>
          <w:sz w:val="24"/>
          <w:szCs w:val="24"/>
        </w:rPr>
        <w:tab/>
      </w:r>
      <w:r w:rsidR="000A5ABC" w:rsidRPr="000A5ABC">
        <w:rPr>
          <w:rFonts w:ascii="Times New Roman" w:hAnsi="Times New Roman" w:cs="Times New Roman"/>
          <w:sz w:val="24"/>
          <w:szCs w:val="24"/>
        </w:rPr>
        <w:t>There is undeniable evidence of ever-changing landscapes when it comes to events and conferences, which is a factor to consider in line with the theme of the discussion. With a great quest for inclusivity, the hospitality and tourism sectors have experienced a great change in the adoption of accessibility tools as a current trend in the market (Stankov, Vujičić, Orero, &amp; Gretzel, 2024). The current industry trend is key in ensuring that accessibility options are adopted when demonstrating the innovative tools designed. However, the industry faces challenges, including non-compliance with global accessibility standards and insufficient staff training. These issues can result in legal liabilities and reputational risks for organizations. The problems enumerated become great beacons for success should they be fixed, which will enhance customer loyalty and expand the impact of the inclusive choices made by the industry. Technologies with sensory-friendly tools attached would encourage a suitable environment for accessibility among needy folks. Additionally, the COVID-19 pandemic has accelerated the adoption of hybrid event formats, making accessibility considerations even more critical for virtual and in-person attendees. The growing demand for accessible tourism and hospitality reflects a broader societal shift towards inclusivity and equity. The aforementioned trend is a chance for business organizations to adopt strategies that can increase their customer base and improve their revenue generation and brand credibility</w:t>
      </w:r>
      <w:r w:rsidR="000A5ABC" w:rsidRPr="000A5ABC">
        <w:rPr>
          <w:rFonts w:ascii="Times New Roman" w:hAnsi="Times New Roman" w:cs="Times New Roman"/>
          <w:b/>
          <w:bCs/>
          <w:sz w:val="24"/>
          <w:szCs w:val="24"/>
        </w:rPr>
        <w:t xml:space="preserve"> </w:t>
      </w:r>
      <w:r w:rsidR="000A5ABC" w:rsidRPr="000A5ABC">
        <w:rPr>
          <w:rFonts w:ascii="Times New Roman" w:hAnsi="Times New Roman" w:cs="Times New Roman"/>
          <w:sz w:val="24"/>
          <w:szCs w:val="24"/>
        </w:rPr>
        <w:t>(Sinsuepphon &amp; Udomlappaisan, 2025).</w:t>
      </w:r>
    </w:p>
    <w:p w14:paraId="5274D019" w14:textId="7E033226" w:rsidR="00E0663D" w:rsidRPr="00E0663D" w:rsidRDefault="00E0663D" w:rsidP="00E0663D">
      <w:pPr>
        <w:spacing w:line="480" w:lineRule="auto"/>
        <w:rPr>
          <w:rFonts w:ascii="Times New Roman" w:hAnsi="Times New Roman" w:cs="Times New Roman"/>
          <w:sz w:val="24"/>
          <w:szCs w:val="24"/>
        </w:rPr>
      </w:pPr>
      <w:r w:rsidRPr="00E0663D">
        <w:rPr>
          <w:rFonts w:ascii="Times New Roman" w:hAnsi="Times New Roman" w:cs="Times New Roman"/>
          <w:noProof/>
          <w:sz w:val="24"/>
          <w:szCs w:val="24"/>
        </w:rPr>
        <w:lastRenderedPageBreak/>
        <w:drawing>
          <wp:inline distT="0" distB="0" distL="0" distR="0" wp14:anchorId="20F2EEFE" wp14:editId="6E2B08C5">
            <wp:extent cx="5943600" cy="2491740"/>
            <wp:effectExtent l="0" t="0" r="0" b="3810"/>
            <wp:docPr id="731576361" name="Picture 2" descr="A group of women standing in a hotel lob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76361" name="Picture 2" descr="A group of women standing in a hotel lobb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491740"/>
                    </a:xfrm>
                    <a:prstGeom prst="rect">
                      <a:avLst/>
                    </a:prstGeom>
                    <a:noFill/>
                    <a:ln>
                      <a:noFill/>
                    </a:ln>
                  </pic:spPr>
                </pic:pic>
              </a:graphicData>
            </a:graphic>
          </wp:inline>
        </w:drawing>
      </w:r>
    </w:p>
    <w:p w14:paraId="45C0C7EC" w14:textId="77777777" w:rsidR="000A5ABC" w:rsidRPr="000A5ABC" w:rsidRDefault="000A5ABC" w:rsidP="000A5ABC">
      <w:pPr>
        <w:spacing w:line="480" w:lineRule="auto"/>
        <w:rPr>
          <w:rFonts w:ascii="Times New Roman" w:hAnsi="Times New Roman" w:cs="Times New Roman"/>
          <w:sz w:val="24"/>
          <w:szCs w:val="24"/>
        </w:rPr>
      </w:pPr>
      <w:r w:rsidRPr="000A5ABC">
        <w:rPr>
          <w:rFonts w:ascii="Times New Roman" w:hAnsi="Times New Roman" w:cs="Times New Roman"/>
          <w:sz w:val="24"/>
          <w:szCs w:val="24"/>
        </w:rPr>
        <w:t xml:space="preserve">Events like “Breaking Barriers” provide a platform to foster collaboration between industry stakeholders, including event planners, hoteliers, and technology developers, to drive innovation in accessibility solutions (Smith, 2012). A partnership of this nature is imperative in stemming the systematic barriers and preparing the organizations to benefit more from collaborative efforts. One key area of focus is the implementation of Universal Design principles (Osorio Tromp, 2024), which aim to create environments usable by all people, regardless of ability. By incorporating features such as step-free access, captioning for presentations, and customizable seating arrangements, event organizers can ensure a seamless experience for all attendees. It is key to ensure that the staff operating in the hospitality industry have the required knowledge to deal with the cases of the accessibility nature that is achieved through training them. The rise of assistive technologies, such as real-time translation devices and virtual reality tools for navigation, further illustrates the role of innovation in shaping the future of accessible events (Talukder, Kumar, &amp; Das, 2024). For hybrid formats, ensuring compatibility with screen readers and providing multiple communication channels are essential to accommodating virtual attendees. Where many organizations have ignored the power behind embracing accessibility tools, those that have adopted the idea have opened avenues for both competitiveness and </w:t>
      </w:r>
      <w:r w:rsidRPr="000A5ABC">
        <w:rPr>
          <w:rFonts w:ascii="Times New Roman" w:hAnsi="Times New Roman" w:cs="Times New Roman"/>
          <w:sz w:val="24"/>
          <w:szCs w:val="24"/>
        </w:rPr>
        <w:lastRenderedPageBreak/>
        <w:t>success which they would have missed altogether. Marketing strategies, such as the AIDA model, help maximize event reach. Operations management ensures logistical efficiency, while financial planning, including budget forecasting and sponsorship acquisition, secures the event’s sustainability (Kitchen, 2024).</w:t>
      </w:r>
    </w:p>
    <w:p w14:paraId="294BB862" w14:textId="0FBDB9B9" w:rsidR="0077521B" w:rsidRPr="00E0663D" w:rsidRDefault="0077521B" w:rsidP="0077521B">
      <w:pPr>
        <w:spacing w:line="480" w:lineRule="auto"/>
        <w:rPr>
          <w:rFonts w:ascii="Times New Roman" w:hAnsi="Times New Roman" w:cs="Times New Roman"/>
          <w:b/>
          <w:bCs/>
          <w:sz w:val="32"/>
          <w:szCs w:val="32"/>
        </w:rPr>
      </w:pPr>
      <w:r w:rsidRPr="00E0663D">
        <w:rPr>
          <w:rFonts w:ascii="Times New Roman" w:hAnsi="Times New Roman" w:cs="Times New Roman"/>
          <w:b/>
          <w:bCs/>
          <w:sz w:val="32"/>
          <w:szCs w:val="32"/>
        </w:rPr>
        <w:t>Situational and Cultural Considerations</w:t>
      </w:r>
    </w:p>
    <w:p w14:paraId="009BC4C0" w14:textId="77777777" w:rsidR="00E0663D" w:rsidRPr="00E0663D" w:rsidRDefault="0077521B" w:rsidP="00E0663D">
      <w:pPr>
        <w:spacing w:line="480" w:lineRule="auto"/>
        <w:rPr>
          <w:rFonts w:ascii="Times New Roman" w:hAnsi="Times New Roman" w:cs="Times New Roman"/>
          <w:b/>
          <w:sz w:val="24"/>
          <w:szCs w:val="24"/>
        </w:rPr>
      </w:pPr>
      <w:r>
        <w:rPr>
          <w:rFonts w:ascii="Times New Roman" w:hAnsi="Times New Roman" w:cs="Times New Roman"/>
          <w:sz w:val="24"/>
          <w:szCs w:val="24"/>
        </w:rPr>
        <w:tab/>
      </w:r>
      <w:r w:rsidR="00E0663D" w:rsidRPr="00E0663D">
        <w:rPr>
          <w:rFonts w:ascii="Times New Roman" w:hAnsi="Times New Roman" w:cs="Times New Roman"/>
          <w:b/>
          <w:sz w:val="24"/>
          <w:szCs w:val="24"/>
        </w:rPr>
        <w:t>PESTEL Analysis</w:t>
      </w:r>
    </w:p>
    <w:tbl>
      <w:tblPr>
        <w:tblStyle w:val="TableGrid"/>
        <w:tblW w:w="9360" w:type="dxa"/>
        <w:tblLook w:val="04A0" w:firstRow="1" w:lastRow="0" w:firstColumn="1" w:lastColumn="0" w:noHBand="0" w:noVBand="1"/>
      </w:tblPr>
      <w:tblGrid>
        <w:gridCol w:w="1763"/>
        <w:gridCol w:w="8543"/>
      </w:tblGrid>
      <w:tr w:rsidR="00E0663D" w:rsidRPr="00E0663D" w14:paraId="1F6A48FF" w14:textId="77777777" w:rsidTr="00E0663D">
        <w:trPr>
          <w:trHeight w:val="1502"/>
        </w:trPr>
        <w:tc>
          <w:tcPr>
            <w:tcW w:w="817" w:type="dxa"/>
            <w:tcBorders>
              <w:top w:val="single" w:sz="4" w:space="0" w:color="auto"/>
              <w:left w:val="single" w:sz="4" w:space="0" w:color="auto"/>
              <w:bottom w:val="single" w:sz="4" w:space="0" w:color="auto"/>
              <w:right w:val="single" w:sz="4" w:space="0" w:color="auto"/>
            </w:tcBorders>
            <w:noWrap/>
            <w:hideMark/>
          </w:tcPr>
          <w:p w14:paraId="72D7BBD6" w14:textId="77777777" w:rsidR="00E0663D" w:rsidRPr="00E0663D" w:rsidRDefault="00E0663D" w:rsidP="00DE13B2">
            <w:pPr>
              <w:spacing w:after="160" w:line="360" w:lineRule="auto"/>
              <w:rPr>
                <w:rFonts w:ascii="Times New Roman" w:hAnsi="Times New Roman" w:cs="Times New Roman"/>
                <w:b/>
                <w:bCs/>
                <w:sz w:val="24"/>
                <w:szCs w:val="24"/>
              </w:rPr>
            </w:pPr>
            <w:r w:rsidRPr="00E0663D">
              <w:rPr>
                <w:rFonts w:ascii="Times New Roman" w:hAnsi="Times New Roman" w:cs="Times New Roman"/>
                <w:b/>
                <w:bCs/>
                <w:sz w:val="24"/>
                <w:szCs w:val="24"/>
              </w:rPr>
              <w:t>Factor</w:t>
            </w:r>
          </w:p>
        </w:tc>
        <w:tc>
          <w:tcPr>
            <w:tcW w:w="8543" w:type="dxa"/>
            <w:tcBorders>
              <w:top w:val="single" w:sz="4" w:space="0" w:color="auto"/>
              <w:left w:val="single" w:sz="4" w:space="0" w:color="auto"/>
              <w:bottom w:val="single" w:sz="4" w:space="0" w:color="auto"/>
              <w:right w:val="single" w:sz="4" w:space="0" w:color="auto"/>
            </w:tcBorders>
            <w:noWrap/>
            <w:hideMark/>
          </w:tcPr>
          <w:p w14:paraId="594DF985" w14:textId="77777777" w:rsidR="00E0663D" w:rsidRPr="00E0663D" w:rsidRDefault="00E0663D" w:rsidP="00DE13B2">
            <w:pPr>
              <w:spacing w:after="160" w:line="360" w:lineRule="auto"/>
              <w:rPr>
                <w:rFonts w:ascii="Times New Roman" w:hAnsi="Times New Roman" w:cs="Times New Roman"/>
                <w:b/>
                <w:bCs/>
                <w:sz w:val="24"/>
                <w:szCs w:val="24"/>
              </w:rPr>
            </w:pPr>
            <w:r w:rsidRPr="00E0663D">
              <w:rPr>
                <w:rFonts w:ascii="Times New Roman" w:hAnsi="Times New Roman" w:cs="Times New Roman"/>
                <w:b/>
                <w:bCs/>
                <w:sz w:val="24"/>
                <w:szCs w:val="24"/>
              </w:rPr>
              <w:t>Description</w:t>
            </w:r>
          </w:p>
        </w:tc>
      </w:tr>
      <w:tr w:rsidR="00E0663D" w:rsidRPr="00E0663D" w14:paraId="44192D6B" w14:textId="77777777" w:rsidTr="00E0663D">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4B7F24C5" w14:textId="77777777" w:rsidR="00E0663D" w:rsidRPr="00E0663D" w:rsidRDefault="00E0663D" w:rsidP="00DE13B2">
            <w:pPr>
              <w:spacing w:after="160" w:line="360" w:lineRule="auto"/>
              <w:rPr>
                <w:rFonts w:ascii="Times New Roman" w:hAnsi="Times New Roman" w:cs="Times New Roman"/>
                <w:b/>
                <w:bCs/>
                <w:sz w:val="24"/>
                <w:szCs w:val="24"/>
              </w:rPr>
            </w:pPr>
            <w:r w:rsidRPr="00E0663D">
              <w:rPr>
                <w:rFonts w:ascii="Times New Roman" w:hAnsi="Times New Roman" w:cs="Times New Roman"/>
                <w:b/>
                <w:bCs/>
                <w:sz w:val="24"/>
                <w:szCs w:val="24"/>
              </w:rPr>
              <w:t>Political</w:t>
            </w:r>
          </w:p>
        </w:tc>
        <w:tc>
          <w:tcPr>
            <w:tcW w:w="8543" w:type="dxa"/>
            <w:tcBorders>
              <w:top w:val="single" w:sz="4" w:space="0" w:color="auto"/>
              <w:left w:val="single" w:sz="4" w:space="0" w:color="auto"/>
              <w:bottom w:val="single" w:sz="4" w:space="0" w:color="auto"/>
              <w:right w:val="single" w:sz="4" w:space="0" w:color="auto"/>
            </w:tcBorders>
            <w:noWrap/>
            <w:hideMark/>
          </w:tcPr>
          <w:p w14:paraId="67B27401" w14:textId="77777777" w:rsidR="00E0663D" w:rsidRPr="00E0663D" w:rsidRDefault="00E0663D" w:rsidP="00DE13B2">
            <w:pPr>
              <w:spacing w:after="160" w:line="360" w:lineRule="auto"/>
              <w:rPr>
                <w:rFonts w:ascii="Times New Roman" w:hAnsi="Times New Roman" w:cs="Times New Roman"/>
                <w:sz w:val="24"/>
                <w:szCs w:val="24"/>
              </w:rPr>
            </w:pPr>
            <w:r w:rsidRPr="00E0663D">
              <w:rPr>
                <w:rFonts w:ascii="Times New Roman" w:hAnsi="Times New Roman" w:cs="Times New Roman"/>
                <w:sz w:val="24"/>
                <w:szCs w:val="24"/>
              </w:rPr>
              <w:t>Government regulations, policies on event management, visa requirements for international attendees, and local authority approvals.</w:t>
            </w:r>
          </w:p>
        </w:tc>
      </w:tr>
      <w:tr w:rsidR="00E0663D" w:rsidRPr="00E0663D" w14:paraId="2B7A198F" w14:textId="77777777" w:rsidTr="00E0663D">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14F040A9" w14:textId="77777777" w:rsidR="00E0663D" w:rsidRPr="00E0663D" w:rsidRDefault="00E0663D" w:rsidP="00DE13B2">
            <w:pPr>
              <w:spacing w:after="160" w:line="360" w:lineRule="auto"/>
              <w:rPr>
                <w:rFonts w:ascii="Times New Roman" w:hAnsi="Times New Roman" w:cs="Times New Roman"/>
                <w:b/>
                <w:bCs/>
                <w:sz w:val="24"/>
                <w:szCs w:val="24"/>
              </w:rPr>
            </w:pPr>
            <w:r w:rsidRPr="00E0663D">
              <w:rPr>
                <w:rFonts w:ascii="Times New Roman" w:hAnsi="Times New Roman" w:cs="Times New Roman"/>
                <w:b/>
                <w:bCs/>
                <w:sz w:val="24"/>
                <w:szCs w:val="24"/>
              </w:rPr>
              <w:t>Economic</w:t>
            </w:r>
          </w:p>
        </w:tc>
        <w:tc>
          <w:tcPr>
            <w:tcW w:w="8543" w:type="dxa"/>
            <w:tcBorders>
              <w:top w:val="single" w:sz="4" w:space="0" w:color="auto"/>
              <w:left w:val="single" w:sz="4" w:space="0" w:color="auto"/>
              <w:bottom w:val="single" w:sz="4" w:space="0" w:color="auto"/>
              <w:right w:val="single" w:sz="4" w:space="0" w:color="auto"/>
            </w:tcBorders>
            <w:noWrap/>
            <w:hideMark/>
          </w:tcPr>
          <w:p w14:paraId="5FED3E40" w14:textId="77777777" w:rsidR="00E0663D" w:rsidRPr="00E0663D" w:rsidRDefault="00E0663D" w:rsidP="00DE13B2">
            <w:pPr>
              <w:spacing w:after="160" w:line="360" w:lineRule="auto"/>
              <w:rPr>
                <w:rFonts w:ascii="Times New Roman" w:hAnsi="Times New Roman" w:cs="Times New Roman"/>
                <w:sz w:val="24"/>
                <w:szCs w:val="24"/>
              </w:rPr>
            </w:pPr>
            <w:r w:rsidRPr="00E0663D">
              <w:rPr>
                <w:rFonts w:ascii="Times New Roman" w:hAnsi="Times New Roman" w:cs="Times New Roman"/>
                <w:sz w:val="24"/>
                <w:szCs w:val="24"/>
              </w:rPr>
              <w:t>Budget constraints, sponsorship availability, inflation affecting costs, and the impact of economic downturns on event funding.</w:t>
            </w:r>
          </w:p>
        </w:tc>
      </w:tr>
      <w:tr w:rsidR="00E0663D" w:rsidRPr="00E0663D" w14:paraId="21AE2453" w14:textId="77777777" w:rsidTr="00E0663D">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0633438B" w14:textId="77777777" w:rsidR="00E0663D" w:rsidRPr="00E0663D" w:rsidRDefault="00E0663D" w:rsidP="00DE13B2">
            <w:pPr>
              <w:spacing w:after="160" w:line="360" w:lineRule="auto"/>
              <w:rPr>
                <w:rFonts w:ascii="Times New Roman" w:hAnsi="Times New Roman" w:cs="Times New Roman"/>
                <w:b/>
                <w:bCs/>
                <w:sz w:val="24"/>
                <w:szCs w:val="24"/>
              </w:rPr>
            </w:pPr>
            <w:r w:rsidRPr="00E0663D">
              <w:rPr>
                <w:rFonts w:ascii="Times New Roman" w:hAnsi="Times New Roman" w:cs="Times New Roman"/>
                <w:b/>
                <w:bCs/>
                <w:sz w:val="24"/>
                <w:szCs w:val="24"/>
              </w:rPr>
              <w:t>Social</w:t>
            </w:r>
          </w:p>
        </w:tc>
        <w:tc>
          <w:tcPr>
            <w:tcW w:w="8543" w:type="dxa"/>
            <w:tcBorders>
              <w:top w:val="single" w:sz="4" w:space="0" w:color="auto"/>
              <w:left w:val="single" w:sz="4" w:space="0" w:color="auto"/>
              <w:bottom w:val="single" w:sz="4" w:space="0" w:color="auto"/>
              <w:right w:val="single" w:sz="4" w:space="0" w:color="auto"/>
            </w:tcBorders>
            <w:noWrap/>
            <w:hideMark/>
          </w:tcPr>
          <w:p w14:paraId="77B2CEA2" w14:textId="77777777" w:rsidR="00E0663D" w:rsidRPr="00E0663D" w:rsidRDefault="00E0663D" w:rsidP="00DE13B2">
            <w:pPr>
              <w:spacing w:after="160" w:line="360" w:lineRule="auto"/>
              <w:rPr>
                <w:rFonts w:ascii="Times New Roman" w:hAnsi="Times New Roman" w:cs="Times New Roman"/>
                <w:sz w:val="24"/>
                <w:szCs w:val="24"/>
              </w:rPr>
            </w:pPr>
            <w:r w:rsidRPr="00E0663D">
              <w:rPr>
                <w:rFonts w:ascii="Times New Roman" w:hAnsi="Times New Roman" w:cs="Times New Roman"/>
                <w:sz w:val="24"/>
                <w:szCs w:val="24"/>
              </w:rPr>
              <w:t>Changing consumer preferences, cultural influences on event participation, and the rise of sustainable and inclusive events.</w:t>
            </w:r>
          </w:p>
        </w:tc>
      </w:tr>
      <w:tr w:rsidR="00E0663D" w:rsidRPr="00E0663D" w14:paraId="5FBB208A" w14:textId="77777777" w:rsidTr="00E0663D">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30B44737" w14:textId="77777777" w:rsidR="00E0663D" w:rsidRPr="00E0663D" w:rsidRDefault="00E0663D" w:rsidP="00DE13B2">
            <w:pPr>
              <w:spacing w:after="160" w:line="360" w:lineRule="auto"/>
              <w:rPr>
                <w:rFonts w:ascii="Times New Roman" w:hAnsi="Times New Roman" w:cs="Times New Roman"/>
                <w:b/>
                <w:bCs/>
                <w:sz w:val="24"/>
                <w:szCs w:val="24"/>
              </w:rPr>
            </w:pPr>
            <w:r w:rsidRPr="00E0663D">
              <w:rPr>
                <w:rFonts w:ascii="Times New Roman" w:hAnsi="Times New Roman" w:cs="Times New Roman"/>
                <w:b/>
                <w:bCs/>
                <w:sz w:val="24"/>
                <w:szCs w:val="24"/>
              </w:rPr>
              <w:t>Technological</w:t>
            </w:r>
          </w:p>
        </w:tc>
        <w:tc>
          <w:tcPr>
            <w:tcW w:w="8543" w:type="dxa"/>
            <w:tcBorders>
              <w:top w:val="single" w:sz="4" w:space="0" w:color="auto"/>
              <w:left w:val="single" w:sz="4" w:space="0" w:color="auto"/>
              <w:bottom w:val="single" w:sz="4" w:space="0" w:color="auto"/>
              <w:right w:val="single" w:sz="4" w:space="0" w:color="auto"/>
            </w:tcBorders>
            <w:noWrap/>
            <w:hideMark/>
          </w:tcPr>
          <w:p w14:paraId="0F1CD243" w14:textId="77777777" w:rsidR="00E0663D" w:rsidRPr="00E0663D" w:rsidRDefault="00E0663D" w:rsidP="00DE13B2">
            <w:pPr>
              <w:spacing w:after="160" w:line="360" w:lineRule="auto"/>
              <w:rPr>
                <w:rFonts w:ascii="Times New Roman" w:hAnsi="Times New Roman" w:cs="Times New Roman"/>
                <w:sz w:val="24"/>
                <w:szCs w:val="24"/>
              </w:rPr>
            </w:pPr>
            <w:r w:rsidRPr="00E0663D">
              <w:rPr>
                <w:rFonts w:ascii="Times New Roman" w:hAnsi="Times New Roman" w:cs="Times New Roman"/>
                <w:sz w:val="24"/>
                <w:szCs w:val="24"/>
              </w:rPr>
              <w:t>Integration of virtual/hybrid event technologies, ticketing and registration software, and data analytics for attendee engagement.</w:t>
            </w:r>
          </w:p>
        </w:tc>
      </w:tr>
      <w:tr w:rsidR="00E0663D" w:rsidRPr="00E0663D" w14:paraId="50920D98" w14:textId="77777777" w:rsidTr="00E0663D">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28DC43EC" w14:textId="77777777" w:rsidR="00E0663D" w:rsidRPr="00E0663D" w:rsidRDefault="00E0663D" w:rsidP="00DE13B2">
            <w:pPr>
              <w:spacing w:after="160" w:line="360" w:lineRule="auto"/>
              <w:rPr>
                <w:rFonts w:ascii="Times New Roman" w:hAnsi="Times New Roman" w:cs="Times New Roman"/>
                <w:b/>
                <w:bCs/>
                <w:sz w:val="24"/>
                <w:szCs w:val="24"/>
              </w:rPr>
            </w:pPr>
            <w:r w:rsidRPr="00E0663D">
              <w:rPr>
                <w:rFonts w:ascii="Times New Roman" w:hAnsi="Times New Roman" w:cs="Times New Roman"/>
                <w:b/>
                <w:bCs/>
                <w:sz w:val="24"/>
                <w:szCs w:val="24"/>
              </w:rPr>
              <w:t>Environmental</w:t>
            </w:r>
          </w:p>
        </w:tc>
        <w:tc>
          <w:tcPr>
            <w:tcW w:w="8543" w:type="dxa"/>
            <w:tcBorders>
              <w:top w:val="single" w:sz="4" w:space="0" w:color="auto"/>
              <w:left w:val="single" w:sz="4" w:space="0" w:color="auto"/>
              <w:bottom w:val="single" w:sz="4" w:space="0" w:color="auto"/>
              <w:right w:val="single" w:sz="4" w:space="0" w:color="auto"/>
            </w:tcBorders>
            <w:noWrap/>
            <w:hideMark/>
          </w:tcPr>
          <w:p w14:paraId="25267CE4" w14:textId="77777777" w:rsidR="00E0663D" w:rsidRPr="00E0663D" w:rsidRDefault="00E0663D" w:rsidP="00DE13B2">
            <w:pPr>
              <w:spacing w:after="160" w:line="360" w:lineRule="auto"/>
              <w:rPr>
                <w:rFonts w:ascii="Times New Roman" w:hAnsi="Times New Roman" w:cs="Times New Roman"/>
                <w:sz w:val="24"/>
                <w:szCs w:val="24"/>
              </w:rPr>
            </w:pPr>
            <w:r w:rsidRPr="00E0663D">
              <w:rPr>
                <w:rFonts w:ascii="Times New Roman" w:hAnsi="Times New Roman" w:cs="Times New Roman"/>
                <w:sz w:val="24"/>
                <w:szCs w:val="24"/>
              </w:rPr>
              <w:t>Sustainability concerns, eco-friendly event planning, carbon footprint reduction, and waste management strategies.</w:t>
            </w:r>
          </w:p>
        </w:tc>
      </w:tr>
      <w:tr w:rsidR="00E0663D" w:rsidRPr="00E0663D" w14:paraId="3FC54EA0" w14:textId="77777777" w:rsidTr="00E0663D">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0E206719" w14:textId="77777777" w:rsidR="00E0663D" w:rsidRPr="00E0663D" w:rsidRDefault="00E0663D" w:rsidP="00DE13B2">
            <w:pPr>
              <w:spacing w:after="160" w:line="360" w:lineRule="auto"/>
              <w:rPr>
                <w:rFonts w:ascii="Times New Roman" w:hAnsi="Times New Roman" w:cs="Times New Roman"/>
                <w:b/>
                <w:bCs/>
                <w:sz w:val="24"/>
                <w:szCs w:val="24"/>
              </w:rPr>
            </w:pPr>
            <w:r w:rsidRPr="00E0663D">
              <w:rPr>
                <w:rFonts w:ascii="Times New Roman" w:hAnsi="Times New Roman" w:cs="Times New Roman"/>
                <w:b/>
                <w:bCs/>
                <w:sz w:val="24"/>
                <w:szCs w:val="24"/>
              </w:rPr>
              <w:t>Legal</w:t>
            </w:r>
          </w:p>
        </w:tc>
        <w:tc>
          <w:tcPr>
            <w:tcW w:w="8543" w:type="dxa"/>
            <w:tcBorders>
              <w:top w:val="single" w:sz="4" w:space="0" w:color="auto"/>
              <w:left w:val="single" w:sz="4" w:space="0" w:color="auto"/>
              <w:bottom w:val="single" w:sz="4" w:space="0" w:color="auto"/>
              <w:right w:val="single" w:sz="4" w:space="0" w:color="auto"/>
            </w:tcBorders>
            <w:noWrap/>
            <w:hideMark/>
          </w:tcPr>
          <w:p w14:paraId="0C1FEC9F" w14:textId="77777777" w:rsidR="00E0663D" w:rsidRPr="00E0663D" w:rsidRDefault="00E0663D" w:rsidP="00DE13B2">
            <w:pPr>
              <w:spacing w:after="160" w:line="360" w:lineRule="auto"/>
              <w:rPr>
                <w:rFonts w:ascii="Times New Roman" w:hAnsi="Times New Roman" w:cs="Times New Roman"/>
                <w:sz w:val="24"/>
                <w:szCs w:val="24"/>
              </w:rPr>
            </w:pPr>
            <w:r w:rsidRPr="00E0663D">
              <w:rPr>
                <w:rFonts w:ascii="Times New Roman" w:hAnsi="Times New Roman" w:cs="Times New Roman"/>
                <w:sz w:val="24"/>
                <w:szCs w:val="24"/>
              </w:rPr>
              <w:t>Compliance with health and safety regulations, data protection laws (e.g., GDPR for attendee information), and contractual obligations with sponsors and vendors .</w:t>
            </w:r>
          </w:p>
        </w:tc>
      </w:tr>
    </w:tbl>
    <w:p w14:paraId="0F66392E" w14:textId="77777777" w:rsidR="00E0663D" w:rsidRPr="00E0663D" w:rsidRDefault="00E0663D" w:rsidP="00E0663D">
      <w:pPr>
        <w:spacing w:line="480" w:lineRule="auto"/>
        <w:rPr>
          <w:rFonts w:ascii="Times New Roman" w:hAnsi="Times New Roman" w:cs="Times New Roman"/>
          <w:b/>
          <w:bCs/>
          <w:sz w:val="24"/>
          <w:szCs w:val="24"/>
        </w:rPr>
      </w:pPr>
    </w:p>
    <w:p w14:paraId="58ED4CC2" w14:textId="38BF6BD4" w:rsidR="0077521B" w:rsidRDefault="0077521B" w:rsidP="0077521B">
      <w:pPr>
        <w:spacing w:line="480" w:lineRule="auto"/>
        <w:rPr>
          <w:rFonts w:ascii="Times New Roman" w:hAnsi="Times New Roman" w:cs="Times New Roman"/>
          <w:sz w:val="24"/>
          <w:szCs w:val="24"/>
        </w:rPr>
      </w:pPr>
      <w:r w:rsidRPr="000143CA">
        <w:rPr>
          <w:rFonts w:ascii="Times New Roman" w:hAnsi="Times New Roman" w:cs="Times New Roman"/>
          <w:sz w:val="24"/>
          <w:szCs w:val="24"/>
        </w:rPr>
        <w:lastRenderedPageBreak/>
        <w:t xml:space="preserve"> By addressing these factors, the event will create a culturally sensitive and impactful experience for all participants. </w:t>
      </w:r>
      <w:r>
        <w:rPr>
          <w:rFonts w:ascii="Times New Roman" w:hAnsi="Times New Roman" w:cs="Times New Roman"/>
          <w:sz w:val="24"/>
          <w:szCs w:val="24"/>
        </w:rPr>
        <w:t>With an event of such magnitude, the coordinator must ensure that the accessibility standards meet the international cultural criteria to accommodate the people therein</w:t>
      </w:r>
      <w:r w:rsidRPr="000143CA">
        <w:rPr>
          <w:rFonts w:ascii="Times New Roman" w:hAnsi="Times New Roman" w:cs="Times New Roman"/>
          <w:sz w:val="24"/>
          <w:szCs w:val="24"/>
        </w:rPr>
        <w:t xml:space="preserve"> (Nelson et al., 2018).</w:t>
      </w:r>
    </w:p>
    <w:p w14:paraId="6D0DCF4E" w14:textId="77777777" w:rsidR="00E0663D" w:rsidRPr="00E0663D" w:rsidRDefault="00E0663D" w:rsidP="00E0663D">
      <w:pPr>
        <w:spacing w:line="480" w:lineRule="auto"/>
        <w:rPr>
          <w:rFonts w:ascii="Times New Roman" w:hAnsi="Times New Roman" w:cs="Times New Roman"/>
          <w:b/>
          <w:sz w:val="32"/>
          <w:szCs w:val="32"/>
        </w:rPr>
      </w:pPr>
      <w:r w:rsidRPr="00E0663D">
        <w:rPr>
          <w:rFonts w:ascii="Times New Roman" w:hAnsi="Times New Roman" w:cs="Times New Roman"/>
          <w:b/>
          <w:sz w:val="32"/>
          <w:szCs w:val="32"/>
        </w:rPr>
        <w:t>Conclusion</w:t>
      </w:r>
    </w:p>
    <w:p w14:paraId="22A6A16B" w14:textId="17240C5A" w:rsidR="0077521B" w:rsidRDefault="00E0663D" w:rsidP="0077521B">
      <w:pPr>
        <w:spacing w:line="480" w:lineRule="auto"/>
        <w:rPr>
          <w:rFonts w:ascii="Times New Roman" w:hAnsi="Times New Roman" w:cs="Times New Roman"/>
          <w:sz w:val="24"/>
          <w:szCs w:val="24"/>
        </w:rPr>
      </w:pPr>
      <w:r w:rsidRPr="00E0663D">
        <w:rPr>
          <w:rFonts w:ascii="Times New Roman" w:hAnsi="Times New Roman" w:cs="Times New Roman"/>
          <w:sz w:val="24"/>
          <w:szCs w:val="24"/>
        </w:rPr>
        <w:tab/>
        <w:t>To have a successful event of international standards, there is a need to have a well-prepared financial structure, and strategy, and employ the models that can propel the intended goals. The Breaking Barriers: Enhancing Accessibility in the Hospitality Industry event demonstrates how applying theoretical frameworks such as EMBOK ensures a systematic approach to event planning, risk mitigation, and stakeholder engagement. By complying with the inclusive and diverse calls, the event spans beyond the legal boundaries to be culturally oriented and accommodates the class of all people. Future considerations for similar events include leveraging emerging digital event technologies to enhance accessibility for a global audience, expanding partnerships with advocacy organizations to promote inclusivity, and implementing long-term impact assessment strategies. Working with the required terms in the inclusive calls in the hospitality industry provides sustainable practices that can ensure success and progress. By continuing to evolve and refine its approach, the hospitality sector can set new benchmarks for inclusivity, ensuring that accessibility is not just an obligation but a fundamental business strategy.</w:t>
      </w:r>
    </w:p>
    <w:p w14:paraId="2F618E45" w14:textId="77777777" w:rsidR="008D3A2B" w:rsidRDefault="008D3A2B" w:rsidP="0077521B">
      <w:pPr>
        <w:spacing w:line="480" w:lineRule="auto"/>
        <w:rPr>
          <w:rFonts w:ascii="Times New Roman" w:hAnsi="Times New Roman" w:cs="Times New Roman"/>
          <w:sz w:val="24"/>
          <w:szCs w:val="24"/>
        </w:rPr>
      </w:pPr>
    </w:p>
    <w:p w14:paraId="0EC3089D" w14:textId="77777777" w:rsidR="008D3A2B" w:rsidRDefault="008D3A2B" w:rsidP="0077521B">
      <w:pPr>
        <w:spacing w:line="480" w:lineRule="auto"/>
        <w:rPr>
          <w:rFonts w:ascii="Times New Roman" w:hAnsi="Times New Roman" w:cs="Times New Roman"/>
          <w:sz w:val="24"/>
          <w:szCs w:val="24"/>
        </w:rPr>
      </w:pPr>
    </w:p>
    <w:p w14:paraId="631A16D4" w14:textId="77777777" w:rsidR="008D3A2B" w:rsidRDefault="008D3A2B" w:rsidP="0077521B">
      <w:pPr>
        <w:spacing w:line="480" w:lineRule="auto"/>
        <w:rPr>
          <w:rFonts w:ascii="Times New Roman" w:hAnsi="Times New Roman" w:cs="Times New Roman"/>
          <w:sz w:val="24"/>
          <w:szCs w:val="24"/>
        </w:rPr>
      </w:pPr>
    </w:p>
    <w:p w14:paraId="158D211D" w14:textId="77F8E6B8" w:rsidR="0077521B" w:rsidRPr="00E0663D" w:rsidRDefault="0077521B" w:rsidP="0077521B">
      <w:pPr>
        <w:spacing w:line="480" w:lineRule="auto"/>
        <w:rPr>
          <w:rFonts w:ascii="Times New Roman" w:hAnsi="Times New Roman" w:cs="Times New Roman"/>
          <w:b/>
          <w:bCs/>
          <w:sz w:val="32"/>
          <w:szCs w:val="32"/>
        </w:rPr>
      </w:pPr>
      <w:r w:rsidRPr="000143CA">
        <w:rPr>
          <w:rFonts w:ascii="Times New Roman" w:hAnsi="Times New Roman" w:cs="Times New Roman"/>
          <w:b/>
          <w:bCs/>
          <w:sz w:val="24"/>
          <w:szCs w:val="24"/>
        </w:rPr>
        <w:lastRenderedPageBreak/>
        <w:t xml:space="preserve"> </w:t>
      </w:r>
      <w:r w:rsidRPr="00E0663D">
        <w:rPr>
          <w:rFonts w:ascii="Times New Roman" w:hAnsi="Times New Roman" w:cs="Times New Roman"/>
          <w:b/>
          <w:bCs/>
          <w:sz w:val="32"/>
          <w:szCs w:val="32"/>
        </w:rPr>
        <w:t>Reference list:</w:t>
      </w:r>
    </w:p>
    <w:p w14:paraId="297BF878"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Al-Filali, I.Y., Abdulaal, R.M., Alawi, S.M. and Makki, A.A., 2024. Modification of strategic planning tools for planning financial sustainability in‎ higher education institutions. </w:t>
      </w:r>
      <w:r w:rsidRPr="00892CB3">
        <w:rPr>
          <w:rFonts w:ascii="Times New Roman" w:hAnsi="Times New Roman" w:cs="Times New Roman"/>
          <w:i/>
          <w:iCs/>
          <w:sz w:val="24"/>
          <w:szCs w:val="24"/>
        </w:rPr>
        <w:t>Journal of Engineering Research</w:t>
      </w:r>
      <w:r w:rsidRPr="00892CB3">
        <w:rPr>
          <w:rFonts w:ascii="Times New Roman" w:hAnsi="Times New Roman" w:cs="Times New Roman"/>
          <w:sz w:val="24"/>
          <w:szCs w:val="24"/>
        </w:rPr>
        <w:t>, </w:t>
      </w:r>
      <w:r w:rsidRPr="00892CB3">
        <w:rPr>
          <w:rFonts w:ascii="Times New Roman" w:hAnsi="Times New Roman" w:cs="Times New Roman"/>
          <w:i/>
          <w:iCs/>
          <w:sz w:val="24"/>
          <w:szCs w:val="24"/>
        </w:rPr>
        <w:t>12</w:t>
      </w:r>
      <w:r w:rsidRPr="00892CB3">
        <w:rPr>
          <w:rFonts w:ascii="Times New Roman" w:hAnsi="Times New Roman" w:cs="Times New Roman"/>
          <w:sz w:val="24"/>
          <w:szCs w:val="24"/>
        </w:rPr>
        <w:t>(1), pp.192-203.</w:t>
      </w:r>
    </w:p>
    <w:p w14:paraId="13F7CC64"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Basri, W.S. and Ayu, A.L., 2024. Risk Management in Information Systems: Applying ISO 31000: 2018 and ISO/IEC 27001: 2022 Controls at PMI's Central Clinic. </w:t>
      </w:r>
      <w:r w:rsidRPr="00892CB3">
        <w:rPr>
          <w:rFonts w:ascii="Times New Roman" w:hAnsi="Times New Roman" w:cs="Times New Roman"/>
          <w:i/>
          <w:iCs/>
          <w:sz w:val="24"/>
          <w:szCs w:val="24"/>
        </w:rPr>
        <w:t>International Journal For Applied Information Management</w:t>
      </w:r>
      <w:r w:rsidRPr="00892CB3">
        <w:rPr>
          <w:rFonts w:ascii="Times New Roman" w:hAnsi="Times New Roman" w:cs="Times New Roman"/>
          <w:sz w:val="24"/>
          <w:szCs w:val="24"/>
        </w:rPr>
        <w:t>, </w:t>
      </w:r>
      <w:r w:rsidRPr="00892CB3">
        <w:rPr>
          <w:rFonts w:ascii="Times New Roman" w:hAnsi="Times New Roman" w:cs="Times New Roman"/>
          <w:i/>
          <w:iCs/>
          <w:sz w:val="24"/>
          <w:szCs w:val="24"/>
        </w:rPr>
        <w:t>4</w:t>
      </w:r>
      <w:r w:rsidRPr="00892CB3">
        <w:rPr>
          <w:rFonts w:ascii="Times New Roman" w:hAnsi="Times New Roman" w:cs="Times New Roman"/>
          <w:sz w:val="24"/>
          <w:szCs w:val="24"/>
        </w:rPr>
        <w:t>(1), pp.1-13.</w:t>
      </w:r>
    </w:p>
    <w:p w14:paraId="2468E608" w14:textId="1A1C6CF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Fox, D. et al.(2014) Doing events research: from theory to practice. Routledge: Oxford</w:t>
      </w:r>
      <w:r w:rsidR="00CD3860">
        <w:rPr>
          <w:rFonts w:ascii="Times New Roman" w:hAnsi="Times New Roman" w:cs="Times New Roman"/>
          <w:sz w:val="24"/>
          <w:szCs w:val="24"/>
        </w:rPr>
        <w:t>.</w:t>
      </w:r>
    </w:p>
    <w:p w14:paraId="674D823E"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Getz, D. and Page, S. (2019) Event studies: theory, research and policy for planned events. 3</w:t>
      </w:r>
      <w:r w:rsidRPr="00892CB3">
        <w:rPr>
          <w:rFonts w:ascii="Times New Roman" w:hAnsi="Times New Roman" w:cs="Times New Roman"/>
          <w:sz w:val="24"/>
          <w:szCs w:val="24"/>
          <w:vertAlign w:val="superscript"/>
        </w:rPr>
        <w:t>rd</w:t>
      </w:r>
      <w:r w:rsidRPr="00892CB3">
        <w:rPr>
          <w:rFonts w:ascii="Times New Roman" w:hAnsi="Times New Roman" w:cs="Times New Roman"/>
          <w:sz w:val="24"/>
          <w:szCs w:val="24"/>
        </w:rPr>
        <w:t xml:space="preserve"> Edition. Routledge: Oxford</w:t>
      </w:r>
    </w:p>
    <w:p w14:paraId="238A6D5A"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Kitchen, E., 2024. Building event management skills through authentic assessment. </w:t>
      </w:r>
      <w:r w:rsidRPr="00892CB3">
        <w:rPr>
          <w:rFonts w:ascii="Times New Roman" w:hAnsi="Times New Roman" w:cs="Times New Roman"/>
          <w:i/>
          <w:iCs/>
          <w:sz w:val="24"/>
          <w:szCs w:val="24"/>
        </w:rPr>
        <w:t>Educational Studies</w:t>
      </w:r>
      <w:r w:rsidRPr="00892CB3">
        <w:rPr>
          <w:rFonts w:ascii="Times New Roman" w:hAnsi="Times New Roman" w:cs="Times New Roman"/>
          <w:sz w:val="24"/>
          <w:szCs w:val="24"/>
        </w:rPr>
        <w:t>, pp.1-17.</w:t>
      </w:r>
    </w:p>
    <w:p w14:paraId="1091CD98"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Kruse, D., Schur, L., Johnson-Marcus, H.A., Gilbert, L., Di Lallo, A., Gao, W. and Su, H., 2024. Assistive technology’s potential to improve employment of people with disabilities. </w:t>
      </w:r>
      <w:r w:rsidRPr="00892CB3">
        <w:rPr>
          <w:rFonts w:ascii="Times New Roman" w:hAnsi="Times New Roman" w:cs="Times New Roman"/>
          <w:i/>
          <w:iCs/>
          <w:sz w:val="24"/>
          <w:szCs w:val="24"/>
        </w:rPr>
        <w:t>Journal of occupational rehabilitation</w:t>
      </w:r>
      <w:r w:rsidRPr="00892CB3">
        <w:rPr>
          <w:rFonts w:ascii="Times New Roman" w:hAnsi="Times New Roman" w:cs="Times New Roman"/>
          <w:sz w:val="24"/>
          <w:szCs w:val="24"/>
        </w:rPr>
        <w:t>, </w:t>
      </w:r>
      <w:r w:rsidRPr="00892CB3">
        <w:rPr>
          <w:rFonts w:ascii="Times New Roman" w:hAnsi="Times New Roman" w:cs="Times New Roman"/>
          <w:i/>
          <w:iCs/>
          <w:sz w:val="24"/>
          <w:szCs w:val="24"/>
        </w:rPr>
        <w:t>34</w:t>
      </w:r>
      <w:r w:rsidRPr="00892CB3">
        <w:rPr>
          <w:rFonts w:ascii="Times New Roman" w:hAnsi="Times New Roman" w:cs="Times New Roman"/>
          <w:sz w:val="24"/>
          <w:szCs w:val="24"/>
        </w:rPr>
        <w:t>(2), pp.299-315.</w:t>
      </w:r>
    </w:p>
    <w:p w14:paraId="44890707"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Kumar, J., Islam, T. and Ragavan, N.A., 2025. Consumer Behaviour Research in the Event Management Journal: Past Insights and Future Research Directions. </w:t>
      </w:r>
      <w:r w:rsidRPr="00892CB3">
        <w:rPr>
          <w:rFonts w:ascii="Times New Roman" w:hAnsi="Times New Roman" w:cs="Times New Roman"/>
          <w:i/>
          <w:iCs/>
          <w:sz w:val="24"/>
          <w:szCs w:val="24"/>
        </w:rPr>
        <w:t>Event Management</w:t>
      </w:r>
      <w:r w:rsidRPr="00892CB3">
        <w:rPr>
          <w:rFonts w:ascii="Times New Roman" w:hAnsi="Times New Roman" w:cs="Times New Roman"/>
          <w:sz w:val="24"/>
          <w:szCs w:val="24"/>
        </w:rPr>
        <w:t>.</w:t>
      </w:r>
    </w:p>
    <w:p w14:paraId="57DF63F8" w14:textId="6DBCC58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Li, M., Xu, W., Liu, W. and Cao, H.,2024. Networking for innovation dynamics: a design-driven approach in the hospitality industry. </w:t>
      </w:r>
      <w:r w:rsidRPr="00892CB3">
        <w:rPr>
          <w:rFonts w:ascii="Times New Roman" w:hAnsi="Times New Roman" w:cs="Times New Roman"/>
          <w:i/>
          <w:iCs/>
          <w:sz w:val="24"/>
          <w:szCs w:val="24"/>
        </w:rPr>
        <w:t>International Journal of Contemporary Hospitality Management</w:t>
      </w:r>
      <w:r w:rsidRPr="00892CB3">
        <w:rPr>
          <w:rFonts w:ascii="Times New Roman" w:hAnsi="Times New Roman" w:cs="Times New Roman"/>
          <w:sz w:val="24"/>
          <w:szCs w:val="24"/>
        </w:rPr>
        <w:t>, </w:t>
      </w:r>
      <w:r w:rsidRPr="00892CB3">
        <w:rPr>
          <w:rFonts w:ascii="Times New Roman" w:hAnsi="Times New Roman" w:cs="Times New Roman"/>
          <w:i/>
          <w:iCs/>
          <w:sz w:val="24"/>
          <w:szCs w:val="24"/>
        </w:rPr>
        <w:t>36</w:t>
      </w:r>
      <w:r w:rsidRPr="00892CB3">
        <w:rPr>
          <w:rFonts w:ascii="Times New Roman" w:hAnsi="Times New Roman" w:cs="Times New Roman"/>
          <w:sz w:val="24"/>
          <w:szCs w:val="24"/>
        </w:rPr>
        <w:t>(2), pp.632-660</w:t>
      </w:r>
    </w:p>
    <w:p w14:paraId="300B056D" w14:textId="7DF2B2C4"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Meredith, J. (2022) Project management: a managerial approach</w:t>
      </w:r>
      <w:r w:rsidR="00CD3860">
        <w:rPr>
          <w:rFonts w:ascii="Times New Roman" w:hAnsi="Times New Roman" w:cs="Times New Roman"/>
          <w:sz w:val="24"/>
          <w:szCs w:val="24"/>
        </w:rPr>
        <w:t>.</w:t>
      </w:r>
    </w:p>
    <w:p w14:paraId="1D0B78E2" w14:textId="77777777" w:rsidR="0077521B" w:rsidRPr="000143CA" w:rsidRDefault="0077521B" w:rsidP="0077521B">
      <w:pPr>
        <w:spacing w:line="480" w:lineRule="auto"/>
        <w:rPr>
          <w:rFonts w:ascii="Times New Roman" w:hAnsi="Times New Roman" w:cs="Times New Roman"/>
          <w:sz w:val="24"/>
          <w:szCs w:val="24"/>
        </w:rPr>
      </w:pPr>
      <w:r w:rsidRPr="000143CA">
        <w:rPr>
          <w:rFonts w:ascii="Times New Roman" w:hAnsi="Times New Roman" w:cs="Times New Roman"/>
          <w:sz w:val="24"/>
          <w:szCs w:val="24"/>
        </w:rPr>
        <w:lastRenderedPageBreak/>
        <w:t xml:space="preserve">Nelson, M.C., et al. (2018). Emerging Adulthood and College-aged Youth. </w:t>
      </w:r>
      <w:r w:rsidRPr="000143CA">
        <w:rPr>
          <w:rFonts w:ascii="Times New Roman" w:hAnsi="Times New Roman" w:cs="Times New Roman"/>
          <w:i/>
          <w:iCs/>
          <w:sz w:val="24"/>
          <w:szCs w:val="24"/>
        </w:rPr>
        <w:t>Obesity, 16</w:t>
      </w:r>
      <w:r w:rsidRPr="000143CA">
        <w:rPr>
          <w:rFonts w:ascii="Times New Roman" w:hAnsi="Times New Roman" w:cs="Times New Roman"/>
          <w:sz w:val="24"/>
          <w:szCs w:val="24"/>
        </w:rPr>
        <w:t>(10), pp.2205–2211. https://doi.org/10.1038/oby.2008.365.</w:t>
      </w:r>
    </w:p>
    <w:p w14:paraId="76A70ACD" w14:textId="66AF1028" w:rsidR="00E0663D" w:rsidRPr="00E0663D" w:rsidRDefault="00E0663D" w:rsidP="00E0663D">
      <w:pPr>
        <w:spacing w:line="480" w:lineRule="auto"/>
        <w:rPr>
          <w:rFonts w:ascii="Times New Roman" w:hAnsi="Times New Roman" w:cs="Times New Roman"/>
          <w:sz w:val="24"/>
          <w:szCs w:val="24"/>
        </w:rPr>
      </w:pPr>
      <w:r w:rsidRPr="00E0663D">
        <w:rPr>
          <w:rFonts w:ascii="Times New Roman" w:hAnsi="Times New Roman" w:cs="Times New Roman"/>
          <w:sz w:val="24"/>
          <w:szCs w:val="24"/>
        </w:rPr>
        <w:t>O’Toole, W.(2011) Events feasibility and development: from strategy to operations. Elsevier: Oxford</w:t>
      </w:r>
      <w:r w:rsidR="00CD3860">
        <w:rPr>
          <w:rFonts w:ascii="Times New Roman" w:hAnsi="Times New Roman" w:cs="Times New Roman"/>
          <w:sz w:val="24"/>
          <w:szCs w:val="24"/>
        </w:rPr>
        <w:t>.</w:t>
      </w:r>
    </w:p>
    <w:p w14:paraId="7D9D9A2D"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Onwuzulike, O.C., Uzondu, N.C. and Joseph, O.B., 2024. Impact of strategic management education on professional development: A longitudinal study.</w:t>
      </w:r>
    </w:p>
    <w:p w14:paraId="2230A9CF"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Osorio Tromp, J.M., 2024. </w:t>
      </w:r>
      <w:r w:rsidRPr="00892CB3">
        <w:rPr>
          <w:rFonts w:ascii="Times New Roman" w:hAnsi="Times New Roman" w:cs="Times New Roman"/>
          <w:i/>
          <w:iCs/>
          <w:sz w:val="24"/>
          <w:szCs w:val="24"/>
        </w:rPr>
        <w:t>Optimizing hospitality service'value propositions through design principles: A case study of strategic software implementation</w:t>
      </w:r>
      <w:r w:rsidRPr="00892CB3">
        <w:rPr>
          <w:rFonts w:ascii="Times New Roman" w:hAnsi="Times New Roman" w:cs="Times New Roman"/>
          <w:sz w:val="24"/>
          <w:szCs w:val="24"/>
        </w:rPr>
        <w:t> (Doctoral dissertation, FH Vorarlberg (Fachhochschule Vorarlberg)).</w:t>
      </w:r>
    </w:p>
    <w:p w14:paraId="3FEF2E9C"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Rodrigues, S.S., Dias, L.G. and Teixeira, A., 2024. Emerging methods for the evaluation of sensory quality of food: Technology at service. </w:t>
      </w:r>
      <w:r w:rsidRPr="00892CB3">
        <w:rPr>
          <w:rFonts w:ascii="Times New Roman" w:hAnsi="Times New Roman" w:cs="Times New Roman"/>
          <w:i/>
          <w:iCs/>
          <w:sz w:val="24"/>
          <w:szCs w:val="24"/>
        </w:rPr>
        <w:t>Current Food Science and Technology Reports</w:t>
      </w:r>
      <w:r w:rsidRPr="00892CB3">
        <w:rPr>
          <w:rFonts w:ascii="Times New Roman" w:hAnsi="Times New Roman" w:cs="Times New Roman"/>
          <w:sz w:val="24"/>
          <w:szCs w:val="24"/>
        </w:rPr>
        <w:t>, </w:t>
      </w:r>
      <w:r w:rsidRPr="00892CB3">
        <w:rPr>
          <w:rFonts w:ascii="Times New Roman" w:hAnsi="Times New Roman" w:cs="Times New Roman"/>
          <w:i/>
          <w:iCs/>
          <w:sz w:val="24"/>
          <w:szCs w:val="24"/>
        </w:rPr>
        <w:t>2</w:t>
      </w:r>
      <w:r w:rsidRPr="00892CB3">
        <w:rPr>
          <w:rFonts w:ascii="Times New Roman" w:hAnsi="Times New Roman" w:cs="Times New Roman"/>
          <w:sz w:val="24"/>
          <w:szCs w:val="24"/>
        </w:rPr>
        <w:t>(1), pp.77-90.</w:t>
      </w:r>
    </w:p>
    <w:p w14:paraId="55DBEA4A" w14:textId="0DBF79BC"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Rogers, T. Wynn-Moylan, P(2022) Conferences and conventions: a global industry. 4th Edition. Routledge: Oxford</w:t>
      </w:r>
      <w:r w:rsidR="00CD3860">
        <w:rPr>
          <w:rFonts w:ascii="Times New Roman" w:hAnsi="Times New Roman" w:cs="Times New Roman"/>
          <w:sz w:val="24"/>
          <w:szCs w:val="24"/>
        </w:rPr>
        <w:t>.</w:t>
      </w:r>
    </w:p>
    <w:p w14:paraId="70B80DFE"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Sinsuepphon, N. and Udomlappaisan, C., 2025, February. DIGITAL BRANDING TOOLS AND STRATEGIES IN THE TOURISM AND HOSPITALITY INDUSTRIES. In </w:t>
      </w:r>
      <w:r w:rsidRPr="00892CB3">
        <w:rPr>
          <w:rFonts w:ascii="Times New Roman" w:hAnsi="Times New Roman" w:cs="Times New Roman"/>
          <w:i/>
          <w:iCs/>
          <w:sz w:val="24"/>
          <w:szCs w:val="24"/>
        </w:rPr>
        <w:t>International Conference" Actual economy: local solutions for global challenges"</w:t>
      </w:r>
      <w:r w:rsidRPr="00892CB3">
        <w:rPr>
          <w:rFonts w:ascii="Times New Roman" w:hAnsi="Times New Roman" w:cs="Times New Roman"/>
          <w:sz w:val="24"/>
          <w:szCs w:val="24"/>
        </w:rPr>
        <w:t> (pp. 195-204).</w:t>
      </w:r>
    </w:p>
    <w:p w14:paraId="5FFDC5CD" w14:textId="7AD3AA10"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Smith, A.(2012) Events and urban regeneration: the strategic use of events to revitalise cities. Routledge: Oxford</w:t>
      </w:r>
      <w:r w:rsidR="00CD3860">
        <w:rPr>
          <w:rFonts w:ascii="Times New Roman" w:hAnsi="Times New Roman" w:cs="Times New Roman"/>
          <w:sz w:val="24"/>
          <w:szCs w:val="24"/>
        </w:rPr>
        <w:t>.</w:t>
      </w:r>
    </w:p>
    <w:p w14:paraId="259A457B"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lastRenderedPageBreak/>
        <w:t>Stankov, U., Vujičić, M.D., Orero, P. and Gretzel, U., 2024. Accessibility of tourism 4.0—designing more meaningful and inclusive tourist experiences. </w:t>
      </w:r>
      <w:r w:rsidRPr="00892CB3">
        <w:rPr>
          <w:rFonts w:ascii="Times New Roman" w:hAnsi="Times New Roman" w:cs="Times New Roman"/>
          <w:i/>
          <w:iCs/>
          <w:sz w:val="24"/>
          <w:szCs w:val="24"/>
        </w:rPr>
        <w:t>Universal Access in the Information Society</w:t>
      </w:r>
      <w:r w:rsidRPr="00892CB3">
        <w:rPr>
          <w:rFonts w:ascii="Times New Roman" w:hAnsi="Times New Roman" w:cs="Times New Roman"/>
          <w:sz w:val="24"/>
          <w:szCs w:val="24"/>
        </w:rPr>
        <w:t>, </w:t>
      </w:r>
      <w:r w:rsidRPr="00892CB3">
        <w:rPr>
          <w:rFonts w:ascii="Times New Roman" w:hAnsi="Times New Roman" w:cs="Times New Roman"/>
          <w:i/>
          <w:iCs/>
          <w:sz w:val="24"/>
          <w:szCs w:val="24"/>
        </w:rPr>
        <w:t>23</w:t>
      </w:r>
      <w:r w:rsidRPr="00892CB3">
        <w:rPr>
          <w:rFonts w:ascii="Times New Roman" w:hAnsi="Times New Roman" w:cs="Times New Roman"/>
          <w:sz w:val="24"/>
          <w:szCs w:val="24"/>
        </w:rPr>
        <w:t>(4), pp.1503-1506.</w:t>
      </w:r>
    </w:p>
    <w:p w14:paraId="2A684AC3"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Talukder, M.B., Kumar, S. and Das, I.R., 2024. Implications of blockchain technology-based cryptocurrency in the cloud for the hospitality industry. In </w:t>
      </w:r>
      <w:r w:rsidRPr="00892CB3">
        <w:rPr>
          <w:rFonts w:ascii="Times New Roman" w:hAnsi="Times New Roman" w:cs="Times New Roman"/>
          <w:i/>
          <w:iCs/>
          <w:sz w:val="24"/>
          <w:szCs w:val="24"/>
        </w:rPr>
        <w:t>Emerging trends in cloud computing analytics, scalability, and service models</w:t>
      </w:r>
      <w:r w:rsidRPr="00892CB3">
        <w:rPr>
          <w:rFonts w:ascii="Times New Roman" w:hAnsi="Times New Roman" w:cs="Times New Roman"/>
          <w:sz w:val="24"/>
          <w:szCs w:val="24"/>
        </w:rPr>
        <w:t> (pp. 340-358). IGI Global Scientific Publishing.</w:t>
      </w:r>
    </w:p>
    <w:p w14:paraId="7E08F4D3"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TOURISM, S., 2025. PRACTICES IN THE MICE INDUSTRY. </w:t>
      </w:r>
      <w:r w:rsidRPr="00892CB3">
        <w:rPr>
          <w:rFonts w:ascii="Times New Roman" w:hAnsi="Times New Roman" w:cs="Times New Roman"/>
          <w:i/>
          <w:iCs/>
          <w:sz w:val="24"/>
          <w:szCs w:val="24"/>
        </w:rPr>
        <w:t>Routledge Handbook of Tourism and Hospitality Development in Vietnam</w:t>
      </w:r>
      <w:r w:rsidRPr="00892CB3">
        <w:rPr>
          <w:rFonts w:ascii="Times New Roman" w:hAnsi="Times New Roman" w:cs="Times New Roman"/>
          <w:sz w:val="24"/>
          <w:szCs w:val="24"/>
        </w:rPr>
        <w:t>, p.212.</w:t>
      </w:r>
    </w:p>
    <w:p w14:paraId="38A548A0" w14:textId="77777777" w:rsidR="00892CB3" w:rsidRPr="00892CB3" w:rsidRDefault="00892CB3" w:rsidP="00892CB3">
      <w:pPr>
        <w:spacing w:line="480" w:lineRule="auto"/>
        <w:rPr>
          <w:rFonts w:ascii="Times New Roman" w:hAnsi="Times New Roman" w:cs="Times New Roman"/>
          <w:sz w:val="24"/>
          <w:szCs w:val="24"/>
        </w:rPr>
      </w:pPr>
      <w:r w:rsidRPr="00892CB3">
        <w:rPr>
          <w:rFonts w:ascii="Times New Roman" w:hAnsi="Times New Roman" w:cs="Times New Roman"/>
          <w:sz w:val="24"/>
          <w:szCs w:val="24"/>
        </w:rPr>
        <w:t>Veronese, J.P., Crowther, G., Lee, P. and Boyle, M., 2025. The impact of simulation with debriefing on developing clinical competence and performance in paramedicine students.</w:t>
      </w:r>
    </w:p>
    <w:p w14:paraId="57583D89" w14:textId="77777777" w:rsidR="001E007B" w:rsidRPr="001E007B" w:rsidRDefault="001E007B" w:rsidP="001E007B">
      <w:pPr>
        <w:rPr>
          <w:rFonts w:ascii="Arial" w:hAnsi="Arial" w:cs="Arial"/>
          <w:b/>
          <w:sz w:val="32"/>
          <w:szCs w:val="32"/>
        </w:rPr>
      </w:pPr>
      <w:r w:rsidRPr="001E007B">
        <w:rPr>
          <w:rFonts w:ascii="Arial" w:hAnsi="Arial" w:cs="Arial"/>
          <w:b/>
          <w:sz w:val="32"/>
          <w:szCs w:val="32"/>
        </w:rPr>
        <w:t>Appendix</w:t>
      </w:r>
    </w:p>
    <w:p w14:paraId="6F3D897B" w14:textId="6D97B988" w:rsidR="001E007B" w:rsidRPr="001E007B" w:rsidRDefault="001E007B" w:rsidP="001E007B">
      <w:r w:rsidRPr="001E007B">
        <w:rPr>
          <w:noProof/>
        </w:rPr>
        <w:drawing>
          <wp:inline distT="0" distB="0" distL="0" distR="0" wp14:anchorId="44B5A88A" wp14:editId="7F4DFAB4">
            <wp:extent cx="5935980" cy="3863340"/>
            <wp:effectExtent l="0" t="0" r="7620" b="3810"/>
            <wp:docPr id="2060128217" name="Picture 4"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diagram of a cycl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5980" cy="3863340"/>
                    </a:xfrm>
                    <a:prstGeom prst="rect">
                      <a:avLst/>
                    </a:prstGeom>
                    <a:noFill/>
                    <a:ln>
                      <a:noFill/>
                    </a:ln>
                  </pic:spPr>
                </pic:pic>
              </a:graphicData>
            </a:graphic>
          </wp:inline>
        </w:drawing>
      </w:r>
    </w:p>
    <w:p w14:paraId="26D03649" w14:textId="6AD44C92" w:rsidR="001E007B" w:rsidRPr="001E007B" w:rsidRDefault="001E007B" w:rsidP="001E007B">
      <w:r w:rsidRPr="001E007B">
        <w:rPr>
          <w:noProof/>
        </w:rPr>
        <w:lastRenderedPageBreak/>
        <w:drawing>
          <wp:inline distT="0" distB="0" distL="0" distR="0" wp14:anchorId="080F8B1B" wp14:editId="04E1F082">
            <wp:extent cx="5943600" cy="2491740"/>
            <wp:effectExtent l="0" t="0" r="0" b="3810"/>
            <wp:docPr id="1637763470" name="Picture 3" descr="A person standing with luggage in fron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erson standing with luggage in front of a hotel&#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491740"/>
                    </a:xfrm>
                    <a:prstGeom prst="rect">
                      <a:avLst/>
                    </a:prstGeom>
                    <a:noFill/>
                    <a:ln>
                      <a:noFill/>
                    </a:ln>
                  </pic:spPr>
                </pic:pic>
              </a:graphicData>
            </a:graphic>
          </wp:inline>
        </w:drawing>
      </w:r>
    </w:p>
    <w:p w14:paraId="1CBF5913" w14:textId="77777777" w:rsidR="001E007B" w:rsidRPr="001E007B" w:rsidRDefault="001E007B" w:rsidP="001E007B"/>
    <w:p w14:paraId="73C8FD79" w14:textId="77777777" w:rsidR="001E007B" w:rsidRPr="001E007B" w:rsidRDefault="001E007B" w:rsidP="001E007B">
      <w:pPr>
        <w:rPr>
          <w:rFonts w:ascii="Times New Roman" w:hAnsi="Times New Roman" w:cs="Times New Roman"/>
          <w:sz w:val="24"/>
          <w:szCs w:val="24"/>
        </w:rPr>
      </w:pPr>
    </w:p>
    <w:tbl>
      <w:tblPr>
        <w:tblStyle w:val="TableGrid"/>
        <w:tblW w:w="8635" w:type="dxa"/>
        <w:tblLook w:val="04A0" w:firstRow="1" w:lastRow="0" w:firstColumn="1" w:lastColumn="0" w:noHBand="0" w:noVBand="1"/>
      </w:tblPr>
      <w:tblGrid>
        <w:gridCol w:w="2350"/>
        <w:gridCol w:w="2235"/>
        <w:gridCol w:w="4050"/>
      </w:tblGrid>
      <w:tr w:rsidR="001E007B" w:rsidRPr="001E007B" w14:paraId="128446A8" w14:textId="77777777" w:rsidTr="001E007B">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00B1076B"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Funding Source</w:t>
            </w:r>
          </w:p>
        </w:tc>
        <w:tc>
          <w:tcPr>
            <w:tcW w:w="2235" w:type="dxa"/>
            <w:tcBorders>
              <w:top w:val="single" w:sz="4" w:space="0" w:color="auto"/>
              <w:left w:val="single" w:sz="4" w:space="0" w:color="auto"/>
              <w:bottom w:val="single" w:sz="4" w:space="0" w:color="auto"/>
              <w:right w:val="single" w:sz="4" w:space="0" w:color="auto"/>
            </w:tcBorders>
            <w:noWrap/>
            <w:hideMark/>
          </w:tcPr>
          <w:p w14:paraId="22763C1C"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Estimated Amount ($)</w:t>
            </w:r>
          </w:p>
        </w:tc>
        <w:tc>
          <w:tcPr>
            <w:tcW w:w="4050" w:type="dxa"/>
            <w:tcBorders>
              <w:top w:val="single" w:sz="4" w:space="0" w:color="auto"/>
              <w:left w:val="single" w:sz="4" w:space="0" w:color="auto"/>
              <w:bottom w:val="single" w:sz="4" w:space="0" w:color="auto"/>
              <w:right w:val="single" w:sz="4" w:space="0" w:color="auto"/>
            </w:tcBorders>
            <w:noWrap/>
            <w:hideMark/>
          </w:tcPr>
          <w:p w14:paraId="2CECC668"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Notes</w:t>
            </w:r>
          </w:p>
        </w:tc>
      </w:tr>
      <w:tr w:rsidR="001E007B" w:rsidRPr="001E007B" w14:paraId="7BE22BB6" w14:textId="77777777" w:rsidTr="001E007B">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77976612"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Ticket Sales</w:t>
            </w:r>
          </w:p>
        </w:tc>
        <w:tc>
          <w:tcPr>
            <w:tcW w:w="2235" w:type="dxa"/>
            <w:tcBorders>
              <w:top w:val="single" w:sz="4" w:space="0" w:color="auto"/>
              <w:left w:val="single" w:sz="4" w:space="0" w:color="auto"/>
              <w:bottom w:val="single" w:sz="4" w:space="0" w:color="auto"/>
              <w:right w:val="single" w:sz="4" w:space="0" w:color="auto"/>
            </w:tcBorders>
            <w:noWrap/>
            <w:hideMark/>
          </w:tcPr>
          <w:p w14:paraId="0633AA3B"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50,000</w:t>
            </w:r>
          </w:p>
        </w:tc>
        <w:tc>
          <w:tcPr>
            <w:tcW w:w="4050" w:type="dxa"/>
            <w:tcBorders>
              <w:top w:val="single" w:sz="4" w:space="0" w:color="auto"/>
              <w:left w:val="single" w:sz="4" w:space="0" w:color="auto"/>
              <w:bottom w:val="single" w:sz="4" w:space="0" w:color="auto"/>
              <w:right w:val="single" w:sz="4" w:space="0" w:color="auto"/>
            </w:tcBorders>
            <w:noWrap/>
            <w:hideMark/>
          </w:tcPr>
          <w:p w14:paraId="071641AD"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Based on projected attendance</w:t>
            </w:r>
          </w:p>
        </w:tc>
      </w:tr>
      <w:tr w:rsidR="001E007B" w:rsidRPr="001E007B" w14:paraId="3F357AA3" w14:textId="77777777" w:rsidTr="001E007B">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2EB3E938"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Sponsorships</w:t>
            </w:r>
          </w:p>
        </w:tc>
        <w:tc>
          <w:tcPr>
            <w:tcW w:w="2235" w:type="dxa"/>
            <w:tcBorders>
              <w:top w:val="single" w:sz="4" w:space="0" w:color="auto"/>
              <w:left w:val="single" w:sz="4" w:space="0" w:color="auto"/>
              <w:bottom w:val="single" w:sz="4" w:space="0" w:color="auto"/>
              <w:right w:val="single" w:sz="4" w:space="0" w:color="auto"/>
            </w:tcBorders>
            <w:noWrap/>
            <w:hideMark/>
          </w:tcPr>
          <w:p w14:paraId="4706C5D0"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30,000</w:t>
            </w:r>
          </w:p>
        </w:tc>
        <w:tc>
          <w:tcPr>
            <w:tcW w:w="4050" w:type="dxa"/>
            <w:tcBorders>
              <w:top w:val="single" w:sz="4" w:space="0" w:color="auto"/>
              <w:left w:val="single" w:sz="4" w:space="0" w:color="auto"/>
              <w:bottom w:val="single" w:sz="4" w:space="0" w:color="auto"/>
              <w:right w:val="single" w:sz="4" w:space="0" w:color="auto"/>
            </w:tcBorders>
            <w:noWrap/>
            <w:hideMark/>
          </w:tcPr>
          <w:p w14:paraId="69DF8671"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Corporate sponsors</w:t>
            </w:r>
          </w:p>
        </w:tc>
      </w:tr>
      <w:tr w:rsidR="001E007B" w:rsidRPr="001E007B" w14:paraId="37BA424B" w14:textId="77777777" w:rsidTr="001E007B">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01AE940A"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Grants &amp; Government Aid</w:t>
            </w:r>
          </w:p>
        </w:tc>
        <w:tc>
          <w:tcPr>
            <w:tcW w:w="2235" w:type="dxa"/>
            <w:tcBorders>
              <w:top w:val="single" w:sz="4" w:space="0" w:color="auto"/>
              <w:left w:val="single" w:sz="4" w:space="0" w:color="auto"/>
              <w:bottom w:val="single" w:sz="4" w:space="0" w:color="auto"/>
              <w:right w:val="single" w:sz="4" w:space="0" w:color="auto"/>
            </w:tcBorders>
            <w:noWrap/>
            <w:hideMark/>
          </w:tcPr>
          <w:p w14:paraId="2171E86D"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15,000</w:t>
            </w:r>
          </w:p>
        </w:tc>
        <w:tc>
          <w:tcPr>
            <w:tcW w:w="4050" w:type="dxa"/>
            <w:tcBorders>
              <w:top w:val="single" w:sz="4" w:space="0" w:color="auto"/>
              <w:left w:val="single" w:sz="4" w:space="0" w:color="auto"/>
              <w:bottom w:val="single" w:sz="4" w:space="0" w:color="auto"/>
              <w:right w:val="single" w:sz="4" w:space="0" w:color="auto"/>
            </w:tcBorders>
            <w:noWrap/>
            <w:hideMark/>
          </w:tcPr>
          <w:p w14:paraId="29EE5832"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Event tourism funding</w:t>
            </w:r>
          </w:p>
        </w:tc>
      </w:tr>
      <w:tr w:rsidR="001E007B" w:rsidRPr="001E007B" w14:paraId="714BD1BA" w14:textId="77777777" w:rsidTr="001E007B">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7F8DFFB3"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Merchandise Sales</w:t>
            </w:r>
          </w:p>
        </w:tc>
        <w:tc>
          <w:tcPr>
            <w:tcW w:w="2235" w:type="dxa"/>
            <w:tcBorders>
              <w:top w:val="single" w:sz="4" w:space="0" w:color="auto"/>
              <w:left w:val="single" w:sz="4" w:space="0" w:color="auto"/>
              <w:bottom w:val="single" w:sz="4" w:space="0" w:color="auto"/>
              <w:right w:val="single" w:sz="4" w:space="0" w:color="auto"/>
            </w:tcBorders>
            <w:noWrap/>
            <w:hideMark/>
          </w:tcPr>
          <w:p w14:paraId="059768AC"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10,000</w:t>
            </w:r>
          </w:p>
        </w:tc>
        <w:tc>
          <w:tcPr>
            <w:tcW w:w="4050" w:type="dxa"/>
            <w:tcBorders>
              <w:top w:val="single" w:sz="4" w:space="0" w:color="auto"/>
              <w:left w:val="single" w:sz="4" w:space="0" w:color="auto"/>
              <w:bottom w:val="single" w:sz="4" w:space="0" w:color="auto"/>
              <w:right w:val="single" w:sz="4" w:space="0" w:color="auto"/>
            </w:tcBorders>
            <w:noWrap/>
            <w:hideMark/>
          </w:tcPr>
          <w:p w14:paraId="1C973EAA"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Branded event merchandise</w:t>
            </w:r>
          </w:p>
        </w:tc>
      </w:tr>
      <w:tr w:rsidR="001E007B" w:rsidRPr="001E007B" w14:paraId="31BB97C1" w14:textId="77777777" w:rsidTr="001E007B">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04B9C1D6"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Total Funding</w:t>
            </w:r>
          </w:p>
        </w:tc>
        <w:tc>
          <w:tcPr>
            <w:tcW w:w="2235" w:type="dxa"/>
            <w:tcBorders>
              <w:top w:val="single" w:sz="4" w:space="0" w:color="auto"/>
              <w:left w:val="single" w:sz="4" w:space="0" w:color="auto"/>
              <w:bottom w:val="single" w:sz="4" w:space="0" w:color="auto"/>
              <w:right w:val="single" w:sz="4" w:space="0" w:color="auto"/>
            </w:tcBorders>
            <w:noWrap/>
            <w:hideMark/>
          </w:tcPr>
          <w:p w14:paraId="654DEC8E"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105,000</w:t>
            </w:r>
          </w:p>
        </w:tc>
        <w:tc>
          <w:tcPr>
            <w:tcW w:w="4050" w:type="dxa"/>
            <w:tcBorders>
              <w:top w:val="single" w:sz="4" w:space="0" w:color="auto"/>
              <w:left w:val="single" w:sz="4" w:space="0" w:color="auto"/>
              <w:bottom w:val="single" w:sz="4" w:space="0" w:color="auto"/>
              <w:right w:val="single" w:sz="4" w:space="0" w:color="auto"/>
            </w:tcBorders>
            <w:noWrap/>
            <w:hideMark/>
          </w:tcPr>
          <w:p w14:paraId="7978FE2A" w14:textId="77777777" w:rsidR="001E007B" w:rsidRPr="001E007B" w:rsidRDefault="001E007B" w:rsidP="001E007B">
            <w:pPr>
              <w:spacing w:after="160" w:line="259" w:lineRule="auto"/>
              <w:rPr>
                <w:rFonts w:ascii="Times New Roman" w:hAnsi="Times New Roman" w:cs="Times New Roman"/>
                <w:i/>
                <w:iCs/>
                <w:sz w:val="24"/>
                <w:szCs w:val="24"/>
              </w:rPr>
            </w:pPr>
            <w:r w:rsidRPr="001E007B">
              <w:rPr>
                <w:rFonts w:ascii="Times New Roman" w:hAnsi="Times New Roman" w:cs="Times New Roman"/>
                <w:i/>
                <w:iCs/>
                <w:sz w:val="24"/>
                <w:szCs w:val="24"/>
              </w:rPr>
              <w:t>Projected Budget</w:t>
            </w:r>
          </w:p>
        </w:tc>
      </w:tr>
    </w:tbl>
    <w:p w14:paraId="04B9A2C1" w14:textId="77777777" w:rsidR="001E007B" w:rsidRPr="001E007B" w:rsidRDefault="001E007B" w:rsidP="001E007B">
      <w:pPr>
        <w:rPr>
          <w:rFonts w:ascii="Times New Roman" w:hAnsi="Times New Roman" w:cs="Times New Roman"/>
          <w:sz w:val="24"/>
          <w:szCs w:val="24"/>
        </w:rPr>
      </w:pPr>
      <w:r w:rsidRPr="001E007B">
        <w:rPr>
          <w:rFonts w:ascii="Times New Roman" w:hAnsi="Times New Roman" w:cs="Times New Roman"/>
          <w:sz w:val="24"/>
          <w:szCs w:val="24"/>
        </w:rPr>
        <w:t>Table 1: Funding table for the project</w:t>
      </w:r>
    </w:p>
    <w:p w14:paraId="60A57F35" w14:textId="77777777" w:rsidR="001E007B" w:rsidRPr="001E007B" w:rsidRDefault="001E007B" w:rsidP="001E007B">
      <w:pPr>
        <w:rPr>
          <w:rFonts w:ascii="Times New Roman" w:hAnsi="Times New Roman" w:cs="Times New Roman"/>
          <w:b/>
          <w:sz w:val="24"/>
          <w:szCs w:val="24"/>
        </w:rPr>
      </w:pPr>
      <w:bookmarkStart w:id="0" w:name="_Toc191575616"/>
      <w:r w:rsidRPr="001E007B">
        <w:rPr>
          <w:rFonts w:ascii="Times New Roman" w:hAnsi="Times New Roman" w:cs="Times New Roman"/>
          <w:b/>
          <w:sz w:val="24"/>
          <w:szCs w:val="24"/>
        </w:rPr>
        <w:t>PESTEL Analysis</w:t>
      </w:r>
      <w:bookmarkEnd w:id="0"/>
    </w:p>
    <w:tbl>
      <w:tblPr>
        <w:tblStyle w:val="TableGrid"/>
        <w:tblW w:w="9360" w:type="dxa"/>
        <w:tblLook w:val="04A0" w:firstRow="1" w:lastRow="0" w:firstColumn="1" w:lastColumn="0" w:noHBand="0" w:noVBand="1"/>
      </w:tblPr>
      <w:tblGrid>
        <w:gridCol w:w="1763"/>
        <w:gridCol w:w="8543"/>
      </w:tblGrid>
      <w:tr w:rsidR="001E007B" w:rsidRPr="001E007B" w14:paraId="433712C2" w14:textId="77777777" w:rsidTr="001E007B">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480DFDD4"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Factor</w:t>
            </w:r>
          </w:p>
        </w:tc>
        <w:tc>
          <w:tcPr>
            <w:tcW w:w="8543" w:type="dxa"/>
            <w:tcBorders>
              <w:top w:val="single" w:sz="4" w:space="0" w:color="auto"/>
              <w:left w:val="single" w:sz="4" w:space="0" w:color="auto"/>
              <w:bottom w:val="single" w:sz="4" w:space="0" w:color="auto"/>
              <w:right w:val="single" w:sz="4" w:space="0" w:color="auto"/>
            </w:tcBorders>
            <w:noWrap/>
            <w:hideMark/>
          </w:tcPr>
          <w:p w14:paraId="5BCF853B"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Description</w:t>
            </w:r>
          </w:p>
        </w:tc>
      </w:tr>
      <w:tr w:rsidR="001E007B" w:rsidRPr="001E007B" w14:paraId="1D4DE394" w14:textId="77777777" w:rsidTr="001E007B">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32D76CA7"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Political</w:t>
            </w:r>
          </w:p>
        </w:tc>
        <w:tc>
          <w:tcPr>
            <w:tcW w:w="8543" w:type="dxa"/>
            <w:tcBorders>
              <w:top w:val="single" w:sz="4" w:space="0" w:color="auto"/>
              <w:left w:val="single" w:sz="4" w:space="0" w:color="auto"/>
              <w:bottom w:val="single" w:sz="4" w:space="0" w:color="auto"/>
              <w:right w:val="single" w:sz="4" w:space="0" w:color="auto"/>
            </w:tcBorders>
            <w:noWrap/>
            <w:hideMark/>
          </w:tcPr>
          <w:p w14:paraId="0D7003C9"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Government regulations, policies on event management, visa requirements for international attendees, and local authority approvals.</w:t>
            </w:r>
          </w:p>
        </w:tc>
      </w:tr>
      <w:tr w:rsidR="001E007B" w:rsidRPr="001E007B" w14:paraId="2A3E4310" w14:textId="77777777" w:rsidTr="001E007B">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50206906"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Economic</w:t>
            </w:r>
          </w:p>
        </w:tc>
        <w:tc>
          <w:tcPr>
            <w:tcW w:w="8543" w:type="dxa"/>
            <w:tcBorders>
              <w:top w:val="single" w:sz="4" w:space="0" w:color="auto"/>
              <w:left w:val="single" w:sz="4" w:space="0" w:color="auto"/>
              <w:bottom w:val="single" w:sz="4" w:space="0" w:color="auto"/>
              <w:right w:val="single" w:sz="4" w:space="0" w:color="auto"/>
            </w:tcBorders>
            <w:noWrap/>
            <w:hideMark/>
          </w:tcPr>
          <w:p w14:paraId="0669F73B"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Budget constraints, sponsorship availability, inflation affecting costs, and the impact of economic downturns on event funding (Tomás López Guzmán et al., 2016).</w:t>
            </w:r>
          </w:p>
        </w:tc>
      </w:tr>
      <w:tr w:rsidR="001E007B" w:rsidRPr="001E007B" w14:paraId="5DB9B972" w14:textId="77777777" w:rsidTr="001E007B">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319F923B"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Social</w:t>
            </w:r>
          </w:p>
        </w:tc>
        <w:tc>
          <w:tcPr>
            <w:tcW w:w="8543" w:type="dxa"/>
            <w:tcBorders>
              <w:top w:val="single" w:sz="4" w:space="0" w:color="auto"/>
              <w:left w:val="single" w:sz="4" w:space="0" w:color="auto"/>
              <w:bottom w:val="single" w:sz="4" w:space="0" w:color="auto"/>
              <w:right w:val="single" w:sz="4" w:space="0" w:color="auto"/>
            </w:tcBorders>
            <w:noWrap/>
            <w:hideMark/>
          </w:tcPr>
          <w:p w14:paraId="51B9BDF8"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Changing consumer preferences, cultural influences on event participation, and the rise of sustainable and inclusive events.</w:t>
            </w:r>
          </w:p>
        </w:tc>
      </w:tr>
      <w:tr w:rsidR="001E007B" w:rsidRPr="001E007B" w14:paraId="1DADA622" w14:textId="77777777" w:rsidTr="001E007B">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390C28E6"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Technological</w:t>
            </w:r>
          </w:p>
        </w:tc>
        <w:tc>
          <w:tcPr>
            <w:tcW w:w="8543" w:type="dxa"/>
            <w:tcBorders>
              <w:top w:val="single" w:sz="4" w:space="0" w:color="auto"/>
              <w:left w:val="single" w:sz="4" w:space="0" w:color="auto"/>
              <w:bottom w:val="single" w:sz="4" w:space="0" w:color="auto"/>
              <w:right w:val="single" w:sz="4" w:space="0" w:color="auto"/>
            </w:tcBorders>
            <w:noWrap/>
            <w:hideMark/>
          </w:tcPr>
          <w:p w14:paraId="2289DB45"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Integration of virtual/hybrid event technologies, ticketing and registration software, and data analytics for attendee engagement (O’Brien et al., 2018).</w:t>
            </w:r>
          </w:p>
        </w:tc>
      </w:tr>
      <w:tr w:rsidR="001E007B" w:rsidRPr="001E007B" w14:paraId="462B7561" w14:textId="77777777" w:rsidTr="001E007B">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29CB2571"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lastRenderedPageBreak/>
              <w:t>Environmental</w:t>
            </w:r>
          </w:p>
        </w:tc>
        <w:tc>
          <w:tcPr>
            <w:tcW w:w="8543" w:type="dxa"/>
            <w:tcBorders>
              <w:top w:val="single" w:sz="4" w:space="0" w:color="auto"/>
              <w:left w:val="single" w:sz="4" w:space="0" w:color="auto"/>
              <w:bottom w:val="single" w:sz="4" w:space="0" w:color="auto"/>
              <w:right w:val="single" w:sz="4" w:space="0" w:color="auto"/>
            </w:tcBorders>
            <w:noWrap/>
            <w:hideMark/>
          </w:tcPr>
          <w:p w14:paraId="716837A4"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Sustainability concerns, eco-friendly event planning, carbon footprint reduction, and waste management strategies.</w:t>
            </w:r>
          </w:p>
        </w:tc>
      </w:tr>
      <w:tr w:rsidR="001E007B" w:rsidRPr="001E007B" w14:paraId="6D5D10C4" w14:textId="77777777" w:rsidTr="001E007B">
        <w:trPr>
          <w:trHeight w:val="300"/>
        </w:trPr>
        <w:tc>
          <w:tcPr>
            <w:tcW w:w="817" w:type="dxa"/>
            <w:tcBorders>
              <w:top w:val="single" w:sz="4" w:space="0" w:color="auto"/>
              <w:left w:val="single" w:sz="4" w:space="0" w:color="auto"/>
              <w:bottom w:val="single" w:sz="4" w:space="0" w:color="auto"/>
              <w:right w:val="single" w:sz="4" w:space="0" w:color="auto"/>
            </w:tcBorders>
            <w:noWrap/>
            <w:hideMark/>
          </w:tcPr>
          <w:p w14:paraId="0C42EC2C" w14:textId="77777777" w:rsidR="001E007B" w:rsidRPr="001E007B" w:rsidRDefault="001E007B" w:rsidP="001E007B">
            <w:pPr>
              <w:spacing w:after="160" w:line="259" w:lineRule="auto"/>
              <w:rPr>
                <w:rFonts w:ascii="Times New Roman" w:hAnsi="Times New Roman" w:cs="Times New Roman"/>
                <w:b/>
                <w:bCs/>
                <w:sz w:val="24"/>
                <w:szCs w:val="24"/>
              </w:rPr>
            </w:pPr>
            <w:r w:rsidRPr="001E007B">
              <w:rPr>
                <w:rFonts w:ascii="Times New Roman" w:hAnsi="Times New Roman" w:cs="Times New Roman"/>
                <w:b/>
                <w:bCs/>
                <w:sz w:val="24"/>
                <w:szCs w:val="24"/>
              </w:rPr>
              <w:t>Legal</w:t>
            </w:r>
          </w:p>
        </w:tc>
        <w:tc>
          <w:tcPr>
            <w:tcW w:w="8543" w:type="dxa"/>
            <w:tcBorders>
              <w:top w:val="single" w:sz="4" w:space="0" w:color="auto"/>
              <w:left w:val="single" w:sz="4" w:space="0" w:color="auto"/>
              <w:bottom w:val="single" w:sz="4" w:space="0" w:color="auto"/>
              <w:right w:val="single" w:sz="4" w:space="0" w:color="auto"/>
            </w:tcBorders>
            <w:noWrap/>
            <w:hideMark/>
          </w:tcPr>
          <w:p w14:paraId="7E6B16F7" w14:textId="77777777" w:rsidR="001E007B" w:rsidRPr="001E007B" w:rsidRDefault="001E007B" w:rsidP="001E007B">
            <w:pPr>
              <w:spacing w:after="160" w:line="259" w:lineRule="auto"/>
              <w:rPr>
                <w:rFonts w:ascii="Times New Roman" w:hAnsi="Times New Roman" w:cs="Times New Roman"/>
                <w:sz w:val="24"/>
                <w:szCs w:val="24"/>
              </w:rPr>
            </w:pPr>
            <w:r w:rsidRPr="001E007B">
              <w:rPr>
                <w:rFonts w:ascii="Times New Roman" w:hAnsi="Times New Roman" w:cs="Times New Roman"/>
                <w:sz w:val="24"/>
                <w:szCs w:val="24"/>
              </w:rPr>
              <w:t>Compliance with health and safety regulations, data protection laws (e.g., GDPR for attendee information), and contractual obligations with sponsors and vendors (Nelson et al., 2018).</w:t>
            </w:r>
          </w:p>
        </w:tc>
      </w:tr>
    </w:tbl>
    <w:p w14:paraId="62AE69AF" w14:textId="77777777" w:rsidR="00634DA5" w:rsidRPr="001E007B" w:rsidRDefault="00634DA5">
      <w:pPr>
        <w:rPr>
          <w:rFonts w:ascii="Times New Roman" w:hAnsi="Times New Roman" w:cs="Times New Roman"/>
          <w:sz w:val="24"/>
          <w:szCs w:val="24"/>
        </w:rPr>
      </w:pPr>
    </w:p>
    <w:sectPr w:rsidR="00634DA5" w:rsidRPr="001E007B" w:rsidSect="0077521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17943" w14:textId="77777777" w:rsidR="00AB0553" w:rsidRDefault="00AB0553" w:rsidP="000E1C2A">
      <w:pPr>
        <w:spacing w:after="0" w:line="240" w:lineRule="auto"/>
      </w:pPr>
      <w:r>
        <w:separator/>
      </w:r>
    </w:p>
  </w:endnote>
  <w:endnote w:type="continuationSeparator" w:id="0">
    <w:p w14:paraId="67578329" w14:textId="77777777" w:rsidR="00AB0553" w:rsidRDefault="00AB0553" w:rsidP="000E1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354029"/>
      <w:docPartObj>
        <w:docPartGallery w:val="Page Numbers (Bottom of Page)"/>
        <w:docPartUnique/>
      </w:docPartObj>
    </w:sdtPr>
    <w:sdtEndPr>
      <w:rPr>
        <w:noProof/>
      </w:rPr>
    </w:sdtEndPr>
    <w:sdtContent>
      <w:p w14:paraId="2EDA58C1" w14:textId="49F56625" w:rsidR="006D590A" w:rsidRDefault="006D59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FBAAA" w14:textId="77777777" w:rsidR="000E1C2A" w:rsidRDefault="000E1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DFB47" w14:textId="77777777" w:rsidR="00AB0553" w:rsidRDefault="00AB0553" w:rsidP="000E1C2A">
      <w:pPr>
        <w:spacing w:after="0" w:line="240" w:lineRule="auto"/>
      </w:pPr>
      <w:r>
        <w:separator/>
      </w:r>
    </w:p>
  </w:footnote>
  <w:footnote w:type="continuationSeparator" w:id="0">
    <w:p w14:paraId="788C8004" w14:textId="77777777" w:rsidR="00AB0553" w:rsidRDefault="00AB0553" w:rsidP="000E1C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13EDB"/>
    <w:multiLevelType w:val="multilevel"/>
    <w:tmpl w:val="39C49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647339"/>
    <w:multiLevelType w:val="multilevel"/>
    <w:tmpl w:val="4336C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58856929">
    <w:abstractNumId w:val="1"/>
  </w:num>
  <w:num w:numId="2" w16cid:durableId="658849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FE4"/>
    <w:rsid w:val="000A5ABC"/>
    <w:rsid w:val="000E1C2A"/>
    <w:rsid w:val="00177E0F"/>
    <w:rsid w:val="001815DF"/>
    <w:rsid w:val="00185FE4"/>
    <w:rsid w:val="00197524"/>
    <w:rsid w:val="001E007B"/>
    <w:rsid w:val="00255728"/>
    <w:rsid w:val="00420FB5"/>
    <w:rsid w:val="00484680"/>
    <w:rsid w:val="004D2B1F"/>
    <w:rsid w:val="004D5E48"/>
    <w:rsid w:val="00634DA5"/>
    <w:rsid w:val="00676379"/>
    <w:rsid w:val="006D590A"/>
    <w:rsid w:val="006E59F6"/>
    <w:rsid w:val="00711FE2"/>
    <w:rsid w:val="00731B20"/>
    <w:rsid w:val="00734976"/>
    <w:rsid w:val="0077521B"/>
    <w:rsid w:val="00892CB3"/>
    <w:rsid w:val="008D3A2B"/>
    <w:rsid w:val="008E1883"/>
    <w:rsid w:val="00915BF9"/>
    <w:rsid w:val="00921210"/>
    <w:rsid w:val="00995188"/>
    <w:rsid w:val="00AB0553"/>
    <w:rsid w:val="00AC065A"/>
    <w:rsid w:val="00B41813"/>
    <w:rsid w:val="00BE61AD"/>
    <w:rsid w:val="00C772A6"/>
    <w:rsid w:val="00CA6D59"/>
    <w:rsid w:val="00CD3860"/>
    <w:rsid w:val="00DE13B2"/>
    <w:rsid w:val="00E0663D"/>
    <w:rsid w:val="00FC590B"/>
    <w:rsid w:val="00FF1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B995D"/>
  <w15:chartTrackingRefBased/>
  <w15:docId w15:val="{9A5AAB60-5F38-457D-8226-39EF238FD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1B"/>
    <w:rPr>
      <w:kern w:val="0"/>
      <w:lang w:val="en-US"/>
      <w14:ligatures w14:val="none"/>
    </w:rPr>
  </w:style>
  <w:style w:type="paragraph" w:styleId="Heading1">
    <w:name w:val="heading 1"/>
    <w:basedOn w:val="Normal"/>
    <w:next w:val="Normal"/>
    <w:link w:val="Heading1Char"/>
    <w:uiPriority w:val="9"/>
    <w:qFormat/>
    <w:rsid w:val="00185FE4"/>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185FE4"/>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185FE4"/>
    <w:pPr>
      <w:keepNext/>
      <w:keepLines/>
      <w:spacing w:before="160" w:after="80"/>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185FE4"/>
    <w:pPr>
      <w:keepNext/>
      <w:keepLines/>
      <w:spacing w:before="80" w:after="40"/>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185FE4"/>
    <w:pPr>
      <w:keepNext/>
      <w:keepLines/>
      <w:spacing w:before="80" w:after="40"/>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185FE4"/>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185FE4"/>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185FE4"/>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185FE4"/>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F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F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F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F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F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FE4"/>
    <w:rPr>
      <w:rFonts w:eastAsiaTheme="majorEastAsia" w:cstheme="majorBidi"/>
      <w:color w:val="272727" w:themeColor="text1" w:themeTint="D8"/>
    </w:rPr>
  </w:style>
  <w:style w:type="paragraph" w:styleId="Title">
    <w:name w:val="Title"/>
    <w:basedOn w:val="Normal"/>
    <w:next w:val="Normal"/>
    <w:link w:val="TitleChar"/>
    <w:uiPriority w:val="10"/>
    <w:qFormat/>
    <w:rsid w:val="00185FE4"/>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185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FE4"/>
    <w:pPr>
      <w:numPr>
        <w:ilvl w:val="1"/>
      </w:numPr>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185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FE4"/>
    <w:pPr>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185FE4"/>
    <w:rPr>
      <w:i/>
      <w:iCs/>
      <w:color w:val="404040" w:themeColor="text1" w:themeTint="BF"/>
    </w:rPr>
  </w:style>
  <w:style w:type="paragraph" w:styleId="ListParagraph">
    <w:name w:val="List Paragraph"/>
    <w:basedOn w:val="Normal"/>
    <w:uiPriority w:val="34"/>
    <w:qFormat/>
    <w:rsid w:val="00185FE4"/>
    <w:pPr>
      <w:ind w:left="720"/>
      <w:contextualSpacing/>
    </w:pPr>
    <w:rPr>
      <w:kern w:val="2"/>
      <w:lang w:val="en-GB"/>
      <w14:ligatures w14:val="standardContextual"/>
    </w:rPr>
  </w:style>
  <w:style w:type="character" w:styleId="IntenseEmphasis">
    <w:name w:val="Intense Emphasis"/>
    <w:basedOn w:val="DefaultParagraphFont"/>
    <w:uiPriority w:val="21"/>
    <w:qFormat/>
    <w:rsid w:val="00185FE4"/>
    <w:rPr>
      <w:i/>
      <w:iCs/>
      <w:color w:val="0F4761" w:themeColor="accent1" w:themeShade="BF"/>
    </w:rPr>
  </w:style>
  <w:style w:type="paragraph" w:styleId="IntenseQuote">
    <w:name w:val="Intense Quote"/>
    <w:basedOn w:val="Normal"/>
    <w:next w:val="Normal"/>
    <w:link w:val="IntenseQuoteChar"/>
    <w:uiPriority w:val="30"/>
    <w:qFormat/>
    <w:rsid w:val="00185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185FE4"/>
    <w:rPr>
      <w:i/>
      <w:iCs/>
      <w:color w:val="0F4761" w:themeColor="accent1" w:themeShade="BF"/>
    </w:rPr>
  </w:style>
  <w:style w:type="character" w:styleId="IntenseReference">
    <w:name w:val="Intense Reference"/>
    <w:basedOn w:val="DefaultParagraphFont"/>
    <w:uiPriority w:val="32"/>
    <w:qFormat/>
    <w:rsid w:val="00185FE4"/>
    <w:rPr>
      <w:b/>
      <w:bCs/>
      <w:smallCaps/>
      <w:color w:val="0F4761" w:themeColor="accent1" w:themeShade="BF"/>
      <w:spacing w:val="5"/>
    </w:rPr>
  </w:style>
  <w:style w:type="character" w:styleId="Hyperlink">
    <w:name w:val="Hyperlink"/>
    <w:basedOn w:val="DefaultParagraphFont"/>
    <w:uiPriority w:val="99"/>
    <w:unhideWhenUsed/>
    <w:rsid w:val="004D2B1F"/>
    <w:rPr>
      <w:color w:val="467886" w:themeColor="hyperlink"/>
      <w:u w:val="single"/>
    </w:rPr>
  </w:style>
  <w:style w:type="character" w:styleId="UnresolvedMention">
    <w:name w:val="Unresolved Mention"/>
    <w:basedOn w:val="DefaultParagraphFont"/>
    <w:uiPriority w:val="99"/>
    <w:semiHidden/>
    <w:unhideWhenUsed/>
    <w:rsid w:val="004D2B1F"/>
    <w:rPr>
      <w:color w:val="605E5C"/>
      <w:shd w:val="clear" w:color="auto" w:fill="E1DFDD"/>
    </w:rPr>
  </w:style>
  <w:style w:type="table" w:styleId="TableGrid">
    <w:name w:val="Table Grid"/>
    <w:basedOn w:val="TableNormal"/>
    <w:uiPriority w:val="39"/>
    <w:rsid w:val="00E06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1C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C2A"/>
    <w:rPr>
      <w:kern w:val="0"/>
      <w:lang w:val="en-US"/>
      <w14:ligatures w14:val="none"/>
    </w:rPr>
  </w:style>
  <w:style w:type="paragraph" w:styleId="Footer">
    <w:name w:val="footer"/>
    <w:basedOn w:val="Normal"/>
    <w:link w:val="FooterChar"/>
    <w:uiPriority w:val="99"/>
    <w:unhideWhenUsed/>
    <w:rsid w:val="000E1C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C2A"/>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642">
      <w:bodyDiv w:val="1"/>
      <w:marLeft w:val="0"/>
      <w:marRight w:val="0"/>
      <w:marTop w:val="0"/>
      <w:marBottom w:val="0"/>
      <w:divBdr>
        <w:top w:val="none" w:sz="0" w:space="0" w:color="auto"/>
        <w:left w:val="none" w:sz="0" w:space="0" w:color="auto"/>
        <w:bottom w:val="none" w:sz="0" w:space="0" w:color="auto"/>
        <w:right w:val="none" w:sz="0" w:space="0" w:color="auto"/>
      </w:divBdr>
    </w:div>
    <w:div w:id="78798418">
      <w:bodyDiv w:val="1"/>
      <w:marLeft w:val="0"/>
      <w:marRight w:val="0"/>
      <w:marTop w:val="0"/>
      <w:marBottom w:val="0"/>
      <w:divBdr>
        <w:top w:val="none" w:sz="0" w:space="0" w:color="auto"/>
        <w:left w:val="none" w:sz="0" w:space="0" w:color="auto"/>
        <w:bottom w:val="none" w:sz="0" w:space="0" w:color="auto"/>
        <w:right w:val="none" w:sz="0" w:space="0" w:color="auto"/>
      </w:divBdr>
    </w:div>
    <w:div w:id="101850342">
      <w:bodyDiv w:val="1"/>
      <w:marLeft w:val="0"/>
      <w:marRight w:val="0"/>
      <w:marTop w:val="0"/>
      <w:marBottom w:val="0"/>
      <w:divBdr>
        <w:top w:val="none" w:sz="0" w:space="0" w:color="auto"/>
        <w:left w:val="none" w:sz="0" w:space="0" w:color="auto"/>
        <w:bottom w:val="none" w:sz="0" w:space="0" w:color="auto"/>
        <w:right w:val="none" w:sz="0" w:space="0" w:color="auto"/>
      </w:divBdr>
    </w:div>
    <w:div w:id="130825693">
      <w:bodyDiv w:val="1"/>
      <w:marLeft w:val="0"/>
      <w:marRight w:val="0"/>
      <w:marTop w:val="0"/>
      <w:marBottom w:val="0"/>
      <w:divBdr>
        <w:top w:val="none" w:sz="0" w:space="0" w:color="auto"/>
        <w:left w:val="none" w:sz="0" w:space="0" w:color="auto"/>
        <w:bottom w:val="none" w:sz="0" w:space="0" w:color="auto"/>
        <w:right w:val="none" w:sz="0" w:space="0" w:color="auto"/>
      </w:divBdr>
    </w:div>
    <w:div w:id="176313274">
      <w:bodyDiv w:val="1"/>
      <w:marLeft w:val="0"/>
      <w:marRight w:val="0"/>
      <w:marTop w:val="0"/>
      <w:marBottom w:val="0"/>
      <w:divBdr>
        <w:top w:val="none" w:sz="0" w:space="0" w:color="auto"/>
        <w:left w:val="none" w:sz="0" w:space="0" w:color="auto"/>
        <w:bottom w:val="none" w:sz="0" w:space="0" w:color="auto"/>
        <w:right w:val="none" w:sz="0" w:space="0" w:color="auto"/>
      </w:divBdr>
    </w:div>
    <w:div w:id="189032891">
      <w:bodyDiv w:val="1"/>
      <w:marLeft w:val="0"/>
      <w:marRight w:val="0"/>
      <w:marTop w:val="0"/>
      <w:marBottom w:val="0"/>
      <w:divBdr>
        <w:top w:val="none" w:sz="0" w:space="0" w:color="auto"/>
        <w:left w:val="none" w:sz="0" w:space="0" w:color="auto"/>
        <w:bottom w:val="none" w:sz="0" w:space="0" w:color="auto"/>
        <w:right w:val="none" w:sz="0" w:space="0" w:color="auto"/>
      </w:divBdr>
    </w:div>
    <w:div w:id="192427077">
      <w:bodyDiv w:val="1"/>
      <w:marLeft w:val="0"/>
      <w:marRight w:val="0"/>
      <w:marTop w:val="0"/>
      <w:marBottom w:val="0"/>
      <w:divBdr>
        <w:top w:val="none" w:sz="0" w:space="0" w:color="auto"/>
        <w:left w:val="none" w:sz="0" w:space="0" w:color="auto"/>
        <w:bottom w:val="none" w:sz="0" w:space="0" w:color="auto"/>
        <w:right w:val="none" w:sz="0" w:space="0" w:color="auto"/>
      </w:divBdr>
    </w:div>
    <w:div w:id="236667670">
      <w:bodyDiv w:val="1"/>
      <w:marLeft w:val="0"/>
      <w:marRight w:val="0"/>
      <w:marTop w:val="0"/>
      <w:marBottom w:val="0"/>
      <w:divBdr>
        <w:top w:val="none" w:sz="0" w:space="0" w:color="auto"/>
        <w:left w:val="none" w:sz="0" w:space="0" w:color="auto"/>
        <w:bottom w:val="none" w:sz="0" w:space="0" w:color="auto"/>
        <w:right w:val="none" w:sz="0" w:space="0" w:color="auto"/>
      </w:divBdr>
    </w:div>
    <w:div w:id="345523982">
      <w:bodyDiv w:val="1"/>
      <w:marLeft w:val="0"/>
      <w:marRight w:val="0"/>
      <w:marTop w:val="0"/>
      <w:marBottom w:val="0"/>
      <w:divBdr>
        <w:top w:val="none" w:sz="0" w:space="0" w:color="auto"/>
        <w:left w:val="none" w:sz="0" w:space="0" w:color="auto"/>
        <w:bottom w:val="none" w:sz="0" w:space="0" w:color="auto"/>
        <w:right w:val="none" w:sz="0" w:space="0" w:color="auto"/>
      </w:divBdr>
    </w:div>
    <w:div w:id="383141887">
      <w:bodyDiv w:val="1"/>
      <w:marLeft w:val="0"/>
      <w:marRight w:val="0"/>
      <w:marTop w:val="0"/>
      <w:marBottom w:val="0"/>
      <w:divBdr>
        <w:top w:val="none" w:sz="0" w:space="0" w:color="auto"/>
        <w:left w:val="none" w:sz="0" w:space="0" w:color="auto"/>
        <w:bottom w:val="none" w:sz="0" w:space="0" w:color="auto"/>
        <w:right w:val="none" w:sz="0" w:space="0" w:color="auto"/>
      </w:divBdr>
    </w:div>
    <w:div w:id="407313583">
      <w:bodyDiv w:val="1"/>
      <w:marLeft w:val="0"/>
      <w:marRight w:val="0"/>
      <w:marTop w:val="0"/>
      <w:marBottom w:val="0"/>
      <w:divBdr>
        <w:top w:val="none" w:sz="0" w:space="0" w:color="auto"/>
        <w:left w:val="none" w:sz="0" w:space="0" w:color="auto"/>
        <w:bottom w:val="none" w:sz="0" w:space="0" w:color="auto"/>
        <w:right w:val="none" w:sz="0" w:space="0" w:color="auto"/>
      </w:divBdr>
    </w:div>
    <w:div w:id="525022878">
      <w:bodyDiv w:val="1"/>
      <w:marLeft w:val="0"/>
      <w:marRight w:val="0"/>
      <w:marTop w:val="0"/>
      <w:marBottom w:val="0"/>
      <w:divBdr>
        <w:top w:val="none" w:sz="0" w:space="0" w:color="auto"/>
        <w:left w:val="none" w:sz="0" w:space="0" w:color="auto"/>
        <w:bottom w:val="none" w:sz="0" w:space="0" w:color="auto"/>
        <w:right w:val="none" w:sz="0" w:space="0" w:color="auto"/>
      </w:divBdr>
    </w:div>
    <w:div w:id="562453441">
      <w:bodyDiv w:val="1"/>
      <w:marLeft w:val="0"/>
      <w:marRight w:val="0"/>
      <w:marTop w:val="0"/>
      <w:marBottom w:val="0"/>
      <w:divBdr>
        <w:top w:val="none" w:sz="0" w:space="0" w:color="auto"/>
        <w:left w:val="none" w:sz="0" w:space="0" w:color="auto"/>
        <w:bottom w:val="none" w:sz="0" w:space="0" w:color="auto"/>
        <w:right w:val="none" w:sz="0" w:space="0" w:color="auto"/>
      </w:divBdr>
    </w:div>
    <w:div w:id="655187545">
      <w:bodyDiv w:val="1"/>
      <w:marLeft w:val="0"/>
      <w:marRight w:val="0"/>
      <w:marTop w:val="0"/>
      <w:marBottom w:val="0"/>
      <w:divBdr>
        <w:top w:val="none" w:sz="0" w:space="0" w:color="auto"/>
        <w:left w:val="none" w:sz="0" w:space="0" w:color="auto"/>
        <w:bottom w:val="none" w:sz="0" w:space="0" w:color="auto"/>
        <w:right w:val="none" w:sz="0" w:space="0" w:color="auto"/>
      </w:divBdr>
    </w:div>
    <w:div w:id="709375426">
      <w:bodyDiv w:val="1"/>
      <w:marLeft w:val="0"/>
      <w:marRight w:val="0"/>
      <w:marTop w:val="0"/>
      <w:marBottom w:val="0"/>
      <w:divBdr>
        <w:top w:val="none" w:sz="0" w:space="0" w:color="auto"/>
        <w:left w:val="none" w:sz="0" w:space="0" w:color="auto"/>
        <w:bottom w:val="none" w:sz="0" w:space="0" w:color="auto"/>
        <w:right w:val="none" w:sz="0" w:space="0" w:color="auto"/>
      </w:divBdr>
    </w:div>
    <w:div w:id="721975809">
      <w:bodyDiv w:val="1"/>
      <w:marLeft w:val="0"/>
      <w:marRight w:val="0"/>
      <w:marTop w:val="0"/>
      <w:marBottom w:val="0"/>
      <w:divBdr>
        <w:top w:val="none" w:sz="0" w:space="0" w:color="auto"/>
        <w:left w:val="none" w:sz="0" w:space="0" w:color="auto"/>
        <w:bottom w:val="none" w:sz="0" w:space="0" w:color="auto"/>
        <w:right w:val="none" w:sz="0" w:space="0" w:color="auto"/>
      </w:divBdr>
    </w:div>
    <w:div w:id="725568098">
      <w:bodyDiv w:val="1"/>
      <w:marLeft w:val="0"/>
      <w:marRight w:val="0"/>
      <w:marTop w:val="0"/>
      <w:marBottom w:val="0"/>
      <w:divBdr>
        <w:top w:val="none" w:sz="0" w:space="0" w:color="auto"/>
        <w:left w:val="none" w:sz="0" w:space="0" w:color="auto"/>
        <w:bottom w:val="none" w:sz="0" w:space="0" w:color="auto"/>
        <w:right w:val="none" w:sz="0" w:space="0" w:color="auto"/>
      </w:divBdr>
    </w:div>
    <w:div w:id="732849023">
      <w:bodyDiv w:val="1"/>
      <w:marLeft w:val="0"/>
      <w:marRight w:val="0"/>
      <w:marTop w:val="0"/>
      <w:marBottom w:val="0"/>
      <w:divBdr>
        <w:top w:val="none" w:sz="0" w:space="0" w:color="auto"/>
        <w:left w:val="none" w:sz="0" w:space="0" w:color="auto"/>
        <w:bottom w:val="none" w:sz="0" w:space="0" w:color="auto"/>
        <w:right w:val="none" w:sz="0" w:space="0" w:color="auto"/>
      </w:divBdr>
    </w:div>
    <w:div w:id="775754173">
      <w:bodyDiv w:val="1"/>
      <w:marLeft w:val="0"/>
      <w:marRight w:val="0"/>
      <w:marTop w:val="0"/>
      <w:marBottom w:val="0"/>
      <w:divBdr>
        <w:top w:val="none" w:sz="0" w:space="0" w:color="auto"/>
        <w:left w:val="none" w:sz="0" w:space="0" w:color="auto"/>
        <w:bottom w:val="none" w:sz="0" w:space="0" w:color="auto"/>
        <w:right w:val="none" w:sz="0" w:space="0" w:color="auto"/>
      </w:divBdr>
    </w:div>
    <w:div w:id="793906831">
      <w:bodyDiv w:val="1"/>
      <w:marLeft w:val="0"/>
      <w:marRight w:val="0"/>
      <w:marTop w:val="0"/>
      <w:marBottom w:val="0"/>
      <w:divBdr>
        <w:top w:val="none" w:sz="0" w:space="0" w:color="auto"/>
        <w:left w:val="none" w:sz="0" w:space="0" w:color="auto"/>
        <w:bottom w:val="none" w:sz="0" w:space="0" w:color="auto"/>
        <w:right w:val="none" w:sz="0" w:space="0" w:color="auto"/>
      </w:divBdr>
    </w:div>
    <w:div w:id="803620147">
      <w:bodyDiv w:val="1"/>
      <w:marLeft w:val="0"/>
      <w:marRight w:val="0"/>
      <w:marTop w:val="0"/>
      <w:marBottom w:val="0"/>
      <w:divBdr>
        <w:top w:val="none" w:sz="0" w:space="0" w:color="auto"/>
        <w:left w:val="none" w:sz="0" w:space="0" w:color="auto"/>
        <w:bottom w:val="none" w:sz="0" w:space="0" w:color="auto"/>
        <w:right w:val="none" w:sz="0" w:space="0" w:color="auto"/>
      </w:divBdr>
    </w:div>
    <w:div w:id="941496232">
      <w:bodyDiv w:val="1"/>
      <w:marLeft w:val="0"/>
      <w:marRight w:val="0"/>
      <w:marTop w:val="0"/>
      <w:marBottom w:val="0"/>
      <w:divBdr>
        <w:top w:val="none" w:sz="0" w:space="0" w:color="auto"/>
        <w:left w:val="none" w:sz="0" w:space="0" w:color="auto"/>
        <w:bottom w:val="none" w:sz="0" w:space="0" w:color="auto"/>
        <w:right w:val="none" w:sz="0" w:space="0" w:color="auto"/>
      </w:divBdr>
    </w:div>
    <w:div w:id="951206270">
      <w:bodyDiv w:val="1"/>
      <w:marLeft w:val="0"/>
      <w:marRight w:val="0"/>
      <w:marTop w:val="0"/>
      <w:marBottom w:val="0"/>
      <w:divBdr>
        <w:top w:val="none" w:sz="0" w:space="0" w:color="auto"/>
        <w:left w:val="none" w:sz="0" w:space="0" w:color="auto"/>
        <w:bottom w:val="none" w:sz="0" w:space="0" w:color="auto"/>
        <w:right w:val="none" w:sz="0" w:space="0" w:color="auto"/>
      </w:divBdr>
    </w:div>
    <w:div w:id="1040976135">
      <w:bodyDiv w:val="1"/>
      <w:marLeft w:val="0"/>
      <w:marRight w:val="0"/>
      <w:marTop w:val="0"/>
      <w:marBottom w:val="0"/>
      <w:divBdr>
        <w:top w:val="none" w:sz="0" w:space="0" w:color="auto"/>
        <w:left w:val="none" w:sz="0" w:space="0" w:color="auto"/>
        <w:bottom w:val="none" w:sz="0" w:space="0" w:color="auto"/>
        <w:right w:val="none" w:sz="0" w:space="0" w:color="auto"/>
      </w:divBdr>
    </w:div>
    <w:div w:id="1072393352">
      <w:bodyDiv w:val="1"/>
      <w:marLeft w:val="0"/>
      <w:marRight w:val="0"/>
      <w:marTop w:val="0"/>
      <w:marBottom w:val="0"/>
      <w:divBdr>
        <w:top w:val="none" w:sz="0" w:space="0" w:color="auto"/>
        <w:left w:val="none" w:sz="0" w:space="0" w:color="auto"/>
        <w:bottom w:val="none" w:sz="0" w:space="0" w:color="auto"/>
        <w:right w:val="none" w:sz="0" w:space="0" w:color="auto"/>
      </w:divBdr>
    </w:div>
    <w:div w:id="1188714180">
      <w:bodyDiv w:val="1"/>
      <w:marLeft w:val="0"/>
      <w:marRight w:val="0"/>
      <w:marTop w:val="0"/>
      <w:marBottom w:val="0"/>
      <w:divBdr>
        <w:top w:val="none" w:sz="0" w:space="0" w:color="auto"/>
        <w:left w:val="none" w:sz="0" w:space="0" w:color="auto"/>
        <w:bottom w:val="none" w:sz="0" w:space="0" w:color="auto"/>
        <w:right w:val="none" w:sz="0" w:space="0" w:color="auto"/>
      </w:divBdr>
    </w:div>
    <w:div w:id="1266693489">
      <w:bodyDiv w:val="1"/>
      <w:marLeft w:val="0"/>
      <w:marRight w:val="0"/>
      <w:marTop w:val="0"/>
      <w:marBottom w:val="0"/>
      <w:divBdr>
        <w:top w:val="none" w:sz="0" w:space="0" w:color="auto"/>
        <w:left w:val="none" w:sz="0" w:space="0" w:color="auto"/>
        <w:bottom w:val="none" w:sz="0" w:space="0" w:color="auto"/>
        <w:right w:val="none" w:sz="0" w:space="0" w:color="auto"/>
      </w:divBdr>
    </w:div>
    <w:div w:id="1361123214">
      <w:bodyDiv w:val="1"/>
      <w:marLeft w:val="0"/>
      <w:marRight w:val="0"/>
      <w:marTop w:val="0"/>
      <w:marBottom w:val="0"/>
      <w:divBdr>
        <w:top w:val="none" w:sz="0" w:space="0" w:color="auto"/>
        <w:left w:val="none" w:sz="0" w:space="0" w:color="auto"/>
        <w:bottom w:val="none" w:sz="0" w:space="0" w:color="auto"/>
        <w:right w:val="none" w:sz="0" w:space="0" w:color="auto"/>
      </w:divBdr>
    </w:div>
    <w:div w:id="1363436361">
      <w:bodyDiv w:val="1"/>
      <w:marLeft w:val="0"/>
      <w:marRight w:val="0"/>
      <w:marTop w:val="0"/>
      <w:marBottom w:val="0"/>
      <w:divBdr>
        <w:top w:val="none" w:sz="0" w:space="0" w:color="auto"/>
        <w:left w:val="none" w:sz="0" w:space="0" w:color="auto"/>
        <w:bottom w:val="none" w:sz="0" w:space="0" w:color="auto"/>
        <w:right w:val="none" w:sz="0" w:space="0" w:color="auto"/>
      </w:divBdr>
    </w:div>
    <w:div w:id="1381322900">
      <w:bodyDiv w:val="1"/>
      <w:marLeft w:val="0"/>
      <w:marRight w:val="0"/>
      <w:marTop w:val="0"/>
      <w:marBottom w:val="0"/>
      <w:divBdr>
        <w:top w:val="none" w:sz="0" w:space="0" w:color="auto"/>
        <w:left w:val="none" w:sz="0" w:space="0" w:color="auto"/>
        <w:bottom w:val="none" w:sz="0" w:space="0" w:color="auto"/>
        <w:right w:val="none" w:sz="0" w:space="0" w:color="auto"/>
      </w:divBdr>
    </w:div>
    <w:div w:id="1382898824">
      <w:bodyDiv w:val="1"/>
      <w:marLeft w:val="0"/>
      <w:marRight w:val="0"/>
      <w:marTop w:val="0"/>
      <w:marBottom w:val="0"/>
      <w:divBdr>
        <w:top w:val="none" w:sz="0" w:space="0" w:color="auto"/>
        <w:left w:val="none" w:sz="0" w:space="0" w:color="auto"/>
        <w:bottom w:val="none" w:sz="0" w:space="0" w:color="auto"/>
        <w:right w:val="none" w:sz="0" w:space="0" w:color="auto"/>
      </w:divBdr>
    </w:div>
    <w:div w:id="1418557989">
      <w:bodyDiv w:val="1"/>
      <w:marLeft w:val="0"/>
      <w:marRight w:val="0"/>
      <w:marTop w:val="0"/>
      <w:marBottom w:val="0"/>
      <w:divBdr>
        <w:top w:val="none" w:sz="0" w:space="0" w:color="auto"/>
        <w:left w:val="none" w:sz="0" w:space="0" w:color="auto"/>
        <w:bottom w:val="none" w:sz="0" w:space="0" w:color="auto"/>
        <w:right w:val="none" w:sz="0" w:space="0" w:color="auto"/>
      </w:divBdr>
    </w:div>
    <w:div w:id="1483424845">
      <w:bodyDiv w:val="1"/>
      <w:marLeft w:val="0"/>
      <w:marRight w:val="0"/>
      <w:marTop w:val="0"/>
      <w:marBottom w:val="0"/>
      <w:divBdr>
        <w:top w:val="none" w:sz="0" w:space="0" w:color="auto"/>
        <w:left w:val="none" w:sz="0" w:space="0" w:color="auto"/>
        <w:bottom w:val="none" w:sz="0" w:space="0" w:color="auto"/>
        <w:right w:val="none" w:sz="0" w:space="0" w:color="auto"/>
      </w:divBdr>
    </w:div>
    <w:div w:id="1511140068">
      <w:bodyDiv w:val="1"/>
      <w:marLeft w:val="0"/>
      <w:marRight w:val="0"/>
      <w:marTop w:val="0"/>
      <w:marBottom w:val="0"/>
      <w:divBdr>
        <w:top w:val="none" w:sz="0" w:space="0" w:color="auto"/>
        <w:left w:val="none" w:sz="0" w:space="0" w:color="auto"/>
        <w:bottom w:val="none" w:sz="0" w:space="0" w:color="auto"/>
        <w:right w:val="none" w:sz="0" w:space="0" w:color="auto"/>
      </w:divBdr>
    </w:div>
    <w:div w:id="1528980634">
      <w:bodyDiv w:val="1"/>
      <w:marLeft w:val="0"/>
      <w:marRight w:val="0"/>
      <w:marTop w:val="0"/>
      <w:marBottom w:val="0"/>
      <w:divBdr>
        <w:top w:val="none" w:sz="0" w:space="0" w:color="auto"/>
        <w:left w:val="none" w:sz="0" w:space="0" w:color="auto"/>
        <w:bottom w:val="none" w:sz="0" w:space="0" w:color="auto"/>
        <w:right w:val="none" w:sz="0" w:space="0" w:color="auto"/>
      </w:divBdr>
    </w:div>
    <w:div w:id="1533033797">
      <w:bodyDiv w:val="1"/>
      <w:marLeft w:val="0"/>
      <w:marRight w:val="0"/>
      <w:marTop w:val="0"/>
      <w:marBottom w:val="0"/>
      <w:divBdr>
        <w:top w:val="none" w:sz="0" w:space="0" w:color="auto"/>
        <w:left w:val="none" w:sz="0" w:space="0" w:color="auto"/>
        <w:bottom w:val="none" w:sz="0" w:space="0" w:color="auto"/>
        <w:right w:val="none" w:sz="0" w:space="0" w:color="auto"/>
      </w:divBdr>
    </w:div>
    <w:div w:id="1574002856">
      <w:bodyDiv w:val="1"/>
      <w:marLeft w:val="0"/>
      <w:marRight w:val="0"/>
      <w:marTop w:val="0"/>
      <w:marBottom w:val="0"/>
      <w:divBdr>
        <w:top w:val="none" w:sz="0" w:space="0" w:color="auto"/>
        <w:left w:val="none" w:sz="0" w:space="0" w:color="auto"/>
        <w:bottom w:val="none" w:sz="0" w:space="0" w:color="auto"/>
        <w:right w:val="none" w:sz="0" w:space="0" w:color="auto"/>
      </w:divBdr>
    </w:div>
    <w:div w:id="1582713879">
      <w:bodyDiv w:val="1"/>
      <w:marLeft w:val="0"/>
      <w:marRight w:val="0"/>
      <w:marTop w:val="0"/>
      <w:marBottom w:val="0"/>
      <w:divBdr>
        <w:top w:val="none" w:sz="0" w:space="0" w:color="auto"/>
        <w:left w:val="none" w:sz="0" w:space="0" w:color="auto"/>
        <w:bottom w:val="none" w:sz="0" w:space="0" w:color="auto"/>
        <w:right w:val="none" w:sz="0" w:space="0" w:color="auto"/>
      </w:divBdr>
    </w:div>
    <w:div w:id="1600793667">
      <w:bodyDiv w:val="1"/>
      <w:marLeft w:val="0"/>
      <w:marRight w:val="0"/>
      <w:marTop w:val="0"/>
      <w:marBottom w:val="0"/>
      <w:divBdr>
        <w:top w:val="none" w:sz="0" w:space="0" w:color="auto"/>
        <w:left w:val="none" w:sz="0" w:space="0" w:color="auto"/>
        <w:bottom w:val="none" w:sz="0" w:space="0" w:color="auto"/>
        <w:right w:val="none" w:sz="0" w:space="0" w:color="auto"/>
      </w:divBdr>
    </w:div>
    <w:div w:id="1653097098">
      <w:bodyDiv w:val="1"/>
      <w:marLeft w:val="0"/>
      <w:marRight w:val="0"/>
      <w:marTop w:val="0"/>
      <w:marBottom w:val="0"/>
      <w:divBdr>
        <w:top w:val="none" w:sz="0" w:space="0" w:color="auto"/>
        <w:left w:val="none" w:sz="0" w:space="0" w:color="auto"/>
        <w:bottom w:val="none" w:sz="0" w:space="0" w:color="auto"/>
        <w:right w:val="none" w:sz="0" w:space="0" w:color="auto"/>
      </w:divBdr>
    </w:div>
    <w:div w:id="1691376345">
      <w:bodyDiv w:val="1"/>
      <w:marLeft w:val="0"/>
      <w:marRight w:val="0"/>
      <w:marTop w:val="0"/>
      <w:marBottom w:val="0"/>
      <w:divBdr>
        <w:top w:val="none" w:sz="0" w:space="0" w:color="auto"/>
        <w:left w:val="none" w:sz="0" w:space="0" w:color="auto"/>
        <w:bottom w:val="none" w:sz="0" w:space="0" w:color="auto"/>
        <w:right w:val="none" w:sz="0" w:space="0" w:color="auto"/>
      </w:divBdr>
    </w:div>
    <w:div w:id="1768114004">
      <w:bodyDiv w:val="1"/>
      <w:marLeft w:val="0"/>
      <w:marRight w:val="0"/>
      <w:marTop w:val="0"/>
      <w:marBottom w:val="0"/>
      <w:divBdr>
        <w:top w:val="none" w:sz="0" w:space="0" w:color="auto"/>
        <w:left w:val="none" w:sz="0" w:space="0" w:color="auto"/>
        <w:bottom w:val="none" w:sz="0" w:space="0" w:color="auto"/>
        <w:right w:val="none" w:sz="0" w:space="0" w:color="auto"/>
      </w:divBdr>
    </w:div>
    <w:div w:id="1879201856">
      <w:bodyDiv w:val="1"/>
      <w:marLeft w:val="0"/>
      <w:marRight w:val="0"/>
      <w:marTop w:val="0"/>
      <w:marBottom w:val="0"/>
      <w:divBdr>
        <w:top w:val="none" w:sz="0" w:space="0" w:color="auto"/>
        <w:left w:val="none" w:sz="0" w:space="0" w:color="auto"/>
        <w:bottom w:val="none" w:sz="0" w:space="0" w:color="auto"/>
        <w:right w:val="none" w:sz="0" w:space="0" w:color="auto"/>
      </w:divBdr>
    </w:div>
    <w:div w:id="1892961176">
      <w:bodyDiv w:val="1"/>
      <w:marLeft w:val="0"/>
      <w:marRight w:val="0"/>
      <w:marTop w:val="0"/>
      <w:marBottom w:val="0"/>
      <w:divBdr>
        <w:top w:val="none" w:sz="0" w:space="0" w:color="auto"/>
        <w:left w:val="none" w:sz="0" w:space="0" w:color="auto"/>
        <w:bottom w:val="none" w:sz="0" w:space="0" w:color="auto"/>
        <w:right w:val="none" w:sz="0" w:space="0" w:color="auto"/>
      </w:divBdr>
    </w:div>
    <w:div w:id="1904178383">
      <w:bodyDiv w:val="1"/>
      <w:marLeft w:val="0"/>
      <w:marRight w:val="0"/>
      <w:marTop w:val="0"/>
      <w:marBottom w:val="0"/>
      <w:divBdr>
        <w:top w:val="none" w:sz="0" w:space="0" w:color="auto"/>
        <w:left w:val="none" w:sz="0" w:space="0" w:color="auto"/>
        <w:bottom w:val="none" w:sz="0" w:space="0" w:color="auto"/>
        <w:right w:val="none" w:sz="0" w:space="0" w:color="auto"/>
      </w:divBdr>
    </w:div>
    <w:div w:id="1941722362">
      <w:bodyDiv w:val="1"/>
      <w:marLeft w:val="0"/>
      <w:marRight w:val="0"/>
      <w:marTop w:val="0"/>
      <w:marBottom w:val="0"/>
      <w:divBdr>
        <w:top w:val="none" w:sz="0" w:space="0" w:color="auto"/>
        <w:left w:val="none" w:sz="0" w:space="0" w:color="auto"/>
        <w:bottom w:val="none" w:sz="0" w:space="0" w:color="auto"/>
        <w:right w:val="none" w:sz="0" w:space="0" w:color="auto"/>
      </w:divBdr>
    </w:div>
    <w:div w:id="2015179166">
      <w:bodyDiv w:val="1"/>
      <w:marLeft w:val="0"/>
      <w:marRight w:val="0"/>
      <w:marTop w:val="0"/>
      <w:marBottom w:val="0"/>
      <w:divBdr>
        <w:top w:val="none" w:sz="0" w:space="0" w:color="auto"/>
        <w:left w:val="none" w:sz="0" w:space="0" w:color="auto"/>
        <w:bottom w:val="none" w:sz="0" w:space="0" w:color="auto"/>
        <w:right w:val="none" w:sz="0" w:space="0" w:color="auto"/>
      </w:divBdr>
    </w:div>
    <w:div w:id="2018001109">
      <w:bodyDiv w:val="1"/>
      <w:marLeft w:val="0"/>
      <w:marRight w:val="0"/>
      <w:marTop w:val="0"/>
      <w:marBottom w:val="0"/>
      <w:divBdr>
        <w:top w:val="none" w:sz="0" w:space="0" w:color="auto"/>
        <w:left w:val="none" w:sz="0" w:space="0" w:color="auto"/>
        <w:bottom w:val="none" w:sz="0" w:space="0" w:color="auto"/>
        <w:right w:val="none" w:sz="0" w:space="0" w:color="auto"/>
      </w:divBdr>
    </w:div>
    <w:div w:id="2049573556">
      <w:bodyDiv w:val="1"/>
      <w:marLeft w:val="0"/>
      <w:marRight w:val="0"/>
      <w:marTop w:val="0"/>
      <w:marBottom w:val="0"/>
      <w:divBdr>
        <w:top w:val="none" w:sz="0" w:space="0" w:color="auto"/>
        <w:left w:val="none" w:sz="0" w:space="0" w:color="auto"/>
        <w:bottom w:val="none" w:sz="0" w:space="0" w:color="auto"/>
        <w:right w:val="none" w:sz="0" w:space="0" w:color="auto"/>
      </w:divBdr>
    </w:div>
    <w:div w:id="2049640137">
      <w:bodyDiv w:val="1"/>
      <w:marLeft w:val="0"/>
      <w:marRight w:val="0"/>
      <w:marTop w:val="0"/>
      <w:marBottom w:val="0"/>
      <w:divBdr>
        <w:top w:val="none" w:sz="0" w:space="0" w:color="auto"/>
        <w:left w:val="none" w:sz="0" w:space="0" w:color="auto"/>
        <w:bottom w:val="none" w:sz="0" w:space="0" w:color="auto"/>
        <w:right w:val="none" w:sz="0" w:space="0" w:color="auto"/>
      </w:divBdr>
    </w:div>
    <w:div w:id="2069306291">
      <w:bodyDiv w:val="1"/>
      <w:marLeft w:val="0"/>
      <w:marRight w:val="0"/>
      <w:marTop w:val="0"/>
      <w:marBottom w:val="0"/>
      <w:divBdr>
        <w:top w:val="none" w:sz="0" w:space="0" w:color="auto"/>
        <w:left w:val="none" w:sz="0" w:space="0" w:color="auto"/>
        <w:bottom w:val="none" w:sz="0" w:space="0" w:color="auto"/>
        <w:right w:val="none" w:sz="0" w:space="0" w:color="auto"/>
      </w:divBdr>
    </w:div>
    <w:div w:id="210168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TotalTime>
  <Pages>1</Pages>
  <Words>4043</Words>
  <Characters>23050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Anghel (2223637)</dc:creator>
  <cp:keywords/>
  <dc:description/>
  <cp:lastModifiedBy>Ciprian Anghel (2223637)</cp:lastModifiedBy>
  <cp:revision>9</cp:revision>
  <dcterms:created xsi:type="dcterms:W3CDTF">2025-02-19T23:25:00Z</dcterms:created>
  <dcterms:modified xsi:type="dcterms:W3CDTF">2025-02-28T11:36:00Z</dcterms:modified>
</cp:coreProperties>
</file>