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87918" w14:textId="50FA2BB5" w:rsidR="00B57045" w:rsidRPr="00622B8B" w:rsidRDefault="00B57045" w:rsidP="00B57045">
      <w:pPr>
        <w:spacing w:before="100" w:beforeAutospacing="1" w:after="100" w:afterAutospacing="1"/>
        <w:jc w:val="center"/>
        <w:rPr>
          <w:rFonts w:ascii="Arial" w:hAnsi="Arial" w:cs="Arial"/>
          <w:b/>
          <w:bCs/>
          <w:color w:val="000000"/>
          <w:sz w:val="32"/>
          <w:szCs w:val="32"/>
        </w:rPr>
      </w:pPr>
      <w:r>
        <w:rPr>
          <w:noProof/>
        </w:rPr>
        <w:drawing>
          <wp:anchor distT="0" distB="0" distL="114300" distR="114300" simplePos="0" relativeHeight="251658240" behindDoc="1" locked="0" layoutInCell="1" allowOverlap="1" wp14:anchorId="79F6AD2D" wp14:editId="7A502F0D">
            <wp:simplePos x="0" y="0"/>
            <wp:positionH relativeFrom="column">
              <wp:posOffset>-221327</wp:posOffset>
            </wp:positionH>
            <wp:positionV relativeFrom="paragraph">
              <wp:posOffset>175491</wp:posOffset>
            </wp:positionV>
            <wp:extent cx="2164438" cy="1136073"/>
            <wp:effectExtent l="0" t="0" r="0" b="0"/>
            <wp:wrapNone/>
            <wp:docPr id="471578297" name="Picture 1" descr="Doctor of Business Administration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of Business Administration (Full-time)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4438" cy="113607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4781C9E1" wp14:editId="5DED75D4">
                <wp:simplePos x="0" y="0"/>
                <wp:positionH relativeFrom="column">
                  <wp:posOffset>2253384</wp:posOffset>
                </wp:positionH>
                <wp:positionV relativeFrom="paragraph">
                  <wp:posOffset>8890</wp:posOffset>
                </wp:positionV>
                <wp:extent cx="3952759" cy="1395730"/>
                <wp:effectExtent l="0" t="0" r="10160" b="13970"/>
                <wp:wrapNone/>
                <wp:docPr id="1754678829" name="Text Box 2"/>
                <wp:cNvGraphicFramePr/>
                <a:graphic xmlns:a="http://schemas.openxmlformats.org/drawingml/2006/main">
                  <a:graphicData uri="http://schemas.microsoft.com/office/word/2010/wordprocessingShape">
                    <wps:wsp>
                      <wps:cNvSpPr txBox="1"/>
                      <wps:spPr>
                        <a:xfrm>
                          <a:off x="0" y="0"/>
                          <a:ext cx="3952759" cy="1395730"/>
                        </a:xfrm>
                        <a:prstGeom prst="rect">
                          <a:avLst/>
                        </a:prstGeom>
                        <a:solidFill>
                          <a:schemeClr val="lt1"/>
                        </a:solidFill>
                        <a:ln w="6350">
                          <a:solidFill>
                            <a:prstClr val="black"/>
                          </a:solidFill>
                        </a:ln>
                      </wps:spPr>
                      <wps:txbx>
                        <w:txbxContent>
                          <w:p w14:paraId="55834079" w14:textId="0128BD5B" w:rsidR="00B57045" w:rsidRPr="00B57045" w:rsidRDefault="00B57045" w:rsidP="00B57045">
                            <w:pPr>
                              <w:jc w:val="center"/>
                              <w:rPr>
                                <w:rFonts w:ascii="Arial" w:hAnsi="Arial" w:cs="Arial"/>
                                <w:sz w:val="32"/>
                                <w:szCs w:val="32"/>
                              </w:rPr>
                            </w:pPr>
                            <w:r w:rsidRPr="00B57045">
                              <w:rPr>
                                <w:rStyle w:val="Strong"/>
                                <w:rFonts w:ascii="Arial" w:hAnsi="Arial" w:cs="Arial"/>
                                <w:sz w:val="32"/>
                                <w:szCs w:val="32"/>
                              </w:rPr>
                              <w:t>Master of Business Administration</w:t>
                            </w:r>
                            <w:r w:rsidRPr="00B57045">
                              <w:rPr>
                                <w:rStyle w:val="Strong"/>
                                <w:rFonts w:ascii="Arial" w:hAnsi="Arial" w:cs="Arial"/>
                                <w:sz w:val="32"/>
                                <w:szCs w:val="32"/>
                                <w:lang w:val="en-US"/>
                              </w:rPr>
                              <w:t xml:space="preserve"> </w:t>
                            </w:r>
                            <w:r w:rsidRPr="00B57045">
                              <w:rPr>
                                <w:rStyle w:val="Strong"/>
                                <w:rFonts w:ascii="Arial" w:hAnsi="Arial" w:cs="Arial"/>
                                <w:sz w:val="32"/>
                                <w:szCs w:val="32"/>
                              </w:rPr>
                              <w:t>(MBA)</w:t>
                            </w:r>
                          </w:p>
                          <w:p w14:paraId="274D45C3" w14:textId="77777777" w:rsidR="00B57045" w:rsidRPr="00B57045" w:rsidRDefault="00B57045" w:rsidP="00B57045">
                            <w:pPr>
                              <w:pBdr>
                                <w:bottom w:val="single" w:sz="6" w:space="1" w:color="auto"/>
                              </w:pBdr>
                              <w:jc w:val="center"/>
                              <w:rPr>
                                <w:rFonts w:ascii="Arial" w:hAnsi="Arial" w:cs="Arial"/>
                                <w:b/>
                                <w:bCs/>
                                <w:sz w:val="32"/>
                                <w:szCs w:val="32"/>
                              </w:rPr>
                            </w:pPr>
                            <w:r w:rsidRPr="00B57045">
                              <w:rPr>
                                <w:rStyle w:val="Strong"/>
                                <w:rFonts w:ascii="Arial" w:hAnsi="Arial" w:cs="Arial"/>
                                <w:sz w:val="32"/>
                                <w:szCs w:val="32"/>
                              </w:rPr>
                              <w:t xml:space="preserve">Module: </w:t>
                            </w:r>
                            <w:r w:rsidRPr="00B57045">
                              <w:rPr>
                                <w:rFonts w:ascii="Arial" w:hAnsi="Arial" w:cs="Arial"/>
                                <w:b/>
                                <w:bCs/>
                                <w:sz w:val="32"/>
                                <w:szCs w:val="32"/>
                              </w:rPr>
                              <w:t>Marketing Management</w:t>
                            </w:r>
                          </w:p>
                          <w:p w14:paraId="5A7A2194" w14:textId="1B1CCAED" w:rsidR="00B57045" w:rsidRPr="00B57045" w:rsidRDefault="00B57045" w:rsidP="00B57045">
                            <w:pPr>
                              <w:pBdr>
                                <w:bottom w:val="single" w:sz="6" w:space="1" w:color="auto"/>
                              </w:pBdr>
                              <w:jc w:val="center"/>
                              <w:rPr>
                                <w:rStyle w:val="Strong"/>
                                <w:rFonts w:ascii="Arial" w:hAnsi="Arial" w:cs="Arial"/>
                                <w:i/>
                                <w:iCs/>
                                <w:sz w:val="32"/>
                                <w:szCs w:val="32"/>
                              </w:rPr>
                            </w:pPr>
                            <w:r w:rsidRPr="00B57045">
                              <w:rPr>
                                <w:rFonts w:ascii="Arial" w:hAnsi="Arial" w:cs="Arial"/>
                                <w:b/>
                                <w:bCs/>
                                <w:sz w:val="32"/>
                                <w:szCs w:val="32"/>
                                <w:lang w:val="en-US"/>
                              </w:rPr>
                              <w:t>(</w:t>
                            </w:r>
                            <w:r w:rsidRPr="00B57045">
                              <w:rPr>
                                <w:rFonts w:ascii="Arial" w:hAnsi="Arial" w:cs="Arial"/>
                                <w:b/>
                                <w:bCs/>
                                <w:sz w:val="32"/>
                                <w:szCs w:val="32"/>
                              </w:rPr>
                              <w:t>LCMB7024</w:t>
                            </w:r>
                            <w:r w:rsidRPr="00B57045">
                              <w:rPr>
                                <w:rFonts w:ascii="Arial" w:hAnsi="Arial" w:cs="Arial"/>
                                <w:b/>
                                <w:bCs/>
                                <w:sz w:val="32"/>
                                <w:szCs w:val="32"/>
                                <w:lang w:val="en-US"/>
                              </w:rPr>
                              <w:t>)</w:t>
                            </w:r>
                          </w:p>
                          <w:p w14:paraId="6B6EFC53" w14:textId="77777777" w:rsidR="00B57045" w:rsidRPr="00B57045" w:rsidRDefault="00B57045">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81C9E1" id="_x0000_t202" coordsize="21600,21600" o:spt="202" path="m,l,21600r21600,l21600,xe">
                <v:stroke joinstyle="miter"/>
                <v:path gradientshapeok="t" o:connecttype="rect"/>
              </v:shapetype>
              <v:shape id="Text Box 2" o:spid="_x0000_s1026" type="#_x0000_t202" style="position:absolute;left:0;text-align:left;margin-left:177.45pt;margin-top:.7pt;width:311.25pt;height:109.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TyNwIAAH0EAAAOAAAAZHJzL2Uyb0RvYy54bWysVEtv2zAMvg/YfxB0b5xnsxhxiixFhgFB&#10;WyAdelZkKTYqi5qkxM5+/SjFeXU7DbvIpEh9JD+Snj40lSJ7YV0JOqO9TpcSoTnkpd5m9Mfr8u4L&#10;Jc4znTMFWmT0IBx9mH3+NK1NKvpQgMqFJQiiXVqbjBbemzRJHC9ExVwHjNBolGAr5lG12yS3rEb0&#10;SiX9bvc+qcHmxgIXzuHt49FIZxFfSsH9s5ROeKIyirn5eNp4bsKZzKYs3VpmipK3abB/yKJipcag&#10;Z6hH5hnZ2fIPqKrkFhxI3+FQJSBlyUWsAavpdT9Usy6YEbEWJMeZM03u/8Hyp/3avFjim6/QYAMD&#10;IbVxqcPLUE8jbRW+mClBO1J4ONMmGk84Xg4mo/54NKGEo62H2ngQiU0uz411/puAigQhoxb7Euli&#10;+5XzGBJdTy4hmgNV5stSqaiEWRALZcmeYReVj0niixsvpUmd0fvBqBuBb2wB+vx+oxh/D2XeIqCm&#10;NF5eig+SbzZNy8gG8gMSZeE4Q87wZYm4K+b8C7M4NMgNLoJ/xkMqwGSglSgpwP76233wx16ilZIa&#10;hzCj7ueOWUGJ+q6xy5PecBimNirD0biPir22bK4telctABnq4coZHsXg79VJlBaqN9yXeYiKJqY5&#10;xs6oP4kLf1wN3Dcu5vPohHNqmF/pteEBOnQk8PnavDFr2n56HIUnOI0rSz+09egbXmqY7zzIMvY8&#10;EHxkteUdZzy2pd3HsETXevS6/DVmvwEAAP//AwBQSwMEFAAGAAgAAAAhABuHYsfiAAAADgEAAA8A&#10;AABkcnMvZG93bnJldi54bWxMj09PwzAMxe9IfIfISNxYujJY2zWd+DN24cSYds4aL4lokqrJuvLt&#10;MSe4WLZ+9vN79XpyHRtxiDZ4AfNZBgx9G5T1WsD+8+2uABaT9Ep2waOAb4ywbq6valmpcPEfOO6S&#10;ZiTiYyUFmJT6ivPYGnQyzkKPntgpDE4mGgfN1SAvJO46nmfZI3fSevpgZI8vBtuv3dkJ2DzrUreF&#10;HMymUNaO0+H0rrdC3N5MrysqTytgCaf0dwG/Gcg/NGTsGM5eRdYJuH9YlLRKYAGMeLlcUnMUkOfz&#10;HHhT8/8xmh8AAAD//wMAUEsBAi0AFAAGAAgAAAAhALaDOJL+AAAA4QEAABMAAAAAAAAAAAAAAAAA&#10;AAAAAFtDb250ZW50X1R5cGVzXS54bWxQSwECLQAUAAYACAAAACEAOP0h/9YAAACUAQAACwAAAAAA&#10;AAAAAAAAAAAvAQAAX3JlbHMvLnJlbHNQSwECLQAUAAYACAAAACEABjlU8jcCAAB9BAAADgAAAAAA&#10;AAAAAAAAAAAuAgAAZHJzL2Uyb0RvYy54bWxQSwECLQAUAAYACAAAACEAG4dix+IAAAAOAQAADwAA&#10;AAAAAAAAAAAAAACRBAAAZHJzL2Rvd25yZXYueG1sUEsFBgAAAAAEAAQA8wAAAKAFAAAAAA==&#10;" fillcolor="white [3201]" strokeweight=".5pt">
                <v:textbox>
                  <w:txbxContent>
                    <w:p w14:paraId="55834079" w14:textId="0128BD5B" w:rsidR="00B57045" w:rsidRPr="00B57045" w:rsidRDefault="00B57045" w:rsidP="00B57045">
                      <w:pPr>
                        <w:jc w:val="center"/>
                        <w:rPr>
                          <w:rFonts w:ascii="Arial" w:hAnsi="Arial" w:cs="Arial"/>
                          <w:sz w:val="32"/>
                          <w:szCs w:val="32"/>
                        </w:rPr>
                      </w:pPr>
                      <w:r w:rsidRPr="00B57045">
                        <w:rPr>
                          <w:rStyle w:val="Strong"/>
                          <w:rFonts w:ascii="Arial" w:hAnsi="Arial" w:cs="Arial"/>
                          <w:sz w:val="32"/>
                          <w:szCs w:val="32"/>
                        </w:rPr>
                        <w:t>Master of Business Administration</w:t>
                      </w:r>
                      <w:r w:rsidRPr="00B57045">
                        <w:rPr>
                          <w:rStyle w:val="Strong"/>
                          <w:rFonts w:ascii="Arial" w:hAnsi="Arial" w:cs="Arial"/>
                          <w:sz w:val="32"/>
                          <w:szCs w:val="32"/>
                          <w:lang w:val="en-US"/>
                        </w:rPr>
                        <w:t xml:space="preserve"> </w:t>
                      </w:r>
                      <w:r w:rsidRPr="00B57045">
                        <w:rPr>
                          <w:rStyle w:val="Strong"/>
                          <w:rFonts w:ascii="Arial" w:hAnsi="Arial" w:cs="Arial"/>
                          <w:sz w:val="32"/>
                          <w:szCs w:val="32"/>
                        </w:rPr>
                        <w:t>(MBA)</w:t>
                      </w:r>
                    </w:p>
                    <w:p w14:paraId="274D45C3" w14:textId="77777777" w:rsidR="00B57045" w:rsidRPr="00B57045" w:rsidRDefault="00B57045" w:rsidP="00B57045">
                      <w:pPr>
                        <w:pBdr>
                          <w:bottom w:val="single" w:sz="6" w:space="1" w:color="auto"/>
                        </w:pBdr>
                        <w:jc w:val="center"/>
                        <w:rPr>
                          <w:rFonts w:ascii="Arial" w:hAnsi="Arial" w:cs="Arial"/>
                          <w:b/>
                          <w:bCs/>
                          <w:sz w:val="32"/>
                          <w:szCs w:val="32"/>
                        </w:rPr>
                      </w:pPr>
                      <w:r w:rsidRPr="00B57045">
                        <w:rPr>
                          <w:rStyle w:val="Strong"/>
                          <w:rFonts w:ascii="Arial" w:hAnsi="Arial" w:cs="Arial"/>
                          <w:sz w:val="32"/>
                          <w:szCs w:val="32"/>
                        </w:rPr>
                        <w:t xml:space="preserve">Module: </w:t>
                      </w:r>
                      <w:r w:rsidRPr="00B57045">
                        <w:rPr>
                          <w:rFonts w:ascii="Arial" w:hAnsi="Arial" w:cs="Arial"/>
                          <w:b/>
                          <w:bCs/>
                          <w:sz w:val="32"/>
                          <w:szCs w:val="32"/>
                        </w:rPr>
                        <w:t>Marketing Management</w:t>
                      </w:r>
                    </w:p>
                    <w:p w14:paraId="5A7A2194" w14:textId="1B1CCAED" w:rsidR="00B57045" w:rsidRPr="00B57045" w:rsidRDefault="00B57045" w:rsidP="00B57045">
                      <w:pPr>
                        <w:pBdr>
                          <w:bottom w:val="single" w:sz="6" w:space="1" w:color="auto"/>
                        </w:pBdr>
                        <w:jc w:val="center"/>
                        <w:rPr>
                          <w:rStyle w:val="Strong"/>
                          <w:rFonts w:ascii="Arial" w:hAnsi="Arial" w:cs="Arial"/>
                          <w:i/>
                          <w:iCs/>
                          <w:sz w:val="32"/>
                          <w:szCs w:val="32"/>
                        </w:rPr>
                      </w:pPr>
                      <w:r w:rsidRPr="00B57045">
                        <w:rPr>
                          <w:rFonts w:ascii="Arial" w:hAnsi="Arial" w:cs="Arial"/>
                          <w:b/>
                          <w:bCs/>
                          <w:sz w:val="32"/>
                          <w:szCs w:val="32"/>
                          <w:lang w:val="en-US"/>
                        </w:rPr>
                        <w:t>(</w:t>
                      </w:r>
                      <w:r w:rsidRPr="00B57045">
                        <w:rPr>
                          <w:rFonts w:ascii="Arial" w:hAnsi="Arial" w:cs="Arial"/>
                          <w:b/>
                          <w:bCs/>
                          <w:sz w:val="32"/>
                          <w:szCs w:val="32"/>
                        </w:rPr>
                        <w:t>LCMB7024</w:t>
                      </w:r>
                      <w:r w:rsidRPr="00B57045">
                        <w:rPr>
                          <w:rFonts w:ascii="Arial" w:hAnsi="Arial" w:cs="Arial"/>
                          <w:b/>
                          <w:bCs/>
                          <w:sz w:val="32"/>
                          <w:szCs w:val="32"/>
                          <w:lang w:val="en-US"/>
                        </w:rPr>
                        <w:t>)</w:t>
                      </w:r>
                    </w:p>
                    <w:p w14:paraId="6B6EFC53" w14:textId="77777777" w:rsidR="00B57045" w:rsidRPr="00B57045" w:rsidRDefault="00B57045">
                      <w:pPr>
                        <w:rPr>
                          <w:sz w:val="22"/>
                          <w:szCs w:val="22"/>
                        </w:rPr>
                      </w:pPr>
                    </w:p>
                  </w:txbxContent>
                </v:textbox>
              </v:shape>
            </w:pict>
          </mc:Fallback>
        </mc:AlternateContent>
      </w:r>
      <w:r>
        <w:fldChar w:fldCharType="begin"/>
      </w:r>
      <w:r>
        <w:instrText xml:space="preserve"> INCLUDEPICTURE "/Users/ijtehad/Library/Group Containers/UBF8T346G9.ms/WebArchiveCopyPasteTempFiles/com.microsoft.Word/uwtsd-logo.png?h=edcd1a3c&amp;itok=-0TdFyU7" \* MERGEFORMATINET </w:instrText>
      </w:r>
      <w:r>
        <w:fldChar w:fldCharType="separate"/>
      </w:r>
      <w:r>
        <w:fldChar w:fldCharType="end"/>
      </w:r>
    </w:p>
    <w:p w14:paraId="2C85D01F" w14:textId="77777777" w:rsidR="00B57045" w:rsidRPr="00622B8B" w:rsidRDefault="00B57045" w:rsidP="00B57045">
      <w:pPr>
        <w:spacing w:before="100" w:beforeAutospacing="1" w:after="100" w:afterAutospacing="1"/>
        <w:jc w:val="center"/>
        <w:rPr>
          <w:rFonts w:ascii="Arial" w:hAnsi="Arial" w:cs="Arial"/>
          <w:b/>
          <w:bCs/>
        </w:rPr>
      </w:pPr>
    </w:p>
    <w:p w14:paraId="248E1300" w14:textId="77777777" w:rsidR="00B57045" w:rsidRPr="00622B8B" w:rsidRDefault="00B57045" w:rsidP="00B57045">
      <w:pPr>
        <w:spacing w:before="100" w:beforeAutospacing="1" w:after="100" w:afterAutospacing="1"/>
        <w:jc w:val="center"/>
        <w:rPr>
          <w:rFonts w:ascii="Arial" w:hAnsi="Arial" w:cs="Arial"/>
          <w:b/>
          <w:bCs/>
        </w:rPr>
      </w:pPr>
    </w:p>
    <w:p w14:paraId="797BA364" w14:textId="77777777" w:rsidR="00B57045" w:rsidRDefault="00B57045" w:rsidP="00B57045">
      <w:pPr>
        <w:jc w:val="center"/>
        <w:rPr>
          <w:rFonts w:ascii="Arial" w:hAnsi="Arial" w:cs="Arial"/>
        </w:rPr>
      </w:pPr>
    </w:p>
    <w:p w14:paraId="13FC9D73" w14:textId="77777777" w:rsidR="00B57045" w:rsidRDefault="00B57045" w:rsidP="00B57045">
      <w:pPr>
        <w:jc w:val="center"/>
        <w:rPr>
          <w:rFonts w:ascii="Arial" w:hAnsi="Arial" w:cs="Arial"/>
        </w:rPr>
      </w:pPr>
    </w:p>
    <w:p w14:paraId="3EB2D91E" w14:textId="77777777" w:rsidR="00B57045" w:rsidRDefault="00B57045" w:rsidP="00B57045">
      <w:pPr>
        <w:jc w:val="center"/>
        <w:rPr>
          <w:rFonts w:ascii="Arial" w:hAnsi="Arial" w:cs="Arial"/>
        </w:rPr>
      </w:pPr>
    </w:p>
    <w:p w14:paraId="2D13B542" w14:textId="77777777" w:rsidR="00B57045" w:rsidRDefault="00B57045" w:rsidP="00B57045">
      <w:pPr>
        <w:jc w:val="center"/>
        <w:rPr>
          <w:rFonts w:ascii="Arial" w:hAnsi="Arial" w:cs="Arial"/>
        </w:rPr>
      </w:pPr>
    </w:p>
    <w:p w14:paraId="654178F0" w14:textId="77777777" w:rsidR="00B57045" w:rsidRDefault="00B57045" w:rsidP="00B57045">
      <w:pPr>
        <w:jc w:val="center"/>
        <w:rPr>
          <w:rFonts w:ascii="Arial" w:hAnsi="Arial" w:cs="Arial"/>
        </w:rPr>
      </w:pPr>
    </w:p>
    <w:p w14:paraId="1E18E64E" w14:textId="77777777" w:rsidR="00B57045" w:rsidRDefault="00B57045" w:rsidP="00B57045">
      <w:pPr>
        <w:jc w:val="center"/>
        <w:rPr>
          <w:rFonts w:ascii="Arial" w:hAnsi="Arial" w:cs="Arial"/>
        </w:rPr>
      </w:pPr>
    </w:p>
    <w:p w14:paraId="4DCDB2A6" w14:textId="77777777" w:rsidR="00B57045" w:rsidRPr="00622B8B" w:rsidRDefault="00B57045" w:rsidP="00B57045">
      <w:pPr>
        <w:jc w:val="center"/>
        <w:rPr>
          <w:rFonts w:ascii="Arial" w:hAnsi="Arial" w:cs="Arial"/>
        </w:rPr>
      </w:pPr>
    </w:p>
    <w:p w14:paraId="5EAE21BA" w14:textId="097CA7BC" w:rsidR="00B57045" w:rsidRPr="00B57045" w:rsidRDefault="00B57045" w:rsidP="00B57045">
      <w:pPr>
        <w:spacing w:before="100" w:beforeAutospacing="1" w:after="100" w:afterAutospacing="1"/>
        <w:jc w:val="center"/>
        <w:rPr>
          <w:rFonts w:ascii="Arial" w:hAnsi="Arial" w:cs="Arial"/>
          <w:b/>
          <w:bCs/>
          <w:color w:val="000000" w:themeColor="text1"/>
          <w:sz w:val="32"/>
          <w:szCs w:val="32"/>
        </w:rPr>
      </w:pPr>
      <w:r w:rsidRPr="00B57045">
        <w:rPr>
          <w:rFonts w:ascii="Arial" w:eastAsiaTheme="minorEastAsia" w:hAnsi="Arial" w:cs="Arial"/>
          <w:b/>
          <w:bCs/>
          <w:color w:val="000000" w:themeColor="text1"/>
          <w:sz w:val="32"/>
          <w:lang w:eastAsia="en-US" w:bidi="ar-SA"/>
          <w14:ligatures w14:val="standardContextual"/>
        </w:rPr>
        <w:t xml:space="preserve">Assessment </w:t>
      </w:r>
      <w:r w:rsidRPr="00B57045">
        <w:rPr>
          <w:rFonts w:ascii="Arial" w:eastAsiaTheme="minorEastAsia" w:hAnsi="Arial" w:cs="Arial"/>
          <w:b/>
          <w:bCs/>
          <w:color w:val="000000" w:themeColor="text1"/>
          <w:sz w:val="32"/>
          <w:lang w:val="en-US" w:eastAsia="en-US" w:bidi="ar-SA"/>
          <w14:ligatures w14:val="standardContextual"/>
        </w:rPr>
        <w:t>C</w:t>
      </w:r>
      <w:r w:rsidRPr="00B57045">
        <w:rPr>
          <w:rFonts w:ascii="Arial" w:eastAsiaTheme="minorEastAsia" w:hAnsi="Arial" w:cs="Arial"/>
          <w:b/>
          <w:bCs/>
          <w:color w:val="000000" w:themeColor="text1"/>
          <w:sz w:val="32"/>
          <w:lang w:eastAsia="en-US" w:bidi="ar-SA"/>
          <w14:ligatures w14:val="standardContextual"/>
        </w:rPr>
        <w:t>omponent 1:</w:t>
      </w:r>
      <w:r w:rsidRPr="00B57045">
        <w:rPr>
          <w:rFonts w:ascii="Arial" w:eastAsiaTheme="minorEastAsia" w:hAnsi="Arial" w:cs="Arial"/>
          <w:b/>
          <w:bCs/>
          <w:color w:val="000000" w:themeColor="text1"/>
          <w:sz w:val="32"/>
          <w:lang w:val="en-US" w:eastAsia="en-US" w:bidi="ar-SA"/>
          <w14:ligatures w14:val="standardContextual"/>
        </w:rPr>
        <w:t xml:space="preserve"> </w:t>
      </w:r>
      <w:r w:rsidRPr="00B57045">
        <w:rPr>
          <w:rFonts w:ascii="Arial" w:eastAsiaTheme="minorEastAsia" w:hAnsi="Arial" w:cs="Arial"/>
          <w:b/>
          <w:bCs/>
          <w:color w:val="000000" w:themeColor="text1"/>
          <w:sz w:val="32"/>
          <w:lang w:eastAsia="en-US" w:bidi="ar-SA"/>
          <w14:ligatures w14:val="standardContextual"/>
        </w:rPr>
        <w:t>Marketing Environment</w:t>
      </w:r>
      <w:r w:rsidRPr="00B57045">
        <w:rPr>
          <w:rFonts w:ascii="Arial" w:eastAsiaTheme="minorEastAsia" w:hAnsi="Arial" w:cs="Arial"/>
          <w:b/>
          <w:bCs/>
          <w:color w:val="000000" w:themeColor="text1"/>
          <w:sz w:val="32"/>
          <w:lang w:val="en-US" w:eastAsia="en-US" w:bidi="ar-SA"/>
          <w14:ligatures w14:val="standardContextual"/>
        </w:rPr>
        <w:t xml:space="preserve"> </w:t>
      </w:r>
      <w:r w:rsidRPr="00B57045">
        <w:rPr>
          <w:rFonts w:ascii="Arial" w:eastAsiaTheme="minorEastAsia" w:hAnsi="Arial" w:cs="Arial"/>
          <w:b/>
          <w:bCs/>
          <w:color w:val="000000" w:themeColor="text1"/>
          <w:sz w:val="32"/>
          <w:lang w:eastAsia="en-US" w:bidi="ar-SA"/>
          <w14:ligatures w14:val="standardContextual"/>
        </w:rPr>
        <w:t>Analysis</w:t>
      </w:r>
    </w:p>
    <w:p w14:paraId="5950B7FB" w14:textId="77777777" w:rsidR="00B57045" w:rsidRPr="00622B8B" w:rsidRDefault="00B57045" w:rsidP="00B57045">
      <w:pPr>
        <w:spacing w:before="100" w:beforeAutospacing="1" w:after="100" w:afterAutospacing="1"/>
        <w:jc w:val="center"/>
        <w:rPr>
          <w:rFonts w:ascii="Arial" w:hAnsi="Arial" w:cs="Arial"/>
          <w:b/>
          <w:bCs/>
          <w:color w:val="000000"/>
        </w:rPr>
      </w:pPr>
    </w:p>
    <w:p w14:paraId="08AF091B" w14:textId="77777777" w:rsidR="00B57045" w:rsidRDefault="00B57045" w:rsidP="00B57045">
      <w:pPr>
        <w:spacing w:before="100" w:beforeAutospacing="1" w:after="100" w:afterAutospacing="1"/>
        <w:jc w:val="center"/>
        <w:rPr>
          <w:rFonts w:ascii="Arial" w:hAnsi="Arial" w:cs="Arial"/>
          <w:b/>
          <w:bCs/>
          <w:color w:val="000000"/>
        </w:rPr>
      </w:pPr>
    </w:p>
    <w:p w14:paraId="1D0FC8B9" w14:textId="77777777" w:rsidR="00B57045" w:rsidRDefault="00B57045" w:rsidP="00B57045">
      <w:pPr>
        <w:spacing w:before="100" w:beforeAutospacing="1" w:after="100" w:afterAutospacing="1"/>
        <w:jc w:val="center"/>
        <w:rPr>
          <w:rFonts w:ascii="Arial" w:hAnsi="Arial" w:cs="Arial"/>
          <w:b/>
          <w:bCs/>
          <w:color w:val="000000"/>
        </w:rPr>
      </w:pPr>
    </w:p>
    <w:p w14:paraId="2DE695D4" w14:textId="77777777" w:rsidR="00B57045" w:rsidRDefault="00B57045" w:rsidP="00B57045">
      <w:pPr>
        <w:spacing w:before="100" w:beforeAutospacing="1" w:after="100" w:afterAutospacing="1"/>
        <w:jc w:val="center"/>
        <w:rPr>
          <w:rFonts w:ascii="Arial" w:hAnsi="Arial" w:cs="Arial"/>
          <w:b/>
          <w:bCs/>
          <w:color w:val="000000"/>
        </w:rPr>
      </w:pPr>
    </w:p>
    <w:p w14:paraId="06D2808D" w14:textId="77777777" w:rsidR="00B57045" w:rsidRDefault="00B57045" w:rsidP="00B57045">
      <w:pPr>
        <w:spacing w:before="100" w:beforeAutospacing="1" w:after="100" w:afterAutospacing="1"/>
        <w:jc w:val="center"/>
        <w:rPr>
          <w:rFonts w:ascii="Arial" w:hAnsi="Arial" w:cs="Arial"/>
          <w:b/>
          <w:bCs/>
          <w:color w:val="000000"/>
        </w:rPr>
      </w:pPr>
    </w:p>
    <w:p w14:paraId="412A3EB0" w14:textId="77777777" w:rsidR="00B57045" w:rsidRPr="00622B8B" w:rsidRDefault="00B57045" w:rsidP="00B57045">
      <w:pPr>
        <w:spacing w:before="100" w:beforeAutospacing="1" w:after="100" w:afterAutospacing="1"/>
        <w:jc w:val="center"/>
        <w:rPr>
          <w:rFonts w:ascii="Arial" w:hAnsi="Arial" w:cs="Arial"/>
          <w:b/>
          <w:bCs/>
          <w:color w:val="000000"/>
        </w:rPr>
      </w:pPr>
    </w:p>
    <w:p w14:paraId="3DFCFA05" w14:textId="0C47E969" w:rsidR="00B57045" w:rsidRPr="00BE6D33" w:rsidRDefault="00B57045" w:rsidP="00B57045">
      <w:pPr>
        <w:spacing w:before="100" w:beforeAutospacing="1" w:after="100" w:afterAutospacing="1"/>
        <w:jc w:val="left"/>
        <w:rPr>
          <w:rFonts w:ascii="Arial" w:hAnsi="Arial" w:cs="Arial"/>
          <w:lang w:val="en-US"/>
        </w:rPr>
      </w:pPr>
      <w:r w:rsidRPr="00622B8B">
        <w:rPr>
          <w:rFonts w:ascii="Arial" w:hAnsi="Arial" w:cs="Arial"/>
          <w:b/>
          <w:bCs/>
        </w:rPr>
        <w:t>Lecturer Name:</w:t>
      </w:r>
      <w:r w:rsidRPr="00622B8B">
        <w:rPr>
          <w:rFonts w:ascii="Arial" w:hAnsi="Arial" w:cs="Arial"/>
        </w:rPr>
        <w:t> </w:t>
      </w:r>
      <w:r w:rsidRPr="00622B8B">
        <w:rPr>
          <w:rFonts w:ascii="Arial" w:hAnsi="Arial" w:cs="Arial"/>
          <w:b/>
          <w:bCs/>
        </w:rPr>
        <w:t>Dr Laila Maazouz</w:t>
      </w:r>
    </w:p>
    <w:p w14:paraId="2D1067E9" w14:textId="569E1EB3" w:rsidR="00B57045" w:rsidRPr="00A669C3" w:rsidRDefault="00B57045" w:rsidP="00B57045">
      <w:pPr>
        <w:jc w:val="left"/>
        <w:rPr>
          <w:rFonts w:ascii="Arial" w:hAnsi="Arial" w:cs="Arial"/>
          <w:lang w:val="en-US"/>
        </w:rPr>
      </w:pPr>
      <w:r w:rsidRPr="00622B8B">
        <w:rPr>
          <w:rFonts w:ascii="Arial" w:hAnsi="Arial" w:cs="Arial"/>
          <w:b/>
          <w:bCs/>
        </w:rPr>
        <w:t>Student Name:</w:t>
      </w:r>
      <w:r w:rsidR="00A669C3">
        <w:rPr>
          <w:rFonts w:ascii="Arial" w:hAnsi="Arial" w:cs="Arial"/>
          <w:b/>
          <w:bCs/>
          <w:lang w:val="en-US"/>
        </w:rPr>
        <w:t xml:space="preserve"> </w:t>
      </w:r>
      <w:r w:rsidR="00A669C3" w:rsidRPr="00A669C3">
        <w:rPr>
          <w:rFonts w:ascii="Arial" w:hAnsi="Arial" w:cs="Arial"/>
          <w:b/>
          <w:bCs/>
          <w:lang w:val="en-US"/>
        </w:rPr>
        <w:t>Rabin Hasan</w:t>
      </w:r>
    </w:p>
    <w:p w14:paraId="696F242B" w14:textId="21902461" w:rsidR="00B57045" w:rsidRPr="00A669C3" w:rsidRDefault="00B57045" w:rsidP="00B57045">
      <w:pPr>
        <w:jc w:val="left"/>
        <w:rPr>
          <w:rFonts w:ascii="Arial" w:hAnsi="Arial" w:cs="Arial"/>
          <w:lang w:val="en-US"/>
        </w:rPr>
      </w:pPr>
      <w:r w:rsidRPr="00622B8B">
        <w:rPr>
          <w:rFonts w:ascii="Arial" w:hAnsi="Arial" w:cs="Arial"/>
          <w:b/>
          <w:bCs/>
        </w:rPr>
        <w:t>Student ID:</w:t>
      </w:r>
      <w:r w:rsidR="00A669C3">
        <w:rPr>
          <w:rFonts w:ascii="Arial" w:hAnsi="Arial" w:cs="Arial"/>
          <w:b/>
          <w:bCs/>
          <w:lang w:val="en-US"/>
        </w:rPr>
        <w:t xml:space="preserve"> </w:t>
      </w:r>
      <w:r w:rsidR="00A669C3" w:rsidRPr="00A669C3">
        <w:rPr>
          <w:rFonts w:ascii="Arial" w:hAnsi="Arial" w:cs="Arial"/>
          <w:b/>
          <w:bCs/>
          <w:lang w:val="en-US"/>
        </w:rPr>
        <w:t>2504378</w:t>
      </w:r>
    </w:p>
    <w:p w14:paraId="67CB6D3F" w14:textId="4577C3B8" w:rsidR="00B57045" w:rsidRPr="00622B8B" w:rsidRDefault="00B57045" w:rsidP="00B57045">
      <w:pPr>
        <w:jc w:val="left"/>
        <w:rPr>
          <w:rFonts w:ascii="Arial" w:hAnsi="Arial" w:cs="Arial"/>
          <w:lang w:val="en-US"/>
        </w:rPr>
      </w:pPr>
      <w:r w:rsidRPr="00622B8B">
        <w:rPr>
          <w:rFonts w:ascii="Arial" w:hAnsi="Arial" w:cs="Arial"/>
          <w:b/>
          <w:bCs/>
        </w:rPr>
        <w:t>Word Count:</w:t>
      </w:r>
      <w:r w:rsidRPr="00622B8B">
        <w:rPr>
          <w:rFonts w:ascii="Arial" w:hAnsi="Arial" w:cs="Arial"/>
        </w:rPr>
        <w:t> </w:t>
      </w:r>
      <w:r w:rsidRPr="00A669C3">
        <w:rPr>
          <w:rFonts w:ascii="Arial" w:hAnsi="Arial" w:cs="Arial"/>
          <w:b/>
          <w:bCs/>
          <w:lang w:val="en-US"/>
        </w:rPr>
        <w:t>248</w:t>
      </w:r>
      <w:r w:rsidR="00735C22">
        <w:rPr>
          <w:rFonts w:ascii="Arial" w:hAnsi="Arial" w:cs="Arial"/>
          <w:b/>
          <w:bCs/>
          <w:lang w:val="en-US"/>
        </w:rPr>
        <w:t>5</w:t>
      </w:r>
    </w:p>
    <w:p w14:paraId="022AEBBF" w14:textId="77777777" w:rsidR="00B57045" w:rsidRPr="00622B8B" w:rsidRDefault="00B57045" w:rsidP="00B57045">
      <w:pPr>
        <w:jc w:val="left"/>
        <w:rPr>
          <w:rFonts w:ascii="Arial" w:hAnsi="Arial" w:cs="Arial"/>
        </w:rPr>
      </w:pPr>
      <w:r w:rsidRPr="00622B8B">
        <w:rPr>
          <w:rFonts w:ascii="Arial" w:hAnsi="Arial" w:cs="Arial"/>
          <w:b/>
          <w:bCs/>
        </w:rPr>
        <w:t>Submission Date:</w:t>
      </w:r>
      <w:r w:rsidRPr="00622B8B">
        <w:rPr>
          <w:rFonts w:ascii="Arial" w:hAnsi="Arial" w:cs="Arial"/>
        </w:rPr>
        <w:t> </w:t>
      </w:r>
      <w:r w:rsidRPr="00622B8B">
        <w:rPr>
          <w:rFonts w:ascii="Arial" w:hAnsi="Arial" w:cs="Arial"/>
          <w:b/>
          <w:bCs/>
        </w:rPr>
        <w:t>21</w:t>
      </w:r>
      <w:proofErr w:type="spellStart"/>
      <w:r w:rsidRPr="00622B8B">
        <w:rPr>
          <w:rFonts w:ascii="Arial" w:hAnsi="Arial" w:cs="Arial"/>
          <w:b/>
          <w:bCs/>
          <w:vertAlign w:val="superscript"/>
          <w:lang w:val="en-US"/>
        </w:rPr>
        <w:t>st</w:t>
      </w:r>
      <w:proofErr w:type="spellEnd"/>
      <w:r w:rsidRPr="00622B8B">
        <w:rPr>
          <w:rFonts w:ascii="Arial" w:hAnsi="Arial" w:cs="Arial"/>
          <w:b/>
          <w:bCs/>
          <w:lang w:val="en-US"/>
        </w:rPr>
        <w:t xml:space="preserve"> </w:t>
      </w:r>
      <w:r w:rsidRPr="00622B8B">
        <w:rPr>
          <w:rFonts w:ascii="Arial" w:hAnsi="Arial" w:cs="Arial"/>
          <w:b/>
          <w:bCs/>
        </w:rPr>
        <w:t>November 2025</w:t>
      </w:r>
    </w:p>
    <w:p w14:paraId="4B72798A" w14:textId="77777777" w:rsidR="00DE7081" w:rsidRDefault="00DE7081">
      <w:pPr>
        <w:spacing w:after="160" w:line="259" w:lineRule="auto"/>
        <w:jc w:val="left"/>
      </w:pPr>
      <w:r>
        <w:br w:type="page"/>
      </w:r>
    </w:p>
    <w:sdt>
      <w:sdtPr>
        <w:rPr>
          <w:rFonts w:cs="Times New Roman"/>
          <w:b w:val="0"/>
          <w:color w:val="auto"/>
          <w:sz w:val="24"/>
          <w:szCs w:val="24"/>
          <w:u w:val="none"/>
          <w:lang w:eastAsia="en-GB" w:bidi="bn-IN"/>
        </w:rPr>
        <w:id w:val="1242917987"/>
        <w:docPartObj>
          <w:docPartGallery w:val="Table of Contents"/>
          <w:docPartUnique/>
        </w:docPartObj>
      </w:sdtPr>
      <w:sdtEndPr>
        <w:rPr>
          <w:bCs/>
          <w:noProof/>
        </w:rPr>
      </w:sdtEndPr>
      <w:sdtContent>
        <w:p w14:paraId="6E8FA8E2" w14:textId="3A59E0A0" w:rsidR="00DE7081" w:rsidRDefault="00DE7081">
          <w:pPr>
            <w:pStyle w:val="TOCHeading"/>
          </w:pPr>
          <w:r>
            <w:t>Table of Contents</w:t>
          </w:r>
        </w:p>
        <w:p w14:paraId="0A48AFB3" w14:textId="72D9CD05" w:rsidR="00DE7081" w:rsidRPr="00DE7081" w:rsidRDefault="00DE7081">
          <w:pPr>
            <w:pStyle w:val="TOC1"/>
            <w:tabs>
              <w:tab w:val="right" w:leader="dot" w:pos="9010"/>
            </w:tabs>
            <w:rPr>
              <w:rFonts w:ascii="Arial" w:eastAsiaTheme="minorEastAsia" w:hAnsi="Arial" w:cs="Arial"/>
              <w:b w:val="0"/>
              <w:bCs w:val="0"/>
              <w:i w:val="0"/>
              <w:iCs w:val="0"/>
              <w:noProof/>
              <w:kern w:val="2"/>
              <w14:ligatures w14:val="standardContextual"/>
            </w:rPr>
          </w:pPr>
          <w:r w:rsidRPr="00DE7081">
            <w:rPr>
              <w:rFonts w:ascii="Arial" w:hAnsi="Arial" w:cs="Arial"/>
              <w:b w:val="0"/>
              <w:bCs w:val="0"/>
              <w:i w:val="0"/>
              <w:iCs w:val="0"/>
            </w:rPr>
            <w:fldChar w:fldCharType="begin"/>
          </w:r>
          <w:r w:rsidRPr="00DE7081">
            <w:rPr>
              <w:rFonts w:ascii="Arial" w:hAnsi="Arial" w:cs="Arial"/>
              <w:b w:val="0"/>
              <w:bCs w:val="0"/>
              <w:i w:val="0"/>
              <w:iCs w:val="0"/>
            </w:rPr>
            <w:instrText xml:space="preserve"> TOC \o "1-3" \h \z \u </w:instrText>
          </w:r>
          <w:r w:rsidRPr="00DE7081">
            <w:rPr>
              <w:rFonts w:ascii="Arial" w:hAnsi="Arial" w:cs="Arial"/>
              <w:b w:val="0"/>
              <w:bCs w:val="0"/>
              <w:i w:val="0"/>
              <w:iCs w:val="0"/>
            </w:rPr>
            <w:fldChar w:fldCharType="separate"/>
          </w:r>
          <w:hyperlink w:anchor="_Toc214496234" w:history="1">
            <w:r w:rsidRPr="00DE7081">
              <w:rPr>
                <w:rStyle w:val="Hyperlink"/>
                <w:rFonts w:ascii="Arial" w:hAnsi="Arial" w:cs="Arial"/>
                <w:b w:val="0"/>
                <w:bCs w:val="0"/>
                <w:i w:val="0"/>
                <w:iCs w:val="0"/>
                <w:noProof/>
              </w:rPr>
              <w:t>1. INTRODUCTION</w:t>
            </w:r>
            <w:r w:rsidRPr="00DE7081">
              <w:rPr>
                <w:rFonts w:ascii="Arial" w:hAnsi="Arial" w:cs="Arial"/>
                <w:b w:val="0"/>
                <w:bCs w:val="0"/>
                <w:i w:val="0"/>
                <w:iCs w:val="0"/>
                <w:noProof/>
                <w:webHidden/>
              </w:rPr>
              <w:tab/>
            </w:r>
            <w:r w:rsidRPr="00DE7081">
              <w:rPr>
                <w:rFonts w:ascii="Arial" w:hAnsi="Arial" w:cs="Arial"/>
                <w:b w:val="0"/>
                <w:bCs w:val="0"/>
                <w:i w:val="0"/>
                <w:iCs w:val="0"/>
                <w:noProof/>
                <w:webHidden/>
              </w:rPr>
              <w:fldChar w:fldCharType="begin"/>
            </w:r>
            <w:r w:rsidRPr="00DE7081">
              <w:rPr>
                <w:rFonts w:ascii="Arial" w:hAnsi="Arial" w:cs="Arial"/>
                <w:b w:val="0"/>
                <w:bCs w:val="0"/>
                <w:i w:val="0"/>
                <w:iCs w:val="0"/>
                <w:noProof/>
                <w:webHidden/>
              </w:rPr>
              <w:instrText xml:space="preserve"> PAGEREF _Toc214496234 \h </w:instrText>
            </w:r>
            <w:r w:rsidRPr="00DE7081">
              <w:rPr>
                <w:rFonts w:ascii="Arial" w:hAnsi="Arial" w:cs="Arial"/>
                <w:b w:val="0"/>
                <w:bCs w:val="0"/>
                <w:i w:val="0"/>
                <w:iCs w:val="0"/>
                <w:noProof/>
                <w:webHidden/>
              </w:rPr>
            </w:r>
            <w:r w:rsidRPr="00DE7081">
              <w:rPr>
                <w:rFonts w:ascii="Arial" w:hAnsi="Arial" w:cs="Arial"/>
                <w:b w:val="0"/>
                <w:bCs w:val="0"/>
                <w:i w:val="0"/>
                <w:iCs w:val="0"/>
                <w:noProof/>
                <w:webHidden/>
              </w:rPr>
              <w:fldChar w:fldCharType="separate"/>
            </w:r>
            <w:r w:rsidRPr="00DE7081">
              <w:rPr>
                <w:rFonts w:ascii="Arial" w:hAnsi="Arial" w:cs="Arial"/>
                <w:b w:val="0"/>
                <w:bCs w:val="0"/>
                <w:i w:val="0"/>
                <w:iCs w:val="0"/>
                <w:noProof/>
                <w:webHidden/>
              </w:rPr>
              <w:t>3</w:t>
            </w:r>
            <w:r w:rsidRPr="00DE7081">
              <w:rPr>
                <w:rFonts w:ascii="Arial" w:hAnsi="Arial" w:cs="Arial"/>
                <w:b w:val="0"/>
                <w:bCs w:val="0"/>
                <w:i w:val="0"/>
                <w:iCs w:val="0"/>
                <w:noProof/>
                <w:webHidden/>
              </w:rPr>
              <w:fldChar w:fldCharType="end"/>
            </w:r>
          </w:hyperlink>
        </w:p>
        <w:p w14:paraId="21891828" w14:textId="27CDE111" w:rsidR="00DE7081" w:rsidRPr="00DE7081" w:rsidRDefault="00DE7081">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6235" w:history="1">
            <w:r w:rsidRPr="00DE7081">
              <w:rPr>
                <w:rStyle w:val="Hyperlink"/>
                <w:rFonts w:ascii="Arial" w:hAnsi="Arial" w:cs="Arial"/>
                <w:b w:val="0"/>
                <w:bCs w:val="0"/>
                <w:i w:val="0"/>
                <w:iCs w:val="0"/>
                <w:noProof/>
              </w:rPr>
              <w:t>2. TASK 1: CRITICAL ANALYSIS OF THE MACRO MARKETING ENVIRONMENT</w:t>
            </w:r>
            <w:r w:rsidRPr="00DE7081">
              <w:rPr>
                <w:rFonts w:ascii="Arial" w:hAnsi="Arial" w:cs="Arial"/>
                <w:b w:val="0"/>
                <w:bCs w:val="0"/>
                <w:i w:val="0"/>
                <w:iCs w:val="0"/>
                <w:noProof/>
                <w:webHidden/>
              </w:rPr>
              <w:tab/>
            </w:r>
            <w:r w:rsidRPr="00DE7081">
              <w:rPr>
                <w:rFonts w:ascii="Arial" w:hAnsi="Arial" w:cs="Arial"/>
                <w:b w:val="0"/>
                <w:bCs w:val="0"/>
                <w:i w:val="0"/>
                <w:iCs w:val="0"/>
                <w:noProof/>
                <w:webHidden/>
              </w:rPr>
              <w:fldChar w:fldCharType="begin"/>
            </w:r>
            <w:r w:rsidRPr="00DE7081">
              <w:rPr>
                <w:rFonts w:ascii="Arial" w:hAnsi="Arial" w:cs="Arial"/>
                <w:b w:val="0"/>
                <w:bCs w:val="0"/>
                <w:i w:val="0"/>
                <w:iCs w:val="0"/>
                <w:noProof/>
                <w:webHidden/>
              </w:rPr>
              <w:instrText xml:space="preserve"> PAGEREF _Toc214496235 \h </w:instrText>
            </w:r>
            <w:r w:rsidRPr="00DE7081">
              <w:rPr>
                <w:rFonts w:ascii="Arial" w:hAnsi="Arial" w:cs="Arial"/>
                <w:b w:val="0"/>
                <w:bCs w:val="0"/>
                <w:i w:val="0"/>
                <w:iCs w:val="0"/>
                <w:noProof/>
                <w:webHidden/>
              </w:rPr>
            </w:r>
            <w:r w:rsidRPr="00DE7081">
              <w:rPr>
                <w:rFonts w:ascii="Arial" w:hAnsi="Arial" w:cs="Arial"/>
                <w:b w:val="0"/>
                <w:bCs w:val="0"/>
                <w:i w:val="0"/>
                <w:iCs w:val="0"/>
                <w:noProof/>
                <w:webHidden/>
              </w:rPr>
              <w:fldChar w:fldCharType="separate"/>
            </w:r>
            <w:r w:rsidRPr="00DE7081">
              <w:rPr>
                <w:rFonts w:ascii="Arial" w:hAnsi="Arial" w:cs="Arial"/>
                <w:b w:val="0"/>
                <w:bCs w:val="0"/>
                <w:i w:val="0"/>
                <w:iCs w:val="0"/>
                <w:noProof/>
                <w:webHidden/>
              </w:rPr>
              <w:t>3</w:t>
            </w:r>
            <w:r w:rsidRPr="00DE7081">
              <w:rPr>
                <w:rFonts w:ascii="Arial" w:hAnsi="Arial" w:cs="Arial"/>
                <w:b w:val="0"/>
                <w:bCs w:val="0"/>
                <w:i w:val="0"/>
                <w:iCs w:val="0"/>
                <w:noProof/>
                <w:webHidden/>
              </w:rPr>
              <w:fldChar w:fldCharType="end"/>
            </w:r>
          </w:hyperlink>
        </w:p>
        <w:p w14:paraId="23707DDD" w14:textId="71C13948"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36" w:history="1">
            <w:r w:rsidRPr="00DE7081">
              <w:rPr>
                <w:rStyle w:val="Hyperlink"/>
                <w:rFonts w:ascii="Arial" w:hAnsi="Arial" w:cs="Arial"/>
                <w:b w:val="0"/>
                <w:bCs w:val="0"/>
                <w:noProof/>
                <w:sz w:val="24"/>
                <w:szCs w:val="24"/>
              </w:rPr>
              <w:t>2.1 Overview of the Macro Marketing Environment</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_Toc214496236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3</w:t>
            </w:r>
            <w:r w:rsidRPr="00DE7081">
              <w:rPr>
                <w:rFonts w:ascii="Arial" w:hAnsi="Arial" w:cs="Arial"/>
                <w:b w:val="0"/>
                <w:bCs w:val="0"/>
                <w:noProof/>
                <w:webHidden/>
                <w:sz w:val="24"/>
                <w:szCs w:val="24"/>
              </w:rPr>
              <w:fldChar w:fldCharType="end"/>
            </w:r>
          </w:hyperlink>
        </w:p>
        <w:p w14:paraId="2D995E21" w14:textId="275BD675"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37" w:history="1">
            <w:r w:rsidRPr="00DE7081">
              <w:rPr>
                <w:rStyle w:val="Hyperlink"/>
                <w:rFonts w:ascii="Arial" w:hAnsi="Arial" w:cs="Arial"/>
                <w:b w:val="0"/>
                <w:bCs w:val="0"/>
                <w:noProof/>
                <w:sz w:val="24"/>
                <w:szCs w:val="24"/>
              </w:rPr>
              <w:t>2.2 Selection of Two External Macro Marketing Actors</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_Toc214496237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3</w:t>
            </w:r>
            <w:r w:rsidRPr="00DE7081">
              <w:rPr>
                <w:rFonts w:ascii="Arial" w:hAnsi="Arial" w:cs="Arial"/>
                <w:b w:val="0"/>
                <w:bCs w:val="0"/>
                <w:noProof/>
                <w:webHidden/>
                <w:sz w:val="24"/>
                <w:szCs w:val="24"/>
              </w:rPr>
              <w:fldChar w:fldCharType="end"/>
            </w:r>
          </w:hyperlink>
        </w:p>
        <w:p w14:paraId="6FBCDF78" w14:textId="2D4DFCB4"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38" w:history="1">
            <w:r w:rsidRPr="00DE7081">
              <w:rPr>
                <w:rStyle w:val="Hyperlink"/>
                <w:rFonts w:ascii="Arial" w:hAnsi="Arial" w:cs="Arial"/>
                <w:b w:val="0"/>
                <w:bCs w:val="0"/>
                <w:noProof/>
                <w:sz w:val="24"/>
                <w:szCs w:val="24"/>
              </w:rPr>
              <w:t>2.3 Critical Analysis of Each Actor</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_Toc214496238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4</w:t>
            </w:r>
            <w:r w:rsidRPr="00DE7081">
              <w:rPr>
                <w:rFonts w:ascii="Arial" w:hAnsi="Arial" w:cs="Arial"/>
                <w:b w:val="0"/>
                <w:bCs w:val="0"/>
                <w:noProof/>
                <w:webHidden/>
                <w:sz w:val="24"/>
                <w:szCs w:val="24"/>
              </w:rPr>
              <w:fldChar w:fldCharType="end"/>
            </w:r>
          </w:hyperlink>
        </w:p>
        <w:p w14:paraId="3BD5E35F" w14:textId="630441E2"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39" w:history="1">
            <w:r w:rsidRPr="00DE7081">
              <w:rPr>
                <w:rStyle w:val="Hyperlink"/>
                <w:rFonts w:ascii="Arial" w:hAnsi="Arial" w:cs="Arial"/>
                <w:noProof/>
                <w:sz w:val="24"/>
                <w:szCs w:val="24"/>
              </w:rPr>
              <w:t>2.3.1 Economic Actor</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_Toc214496239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4</w:t>
            </w:r>
            <w:r w:rsidRPr="00DE7081">
              <w:rPr>
                <w:rFonts w:ascii="Arial" w:hAnsi="Arial" w:cs="Arial"/>
                <w:noProof/>
                <w:webHidden/>
                <w:sz w:val="24"/>
                <w:szCs w:val="24"/>
              </w:rPr>
              <w:fldChar w:fldCharType="end"/>
            </w:r>
          </w:hyperlink>
        </w:p>
        <w:p w14:paraId="17809931" w14:textId="403FD993"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40" w:history="1">
            <w:r w:rsidRPr="00DE7081">
              <w:rPr>
                <w:rStyle w:val="Hyperlink"/>
                <w:rFonts w:ascii="Arial" w:hAnsi="Arial" w:cs="Arial"/>
                <w:noProof/>
                <w:sz w:val="24"/>
                <w:szCs w:val="24"/>
              </w:rPr>
              <w:t>2.3.2 Technological Actor</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_Toc214496240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5</w:t>
            </w:r>
            <w:r w:rsidRPr="00DE7081">
              <w:rPr>
                <w:rFonts w:ascii="Arial" w:hAnsi="Arial" w:cs="Arial"/>
                <w:noProof/>
                <w:webHidden/>
                <w:sz w:val="24"/>
                <w:szCs w:val="24"/>
              </w:rPr>
              <w:fldChar w:fldCharType="end"/>
            </w:r>
          </w:hyperlink>
        </w:p>
        <w:p w14:paraId="3B81B2EF" w14:textId="4E9424EE" w:rsidR="00DE7081" w:rsidRPr="00DE7081" w:rsidRDefault="00DE7081">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6241" w:history="1">
            <w:r w:rsidRPr="00DE7081">
              <w:rPr>
                <w:rStyle w:val="Hyperlink"/>
                <w:rFonts w:ascii="Arial" w:hAnsi="Arial" w:cs="Arial"/>
                <w:b w:val="0"/>
                <w:bCs w:val="0"/>
                <w:i w:val="0"/>
                <w:iCs w:val="0"/>
                <w:noProof/>
              </w:rPr>
              <w:t>3. TASK 2: STRATEGIC RESPONSES OF PIONEERING &amp; FOLLOWER ORGANISATIONS</w:t>
            </w:r>
            <w:r w:rsidRPr="00DE7081">
              <w:rPr>
                <w:rFonts w:ascii="Arial" w:hAnsi="Arial" w:cs="Arial"/>
                <w:b w:val="0"/>
                <w:bCs w:val="0"/>
                <w:i w:val="0"/>
                <w:iCs w:val="0"/>
                <w:noProof/>
                <w:webHidden/>
              </w:rPr>
              <w:tab/>
            </w:r>
            <w:r w:rsidRPr="00DE7081">
              <w:rPr>
                <w:rFonts w:ascii="Arial" w:hAnsi="Arial" w:cs="Arial"/>
                <w:b w:val="0"/>
                <w:bCs w:val="0"/>
                <w:i w:val="0"/>
                <w:iCs w:val="0"/>
                <w:noProof/>
                <w:webHidden/>
              </w:rPr>
              <w:fldChar w:fldCharType="begin"/>
            </w:r>
            <w:r w:rsidRPr="00DE7081">
              <w:rPr>
                <w:rFonts w:ascii="Arial" w:hAnsi="Arial" w:cs="Arial"/>
                <w:b w:val="0"/>
                <w:bCs w:val="0"/>
                <w:i w:val="0"/>
                <w:iCs w:val="0"/>
                <w:noProof/>
                <w:webHidden/>
              </w:rPr>
              <w:instrText xml:space="preserve"> PAGEREF _Toc214496241 \h </w:instrText>
            </w:r>
            <w:r w:rsidRPr="00DE7081">
              <w:rPr>
                <w:rFonts w:ascii="Arial" w:hAnsi="Arial" w:cs="Arial"/>
                <w:b w:val="0"/>
                <w:bCs w:val="0"/>
                <w:i w:val="0"/>
                <w:iCs w:val="0"/>
                <w:noProof/>
                <w:webHidden/>
              </w:rPr>
            </w:r>
            <w:r w:rsidRPr="00DE7081">
              <w:rPr>
                <w:rFonts w:ascii="Arial" w:hAnsi="Arial" w:cs="Arial"/>
                <w:b w:val="0"/>
                <w:bCs w:val="0"/>
                <w:i w:val="0"/>
                <w:iCs w:val="0"/>
                <w:noProof/>
                <w:webHidden/>
              </w:rPr>
              <w:fldChar w:fldCharType="separate"/>
            </w:r>
            <w:r w:rsidRPr="00DE7081">
              <w:rPr>
                <w:rFonts w:ascii="Arial" w:hAnsi="Arial" w:cs="Arial"/>
                <w:b w:val="0"/>
                <w:bCs w:val="0"/>
                <w:i w:val="0"/>
                <w:iCs w:val="0"/>
                <w:noProof/>
                <w:webHidden/>
              </w:rPr>
              <w:t>7</w:t>
            </w:r>
            <w:r w:rsidRPr="00DE7081">
              <w:rPr>
                <w:rFonts w:ascii="Arial" w:hAnsi="Arial" w:cs="Arial"/>
                <w:b w:val="0"/>
                <w:bCs w:val="0"/>
                <w:i w:val="0"/>
                <w:iCs w:val="0"/>
                <w:noProof/>
                <w:webHidden/>
              </w:rPr>
              <w:fldChar w:fldCharType="end"/>
            </w:r>
          </w:hyperlink>
        </w:p>
        <w:p w14:paraId="79BA5542" w14:textId="335B359C"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42" w:history="1">
            <w:r w:rsidRPr="00DE7081">
              <w:rPr>
                <w:rStyle w:val="Hyperlink"/>
                <w:rFonts w:ascii="Arial" w:hAnsi="Arial" w:cs="Arial"/>
                <w:b w:val="0"/>
                <w:bCs w:val="0"/>
                <w:noProof/>
                <w:sz w:val="24"/>
                <w:szCs w:val="24"/>
              </w:rPr>
              <w:t>3.1 Pioneering Organisation’s Strategic Responses (Tesco) — Using Porter’s Generic Strategies</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_Toc214496242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7</w:t>
            </w:r>
            <w:r w:rsidRPr="00DE7081">
              <w:rPr>
                <w:rFonts w:ascii="Arial" w:hAnsi="Arial" w:cs="Arial"/>
                <w:b w:val="0"/>
                <w:bCs w:val="0"/>
                <w:noProof/>
                <w:webHidden/>
                <w:sz w:val="24"/>
                <w:szCs w:val="24"/>
              </w:rPr>
              <w:fldChar w:fldCharType="end"/>
            </w:r>
          </w:hyperlink>
        </w:p>
        <w:p w14:paraId="7C65CE64" w14:textId="59BBF100"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43" w:history="1">
            <w:r w:rsidRPr="00DE7081">
              <w:rPr>
                <w:rStyle w:val="Hyperlink"/>
                <w:rFonts w:ascii="Arial" w:hAnsi="Arial" w:cs="Arial"/>
                <w:b w:val="0"/>
                <w:bCs w:val="0"/>
                <w:noProof/>
                <w:sz w:val="24"/>
                <w:szCs w:val="24"/>
              </w:rPr>
              <w:t>3.1.1 Tesco’s Strategic Logic Under Porter</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_Toc214496243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7</w:t>
            </w:r>
            <w:r w:rsidRPr="00DE7081">
              <w:rPr>
                <w:rFonts w:ascii="Arial" w:hAnsi="Arial" w:cs="Arial"/>
                <w:b w:val="0"/>
                <w:bCs w:val="0"/>
                <w:noProof/>
                <w:webHidden/>
                <w:sz w:val="24"/>
                <w:szCs w:val="24"/>
              </w:rPr>
              <w:fldChar w:fldCharType="end"/>
            </w:r>
          </w:hyperlink>
        </w:p>
        <w:p w14:paraId="68ABD779" w14:textId="66A1C20A"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44" w:history="1">
            <w:r w:rsidRPr="00DE7081">
              <w:rPr>
                <w:rStyle w:val="Hyperlink"/>
                <w:rFonts w:ascii="Arial" w:hAnsi="Arial" w:cs="Arial"/>
                <w:b w:val="0"/>
                <w:bCs w:val="0"/>
                <w:noProof/>
                <w:sz w:val="24"/>
                <w:szCs w:val="24"/>
              </w:rPr>
              <w:t>3.1.2 Response to Economic Forces</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_Toc214496244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8</w:t>
            </w:r>
            <w:r w:rsidRPr="00DE7081">
              <w:rPr>
                <w:rFonts w:ascii="Arial" w:hAnsi="Arial" w:cs="Arial"/>
                <w:b w:val="0"/>
                <w:bCs w:val="0"/>
                <w:noProof/>
                <w:webHidden/>
                <w:sz w:val="24"/>
                <w:szCs w:val="24"/>
              </w:rPr>
              <w:fldChar w:fldCharType="end"/>
            </w:r>
          </w:hyperlink>
        </w:p>
        <w:p w14:paraId="2376349F" w14:textId="4FF53FA2"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45" w:history="1">
            <w:r w:rsidRPr="00DE7081">
              <w:rPr>
                <w:rStyle w:val="Hyperlink"/>
                <w:rFonts w:ascii="Arial" w:hAnsi="Arial" w:cs="Arial"/>
                <w:noProof/>
                <w:sz w:val="24"/>
                <w:szCs w:val="24"/>
              </w:rPr>
              <w:t>3.1.3 Response to Technological Forces</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_Toc214496245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8</w:t>
            </w:r>
            <w:r w:rsidRPr="00DE7081">
              <w:rPr>
                <w:rFonts w:ascii="Arial" w:hAnsi="Arial" w:cs="Arial"/>
                <w:noProof/>
                <w:webHidden/>
                <w:sz w:val="24"/>
                <w:szCs w:val="24"/>
              </w:rPr>
              <w:fldChar w:fldCharType="end"/>
            </w:r>
          </w:hyperlink>
        </w:p>
        <w:p w14:paraId="08CD6E50" w14:textId="66C0DD8B"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46" w:history="1">
            <w:r w:rsidRPr="00DE7081">
              <w:rPr>
                <w:rStyle w:val="Hyperlink"/>
                <w:rFonts w:ascii="Arial" w:hAnsi="Arial" w:cs="Arial"/>
                <w:noProof/>
                <w:sz w:val="24"/>
                <w:szCs w:val="24"/>
              </w:rPr>
              <w:t>3.1.4 Critical Evaluation</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_Toc214496246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8</w:t>
            </w:r>
            <w:r w:rsidRPr="00DE7081">
              <w:rPr>
                <w:rFonts w:ascii="Arial" w:hAnsi="Arial" w:cs="Arial"/>
                <w:noProof/>
                <w:webHidden/>
                <w:sz w:val="24"/>
                <w:szCs w:val="24"/>
              </w:rPr>
              <w:fldChar w:fldCharType="end"/>
            </w:r>
          </w:hyperlink>
        </w:p>
        <w:p w14:paraId="4C0DAF87" w14:textId="767064E0" w:rsidR="00DE7081" w:rsidRPr="00DE7081" w:rsidRDefault="00DE7081">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4496247" w:history="1">
            <w:r w:rsidRPr="00DE7081">
              <w:rPr>
                <w:rStyle w:val="Hyperlink"/>
                <w:rFonts w:ascii="Arial" w:hAnsi="Arial" w:cs="Arial"/>
                <w:b w:val="0"/>
                <w:bCs w:val="0"/>
                <w:noProof/>
                <w:sz w:val="24"/>
                <w:szCs w:val="24"/>
              </w:rPr>
              <w:t>3.2 Follower Organisation’s Strategic Responses (Aldi) — Using Porter’s Generic Strategies</w:t>
            </w:r>
            <w:r w:rsidRPr="00DE7081">
              <w:rPr>
                <w:rFonts w:ascii="Arial" w:hAnsi="Arial" w:cs="Arial"/>
                <w:b w:val="0"/>
                <w:bCs w:val="0"/>
                <w:noProof/>
                <w:webHidden/>
                <w:sz w:val="24"/>
                <w:szCs w:val="24"/>
              </w:rPr>
              <w:tab/>
            </w:r>
            <w:r w:rsidRPr="00DE7081">
              <w:rPr>
                <w:rFonts w:ascii="Arial" w:hAnsi="Arial" w:cs="Arial"/>
                <w:b w:val="0"/>
                <w:bCs w:val="0"/>
                <w:noProof/>
                <w:webHidden/>
                <w:sz w:val="24"/>
                <w:szCs w:val="24"/>
              </w:rPr>
              <w:fldChar w:fldCharType="begin"/>
            </w:r>
            <w:r w:rsidRPr="00DE7081">
              <w:rPr>
                <w:rFonts w:ascii="Arial" w:hAnsi="Arial" w:cs="Arial"/>
                <w:b w:val="0"/>
                <w:bCs w:val="0"/>
                <w:noProof/>
                <w:webHidden/>
                <w:sz w:val="24"/>
                <w:szCs w:val="24"/>
              </w:rPr>
              <w:instrText xml:space="preserve"> PAGEREF _Toc214496247 \h </w:instrText>
            </w:r>
            <w:r w:rsidRPr="00DE7081">
              <w:rPr>
                <w:rFonts w:ascii="Arial" w:hAnsi="Arial" w:cs="Arial"/>
                <w:b w:val="0"/>
                <w:bCs w:val="0"/>
                <w:noProof/>
                <w:webHidden/>
                <w:sz w:val="24"/>
                <w:szCs w:val="24"/>
              </w:rPr>
            </w:r>
            <w:r w:rsidRPr="00DE7081">
              <w:rPr>
                <w:rFonts w:ascii="Arial" w:hAnsi="Arial" w:cs="Arial"/>
                <w:b w:val="0"/>
                <w:bCs w:val="0"/>
                <w:noProof/>
                <w:webHidden/>
                <w:sz w:val="24"/>
                <w:szCs w:val="24"/>
              </w:rPr>
              <w:fldChar w:fldCharType="separate"/>
            </w:r>
            <w:r w:rsidRPr="00DE7081">
              <w:rPr>
                <w:rFonts w:ascii="Arial" w:hAnsi="Arial" w:cs="Arial"/>
                <w:b w:val="0"/>
                <w:bCs w:val="0"/>
                <w:noProof/>
                <w:webHidden/>
                <w:sz w:val="24"/>
                <w:szCs w:val="24"/>
              </w:rPr>
              <w:t>9</w:t>
            </w:r>
            <w:r w:rsidRPr="00DE7081">
              <w:rPr>
                <w:rFonts w:ascii="Arial" w:hAnsi="Arial" w:cs="Arial"/>
                <w:b w:val="0"/>
                <w:bCs w:val="0"/>
                <w:noProof/>
                <w:webHidden/>
                <w:sz w:val="24"/>
                <w:szCs w:val="24"/>
              </w:rPr>
              <w:fldChar w:fldCharType="end"/>
            </w:r>
          </w:hyperlink>
        </w:p>
        <w:p w14:paraId="4413BE49" w14:textId="7D1FAC22"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48" w:history="1">
            <w:r w:rsidRPr="00DE7081">
              <w:rPr>
                <w:rStyle w:val="Hyperlink"/>
                <w:rFonts w:ascii="Arial" w:hAnsi="Arial" w:cs="Arial"/>
                <w:noProof/>
                <w:sz w:val="24"/>
                <w:szCs w:val="24"/>
              </w:rPr>
              <w:t>3.2.1 Aldi’s Strategic Logic Under Porter</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_Toc214496248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9</w:t>
            </w:r>
            <w:r w:rsidRPr="00DE7081">
              <w:rPr>
                <w:rFonts w:ascii="Arial" w:hAnsi="Arial" w:cs="Arial"/>
                <w:noProof/>
                <w:webHidden/>
                <w:sz w:val="24"/>
                <w:szCs w:val="24"/>
              </w:rPr>
              <w:fldChar w:fldCharType="end"/>
            </w:r>
          </w:hyperlink>
        </w:p>
        <w:p w14:paraId="4477D41B" w14:textId="75D9AC21"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49" w:history="1">
            <w:r w:rsidRPr="00DE7081">
              <w:rPr>
                <w:rStyle w:val="Hyperlink"/>
                <w:rFonts w:ascii="Arial" w:hAnsi="Arial" w:cs="Arial"/>
                <w:noProof/>
                <w:sz w:val="24"/>
                <w:szCs w:val="24"/>
              </w:rPr>
              <w:t>3.2.2 Response to Economic Forces</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_Toc214496249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9</w:t>
            </w:r>
            <w:r w:rsidRPr="00DE7081">
              <w:rPr>
                <w:rFonts w:ascii="Arial" w:hAnsi="Arial" w:cs="Arial"/>
                <w:noProof/>
                <w:webHidden/>
                <w:sz w:val="24"/>
                <w:szCs w:val="24"/>
              </w:rPr>
              <w:fldChar w:fldCharType="end"/>
            </w:r>
          </w:hyperlink>
        </w:p>
        <w:p w14:paraId="4410E4A1" w14:textId="204F76B6"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50" w:history="1">
            <w:r w:rsidRPr="00DE7081">
              <w:rPr>
                <w:rStyle w:val="Hyperlink"/>
                <w:rFonts w:ascii="Arial" w:hAnsi="Arial" w:cs="Arial"/>
                <w:noProof/>
                <w:sz w:val="24"/>
                <w:szCs w:val="24"/>
              </w:rPr>
              <w:t>3.2.3 Response to Technological Forces</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_Toc214496250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10</w:t>
            </w:r>
            <w:r w:rsidRPr="00DE7081">
              <w:rPr>
                <w:rFonts w:ascii="Arial" w:hAnsi="Arial" w:cs="Arial"/>
                <w:noProof/>
                <w:webHidden/>
                <w:sz w:val="24"/>
                <w:szCs w:val="24"/>
              </w:rPr>
              <w:fldChar w:fldCharType="end"/>
            </w:r>
          </w:hyperlink>
        </w:p>
        <w:p w14:paraId="571FBFA4" w14:textId="104B40B3" w:rsidR="00DE7081" w:rsidRPr="00DE7081" w:rsidRDefault="00DE7081">
          <w:pPr>
            <w:pStyle w:val="TOC3"/>
            <w:tabs>
              <w:tab w:val="right" w:leader="dot" w:pos="9010"/>
            </w:tabs>
            <w:rPr>
              <w:rFonts w:ascii="Arial" w:eastAsiaTheme="minorEastAsia" w:hAnsi="Arial" w:cs="Arial"/>
              <w:noProof/>
              <w:kern w:val="2"/>
              <w:sz w:val="24"/>
              <w:szCs w:val="24"/>
              <w14:ligatures w14:val="standardContextual"/>
            </w:rPr>
          </w:pPr>
          <w:hyperlink w:anchor="_Toc214496251" w:history="1">
            <w:r w:rsidRPr="00DE7081">
              <w:rPr>
                <w:rStyle w:val="Hyperlink"/>
                <w:rFonts w:ascii="Arial" w:hAnsi="Arial" w:cs="Arial"/>
                <w:noProof/>
                <w:sz w:val="24"/>
                <w:szCs w:val="24"/>
              </w:rPr>
              <w:t>3.2.4 Critical Evaluation</w:t>
            </w:r>
            <w:r w:rsidRPr="00DE7081">
              <w:rPr>
                <w:rFonts w:ascii="Arial" w:hAnsi="Arial" w:cs="Arial"/>
                <w:noProof/>
                <w:webHidden/>
                <w:sz w:val="24"/>
                <w:szCs w:val="24"/>
              </w:rPr>
              <w:tab/>
            </w:r>
            <w:r w:rsidRPr="00DE7081">
              <w:rPr>
                <w:rFonts w:ascii="Arial" w:hAnsi="Arial" w:cs="Arial"/>
                <w:noProof/>
                <w:webHidden/>
                <w:sz w:val="24"/>
                <w:szCs w:val="24"/>
              </w:rPr>
              <w:fldChar w:fldCharType="begin"/>
            </w:r>
            <w:r w:rsidRPr="00DE7081">
              <w:rPr>
                <w:rFonts w:ascii="Arial" w:hAnsi="Arial" w:cs="Arial"/>
                <w:noProof/>
                <w:webHidden/>
                <w:sz w:val="24"/>
                <w:szCs w:val="24"/>
              </w:rPr>
              <w:instrText xml:space="preserve"> PAGEREF _Toc214496251 \h </w:instrText>
            </w:r>
            <w:r w:rsidRPr="00DE7081">
              <w:rPr>
                <w:rFonts w:ascii="Arial" w:hAnsi="Arial" w:cs="Arial"/>
                <w:noProof/>
                <w:webHidden/>
                <w:sz w:val="24"/>
                <w:szCs w:val="24"/>
              </w:rPr>
            </w:r>
            <w:r w:rsidRPr="00DE7081">
              <w:rPr>
                <w:rFonts w:ascii="Arial" w:hAnsi="Arial" w:cs="Arial"/>
                <w:noProof/>
                <w:webHidden/>
                <w:sz w:val="24"/>
                <w:szCs w:val="24"/>
              </w:rPr>
              <w:fldChar w:fldCharType="separate"/>
            </w:r>
            <w:r w:rsidRPr="00DE7081">
              <w:rPr>
                <w:rFonts w:ascii="Arial" w:hAnsi="Arial" w:cs="Arial"/>
                <w:noProof/>
                <w:webHidden/>
                <w:sz w:val="24"/>
                <w:szCs w:val="24"/>
              </w:rPr>
              <w:t>10</w:t>
            </w:r>
            <w:r w:rsidRPr="00DE7081">
              <w:rPr>
                <w:rFonts w:ascii="Arial" w:hAnsi="Arial" w:cs="Arial"/>
                <w:noProof/>
                <w:webHidden/>
                <w:sz w:val="24"/>
                <w:szCs w:val="24"/>
              </w:rPr>
              <w:fldChar w:fldCharType="end"/>
            </w:r>
          </w:hyperlink>
        </w:p>
        <w:p w14:paraId="7807D788" w14:textId="502C6D57" w:rsidR="00DE7081" w:rsidRPr="00DE7081" w:rsidRDefault="00DE7081">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6252" w:history="1">
            <w:r w:rsidRPr="00DE7081">
              <w:rPr>
                <w:rStyle w:val="Hyperlink"/>
                <w:rFonts w:ascii="Arial" w:hAnsi="Arial" w:cs="Arial"/>
                <w:b w:val="0"/>
                <w:bCs w:val="0"/>
                <w:i w:val="0"/>
                <w:iCs w:val="0"/>
                <w:noProof/>
              </w:rPr>
              <w:t>4. CONCLUSION</w:t>
            </w:r>
            <w:r w:rsidRPr="00DE7081">
              <w:rPr>
                <w:rFonts w:ascii="Arial" w:hAnsi="Arial" w:cs="Arial"/>
                <w:b w:val="0"/>
                <w:bCs w:val="0"/>
                <w:i w:val="0"/>
                <w:iCs w:val="0"/>
                <w:noProof/>
                <w:webHidden/>
              </w:rPr>
              <w:tab/>
            </w:r>
            <w:r w:rsidRPr="00DE7081">
              <w:rPr>
                <w:rFonts w:ascii="Arial" w:hAnsi="Arial" w:cs="Arial"/>
                <w:b w:val="0"/>
                <w:bCs w:val="0"/>
                <w:i w:val="0"/>
                <w:iCs w:val="0"/>
                <w:noProof/>
                <w:webHidden/>
              </w:rPr>
              <w:fldChar w:fldCharType="begin"/>
            </w:r>
            <w:r w:rsidRPr="00DE7081">
              <w:rPr>
                <w:rFonts w:ascii="Arial" w:hAnsi="Arial" w:cs="Arial"/>
                <w:b w:val="0"/>
                <w:bCs w:val="0"/>
                <w:i w:val="0"/>
                <w:iCs w:val="0"/>
                <w:noProof/>
                <w:webHidden/>
              </w:rPr>
              <w:instrText xml:space="preserve"> PAGEREF _Toc214496252 \h </w:instrText>
            </w:r>
            <w:r w:rsidRPr="00DE7081">
              <w:rPr>
                <w:rFonts w:ascii="Arial" w:hAnsi="Arial" w:cs="Arial"/>
                <w:b w:val="0"/>
                <w:bCs w:val="0"/>
                <w:i w:val="0"/>
                <w:iCs w:val="0"/>
                <w:noProof/>
                <w:webHidden/>
              </w:rPr>
            </w:r>
            <w:r w:rsidRPr="00DE7081">
              <w:rPr>
                <w:rFonts w:ascii="Arial" w:hAnsi="Arial" w:cs="Arial"/>
                <w:b w:val="0"/>
                <w:bCs w:val="0"/>
                <w:i w:val="0"/>
                <w:iCs w:val="0"/>
                <w:noProof/>
                <w:webHidden/>
              </w:rPr>
              <w:fldChar w:fldCharType="separate"/>
            </w:r>
            <w:r w:rsidRPr="00DE7081">
              <w:rPr>
                <w:rFonts w:ascii="Arial" w:hAnsi="Arial" w:cs="Arial"/>
                <w:b w:val="0"/>
                <w:bCs w:val="0"/>
                <w:i w:val="0"/>
                <w:iCs w:val="0"/>
                <w:noProof/>
                <w:webHidden/>
              </w:rPr>
              <w:t>11</w:t>
            </w:r>
            <w:r w:rsidRPr="00DE7081">
              <w:rPr>
                <w:rFonts w:ascii="Arial" w:hAnsi="Arial" w:cs="Arial"/>
                <w:b w:val="0"/>
                <w:bCs w:val="0"/>
                <w:i w:val="0"/>
                <w:iCs w:val="0"/>
                <w:noProof/>
                <w:webHidden/>
              </w:rPr>
              <w:fldChar w:fldCharType="end"/>
            </w:r>
          </w:hyperlink>
        </w:p>
        <w:p w14:paraId="5FE47E41" w14:textId="42E9322B" w:rsidR="00DE7081" w:rsidRPr="00DE7081" w:rsidRDefault="00DE7081">
          <w:pPr>
            <w:pStyle w:val="TOC1"/>
            <w:tabs>
              <w:tab w:val="right" w:leader="dot" w:pos="9010"/>
            </w:tabs>
            <w:rPr>
              <w:rFonts w:ascii="Arial" w:eastAsiaTheme="minorEastAsia" w:hAnsi="Arial" w:cs="Arial"/>
              <w:b w:val="0"/>
              <w:bCs w:val="0"/>
              <w:i w:val="0"/>
              <w:iCs w:val="0"/>
              <w:noProof/>
              <w:kern w:val="2"/>
              <w14:ligatures w14:val="standardContextual"/>
            </w:rPr>
          </w:pPr>
          <w:hyperlink w:anchor="_Toc214496253" w:history="1">
            <w:r w:rsidRPr="00DE7081">
              <w:rPr>
                <w:rStyle w:val="Hyperlink"/>
                <w:rFonts w:ascii="Arial" w:hAnsi="Arial" w:cs="Arial"/>
                <w:b w:val="0"/>
                <w:bCs w:val="0"/>
                <w:i w:val="0"/>
                <w:iCs w:val="0"/>
                <w:noProof/>
              </w:rPr>
              <w:t>REFERENCE</w:t>
            </w:r>
            <w:r w:rsidRPr="00DE7081">
              <w:rPr>
                <w:rStyle w:val="Hyperlink"/>
                <w:rFonts w:ascii="Arial" w:hAnsi="Arial" w:cs="Arial"/>
                <w:b w:val="0"/>
                <w:bCs w:val="0"/>
                <w:i w:val="0"/>
                <w:iCs w:val="0"/>
                <w:noProof/>
                <w:lang w:val="en-US"/>
              </w:rPr>
              <w:t>S</w:t>
            </w:r>
            <w:r w:rsidRPr="00DE7081">
              <w:rPr>
                <w:rFonts w:ascii="Arial" w:hAnsi="Arial" w:cs="Arial"/>
                <w:b w:val="0"/>
                <w:bCs w:val="0"/>
                <w:i w:val="0"/>
                <w:iCs w:val="0"/>
                <w:noProof/>
                <w:webHidden/>
              </w:rPr>
              <w:tab/>
            </w:r>
            <w:r w:rsidRPr="00DE7081">
              <w:rPr>
                <w:rFonts w:ascii="Arial" w:hAnsi="Arial" w:cs="Arial"/>
                <w:b w:val="0"/>
                <w:bCs w:val="0"/>
                <w:i w:val="0"/>
                <w:iCs w:val="0"/>
                <w:noProof/>
                <w:webHidden/>
              </w:rPr>
              <w:fldChar w:fldCharType="begin"/>
            </w:r>
            <w:r w:rsidRPr="00DE7081">
              <w:rPr>
                <w:rFonts w:ascii="Arial" w:hAnsi="Arial" w:cs="Arial"/>
                <w:b w:val="0"/>
                <w:bCs w:val="0"/>
                <w:i w:val="0"/>
                <w:iCs w:val="0"/>
                <w:noProof/>
                <w:webHidden/>
              </w:rPr>
              <w:instrText xml:space="preserve"> PAGEREF _Toc214496253 \h </w:instrText>
            </w:r>
            <w:r w:rsidRPr="00DE7081">
              <w:rPr>
                <w:rFonts w:ascii="Arial" w:hAnsi="Arial" w:cs="Arial"/>
                <w:b w:val="0"/>
                <w:bCs w:val="0"/>
                <w:i w:val="0"/>
                <w:iCs w:val="0"/>
                <w:noProof/>
                <w:webHidden/>
              </w:rPr>
            </w:r>
            <w:r w:rsidRPr="00DE7081">
              <w:rPr>
                <w:rFonts w:ascii="Arial" w:hAnsi="Arial" w:cs="Arial"/>
                <w:b w:val="0"/>
                <w:bCs w:val="0"/>
                <w:i w:val="0"/>
                <w:iCs w:val="0"/>
                <w:noProof/>
                <w:webHidden/>
              </w:rPr>
              <w:fldChar w:fldCharType="separate"/>
            </w:r>
            <w:r w:rsidRPr="00DE7081">
              <w:rPr>
                <w:rFonts w:ascii="Arial" w:hAnsi="Arial" w:cs="Arial"/>
                <w:b w:val="0"/>
                <w:bCs w:val="0"/>
                <w:i w:val="0"/>
                <w:iCs w:val="0"/>
                <w:noProof/>
                <w:webHidden/>
              </w:rPr>
              <w:t>12</w:t>
            </w:r>
            <w:r w:rsidRPr="00DE7081">
              <w:rPr>
                <w:rFonts w:ascii="Arial" w:hAnsi="Arial" w:cs="Arial"/>
                <w:b w:val="0"/>
                <w:bCs w:val="0"/>
                <w:i w:val="0"/>
                <w:iCs w:val="0"/>
                <w:noProof/>
                <w:webHidden/>
              </w:rPr>
              <w:fldChar w:fldCharType="end"/>
            </w:r>
          </w:hyperlink>
        </w:p>
        <w:p w14:paraId="184ED90B" w14:textId="5BCC7B92" w:rsidR="00DE7081" w:rsidRDefault="00DE7081">
          <w:r w:rsidRPr="00DE7081">
            <w:rPr>
              <w:rFonts w:ascii="Arial" w:hAnsi="Arial" w:cs="Arial"/>
              <w:noProof/>
            </w:rPr>
            <w:fldChar w:fldCharType="end"/>
          </w:r>
        </w:p>
      </w:sdtContent>
    </w:sdt>
    <w:p w14:paraId="721669E5" w14:textId="06998AE7" w:rsidR="00DE7081" w:rsidRDefault="00DE7081" w:rsidP="00DE7081">
      <w:r>
        <w:br w:type="page"/>
      </w:r>
    </w:p>
    <w:p w14:paraId="018C9136" w14:textId="06CB8DE1" w:rsidR="00DE7081" w:rsidRPr="00DE7081" w:rsidRDefault="00DE7081" w:rsidP="00DE7081">
      <w:pPr>
        <w:pStyle w:val="Heading1"/>
        <w:rPr>
          <w:sz w:val="48"/>
          <w:szCs w:val="48"/>
          <w:lang w:val="en-US"/>
        </w:rPr>
      </w:pPr>
      <w:bookmarkStart w:id="0" w:name="_Toc214496234"/>
      <w:r>
        <w:lastRenderedPageBreak/>
        <w:t>1. INTRODUCTION</w:t>
      </w:r>
      <w:bookmarkEnd w:id="0"/>
    </w:p>
    <w:p w14:paraId="08AB86DC" w14:textId="4A03228B" w:rsidR="00DE7081" w:rsidRDefault="004E1603" w:rsidP="004E1603">
      <w:pPr>
        <w:rPr>
          <w:color w:val="000000"/>
        </w:rPr>
      </w:pPr>
      <w:r w:rsidRPr="004E1603">
        <w:rPr>
          <w:color w:val="000000"/>
        </w:rPr>
        <w:t>Strategic marketing management needs some understanding of the macro-marketing environment</w:t>
      </w:r>
      <w:r>
        <w:rPr>
          <w:color w:val="000000"/>
          <w:lang w:val="en-US"/>
        </w:rPr>
        <w:t>,</w:t>
      </w:r>
      <w:r w:rsidRPr="004E1603">
        <w:rPr>
          <w:color w:val="000000"/>
        </w:rPr>
        <w:t xml:space="preserve"> especially in competitive markets that are characterised by </w:t>
      </w:r>
      <w:r>
        <w:rPr>
          <w:color w:val="000000"/>
          <w:lang w:val="en-US"/>
        </w:rPr>
        <w:t>a</w:t>
      </w:r>
      <w:r w:rsidRPr="004E1603">
        <w:rPr>
          <w:color w:val="000000"/>
        </w:rPr>
        <w:t xml:space="preserve"> high rate of change. This report examines the impacts of the changes in the external environment on strategic decision</w:t>
      </w:r>
      <w:r>
        <w:rPr>
          <w:color w:val="000000"/>
          <w:lang w:val="en-US"/>
        </w:rPr>
        <w:t>-</w:t>
      </w:r>
      <w:r w:rsidRPr="004E1603">
        <w:rPr>
          <w:color w:val="000000"/>
        </w:rPr>
        <w:t>making in the UK supermarket industry</w:t>
      </w:r>
      <w:r>
        <w:rPr>
          <w:color w:val="000000"/>
          <w:lang w:val="en-US"/>
        </w:rPr>
        <w:t xml:space="preserve"> </w:t>
      </w:r>
      <w:r>
        <w:rPr>
          <w:color w:val="000000"/>
        </w:rPr>
        <w:t xml:space="preserve">(Valiño </w:t>
      </w:r>
      <w:r>
        <w:rPr>
          <w:i/>
          <w:iCs/>
          <w:color w:val="000000"/>
        </w:rPr>
        <w:t>et al.</w:t>
      </w:r>
      <w:r>
        <w:rPr>
          <w:color w:val="000000"/>
        </w:rPr>
        <w:t>, 2023)</w:t>
      </w:r>
      <w:r w:rsidRPr="004E1603">
        <w:rPr>
          <w:color w:val="000000"/>
        </w:rPr>
        <w:t>.</w:t>
      </w:r>
      <w:r>
        <w:rPr>
          <w:color w:val="000000"/>
          <w:lang w:val="en-US"/>
        </w:rPr>
        <w:t xml:space="preserve"> </w:t>
      </w:r>
      <w:r w:rsidRPr="004E1603">
        <w:rPr>
          <w:color w:val="000000"/>
        </w:rPr>
        <w:t>The focus of the analysis is the market leader Tesco and the follower Aldi</w:t>
      </w:r>
      <w:r>
        <w:rPr>
          <w:color w:val="000000"/>
          <w:lang w:val="en-US"/>
        </w:rPr>
        <w:t>,</w:t>
      </w:r>
      <w:r w:rsidRPr="004E1603">
        <w:rPr>
          <w:color w:val="000000"/>
        </w:rPr>
        <w:t xml:space="preserve"> in which both entities have different response</w:t>
      </w:r>
      <w:r>
        <w:rPr>
          <w:color w:val="000000"/>
          <w:lang w:val="en-US"/>
        </w:rPr>
        <w:t>s</w:t>
      </w:r>
      <w:r w:rsidRPr="004E1603">
        <w:rPr>
          <w:color w:val="000000"/>
        </w:rPr>
        <w:t xml:space="preserve"> to the same external pressures</w:t>
      </w:r>
      <w:r w:rsidR="00DE7081">
        <w:rPr>
          <w:color w:val="000000"/>
        </w:rPr>
        <w:t>. The UK grocery market is currently affected by economic volatility, accelerated digitalisation processes, and increased consumer price sensitivity, which makes environmental analysis a key factor in maintaining competitiveness (Rivera, Amorim, and Reis, 2022). With a systematic method, the report critically analyses two significant macro-environment actors</w:t>
      </w:r>
      <w:r w:rsidR="00DE7081">
        <w:rPr>
          <w:color w:val="000000"/>
          <w:lang w:val="en-US"/>
        </w:rPr>
        <w:t>,</w:t>
      </w:r>
      <w:r w:rsidR="00DE7081">
        <w:rPr>
          <w:color w:val="000000"/>
        </w:rPr>
        <w:t xml:space="preserve"> namely economic and technological and how they present unique opportunities and threats to pioneers and followers. This is then followed by analysing the way Tesco and Aldi react strategically to these pressures in Porter</w:t>
      </w:r>
      <w:r w:rsidR="00DE7081">
        <w:rPr>
          <w:color w:val="000000"/>
          <w:lang w:val="en-US"/>
        </w:rPr>
        <w:t>’</w:t>
      </w:r>
      <w:r w:rsidR="00DE7081">
        <w:rPr>
          <w:color w:val="000000"/>
        </w:rPr>
        <w:t xml:space="preserve">s Generic Strategies (Valiño </w:t>
      </w:r>
      <w:r w:rsidR="00DE7081">
        <w:rPr>
          <w:i/>
          <w:iCs/>
          <w:color w:val="000000"/>
        </w:rPr>
        <w:t>et al.</w:t>
      </w:r>
      <w:r w:rsidR="00DE7081">
        <w:rPr>
          <w:color w:val="000000"/>
        </w:rPr>
        <w:t>, 2023). The report has provided the significance of environmental scanning and strategic alignment by incorporating theory, industry evidence and comparative analysis in order to traverse the highly dynamic retail environment.</w:t>
      </w:r>
    </w:p>
    <w:p w14:paraId="376148EA" w14:textId="77777777" w:rsidR="00DE7081" w:rsidRDefault="00DE7081" w:rsidP="00DE7081">
      <w:pPr>
        <w:rPr>
          <w:color w:val="000000"/>
        </w:rPr>
      </w:pPr>
    </w:p>
    <w:p w14:paraId="2A3717AE" w14:textId="77777777" w:rsidR="00DE7081" w:rsidRDefault="00DE7081" w:rsidP="00DE7081">
      <w:pPr>
        <w:pStyle w:val="Heading1"/>
      </w:pPr>
      <w:bookmarkStart w:id="1" w:name="_Toc214496235"/>
      <w:r>
        <w:t>2. TASK 1: CRITICAL ANALYSIS OF THE MACRO MARKETING ENVIRONMENT</w:t>
      </w:r>
      <w:bookmarkEnd w:id="1"/>
      <w:r>
        <w:t> </w:t>
      </w:r>
    </w:p>
    <w:p w14:paraId="1E944834" w14:textId="77777777" w:rsidR="00DE7081" w:rsidRDefault="00DE7081" w:rsidP="00DE7081">
      <w:pPr>
        <w:pStyle w:val="Heading2"/>
      </w:pPr>
      <w:bookmarkStart w:id="2" w:name="_Toc214496236"/>
      <w:r>
        <w:t>2.1 Overview of the Macro Marketing Environment</w:t>
      </w:r>
      <w:bookmarkEnd w:id="2"/>
    </w:p>
    <w:p w14:paraId="39A2AC23" w14:textId="42E1D085" w:rsidR="00DE7081" w:rsidRDefault="00DE7081" w:rsidP="00DE7081">
      <w:pPr>
        <w:rPr>
          <w:color w:val="000000"/>
        </w:rPr>
      </w:pPr>
      <w:r>
        <w:rPr>
          <w:color w:val="000000"/>
        </w:rPr>
        <w:t>Macro marketing involves external influences that affect a firm's competitiveness but are beyond its control. These influences affect demand, cost, and long-term strategy. PESTEL analysis is more typically used to analy</w:t>
      </w:r>
      <w:r>
        <w:rPr>
          <w:color w:val="000000"/>
          <w:lang w:val="en-US"/>
        </w:rPr>
        <w:t>s</w:t>
      </w:r>
      <w:r>
        <w:rPr>
          <w:color w:val="000000"/>
        </w:rPr>
        <w:t>e industrial pressures</w:t>
      </w:r>
      <w:r>
        <w:rPr>
          <w:color w:val="000000"/>
          <w:lang w:val="en-US"/>
        </w:rPr>
        <w:t>,</w:t>
      </w:r>
      <w:r>
        <w:rPr>
          <w:color w:val="000000"/>
        </w:rPr>
        <w:t xml:space="preserve"> including political, economic, social, technical, environmental, and legal issues (Hoenink </w:t>
      </w:r>
      <w:r>
        <w:rPr>
          <w:i/>
          <w:iCs/>
          <w:color w:val="000000"/>
        </w:rPr>
        <w:t>et al.</w:t>
      </w:r>
      <w:r>
        <w:rPr>
          <w:color w:val="000000"/>
        </w:rPr>
        <w:t>, 2024). In supermarkets, macro influences may quickly modify customer expectations. The generally uneven struggle between pioneers and followers is also affected. External analysis is needed to stay competitive in the UK grocery business due to rapid technological change and economic unpredictability.</w:t>
      </w:r>
    </w:p>
    <w:p w14:paraId="30B28BDD" w14:textId="77777777" w:rsidR="00DE7081" w:rsidRDefault="00DE7081" w:rsidP="00DE7081">
      <w:pPr>
        <w:rPr>
          <w:color w:val="000000"/>
        </w:rPr>
      </w:pPr>
    </w:p>
    <w:p w14:paraId="4CAC6C42" w14:textId="77777777" w:rsidR="00DE7081" w:rsidRDefault="00DE7081" w:rsidP="00DE7081">
      <w:pPr>
        <w:pStyle w:val="Heading2"/>
      </w:pPr>
      <w:bookmarkStart w:id="3" w:name="_Toc214496237"/>
      <w:r>
        <w:t>2.2 Selection of Two External Macro Marketing Actors</w:t>
      </w:r>
      <w:bookmarkEnd w:id="3"/>
      <w:r>
        <w:t> </w:t>
      </w:r>
    </w:p>
    <w:p w14:paraId="0DC20B0D" w14:textId="340CA4B7" w:rsidR="00DE7081" w:rsidRDefault="00DE7081" w:rsidP="00DE7081">
      <w:pPr>
        <w:rPr>
          <w:color w:val="000000"/>
        </w:rPr>
      </w:pPr>
      <w:r>
        <w:rPr>
          <w:color w:val="000000"/>
        </w:rPr>
        <w:t xml:space="preserve">This report is centred on two macro-environmental players, which include </w:t>
      </w:r>
      <w:r>
        <w:rPr>
          <w:color w:val="000000"/>
          <w:lang w:val="en-US"/>
        </w:rPr>
        <w:t xml:space="preserve">the </w:t>
      </w:r>
      <w:r>
        <w:rPr>
          <w:color w:val="000000"/>
        </w:rPr>
        <w:t xml:space="preserve">Economic actor and Technological actor. The pricing strategies and consumer priorities are changing in the UK </w:t>
      </w:r>
      <w:r>
        <w:rPr>
          <w:color w:val="000000"/>
        </w:rPr>
        <w:lastRenderedPageBreak/>
        <w:t>supermarkets due to economic pressures that include high inflation, deterioration of real income, and market limits caused by the high cost of living (Asmare and Zewdie, 2022). The creation and delivery of value is changing due to the technological forces of digitisation, e-commerce, automation, and loyalty systems based on data. The two actors are the most disruptive in the industry, as they have a direct impact on competitiveness in the market and customer behaviour. The latest Kantar, Statista, ONS, and IGD findings indicate that economic insecurity and faster technology change are the new realities of the strategic environment of both Tesco and Aldi.</w:t>
      </w:r>
    </w:p>
    <w:p w14:paraId="63C321D2" w14:textId="08ED3810" w:rsidR="00DE7081" w:rsidRDefault="00DE7081" w:rsidP="00DE7081">
      <w:pPr>
        <w:pStyle w:val="Heading2"/>
      </w:pPr>
      <w:bookmarkStart w:id="4" w:name="_Toc214496238"/>
      <w:r>
        <w:t>2.3 Critical Analysis of Each Actor</w:t>
      </w:r>
      <w:bookmarkEnd w:id="4"/>
    </w:p>
    <w:p w14:paraId="4FF57351" w14:textId="77777777" w:rsidR="00DE7081" w:rsidRDefault="00DE7081" w:rsidP="00DE7081">
      <w:pPr>
        <w:pStyle w:val="Heading3"/>
      </w:pPr>
      <w:bookmarkStart w:id="5" w:name="_Toc214496239"/>
      <w:r>
        <w:t>2.3.1 Economic Actor</w:t>
      </w:r>
      <w:bookmarkEnd w:id="5"/>
    </w:p>
    <w:p w14:paraId="1655D833" w14:textId="6B8F9272" w:rsidR="00DE7081" w:rsidRDefault="00DE7081" w:rsidP="00DE7081">
      <w:pPr>
        <w:rPr>
          <w:color w:val="000000"/>
        </w:rPr>
      </w:pPr>
      <w:r>
        <w:rPr>
          <w:color w:val="000000"/>
        </w:rPr>
        <w:t>The macroeconomic forces have taken over the centre stage of UK grocery retailing. Inflation kills the purchasing power of households</w:t>
      </w:r>
      <w:r>
        <w:rPr>
          <w:color w:val="000000"/>
          <w:lang w:val="en-US"/>
        </w:rPr>
        <w:t>,</w:t>
      </w:r>
      <w:r>
        <w:rPr>
          <w:color w:val="000000"/>
        </w:rPr>
        <w:t xml:space="preserve"> which makes consumers turn to cheaper and discounted forms. Food has become more expensive than wages have</w:t>
      </w:r>
      <w:r>
        <w:rPr>
          <w:color w:val="000000"/>
          <w:lang w:val="en-US"/>
        </w:rPr>
        <w:t>,</w:t>
      </w:r>
      <w:r>
        <w:rPr>
          <w:color w:val="000000"/>
        </w:rPr>
        <w:t xml:space="preserve"> and this has aggravated the price sensitivity, which in effect has promoted trading-down behaviour (Rajagopal, 2022). The change increases the level of competition among the retailers and compels them to reconsider the way they provide value. The pressure of margins has increased as well because the supermarkets are desperately trying to absorb the increasing cost of the suppliers without losing customers. The conditions determine the ways in which brands argue their prices and distinguish themselves.</w:t>
      </w:r>
    </w:p>
    <w:p w14:paraId="7653D3F9" w14:textId="77777777" w:rsidR="00DE7081" w:rsidRDefault="00DE7081" w:rsidP="00DE7081">
      <w:pPr>
        <w:rPr>
          <w:color w:val="000000"/>
        </w:rPr>
      </w:pPr>
    </w:p>
    <w:p w14:paraId="07E0F93D" w14:textId="77777777" w:rsidR="00DE7081" w:rsidRDefault="00DE7081" w:rsidP="00DE7081">
      <w:pPr>
        <w:rPr>
          <w:b/>
          <w:bCs/>
          <w:color w:val="000000"/>
        </w:rPr>
      </w:pPr>
      <w:r>
        <w:rPr>
          <w:b/>
          <w:bCs/>
          <w:color w:val="000000"/>
        </w:rPr>
        <w:t>Impact on Tesco (Pioneer)</w:t>
      </w:r>
    </w:p>
    <w:p w14:paraId="2C15F2CE" w14:textId="77777777" w:rsidR="00DE7081" w:rsidRDefault="00DE7081" w:rsidP="00DE7081">
      <w:pPr>
        <w:rPr>
          <w:color w:val="000000"/>
        </w:rPr>
      </w:pPr>
      <w:r>
        <w:rPr>
          <w:color w:val="000000"/>
        </w:rPr>
        <w:t>Tesco faces both opportunities and risks.</w:t>
      </w:r>
    </w:p>
    <w:p w14:paraId="08F7E12F" w14:textId="6110835A" w:rsidR="00DE7081" w:rsidRDefault="00DE7081" w:rsidP="00DE7081">
      <w:pPr>
        <w:rPr>
          <w:color w:val="000000"/>
        </w:rPr>
      </w:pPr>
    </w:p>
    <w:tbl>
      <w:tblPr>
        <w:tblStyle w:val="GridTable4-Accent1"/>
        <w:tblW w:w="0" w:type="auto"/>
        <w:tblLook w:val="04A0" w:firstRow="1" w:lastRow="0" w:firstColumn="1" w:lastColumn="0" w:noHBand="0" w:noVBand="1"/>
      </w:tblPr>
      <w:tblGrid>
        <w:gridCol w:w="4811"/>
        <w:gridCol w:w="4199"/>
      </w:tblGrid>
      <w:tr w:rsidR="00DE7081" w:rsidRPr="00DE7081" w14:paraId="59A486F6" w14:textId="77777777" w:rsidTr="00DE708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88686F1" w14:textId="77777777" w:rsidR="00DE7081" w:rsidRPr="00DE7081" w:rsidRDefault="00DE7081" w:rsidP="00DE7081">
            <w:r w:rsidRPr="00DE7081">
              <w:t>Opportunities</w:t>
            </w:r>
          </w:p>
        </w:tc>
        <w:tc>
          <w:tcPr>
            <w:tcW w:w="0" w:type="auto"/>
            <w:hideMark/>
          </w:tcPr>
          <w:p w14:paraId="4BF38E3D" w14:textId="77777777" w:rsidR="00DE7081" w:rsidRPr="00DE7081" w:rsidRDefault="00DE7081" w:rsidP="00DE7081">
            <w:pPr>
              <w:cnfStyle w:val="100000000000" w:firstRow="1" w:lastRow="0" w:firstColumn="0" w:lastColumn="0" w:oddVBand="0" w:evenVBand="0" w:oddHBand="0" w:evenHBand="0" w:firstRowFirstColumn="0" w:firstRowLastColumn="0" w:lastRowFirstColumn="0" w:lastRowLastColumn="0"/>
            </w:pPr>
            <w:r w:rsidRPr="00DE7081">
              <w:t>Threats</w:t>
            </w:r>
          </w:p>
        </w:tc>
      </w:tr>
      <w:tr w:rsidR="00DE7081" w:rsidRPr="00DE7081" w14:paraId="68259C51" w14:textId="77777777" w:rsidTr="00DE7081">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7DA6C2D" w14:textId="77777777" w:rsidR="00DE7081" w:rsidRPr="00DE7081" w:rsidRDefault="00DE7081" w:rsidP="00DE7081">
            <w:pPr>
              <w:rPr>
                <w:b w:val="0"/>
                <w:bCs w:val="0"/>
              </w:rPr>
            </w:pPr>
            <w:r w:rsidRPr="00DE7081">
              <w:rPr>
                <w:b w:val="0"/>
                <w:bCs w:val="0"/>
                <w:color w:val="000000"/>
              </w:rPr>
              <w:t>Greater bargaining power with suppliers</w:t>
            </w:r>
          </w:p>
        </w:tc>
        <w:tc>
          <w:tcPr>
            <w:tcW w:w="0" w:type="auto"/>
            <w:hideMark/>
          </w:tcPr>
          <w:p w14:paraId="3174C7E6"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Higher operating cost base due to size (Grigoli and Evgenia Pugacheva, 2024)</w:t>
            </w:r>
          </w:p>
        </w:tc>
      </w:tr>
      <w:tr w:rsidR="00DE7081" w:rsidRPr="00DE7081" w14:paraId="610AE15E" w14:textId="77777777" w:rsidTr="00DE708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5EAC07F" w14:textId="77777777" w:rsidR="00DE7081" w:rsidRPr="00DE7081" w:rsidRDefault="00DE7081" w:rsidP="00DE7081">
            <w:pPr>
              <w:rPr>
                <w:b w:val="0"/>
                <w:bCs w:val="0"/>
              </w:rPr>
            </w:pPr>
            <w:r w:rsidRPr="00DE7081">
              <w:rPr>
                <w:b w:val="0"/>
                <w:bCs w:val="0"/>
                <w:color w:val="000000"/>
              </w:rPr>
              <w:t>Ability to stabilise prices for price-match policies (Grigoli and Evgenia Pugacheva, 2024)</w:t>
            </w:r>
          </w:p>
        </w:tc>
        <w:tc>
          <w:tcPr>
            <w:tcW w:w="0" w:type="auto"/>
            <w:hideMark/>
          </w:tcPr>
          <w:p w14:paraId="19E77F49"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Rising energy, labour and logistics expenses</w:t>
            </w:r>
          </w:p>
        </w:tc>
      </w:tr>
      <w:tr w:rsidR="00DE7081" w:rsidRPr="00DE7081" w14:paraId="27F59E08"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974C8C8" w14:textId="77777777" w:rsidR="00DE7081" w:rsidRPr="00DE7081" w:rsidRDefault="00DE7081" w:rsidP="00DE7081">
            <w:pPr>
              <w:rPr>
                <w:b w:val="0"/>
                <w:bCs w:val="0"/>
              </w:rPr>
            </w:pPr>
            <w:r w:rsidRPr="00DE7081">
              <w:rPr>
                <w:b w:val="0"/>
                <w:bCs w:val="0"/>
                <w:color w:val="000000"/>
              </w:rPr>
              <w:t>Strong Clubcard ecosystem for personalised discounts</w:t>
            </w:r>
          </w:p>
        </w:tc>
        <w:tc>
          <w:tcPr>
            <w:tcW w:w="0" w:type="auto"/>
            <w:hideMark/>
          </w:tcPr>
          <w:p w14:paraId="1047A79B"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Discounters (e.g., Aldi) attracting price-sensitive customers</w:t>
            </w:r>
          </w:p>
        </w:tc>
      </w:tr>
      <w:tr w:rsidR="00DE7081" w:rsidRPr="00DE7081" w14:paraId="3DDF2DB8" w14:textId="77777777" w:rsidTr="00DE708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4BC5FA4" w14:textId="77777777" w:rsidR="00DE7081" w:rsidRPr="00DE7081" w:rsidRDefault="00DE7081" w:rsidP="00DE7081">
            <w:pPr>
              <w:rPr>
                <w:b w:val="0"/>
                <w:bCs w:val="0"/>
              </w:rPr>
            </w:pPr>
            <w:r w:rsidRPr="00DE7081">
              <w:rPr>
                <w:b w:val="0"/>
                <w:bCs w:val="0"/>
                <w:color w:val="000000"/>
              </w:rPr>
              <w:lastRenderedPageBreak/>
              <w:t>Growing demand for affordable private-label lines</w:t>
            </w:r>
          </w:p>
        </w:tc>
        <w:tc>
          <w:tcPr>
            <w:tcW w:w="0" w:type="auto"/>
            <w:hideMark/>
          </w:tcPr>
          <w:p w14:paraId="19ADDC0A"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Risk of brand dilution from expanding value ranges (Grigoli and Evgenia Pugacheva, 2024)</w:t>
            </w:r>
          </w:p>
        </w:tc>
      </w:tr>
      <w:tr w:rsidR="00DE7081" w:rsidRPr="00DE7081" w14:paraId="530BCEB0"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5E9CDA0" w14:textId="77777777" w:rsidR="00DE7081" w:rsidRPr="00DE7081" w:rsidRDefault="00DE7081" w:rsidP="00DE7081">
            <w:pPr>
              <w:rPr>
                <w:b w:val="0"/>
                <w:bCs w:val="0"/>
              </w:rPr>
            </w:pPr>
            <w:r w:rsidRPr="00DE7081">
              <w:rPr>
                <w:b w:val="0"/>
                <w:bCs w:val="0"/>
                <w:color w:val="000000"/>
              </w:rPr>
              <w:t>Fast expansion of private-label products due to strong supply chain (Grigoli and Evgenia Pugacheva, 2024)</w:t>
            </w:r>
          </w:p>
        </w:tc>
        <w:tc>
          <w:tcPr>
            <w:tcW w:w="0" w:type="auto"/>
            <w:hideMark/>
          </w:tcPr>
          <w:p w14:paraId="65824E89"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Vulnerability to unsustainable price wars</w:t>
            </w:r>
          </w:p>
        </w:tc>
      </w:tr>
    </w:tbl>
    <w:p w14:paraId="07050584" w14:textId="77777777" w:rsidR="00DE7081" w:rsidRDefault="00DE7081" w:rsidP="00DE7081">
      <w:pPr>
        <w:rPr>
          <w:color w:val="000000"/>
        </w:rPr>
      </w:pPr>
    </w:p>
    <w:p w14:paraId="6382AAFB" w14:textId="77777777" w:rsidR="00DE7081" w:rsidRDefault="00DE7081" w:rsidP="00DE7081">
      <w:pPr>
        <w:rPr>
          <w:b/>
          <w:bCs/>
          <w:color w:val="000000"/>
        </w:rPr>
      </w:pPr>
      <w:r>
        <w:rPr>
          <w:b/>
          <w:bCs/>
          <w:color w:val="000000"/>
        </w:rPr>
        <w:t>Impact on Aldi (Follower)</w:t>
      </w:r>
    </w:p>
    <w:p w14:paraId="66B148AE" w14:textId="0CD71BEA" w:rsidR="00DE7081" w:rsidRDefault="00DE7081" w:rsidP="00DE7081">
      <w:pPr>
        <w:rPr>
          <w:color w:val="000000"/>
        </w:rPr>
      </w:pPr>
      <w:r>
        <w:rPr>
          <w:color w:val="000000"/>
        </w:rPr>
        <w:t>Aldi is structurally aligned with economic downturns.</w:t>
      </w:r>
    </w:p>
    <w:tbl>
      <w:tblPr>
        <w:tblStyle w:val="GridTable4-Accent1"/>
        <w:tblW w:w="0" w:type="auto"/>
        <w:tblLook w:val="04A0" w:firstRow="1" w:lastRow="0" w:firstColumn="1" w:lastColumn="0" w:noHBand="0" w:noVBand="1"/>
      </w:tblPr>
      <w:tblGrid>
        <w:gridCol w:w="4130"/>
        <w:gridCol w:w="4880"/>
      </w:tblGrid>
      <w:tr w:rsidR="00DE7081" w:rsidRPr="00DE7081" w14:paraId="5D1BFF9C" w14:textId="77777777" w:rsidTr="00DE708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A3E301A" w14:textId="77777777" w:rsidR="00DE7081" w:rsidRPr="00DE7081" w:rsidRDefault="00DE7081" w:rsidP="00DE7081">
            <w:r w:rsidRPr="00DE7081">
              <w:t>Opportunities</w:t>
            </w:r>
          </w:p>
        </w:tc>
        <w:tc>
          <w:tcPr>
            <w:tcW w:w="0" w:type="auto"/>
            <w:hideMark/>
          </w:tcPr>
          <w:p w14:paraId="7EC816B4" w14:textId="77777777" w:rsidR="00DE7081" w:rsidRPr="00DE7081" w:rsidRDefault="00DE7081" w:rsidP="00DE7081">
            <w:pPr>
              <w:cnfStyle w:val="100000000000" w:firstRow="1" w:lastRow="0" w:firstColumn="0" w:lastColumn="0" w:oddVBand="0" w:evenVBand="0" w:oddHBand="0" w:evenHBand="0" w:firstRowFirstColumn="0" w:firstRowLastColumn="0" w:lastRowFirstColumn="0" w:lastRowLastColumn="0"/>
            </w:pPr>
            <w:r w:rsidRPr="00DE7081">
              <w:t>Threats</w:t>
            </w:r>
          </w:p>
        </w:tc>
      </w:tr>
      <w:tr w:rsidR="00DE7081" w:rsidRPr="00DE7081" w14:paraId="14555745"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629E60E" w14:textId="77777777" w:rsidR="00DE7081" w:rsidRPr="00DE7081" w:rsidRDefault="00DE7081" w:rsidP="00DE7081">
            <w:pPr>
              <w:rPr>
                <w:b w:val="0"/>
                <w:bCs w:val="0"/>
              </w:rPr>
            </w:pPr>
            <w:r w:rsidRPr="00DE7081">
              <w:rPr>
                <w:b w:val="0"/>
                <w:bCs w:val="0"/>
                <w:color w:val="000000"/>
              </w:rPr>
              <w:t>Increased consumer appeal during the cost-of-living crisis</w:t>
            </w:r>
          </w:p>
        </w:tc>
        <w:tc>
          <w:tcPr>
            <w:tcW w:w="0" w:type="auto"/>
            <w:hideMark/>
          </w:tcPr>
          <w:p w14:paraId="606B6D84"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Limited presence in the omnichannel</w:t>
            </w:r>
          </w:p>
        </w:tc>
      </w:tr>
      <w:tr w:rsidR="00DE7081" w:rsidRPr="00DE7081" w14:paraId="305E069E" w14:textId="77777777" w:rsidTr="00DE708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9019E47" w14:textId="77777777" w:rsidR="00DE7081" w:rsidRPr="00DE7081" w:rsidRDefault="00DE7081" w:rsidP="00DE7081">
            <w:pPr>
              <w:rPr>
                <w:b w:val="0"/>
                <w:bCs w:val="0"/>
              </w:rPr>
            </w:pPr>
            <w:r w:rsidRPr="00DE7081">
              <w:rPr>
                <w:b w:val="0"/>
                <w:bCs w:val="0"/>
                <w:color w:val="000000"/>
              </w:rPr>
              <w:t>Minimalist store design lowers operating costs</w:t>
            </w:r>
          </w:p>
        </w:tc>
        <w:tc>
          <w:tcPr>
            <w:tcW w:w="0" w:type="auto"/>
            <w:hideMark/>
          </w:tcPr>
          <w:p w14:paraId="3E21C3B7"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Weak capability to capture online-first shoppers</w:t>
            </w:r>
          </w:p>
        </w:tc>
      </w:tr>
      <w:tr w:rsidR="00DE7081" w:rsidRPr="00DE7081" w14:paraId="6A2EF0C3"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230ABA6" w14:textId="77777777" w:rsidR="00DE7081" w:rsidRPr="00DE7081" w:rsidRDefault="00DE7081" w:rsidP="00DE7081">
            <w:pPr>
              <w:rPr>
                <w:b w:val="0"/>
                <w:bCs w:val="0"/>
              </w:rPr>
            </w:pPr>
            <w:r w:rsidRPr="00DE7081">
              <w:rPr>
                <w:b w:val="0"/>
                <w:bCs w:val="0"/>
                <w:color w:val="000000"/>
              </w:rPr>
              <w:t>Highly efficient operations keep prices low</w:t>
            </w:r>
          </w:p>
        </w:tc>
        <w:tc>
          <w:tcPr>
            <w:tcW w:w="0" w:type="auto"/>
            <w:hideMark/>
          </w:tcPr>
          <w:p w14:paraId="4035C763"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Tesco’s price-push and loyalty offers challenge Aldi’s “cheapest” image</w:t>
            </w:r>
          </w:p>
        </w:tc>
      </w:tr>
      <w:tr w:rsidR="00DE7081" w:rsidRPr="00DE7081" w14:paraId="42E11674" w14:textId="77777777" w:rsidTr="00DE7081">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5D753D7" w14:textId="77777777" w:rsidR="00DE7081" w:rsidRPr="00DE7081" w:rsidRDefault="00DE7081" w:rsidP="00DE7081">
            <w:pPr>
              <w:rPr>
                <w:b w:val="0"/>
                <w:bCs w:val="0"/>
              </w:rPr>
            </w:pPr>
            <w:r w:rsidRPr="00DE7081">
              <w:rPr>
                <w:b w:val="0"/>
                <w:bCs w:val="0"/>
                <w:color w:val="000000"/>
              </w:rPr>
              <w:t>Strong trust in private-label products</w:t>
            </w:r>
          </w:p>
        </w:tc>
        <w:tc>
          <w:tcPr>
            <w:tcW w:w="0" w:type="auto"/>
            <w:hideMark/>
          </w:tcPr>
          <w:p w14:paraId="50B82144"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Inflation may strain Aldi’s supply chain</w:t>
            </w:r>
          </w:p>
        </w:tc>
      </w:tr>
      <w:tr w:rsidR="00DE7081" w:rsidRPr="00DE7081" w14:paraId="3E5A51AA"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027376E" w14:textId="77777777" w:rsidR="00DE7081" w:rsidRPr="00DE7081" w:rsidRDefault="00DE7081" w:rsidP="00DE7081">
            <w:pPr>
              <w:rPr>
                <w:b w:val="0"/>
                <w:bCs w:val="0"/>
              </w:rPr>
            </w:pPr>
            <w:r w:rsidRPr="00DE7081">
              <w:rPr>
                <w:b w:val="0"/>
                <w:bCs w:val="0"/>
                <w:color w:val="000000"/>
              </w:rPr>
              <w:t>Reputation as a reliable value retailer</w:t>
            </w:r>
          </w:p>
        </w:tc>
        <w:tc>
          <w:tcPr>
            <w:tcW w:w="0" w:type="auto"/>
            <w:hideMark/>
          </w:tcPr>
          <w:p w14:paraId="0B866842"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Pressure on margins when maintaining ultra-low prices</w:t>
            </w:r>
          </w:p>
        </w:tc>
      </w:tr>
    </w:tbl>
    <w:p w14:paraId="29FBCE9C" w14:textId="77777777" w:rsidR="00DE7081" w:rsidRDefault="00DE7081" w:rsidP="00DE7081">
      <w:pPr>
        <w:rPr>
          <w:color w:val="000000"/>
        </w:rPr>
      </w:pPr>
    </w:p>
    <w:p w14:paraId="3C320712" w14:textId="77777777" w:rsidR="00DE7081" w:rsidRPr="00DE7081" w:rsidRDefault="00DE7081" w:rsidP="00DE7081">
      <w:pPr>
        <w:rPr>
          <w:b/>
          <w:bCs/>
          <w:color w:val="000000"/>
        </w:rPr>
      </w:pPr>
      <w:r w:rsidRPr="00DE7081">
        <w:rPr>
          <w:b/>
          <w:bCs/>
          <w:color w:val="000000"/>
        </w:rPr>
        <w:t>Strategic Implications</w:t>
      </w:r>
    </w:p>
    <w:p w14:paraId="6646138E" w14:textId="77777777" w:rsidR="00DE7081" w:rsidRDefault="00DE7081" w:rsidP="00DE7081">
      <w:pPr>
        <w:rPr>
          <w:color w:val="000000"/>
        </w:rPr>
      </w:pPr>
      <w:r>
        <w:rPr>
          <w:color w:val="000000"/>
        </w:rPr>
        <w:t>Tesco should compromise on price and differentiation to ensure that it is not merely a price fighter. Aldi, however, needs to maintain a high degree of cost leadership without being too rigid to be able to adapt the strategy. This is because the economic actor reveals the structural robustness and weakness of both companies.</w:t>
      </w:r>
    </w:p>
    <w:p w14:paraId="29691C82" w14:textId="77777777" w:rsidR="00DE7081" w:rsidRDefault="00DE7081" w:rsidP="00DE7081">
      <w:pPr>
        <w:rPr>
          <w:color w:val="000000"/>
        </w:rPr>
      </w:pPr>
    </w:p>
    <w:p w14:paraId="40776C9C" w14:textId="77777777" w:rsidR="00DE7081" w:rsidRDefault="00DE7081" w:rsidP="00DE7081">
      <w:pPr>
        <w:pStyle w:val="Heading3"/>
      </w:pPr>
      <w:bookmarkStart w:id="6" w:name="_Toc214496240"/>
      <w:r>
        <w:t>2.3.2 Technological Actor</w:t>
      </w:r>
      <w:bookmarkEnd w:id="6"/>
    </w:p>
    <w:p w14:paraId="408E7E27" w14:textId="662B4DC7" w:rsidR="00DE7081" w:rsidRDefault="00DE7081" w:rsidP="00DE7081">
      <w:pPr>
        <w:rPr>
          <w:color w:val="000000"/>
        </w:rPr>
      </w:pPr>
      <w:r>
        <w:rPr>
          <w:color w:val="000000"/>
        </w:rPr>
        <w:t xml:space="preserve">This is due to the technological change that is changing the operation and competition within the supermarkets. Due to the emergence of online grocery services, consumer expectations have changed to convenience, speed, and personalisation. AI applications can improve prediction, stock levels, and demand precision. Automation lowers the labour expenses and enhances efficiency (Timoumi, Gangwar and Mantrala, 2022). Data analytics-based digital </w:t>
      </w:r>
      <w:r>
        <w:rPr>
          <w:color w:val="000000"/>
        </w:rPr>
        <w:lastRenderedPageBreak/>
        <w:t>loyalty systems allow retailers to respond with individual offers to the shopper. Contactless shopping and checkout technologies further transform the experience in stores. These changes are pushing the retailers to modernise</w:t>
      </w:r>
      <w:r>
        <w:rPr>
          <w:color w:val="000000"/>
          <w:lang w:val="en-US"/>
        </w:rPr>
        <w:t>,</w:t>
      </w:r>
      <w:r>
        <w:rPr>
          <w:color w:val="000000"/>
        </w:rPr>
        <w:t xml:space="preserve"> as well as increasing the disparity between high</w:t>
      </w:r>
      <w:r>
        <w:rPr>
          <w:color w:val="000000"/>
          <w:lang w:val="en-US"/>
        </w:rPr>
        <w:t>-</w:t>
      </w:r>
      <w:r>
        <w:rPr>
          <w:color w:val="000000"/>
        </w:rPr>
        <w:t>tech leaders and low</w:t>
      </w:r>
      <w:r>
        <w:rPr>
          <w:color w:val="000000"/>
          <w:lang w:val="en-US"/>
        </w:rPr>
        <w:t>-</w:t>
      </w:r>
      <w:r>
        <w:rPr>
          <w:color w:val="000000"/>
        </w:rPr>
        <w:t>tech followers.</w:t>
      </w:r>
    </w:p>
    <w:p w14:paraId="358A8412" w14:textId="77777777" w:rsidR="00DE7081" w:rsidRDefault="00DE7081" w:rsidP="00DE7081">
      <w:pPr>
        <w:rPr>
          <w:color w:val="000000"/>
        </w:rPr>
      </w:pPr>
    </w:p>
    <w:p w14:paraId="39DE0C37" w14:textId="77777777" w:rsidR="00DE7081" w:rsidRDefault="00DE7081" w:rsidP="00DE7081">
      <w:pPr>
        <w:rPr>
          <w:b/>
          <w:bCs/>
          <w:color w:val="000000"/>
        </w:rPr>
      </w:pPr>
      <w:r>
        <w:rPr>
          <w:b/>
          <w:bCs/>
          <w:color w:val="000000"/>
        </w:rPr>
        <w:t>Impact on Tesco (Pioneer)</w:t>
      </w:r>
    </w:p>
    <w:p w14:paraId="1DF98194" w14:textId="73AD8B81" w:rsidR="00DE7081" w:rsidRDefault="00DE7081" w:rsidP="00DE7081">
      <w:pPr>
        <w:rPr>
          <w:color w:val="000000"/>
        </w:rPr>
      </w:pPr>
      <w:r>
        <w:rPr>
          <w:color w:val="000000"/>
        </w:rPr>
        <w:t>Tesco benefits strongly from technological advancement.</w:t>
      </w:r>
    </w:p>
    <w:tbl>
      <w:tblPr>
        <w:tblStyle w:val="GridTable4-Accent1"/>
        <w:tblW w:w="0" w:type="auto"/>
        <w:tblLook w:val="04A0" w:firstRow="1" w:lastRow="0" w:firstColumn="1" w:lastColumn="0" w:noHBand="0" w:noVBand="1"/>
      </w:tblPr>
      <w:tblGrid>
        <w:gridCol w:w="4371"/>
        <w:gridCol w:w="4639"/>
      </w:tblGrid>
      <w:tr w:rsidR="00DE7081" w:rsidRPr="00DE7081" w14:paraId="691088BD" w14:textId="77777777" w:rsidTr="00DE708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7ECD8D8" w14:textId="77777777" w:rsidR="00DE7081" w:rsidRPr="00DE7081" w:rsidRDefault="00DE7081" w:rsidP="00DE7081">
            <w:r w:rsidRPr="00DE7081">
              <w:t>Opportunities</w:t>
            </w:r>
          </w:p>
        </w:tc>
        <w:tc>
          <w:tcPr>
            <w:tcW w:w="0" w:type="auto"/>
            <w:hideMark/>
          </w:tcPr>
          <w:p w14:paraId="24479449" w14:textId="77777777" w:rsidR="00DE7081" w:rsidRPr="00DE7081" w:rsidRDefault="00DE7081" w:rsidP="00DE7081">
            <w:pPr>
              <w:cnfStyle w:val="100000000000" w:firstRow="1" w:lastRow="0" w:firstColumn="0" w:lastColumn="0" w:oddVBand="0" w:evenVBand="0" w:oddHBand="0" w:evenHBand="0" w:firstRowFirstColumn="0" w:firstRowLastColumn="0" w:lastRowFirstColumn="0" w:lastRowLastColumn="0"/>
            </w:pPr>
            <w:r w:rsidRPr="00DE7081">
              <w:t>Threats</w:t>
            </w:r>
          </w:p>
        </w:tc>
      </w:tr>
      <w:tr w:rsidR="00DE7081" w:rsidRPr="00DE7081" w14:paraId="01306432"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A5A9ACB" w14:textId="77777777" w:rsidR="00DE7081" w:rsidRPr="00DE7081" w:rsidRDefault="00DE7081" w:rsidP="00DE7081">
            <w:pPr>
              <w:rPr>
                <w:b w:val="0"/>
                <w:bCs w:val="0"/>
              </w:rPr>
            </w:pPr>
            <w:r w:rsidRPr="00DE7081">
              <w:rPr>
                <w:b w:val="0"/>
                <w:bCs w:val="0"/>
                <w:color w:val="000000"/>
              </w:rPr>
              <w:t>Tesco’s early-mover advantage in online grocery provides a strong digital backbone.</w:t>
            </w:r>
          </w:p>
        </w:tc>
        <w:tc>
          <w:tcPr>
            <w:tcW w:w="0" w:type="auto"/>
            <w:hideMark/>
          </w:tcPr>
          <w:p w14:paraId="40F1394F"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High operational and investment costs arise from maintaining large digital systems.</w:t>
            </w:r>
          </w:p>
        </w:tc>
      </w:tr>
      <w:tr w:rsidR="00DE7081" w:rsidRPr="00DE7081" w14:paraId="18D36F1D" w14:textId="77777777" w:rsidTr="00DE708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8807322" w14:textId="77777777" w:rsidR="00DE7081" w:rsidRPr="00DE7081" w:rsidRDefault="00DE7081" w:rsidP="00DE7081">
            <w:pPr>
              <w:rPr>
                <w:b w:val="0"/>
                <w:bCs w:val="0"/>
              </w:rPr>
            </w:pPr>
            <w:r w:rsidRPr="00DE7081">
              <w:rPr>
                <w:b w:val="0"/>
                <w:bCs w:val="0"/>
                <w:color w:val="000000"/>
              </w:rPr>
              <w:t xml:space="preserve">Well-established fulfilment hubs support fast, reliable, and scalable delivery services (Shankar </w:t>
            </w:r>
            <w:r w:rsidRPr="00DE7081">
              <w:rPr>
                <w:b w:val="0"/>
                <w:bCs w:val="0"/>
                <w:i/>
                <w:iCs/>
                <w:color w:val="000000"/>
              </w:rPr>
              <w:t>et al.</w:t>
            </w:r>
            <w:r w:rsidRPr="00DE7081">
              <w:rPr>
                <w:b w:val="0"/>
                <w:bCs w:val="0"/>
                <w:color w:val="000000"/>
              </w:rPr>
              <w:t>, 2021).</w:t>
            </w:r>
          </w:p>
        </w:tc>
        <w:tc>
          <w:tcPr>
            <w:tcW w:w="0" w:type="auto"/>
            <w:hideMark/>
          </w:tcPr>
          <w:p w14:paraId="32CDB632"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Continuous upgrades are required, increasing long-term financial risk.</w:t>
            </w:r>
          </w:p>
        </w:tc>
      </w:tr>
      <w:tr w:rsidR="00DE7081" w:rsidRPr="00DE7081" w14:paraId="25E57EF8" w14:textId="77777777" w:rsidTr="00DE7081">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25A61F0" w14:textId="77777777" w:rsidR="00DE7081" w:rsidRPr="00DE7081" w:rsidRDefault="00DE7081" w:rsidP="00DE7081">
            <w:pPr>
              <w:rPr>
                <w:b w:val="0"/>
                <w:bCs w:val="0"/>
              </w:rPr>
            </w:pPr>
            <w:r w:rsidRPr="00DE7081">
              <w:rPr>
                <w:b w:val="0"/>
                <w:bCs w:val="0"/>
                <w:color w:val="000000"/>
              </w:rPr>
              <w:t>A highly functional mobile app enables personalisation and strengthens customer loyalty.</w:t>
            </w:r>
          </w:p>
        </w:tc>
        <w:tc>
          <w:tcPr>
            <w:tcW w:w="0" w:type="auto"/>
            <w:hideMark/>
          </w:tcPr>
          <w:p w14:paraId="606BE2B7"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 xml:space="preserve">Cybersecurity threats grow as Tesco processes expanding volumes of customer data (Shankar </w:t>
            </w:r>
            <w:r w:rsidRPr="00DE7081">
              <w:rPr>
                <w:i/>
                <w:iCs/>
                <w:color w:val="000000"/>
              </w:rPr>
              <w:t>et al.</w:t>
            </w:r>
            <w:r w:rsidRPr="00DE7081">
              <w:rPr>
                <w:color w:val="000000"/>
              </w:rPr>
              <w:t>, 2021).</w:t>
            </w:r>
          </w:p>
        </w:tc>
      </w:tr>
      <w:tr w:rsidR="00DE7081" w:rsidRPr="00DE7081" w14:paraId="05DB4CA5" w14:textId="77777777" w:rsidTr="00DE708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044BD91" w14:textId="77777777" w:rsidR="00DE7081" w:rsidRPr="00DE7081" w:rsidRDefault="00DE7081" w:rsidP="00DE7081">
            <w:pPr>
              <w:rPr>
                <w:b w:val="0"/>
                <w:bCs w:val="0"/>
              </w:rPr>
            </w:pPr>
            <w:r w:rsidRPr="00DE7081">
              <w:rPr>
                <w:b w:val="0"/>
                <w:bCs w:val="0"/>
                <w:color w:val="000000"/>
              </w:rPr>
              <w:t>AI-powered stock management improves forecasting accuracy and reduces waste.</w:t>
            </w:r>
          </w:p>
        </w:tc>
        <w:tc>
          <w:tcPr>
            <w:tcW w:w="0" w:type="auto"/>
            <w:hideMark/>
          </w:tcPr>
          <w:p w14:paraId="18295CD6"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The complexity of operating advanced technologies adds operational strain.</w:t>
            </w:r>
          </w:p>
        </w:tc>
      </w:tr>
      <w:tr w:rsidR="00DE7081" w:rsidRPr="00DE7081" w14:paraId="1A2B9BE9"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91813AF" w14:textId="77777777" w:rsidR="00DE7081" w:rsidRPr="00DE7081" w:rsidRDefault="00DE7081" w:rsidP="00DE7081">
            <w:pPr>
              <w:rPr>
                <w:b w:val="0"/>
                <w:bCs w:val="0"/>
              </w:rPr>
            </w:pPr>
            <w:r w:rsidRPr="00DE7081">
              <w:rPr>
                <w:b w:val="0"/>
                <w:bCs w:val="0"/>
                <w:color w:val="000000"/>
              </w:rPr>
              <w:t xml:space="preserve">Automated checkout solutions enhance efficiency and reduce in-store congestion (Shankar </w:t>
            </w:r>
            <w:r w:rsidRPr="00DE7081">
              <w:rPr>
                <w:b w:val="0"/>
                <w:bCs w:val="0"/>
                <w:i/>
                <w:iCs/>
                <w:color w:val="000000"/>
              </w:rPr>
              <w:t>et al.</w:t>
            </w:r>
            <w:r w:rsidRPr="00DE7081">
              <w:rPr>
                <w:b w:val="0"/>
                <w:bCs w:val="0"/>
                <w:color w:val="000000"/>
              </w:rPr>
              <w:t>, 2021).</w:t>
            </w:r>
          </w:p>
        </w:tc>
        <w:tc>
          <w:tcPr>
            <w:tcW w:w="0" w:type="auto"/>
            <w:hideMark/>
          </w:tcPr>
          <w:p w14:paraId="3BB7EDD3"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Competitors like Amazon Fresh raise innovation pressure.</w:t>
            </w:r>
          </w:p>
        </w:tc>
      </w:tr>
      <w:tr w:rsidR="00DE7081" w:rsidRPr="00DE7081" w14:paraId="7FFB0F3E" w14:textId="77777777" w:rsidTr="00DE7081">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1608EE79" w14:textId="77777777" w:rsidR="00DE7081" w:rsidRPr="00DE7081" w:rsidRDefault="00DE7081" w:rsidP="00DE7081">
            <w:pPr>
              <w:rPr>
                <w:b w:val="0"/>
                <w:bCs w:val="0"/>
              </w:rPr>
            </w:pPr>
            <w:r w:rsidRPr="00DE7081">
              <w:rPr>
                <w:b w:val="0"/>
                <w:bCs w:val="0"/>
                <w:color w:val="000000"/>
              </w:rPr>
              <w:t>Large-scale infrastructure allows rapid adoption of new digital capabilities.</w:t>
            </w:r>
          </w:p>
        </w:tc>
        <w:tc>
          <w:tcPr>
            <w:tcW w:w="0" w:type="auto"/>
            <w:hideMark/>
          </w:tcPr>
          <w:p w14:paraId="6FB14D9A"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 xml:space="preserve">Ocado’s technologically advanced model intensifies competition, forcing constant innovation (Shankar </w:t>
            </w:r>
            <w:r w:rsidRPr="00DE7081">
              <w:rPr>
                <w:i/>
                <w:iCs/>
                <w:color w:val="000000"/>
              </w:rPr>
              <w:t>et al.</w:t>
            </w:r>
            <w:r w:rsidRPr="00DE7081">
              <w:rPr>
                <w:color w:val="000000"/>
              </w:rPr>
              <w:t>, 2021).</w:t>
            </w:r>
          </w:p>
        </w:tc>
      </w:tr>
    </w:tbl>
    <w:p w14:paraId="5D84B8EE" w14:textId="77777777" w:rsidR="00DE7081" w:rsidRDefault="00DE7081" w:rsidP="00DE7081">
      <w:pPr>
        <w:rPr>
          <w:color w:val="000000"/>
        </w:rPr>
      </w:pPr>
      <w:r>
        <w:rPr>
          <w:color w:val="000000"/>
        </w:rPr>
        <w:br/>
      </w:r>
    </w:p>
    <w:p w14:paraId="286B62CD" w14:textId="77777777" w:rsidR="00DE7081" w:rsidRDefault="00DE7081" w:rsidP="00DE7081">
      <w:pPr>
        <w:rPr>
          <w:b/>
          <w:bCs/>
          <w:color w:val="000000"/>
        </w:rPr>
      </w:pPr>
      <w:r>
        <w:rPr>
          <w:b/>
          <w:bCs/>
          <w:color w:val="000000"/>
        </w:rPr>
        <w:t>Impact on Aldi (Follower)</w:t>
      </w:r>
    </w:p>
    <w:p w14:paraId="47B76298" w14:textId="1DDF7174" w:rsidR="00DE7081" w:rsidRDefault="00DE7081" w:rsidP="00DE7081">
      <w:pPr>
        <w:rPr>
          <w:color w:val="000000"/>
        </w:rPr>
      </w:pPr>
      <w:r>
        <w:rPr>
          <w:color w:val="000000"/>
        </w:rPr>
        <w:t>Aldi approaches technology differently.</w:t>
      </w:r>
    </w:p>
    <w:tbl>
      <w:tblPr>
        <w:tblStyle w:val="GridTable4-Accent1"/>
        <w:tblW w:w="0" w:type="auto"/>
        <w:tblLook w:val="04A0" w:firstRow="1" w:lastRow="0" w:firstColumn="1" w:lastColumn="0" w:noHBand="0" w:noVBand="1"/>
      </w:tblPr>
      <w:tblGrid>
        <w:gridCol w:w="4466"/>
        <w:gridCol w:w="4544"/>
      </w:tblGrid>
      <w:tr w:rsidR="00DE7081" w:rsidRPr="00DE7081" w14:paraId="415F8223" w14:textId="77777777" w:rsidTr="00DE708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14E3CC8" w14:textId="77777777" w:rsidR="00DE7081" w:rsidRPr="00DE7081" w:rsidRDefault="00DE7081" w:rsidP="00DE7081">
            <w:r w:rsidRPr="00DE7081">
              <w:t>Opportunities</w:t>
            </w:r>
          </w:p>
        </w:tc>
        <w:tc>
          <w:tcPr>
            <w:tcW w:w="0" w:type="auto"/>
            <w:hideMark/>
          </w:tcPr>
          <w:p w14:paraId="117E9D26" w14:textId="77777777" w:rsidR="00DE7081" w:rsidRPr="00DE7081" w:rsidRDefault="00DE7081" w:rsidP="00DE7081">
            <w:pPr>
              <w:cnfStyle w:val="100000000000" w:firstRow="1" w:lastRow="0" w:firstColumn="0" w:lastColumn="0" w:oddVBand="0" w:evenVBand="0" w:oddHBand="0" w:evenHBand="0" w:firstRowFirstColumn="0" w:firstRowLastColumn="0" w:lastRowFirstColumn="0" w:lastRowLastColumn="0"/>
            </w:pPr>
            <w:r w:rsidRPr="00DE7081">
              <w:t>Threats</w:t>
            </w:r>
          </w:p>
        </w:tc>
      </w:tr>
      <w:tr w:rsidR="00DE7081" w:rsidRPr="00DE7081" w14:paraId="5A89A8BD" w14:textId="77777777" w:rsidTr="00DE708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8104F8F" w14:textId="77777777" w:rsidR="00DE7081" w:rsidRPr="00DE7081" w:rsidRDefault="00DE7081" w:rsidP="00DE7081">
            <w:pPr>
              <w:rPr>
                <w:b w:val="0"/>
                <w:bCs w:val="0"/>
              </w:rPr>
            </w:pPr>
            <w:r w:rsidRPr="00DE7081">
              <w:rPr>
                <w:b w:val="0"/>
                <w:bCs w:val="0"/>
                <w:color w:val="000000"/>
              </w:rPr>
              <w:t>Aldi can selectively imitate proven technologies, reducing cost and risk (Timoumi, Gangwar and Mantrala, 2022).</w:t>
            </w:r>
          </w:p>
        </w:tc>
        <w:tc>
          <w:tcPr>
            <w:tcW w:w="0" w:type="auto"/>
            <w:hideMark/>
          </w:tcPr>
          <w:p w14:paraId="74C8E86E"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Aldi faces a significant technological gap compared to competitors.</w:t>
            </w:r>
          </w:p>
        </w:tc>
      </w:tr>
      <w:tr w:rsidR="00DE7081" w:rsidRPr="00DE7081" w14:paraId="19E8A01A" w14:textId="77777777" w:rsidTr="00DE7081">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E1B4056" w14:textId="77777777" w:rsidR="00DE7081" w:rsidRPr="00DE7081" w:rsidRDefault="00DE7081" w:rsidP="00DE7081">
            <w:pPr>
              <w:rPr>
                <w:b w:val="0"/>
                <w:bCs w:val="0"/>
              </w:rPr>
            </w:pPr>
            <w:r w:rsidRPr="00DE7081">
              <w:rPr>
                <w:b w:val="0"/>
                <w:bCs w:val="0"/>
                <w:color w:val="000000"/>
              </w:rPr>
              <w:lastRenderedPageBreak/>
              <w:t>Partnerships with delivery services allow online expansion without building expensive infrastructure.</w:t>
            </w:r>
          </w:p>
        </w:tc>
        <w:tc>
          <w:tcPr>
            <w:tcW w:w="0" w:type="auto"/>
            <w:hideMark/>
          </w:tcPr>
          <w:p w14:paraId="26800FBD"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Lack of a strong loyalty programme limits data-driven personalisation (Timoumi, Gangwar and Mantrala, 2022).</w:t>
            </w:r>
          </w:p>
        </w:tc>
      </w:tr>
      <w:tr w:rsidR="00DE7081" w:rsidRPr="00DE7081" w14:paraId="2536DAB9" w14:textId="77777777" w:rsidTr="00DE7081">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C52C224" w14:textId="77777777" w:rsidR="00DE7081" w:rsidRPr="00DE7081" w:rsidRDefault="00DE7081" w:rsidP="00DE7081">
            <w:pPr>
              <w:rPr>
                <w:b w:val="0"/>
                <w:bCs w:val="0"/>
              </w:rPr>
            </w:pPr>
            <w:r w:rsidRPr="00DE7081">
              <w:rPr>
                <w:b w:val="0"/>
                <w:bCs w:val="0"/>
                <w:color w:val="000000"/>
              </w:rPr>
              <w:t>Limited store automation boosts efficiency while maintaining its low-cost image.</w:t>
            </w:r>
          </w:p>
        </w:tc>
        <w:tc>
          <w:tcPr>
            <w:tcW w:w="0" w:type="auto"/>
            <w:hideMark/>
          </w:tcPr>
          <w:p w14:paraId="5DEE977F" w14:textId="77777777" w:rsidR="00DE7081" w:rsidRPr="00DE7081" w:rsidRDefault="00DE7081" w:rsidP="00DE7081">
            <w:pPr>
              <w:cnfStyle w:val="000000100000" w:firstRow="0" w:lastRow="0" w:firstColumn="0" w:lastColumn="0" w:oddVBand="0" w:evenVBand="0" w:oddHBand="1" w:evenHBand="0" w:firstRowFirstColumn="0" w:firstRowLastColumn="0" w:lastRowFirstColumn="0" w:lastRowLastColumn="0"/>
            </w:pPr>
            <w:r w:rsidRPr="00DE7081">
              <w:rPr>
                <w:color w:val="000000"/>
              </w:rPr>
              <w:t>Low online presence weakens long-term competitiveness, especially with younger hybrid shoppers.</w:t>
            </w:r>
          </w:p>
        </w:tc>
      </w:tr>
      <w:tr w:rsidR="00DE7081" w:rsidRPr="00DE7081" w14:paraId="6B489CFB" w14:textId="77777777" w:rsidTr="00DE708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471C126" w14:textId="77777777" w:rsidR="00DE7081" w:rsidRPr="00DE7081" w:rsidRDefault="00DE7081" w:rsidP="00DE7081">
            <w:pPr>
              <w:rPr>
                <w:b w:val="0"/>
                <w:bCs w:val="0"/>
              </w:rPr>
            </w:pPr>
            <w:r w:rsidRPr="00DE7081">
              <w:rPr>
                <w:b w:val="0"/>
                <w:bCs w:val="0"/>
                <w:color w:val="000000"/>
              </w:rPr>
              <w:t>Follower strategy enables cost-efficient tech adoption (Timoumi, Gangwar and Mantrala, 2022).</w:t>
            </w:r>
          </w:p>
        </w:tc>
        <w:tc>
          <w:tcPr>
            <w:tcW w:w="0" w:type="auto"/>
            <w:hideMark/>
          </w:tcPr>
          <w:p w14:paraId="5B0BB5C1" w14:textId="77777777" w:rsidR="00DE7081" w:rsidRPr="00DE7081" w:rsidRDefault="00DE7081" w:rsidP="00DE7081">
            <w:pPr>
              <w:cnfStyle w:val="000000000000" w:firstRow="0" w:lastRow="0" w:firstColumn="0" w:lastColumn="0" w:oddVBand="0" w:evenVBand="0" w:oddHBand="0" w:evenHBand="0" w:firstRowFirstColumn="0" w:firstRowLastColumn="0" w:lastRowFirstColumn="0" w:lastRowLastColumn="0"/>
            </w:pPr>
            <w:r w:rsidRPr="00DE7081">
              <w:rPr>
                <w:color w:val="000000"/>
              </w:rPr>
              <w:t>Low-tech brand perception risks reducing relevance in a digital retail environment.</w:t>
            </w:r>
          </w:p>
        </w:tc>
      </w:tr>
    </w:tbl>
    <w:p w14:paraId="5BBB2A4A" w14:textId="77777777" w:rsidR="00DE7081" w:rsidRDefault="00DE7081" w:rsidP="00DE7081">
      <w:pPr>
        <w:rPr>
          <w:color w:val="000000"/>
        </w:rPr>
      </w:pPr>
    </w:p>
    <w:p w14:paraId="3652424F" w14:textId="77777777" w:rsidR="00DE7081" w:rsidRDefault="00DE7081" w:rsidP="00DE7081">
      <w:pPr>
        <w:rPr>
          <w:color w:val="000000"/>
        </w:rPr>
      </w:pPr>
      <w:r>
        <w:rPr>
          <w:b/>
          <w:bCs/>
          <w:color w:val="000000"/>
        </w:rPr>
        <w:t>Strategic Implications:</w:t>
      </w:r>
    </w:p>
    <w:p w14:paraId="0CC699FC" w14:textId="77777777" w:rsidR="00DE7081" w:rsidRDefault="00DE7081" w:rsidP="00DE7081">
      <w:pPr>
        <w:rPr>
          <w:color w:val="000000"/>
        </w:rPr>
      </w:pPr>
      <w:r>
        <w:rPr>
          <w:color w:val="000000"/>
        </w:rPr>
        <w:t>Tesco needs to be technologically ahead and defend profitability. Aldi will have to find cheap selective digital solutions that can enable growth without undermining cost leadership. The forces of technology hence increase the strategic difference between the pioneers and the followers.</w:t>
      </w:r>
    </w:p>
    <w:p w14:paraId="3A0DFE63" w14:textId="77777777" w:rsidR="00DE7081" w:rsidRDefault="00DE7081" w:rsidP="00DE7081">
      <w:pPr>
        <w:rPr>
          <w:color w:val="000000"/>
        </w:rPr>
      </w:pPr>
      <w:r>
        <w:rPr>
          <w:color w:val="000000"/>
        </w:rPr>
        <w:br/>
      </w:r>
    </w:p>
    <w:p w14:paraId="45E4EB64" w14:textId="77777777" w:rsidR="00DE7081" w:rsidRDefault="00DE7081" w:rsidP="00DE7081">
      <w:pPr>
        <w:pStyle w:val="Heading1"/>
      </w:pPr>
      <w:bookmarkStart w:id="7" w:name="_Toc214496241"/>
      <w:r>
        <w:t>3. TASK 2: STRATEGIC RESPONSES OF PIONEERING &amp; FOLLOWER ORGANISATIONS</w:t>
      </w:r>
      <w:bookmarkEnd w:id="7"/>
    </w:p>
    <w:p w14:paraId="7A27237B" w14:textId="58829279" w:rsidR="00DE7081" w:rsidRDefault="00DE7081" w:rsidP="00DE7081">
      <w:pPr>
        <w:pStyle w:val="Heading2"/>
      </w:pPr>
      <w:bookmarkStart w:id="8" w:name="_Toc214496242"/>
      <w:r>
        <w:t>3.1 Pioneering Organisation’s Strategic Responses (Tesco) — Using Porter’s Generic Strategies</w:t>
      </w:r>
      <w:bookmarkEnd w:id="8"/>
    </w:p>
    <w:p w14:paraId="4A8922D0" w14:textId="77777777" w:rsidR="00DE7081" w:rsidRDefault="00DE7081" w:rsidP="00DE7081">
      <w:pPr>
        <w:pStyle w:val="Heading2"/>
      </w:pPr>
      <w:bookmarkStart w:id="9" w:name="_Toc214496243"/>
      <w:r>
        <w:t>3.1.1 Tesco’s Strategic Logic Under Porter</w:t>
      </w:r>
      <w:bookmarkEnd w:id="9"/>
    </w:p>
    <w:p w14:paraId="0A096C71" w14:textId="59417771" w:rsidR="00DE7081" w:rsidRDefault="00DE7081" w:rsidP="00DE7081">
      <w:pPr>
        <w:rPr>
          <w:color w:val="000000"/>
        </w:rPr>
      </w:pPr>
      <w:r>
        <w:rPr>
          <w:color w:val="000000"/>
        </w:rPr>
        <w:t xml:space="preserve">The strategic position of Tesco can be best assumed under a hybrid model, which is the combination of cost leadership and differentiation. Porter has initially asserted that the amalgamation of the two may put off the firms in the middle level, thus undermining competitiveness. However, the subsequent studies show that hybrid strategies may be effective in cases where companies have strong resources, scale benefits, and the ability to deliver both at the same time (Torres-Rodríguez, Chiroque-Alvites and Martín Mauricio-Andía, 2025). Tesco fits into this profile. Its brand strength, supplier strength and digital dimension allow it to target at lower prices without compromising on the service quality and convenience. The </w:t>
      </w:r>
      <w:r>
        <w:rPr>
          <w:color w:val="000000"/>
        </w:rPr>
        <w:lastRenderedPageBreak/>
        <w:t>hybrid model also supports responsiveness of Tesco to the market conditions. It can focus on cheapness in times of economic stress and on differentiation when service, convenience or digital personalisation are deemed more crucial by the consumer.</w:t>
      </w:r>
    </w:p>
    <w:p w14:paraId="2691ED97" w14:textId="77777777" w:rsidR="00DE7081" w:rsidRDefault="00DE7081" w:rsidP="00DE7081">
      <w:pPr>
        <w:pStyle w:val="Heading2"/>
      </w:pPr>
      <w:bookmarkStart w:id="10" w:name="_Toc214496244"/>
      <w:r>
        <w:t>3.1.2 Response to Economic Forces</w:t>
      </w:r>
      <w:bookmarkEnd w:id="10"/>
    </w:p>
    <w:p w14:paraId="0EA813E6" w14:textId="49C5C758" w:rsidR="00DE7081" w:rsidRDefault="00DE7081" w:rsidP="00DE7081">
      <w:pPr>
        <w:rPr>
          <w:color w:val="000000"/>
        </w:rPr>
      </w:pPr>
      <w:r>
        <w:rPr>
          <w:color w:val="000000"/>
        </w:rPr>
        <w:t>Economic instability requires Tesco to enhance its cost leadership skills. The value range of the supermarket is increased to suit the increasing consumer price sensitivity. It also uses price-matching strategies to offset the advantage of Aldi. These measures buttress its low</w:t>
      </w:r>
      <w:r>
        <w:rPr>
          <w:color w:val="000000"/>
          <w:lang w:val="en-US"/>
        </w:rPr>
        <w:t>-</w:t>
      </w:r>
      <w:r>
        <w:rPr>
          <w:color w:val="000000"/>
        </w:rPr>
        <w:t>cost position and retain customer confidence. The Clubcard Prices system is an additional benefit that helps to increase the perceived affordability, as customers are rewarded with specific discounts. Tesco is also more resistant to inflation as compared to its smaller rivals due to its size (Woods, Doherty and Stephens, 2022). Its supplier relations allow negotiating and stabilising prices. Tesco achieves cost competitiveness through increased supply-chain efficiency and minimised waste without operational resiliency. These actions indicate the way Tesco</w:t>
      </w:r>
      <w:r>
        <w:rPr>
          <w:color w:val="000000"/>
          <w:lang w:val="en-US"/>
        </w:rPr>
        <w:t>’s</w:t>
      </w:r>
      <w:r>
        <w:rPr>
          <w:color w:val="000000"/>
        </w:rPr>
        <w:t xml:space="preserve"> hybrid logic changes in economic pressure: the cost factor is put to the forefront, but the differentiation continues with loyalty and brand experience.</w:t>
      </w:r>
    </w:p>
    <w:p w14:paraId="611004FE" w14:textId="77777777" w:rsidR="00DE7081" w:rsidRDefault="00DE7081" w:rsidP="00DE7081">
      <w:pPr>
        <w:pStyle w:val="Heading3"/>
      </w:pPr>
      <w:bookmarkStart w:id="11" w:name="_Toc214496245"/>
      <w:r>
        <w:t>3.1.3 Response to Technological Forces</w:t>
      </w:r>
      <w:bookmarkEnd w:id="11"/>
    </w:p>
    <w:p w14:paraId="3E9C6515" w14:textId="77777777" w:rsidR="00DE7081" w:rsidRDefault="00DE7081" w:rsidP="00DE7081">
      <w:pPr>
        <w:rPr>
          <w:color w:val="000000"/>
        </w:rPr>
      </w:pPr>
      <w:r>
        <w:rPr>
          <w:color w:val="000000"/>
        </w:rPr>
        <w:t xml:space="preserve">Technology increases the differentiation ability of Tesco. It has one of the most developed digital ecosystems within the UK grocery. The Tesco App and Clubcard platform allow making personal offers and engaging the customer. These online buzzes make Tesco stand out as a convenient and value-centric store. At the same time, automation and AI lower the labour intensity, operational waste, which indirectly uphold cost leadership (Valiño </w:t>
      </w:r>
      <w:r>
        <w:rPr>
          <w:i/>
          <w:iCs/>
          <w:color w:val="000000"/>
        </w:rPr>
        <w:t>et al.</w:t>
      </w:r>
      <w:r>
        <w:rPr>
          <w:color w:val="000000"/>
        </w:rPr>
        <w:t>, 2023). The omnichannel services provided by Tesco, such as online delivery, click-and-collect, speedy delivery arrangements, etc, allow the company to offer a smooth shopping experience. Competitors can hardly replicate this ecosystem within a short time. The hybrid strategy of Tesco is enhanced by the fact that technology is increasing its value chain and operational efficiency.</w:t>
      </w:r>
    </w:p>
    <w:p w14:paraId="10DEA42F" w14:textId="77777777" w:rsidR="00DE7081" w:rsidRDefault="00DE7081" w:rsidP="00DE7081">
      <w:pPr>
        <w:pStyle w:val="Heading3"/>
      </w:pPr>
      <w:bookmarkStart w:id="12" w:name="_Toc214496246"/>
      <w:r>
        <w:t>3.1.4 Critical Evaluation</w:t>
      </w:r>
      <w:bookmarkEnd w:id="12"/>
    </w:p>
    <w:p w14:paraId="484D527A" w14:textId="138100E4" w:rsidR="00DE7081" w:rsidRDefault="00DE7081" w:rsidP="00DE7081">
      <w:pPr>
        <w:rPr>
          <w:color w:val="000000"/>
        </w:rPr>
      </w:pPr>
      <w:r>
        <w:rPr>
          <w:color w:val="000000"/>
        </w:rPr>
        <w:t>There are strengths of Tesco</w:t>
      </w:r>
      <w:r>
        <w:rPr>
          <w:color w:val="000000"/>
          <w:lang w:val="en-US"/>
        </w:rPr>
        <w:t>’s</w:t>
      </w:r>
      <w:r>
        <w:rPr>
          <w:color w:val="000000"/>
        </w:rPr>
        <w:t xml:space="preserve"> hybrid strategy. Competitive strength is supported by its brand strength, information and omnichannel access. The hybrid model enables Tesco to juggle between service-based differentiation and affordability. Nonetheless, the risks can also be found in the model. The pressure on margins is created by constant investment in technology and the improvement of supply chains. The recession periods further complicate this situation </w:t>
      </w:r>
      <w:r>
        <w:rPr>
          <w:color w:val="000000"/>
        </w:rPr>
        <w:lastRenderedPageBreak/>
        <w:t xml:space="preserve">because Tesco has to offset the innovative expenses against low-cost promises. Strategic blur is something that can happen. When Tesco competes too much on prices, then they compromise the differentiated value; when they invest too much </w:t>
      </w:r>
      <w:proofErr w:type="spellStart"/>
      <w:r>
        <w:rPr>
          <w:color w:val="000000"/>
          <w:lang w:val="en-US"/>
        </w:rPr>
        <w:t>i</w:t>
      </w:r>
      <w:proofErr w:type="spellEnd"/>
      <w:r>
        <w:rPr>
          <w:color w:val="000000"/>
        </w:rPr>
        <w:t>n service or digital innovation, they compromise the price gap with the discounters. Tesco has to recalibrate regularly. Its competitiveness is based on the need to strike the right balance between cost and differentiation and adjust to the unpredictable macro forces.</w:t>
      </w:r>
    </w:p>
    <w:p w14:paraId="5961DD06" w14:textId="77777777" w:rsidR="00DE7081" w:rsidRDefault="00DE7081" w:rsidP="00DE7081">
      <w:pPr>
        <w:rPr>
          <w:color w:val="000000"/>
        </w:rPr>
      </w:pPr>
    </w:p>
    <w:p w14:paraId="1A690CB1" w14:textId="77777777" w:rsidR="00DE7081" w:rsidRDefault="00DE7081" w:rsidP="00DE7081">
      <w:pPr>
        <w:pStyle w:val="Heading2"/>
      </w:pPr>
      <w:bookmarkStart w:id="13" w:name="_Toc214496247"/>
      <w:r>
        <w:t>3.2 Follower Organisation’s Strategic Responses (Aldi) — Using Porter’s Generic Strategies</w:t>
      </w:r>
      <w:bookmarkEnd w:id="13"/>
      <w:r>
        <w:t> </w:t>
      </w:r>
    </w:p>
    <w:p w14:paraId="4B18B027" w14:textId="77777777" w:rsidR="00DE7081" w:rsidRDefault="00DE7081" w:rsidP="00DE7081">
      <w:pPr>
        <w:pStyle w:val="Heading3"/>
      </w:pPr>
      <w:bookmarkStart w:id="14" w:name="_Toc214496248"/>
      <w:r>
        <w:t>3.2.1 Aldi’s Strategic Logic Under Porter</w:t>
      </w:r>
      <w:bookmarkEnd w:id="14"/>
    </w:p>
    <w:p w14:paraId="0D2A9772" w14:textId="445F0815" w:rsidR="00DE7081" w:rsidRDefault="00DE7081" w:rsidP="00DE7081">
      <w:pPr>
        <w:rPr>
          <w:color w:val="000000"/>
        </w:rPr>
      </w:pPr>
      <w:r>
        <w:rPr>
          <w:color w:val="000000"/>
        </w:rPr>
        <w:t>Aldi pursues a pure cost-leadership approach. The model of its business fits the principles of cost focus of Porter well. Aldi keeps it simple to achieve efficiency. It has a narrow mix of SKU</w:t>
      </w:r>
      <w:r>
        <w:rPr>
          <w:color w:val="000000"/>
          <w:lang w:val="en-US"/>
        </w:rPr>
        <w:t>s</w:t>
      </w:r>
      <w:r>
        <w:rPr>
          <w:color w:val="000000"/>
        </w:rPr>
        <w:t>, is dependent on house brands and structures stores based on speed and simplicity. All the strategic decisions are an obsession with cost</w:t>
      </w:r>
      <w:r>
        <w:rPr>
          <w:color w:val="000000"/>
          <w:lang w:val="en-US"/>
        </w:rPr>
        <w:t>-</w:t>
      </w:r>
      <w:r>
        <w:rPr>
          <w:color w:val="000000"/>
        </w:rPr>
        <w:t xml:space="preserve">cutting (Timoumi, Gangwar and Mantrala, 2022). It has a flat organisational structure, streamlined supply chain and </w:t>
      </w:r>
      <w:r>
        <w:rPr>
          <w:color w:val="000000"/>
          <w:lang w:val="en-US"/>
        </w:rPr>
        <w:t xml:space="preserve">a </w:t>
      </w:r>
      <w:r>
        <w:rPr>
          <w:color w:val="000000"/>
        </w:rPr>
        <w:t>purposely minimal in-store environment. Such alignment is boosting the capability of Aldi to keep operating costs in the sector at the lowest possible. Its strategy is transparent, strict and not easy to be imitated by competitors until structural change.</w:t>
      </w:r>
    </w:p>
    <w:p w14:paraId="3600AAA2" w14:textId="77777777" w:rsidR="00DE7081" w:rsidRDefault="00DE7081" w:rsidP="00DE7081">
      <w:pPr>
        <w:rPr>
          <w:color w:val="000000"/>
        </w:rPr>
      </w:pPr>
    </w:p>
    <w:p w14:paraId="529EE7DC" w14:textId="77777777" w:rsidR="00DE7081" w:rsidRDefault="00DE7081" w:rsidP="00DE7081">
      <w:pPr>
        <w:pStyle w:val="Heading3"/>
      </w:pPr>
      <w:bookmarkStart w:id="15" w:name="_Toc214496249"/>
      <w:r>
        <w:t>3.2.2 Response to Economic Forces</w:t>
      </w:r>
      <w:bookmarkEnd w:id="15"/>
    </w:p>
    <w:p w14:paraId="3531C90D" w14:textId="4EA48AA5" w:rsidR="00DE7081" w:rsidRDefault="00DE7081" w:rsidP="00DE7081">
      <w:pPr>
        <w:rPr>
          <w:color w:val="000000"/>
        </w:rPr>
      </w:pPr>
      <w:r>
        <w:rPr>
          <w:color w:val="000000"/>
        </w:rPr>
        <w:t>Economic pressure is a great advantage to Aldi. The issue of costs of living is making consumers turn to discount formats</w:t>
      </w:r>
      <w:r>
        <w:rPr>
          <w:color w:val="000000"/>
          <w:lang w:val="en-US"/>
        </w:rPr>
        <w:t>,</w:t>
      </w:r>
      <w:r>
        <w:rPr>
          <w:color w:val="000000"/>
        </w:rPr>
        <w:t xml:space="preserve"> and Aldi stands in the right place to react. It supports its value proposition through reinforcing its lines of private labels that cost less to manufacture and are sometimes viewed as quality. Close SKU management safeguards Aldi against inflation due to the fact that the number of products is reduced</w:t>
      </w:r>
      <w:r>
        <w:rPr>
          <w:color w:val="000000"/>
          <w:lang w:val="en-US"/>
        </w:rPr>
        <w:t>,</w:t>
      </w:r>
      <w:r>
        <w:rPr>
          <w:color w:val="000000"/>
        </w:rPr>
        <w:t xml:space="preserve"> and so, the supplier negotiations of products are volatile (Asmare and Zewdie, 2022). Aldi maintains low costs predictably. Another strategic move is expanding the stores in an economic recession. Aldi is expanding its physical presence, taking over new local markets and growing nationally, as shoppers are looking to shop at lower prices. Economic restrictions, however, intensify the performance of the rigid cost leadership of Aldi.</w:t>
      </w:r>
    </w:p>
    <w:p w14:paraId="51FAC14D" w14:textId="77777777" w:rsidR="00DE7081" w:rsidRDefault="00DE7081" w:rsidP="00DE7081">
      <w:pPr>
        <w:pStyle w:val="Heading3"/>
      </w:pPr>
      <w:bookmarkStart w:id="16" w:name="_Toc214496250"/>
      <w:r>
        <w:lastRenderedPageBreak/>
        <w:t>3.2.3 Response to Technological Forces</w:t>
      </w:r>
      <w:bookmarkEnd w:id="16"/>
    </w:p>
    <w:p w14:paraId="1BD68F0D" w14:textId="6B3B373A" w:rsidR="00DE7081" w:rsidRDefault="00166042" w:rsidP="00DE7081">
      <w:pPr>
        <w:rPr>
          <w:color w:val="000000"/>
        </w:rPr>
      </w:pPr>
      <w:r w:rsidRPr="00166042">
        <w:rPr>
          <w:color w:val="000000"/>
        </w:rPr>
        <w:t xml:space="preserve">Aldi is not </w:t>
      </w:r>
      <w:r>
        <w:rPr>
          <w:color w:val="000000"/>
          <w:lang w:val="en-US"/>
        </w:rPr>
        <w:t>really</w:t>
      </w:r>
      <w:r w:rsidRPr="00166042">
        <w:rPr>
          <w:color w:val="000000"/>
        </w:rPr>
        <w:t xml:space="preserve"> fast </w:t>
      </w:r>
      <w:r>
        <w:rPr>
          <w:color w:val="000000"/>
          <w:lang w:val="en-US"/>
        </w:rPr>
        <w:t xml:space="preserve">in terms of using new </w:t>
      </w:r>
      <w:r w:rsidRPr="00166042">
        <w:rPr>
          <w:color w:val="000000"/>
        </w:rPr>
        <w:t>technolog</w:t>
      </w:r>
      <w:r>
        <w:rPr>
          <w:color w:val="000000"/>
          <w:lang w:val="en-US"/>
        </w:rPr>
        <w:t>y</w:t>
      </w:r>
      <w:r w:rsidRPr="00166042">
        <w:rPr>
          <w:color w:val="000000"/>
        </w:rPr>
        <w:t>. The company will not invest in any initiatives that fail to produce the intended impact unless that initiative is related to the cost-</w:t>
      </w:r>
      <w:r w:rsidRPr="008F3BD0">
        <w:t>leadership strategy</w:t>
      </w:r>
      <w:r w:rsidR="008F3BD0" w:rsidRPr="008F3BD0">
        <w:rPr>
          <w:lang w:val="en-US"/>
        </w:rPr>
        <w:t xml:space="preserve"> </w:t>
      </w:r>
      <w:r w:rsidR="008F3BD0" w:rsidRPr="008F3BD0">
        <w:t>(Grigoli and Pugacheva, 2024)</w:t>
      </w:r>
      <w:r w:rsidRPr="008F3BD0">
        <w:t xml:space="preserve">. Instead of building a costly online platform, Aldi contracts this service to third-party </w:t>
      </w:r>
      <w:r w:rsidRPr="00166042">
        <w:rPr>
          <w:color w:val="000000"/>
        </w:rPr>
        <w:t xml:space="preserve">providers like Deliveroo and, thus, making its transition to online grocery services cost-effective and low-risk. </w:t>
      </w:r>
      <w:r w:rsidR="008F3BD0">
        <w:rPr>
          <w:color w:val="000000"/>
          <w:lang w:val="en-US"/>
        </w:rPr>
        <w:t xml:space="preserve">Aldi </w:t>
      </w:r>
      <w:r w:rsidR="001674DC">
        <w:rPr>
          <w:color w:val="000000"/>
          <w:lang w:val="en-US"/>
        </w:rPr>
        <w:t>believes that</w:t>
      </w:r>
      <w:r w:rsidR="008F3BD0">
        <w:rPr>
          <w:color w:val="000000"/>
          <w:lang w:val="en-US"/>
        </w:rPr>
        <w:t xml:space="preserve"> automation </w:t>
      </w:r>
      <w:r w:rsidR="001674DC">
        <w:rPr>
          <w:color w:val="000000"/>
          <w:lang w:val="en-US"/>
        </w:rPr>
        <w:t xml:space="preserve">should be used for cost-cutting (less </w:t>
      </w:r>
      <w:proofErr w:type="spellStart"/>
      <w:r w:rsidR="001674DC">
        <w:rPr>
          <w:color w:val="000000"/>
          <w:lang w:val="en-US"/>
        </w:rPr>
        <w:t>labour</w:t>
      </w:r>
      <w:proofErr w:type="spellEnd"/>
      <w:r w:rsidR="001674DC">
        <w:rPr>
          <w:color w:val="000000"/>
          <w:lang w:val="en-US"/>
        </w:rPr>
        <w:t>)</w:t>
      </w:r>
      <w:r w:rsidR="008F3BD0">
        <w:rPr>
          <w:color w:val="000000"/>
          <w:lang w:val="en-US"/>
        </w:rPr>
        <w:t xml:space="preserve">, </w:t>
      </w:r>
      <w:r w:rsidR="001674DC">
        <w:rPr>
          <w:color w:val="000000"/>
          <w:lang w:val="en-US"/>
        </w:rPr>
        <w:t>because the company</w:t>
      </w:r>
      <w:r w:rsidR="008F3BD0">
        <w:rPr>
          <w:color w:val="000000"/>
          <w:lang w:val="en-US"/>
        </w:rPr>
        <w:t xml:space="preserve"> maintains a low-cost strategy.</w:t>
      </w:r>
      <w:r w:rsidR="00B1164C">
        <w:rPr>
          <w:color w:val="FF0000"/>
          <w:lang w:val="en-US"/>
        </w:rPr>
        <w:t xml:space="preserve"> </w:t>
      </w:r>
      <w:r w:rsidRPr="00166042">
        <w:rPr>
          <w:color w:val="000000"/>
        </w:rPr>
        <w:t xml:space="preserve">On the whole, its strategy is an illustration of </w:t>
      </w:r>
      <w:r>
        <w:rPr>
          <w:color w:val="000000"/>
          <w:lang w:val="en-US"/>
        </w:rPr>
        <w:t xml:space="preserve">a </w:t>
      </w:r>
      <w:r w:rsidRPr="00166042">
        <w:rPr>
          <w:color w:val="000000"/>
        </w:rPr>
        <w:t>strict Porterian approach: technology is a tool of efficiency, not a differentiator.</w:t>
      </w:r>
    </w:p>
    <w:p w14:paraId="113AA4AA" w14:textId="77777777" w:rsidR="00DE7081" w:rsidRDefault="00DE7081" w:rsidP="00DE7081">
      <w:pPr>
        <w:pStyle w:val="Heading3"/>
      </w:pPr>
      <w:bookmarkStart w:id="17" w:name="_Toc214496251"/>
      <w:r>
        <w:t>3.2.4 Critical Evaluation</w:t>
      </w:r>
      <w:bookmarkEnd w:id="17"/>
    </w:p>
    <w:p w14:paraId="11CBD76A" w14:textId="16D608A9" w:rsidR="00DE7081" w:rsidRDefault="00DE7081" w:rsidP="00DE7081">
      <w:pPr>
        <w:rPr>
          <w:color w:val="000000"/>
        </w:rPr>
      </w:pPr>
      <w:r>
        <w:rPr>
          <w:color w:val="000000"/>
        </w:rPr>
        <w:t>There are strengths of Aldi in terms of its cost-leadership strategy. Its simplicity of operation brings about efficiency, robustness and proper performance during inflationary times. The brand is easily understandable</w:t>
      </w:r>
      <w:r>
        <w:rPr>
          <w:color w:val="000000"/>
          <w:lang w:val="en-US"/>
        </w:rPr>
        <w:t>,</w:t>
      </w:r>
      <w:r>
        <w:rPr>
          <w:color w:val="000000"/>
        </w:rPr>
        <w:t xml:space="preserve"> and this builds consumer trust. Nevertheless, its shortcomings are also apparent. The digital capacity of Aldi is incomparable with Tesco. The lack of a loyalty ecosystem undermines data-based decision-making. Online presence is limited</w:t>
      </w:r>
      <w:r>
        <w:rPr>
          <w:color w:val="000000"/>
          <w:lang w:val="en-US"/>
        </w:rPr>
        <w:t>,</w:t>
      </w:r>
      <w:r>
        <w:rPr>
          <w:color w:val="000000"/>
        </w:rPr>
        <w:t xml:space="preserve"> which limits competitiveness in an environment where digital convenience is taking centre stage (Hoenink </w:t>
      </w:r>
      <w:r>
        <w:rPr>
          <w:i/>
          <w:iCs/>
          <w:color w:val="000000"/>
        </w:rPr>
        <w:t>et al.</w:t>
      </w:r>
      <w:r>
        <w:rPr>
          <w:color w:val="000000"/>
        </w:rPr>
        <w:t>, 2024). Aldi also runs the risk of lagging as the industry becomes increasingly technological. Cost leadership</w:t>
      </w:r>
      <w:r>
        <w:rPr>
          <w:color w:val="000000"/>
          <w:lang w:val="en-US"/>
        </w:rPr>
        <w:t>,</w:t>
      </w:r>
      <w:r>
        <w:rPr>
          <w:color w:val="000000"/>
        </w:rPr>
        <w:t xml:space="preserve"> in strict terms</w:t>
      </w:r>
      <w:r>
        <w:rPr>
          <w:color w:val="000000"/>
          <w:lang w:val="en-US"/>
        </w:rPr>
        <w:t>,</w:t>
      </w:r>
      <w:r>
        <w:rPr>
          <w:color w:val="000000"/>
        </w:rPr>
        <w:t xml:space="preserve"> will help in short-term competition, particularly during recessionary periods, but </w:t>
      </w:r>
      <w:r>
        <w:rPr>
          <w:color w:val="000000"/>
          <w:lang w:val="en-US"/>
        </w:rPr>
        <w:t xml:space="preserve">will </w:t>
      </w:r>
      <w:r>
        <w:rPr>
          <w:color w:val="000000"/>
        </w:rPr>
        <w:t>undermine long-term digital preparedness. Aldi has to make a choice on whether absolute cost leadership is worth more than the strategy risk of low technological involvement.</w:t>
      </w:r>
    </w:p>
    <w:p w14:paraId="5413C630" w14:textId="77777777" w:rsidR="00DE7081" w:rsidRDefault="00DE7081" w:rsidP="00DE7081">
      <w:pPr>
        <w:rPr>
          <w:color w:val="000000"/>
        </w:rPr>
      </w:pPr>
    </w:p>
    <w:p w14:paraId="31433D6B" w14:textId="77777777" w:rsidR="00DE7081" w:rsidRDefault="00DE7081">
      <w:pPr>
        <w:spacing w:after="160" w:line="259" w:lineRule="auto"/>
        <w:jc w:val="left"/>
        <w:rPr>
          <w:color w:val="000000"/>
          <w:sz w:val="46"/>
          <w:szCs w:val="46"/>
        </w:rPr>
      </w:pPr>
      <w:r>
        <w:rPr>
          <w:color w:val="000000"/>
          <w:sz w:val="46"/>
          <w:szCs w:val="46"/>
        </w:rPr>
        <w:br w:type="page"/>
      </w:r>
    </w:p>
    <w:p w14:paraId="15A7009F" w14:textId="266AAAB8" w:rsidR="00DE7081" w:rsidRDefault="00DE7081" w:rsidP="00DE7081">
      <w:pPr>
        <w:pStyle w:val="Heading1"/>
      </w:pPr>
      <w:bookmarkStart w:id="18" w:name="_Toc214496252"/>
      <w:r>
        <w:lastRenderedPageBreak/>
        <w:t>4. CONCLUSION</w:t>
      </w:r>
      <w:bookmarkEnd w:id="18"/>
    </w:p>
    <w:p w14:paraId="42CF9DCB" w14:textId="6E133702" w:rsidR="00DE7081" w:rsidRDefault="00DE7081" w:rsidP="00DE7081">
      <w:pPr>
        <w:rPr>
          <w:color w:val="000000"/>
        </w:rPr>
      </w:pPr>
      <w:r>
        <w:rPr>
          <w:color w:val="000000"/>
        </w:rPr>
        <w:t>The economic and technological forces are transforming competition in the UK supermarket industry and redefining the processes in which value is created. The two companies</w:t>
      </w:r>
      <w:r>
        <w:rPr>
          <w:color w:val="000000"/>
          <w:lang w:val="en-US"/>
        </w:rPr>
        <w:t>,</w:t>
      </w:r>
      <w:r>
        <w:rPr>
          <w:color w:val="000000"/>
        </w:rPr>
        <w:t xml:space="preserve"> Tesco and Aldi</w:t>
      </w:r>
      <w:r>
        <w:rPr>
          <w:color w:val="000000"/>
          <w:lang w:val="en-US"/>
        </w:rPr>
        <w:t>,</w:t>
      </w:r>
      <w:r>
        <w:rPr>
          <w:color w:val="000000"/>
        </w:rPr>
        <w:t xml:space="preserve"> face the same pressure in the external environment; however, their reactions differ since they follow different strategic rationales (Rivera, Amorim and Reis, 2022). Tesco works as a pioneer, adjusting its hybrid model to balance the aspects of cost and digital differentiation. Aldi is a follower which strengthens the hard cost leadership to maintain its low price brand. These differences explain the strategic significance of environmental scanning. Companies that pay attention to macro forces will be able to reposition faster and build stronger competitive advantages. The Generic Strategies developed by Porter explain the differences between respect to pioneers and followers, and the differences between the approaches, which have their own set of strengths and threats (Shankar </w:t>
      </w:r>
      <w:r>
        <w:rPr>
          <w:i/>
          <w:iCs/>
          <w:color w:val="000000"/>
        </w:rPr>
        <w:t>et al.</w:t>
      </w:r>
      <w:r>
        <w:rPr>
          <w:color w:val="000000"/>
        </w:rPr>
        <w:t>, 2021). In the future, Tesco will be able to cope with the balance of cost and value, and the long-term survival of Aldi will depend on its potential to retain the cost advantage and selectively respond to the change of technology. The two entities have to be agile in a market that is rapidly changing.</w:t>
      </w:r>
    </w:p>
    <w:p w14:paraId="31E539E8" w14:textId="77777777" w:rsidR="00DE7081" w:rsidRDefault="00DE7081" w:rsidP="00DE7081">
      <w:pPr>
        <w:rPr>
          <w:color w:val="000000"/>
        </w:rPr>
      </w:pPr>
      <w:r>
        <w:rPr>
          <w:color w:val="000000"/>
        </w:rPr>
        <w:br/>
      </w:r>
    </w:p>
    <w:p w14:paraId="0CF2F32A" w14:textId="77777777" w:rsidR="00DE7081" w:rsidRDefault="00DE7081">
      <w:pPr>
        <w:spacing w:after="160" w:line="259" w:lineRule="auto"/>
        <w:jc w:val="left"/>
        <w:rPr>
          <w:color w:val="000000"/>
        </w:rPr>
      </w:pPr>
      <w:r>
        <w:rPr>
          <w:color w:val="000000"/>
        </w:rPr>
        <w:br w:type="page"/>
      </w:r>
    </w:p>
    <w:p w14:paraId="41EB45DC" w14:textId="424B10A6" w:rsidR="00DE7081" w:rsidRPr="00DE7081" w:rsidRDefault="00DE7081" w:rsidP="00DE7081">
      <w:pPr>
        <w:pStyle w:val="Heading1"/>
        <w:rPr>
          <w:lang w:val="en-US"/>
        </w:rPr>
      </w:pPr>
      <w:bookmarkStart w:id="19" w:name="_Toc214496253"/>
      <w:r>
        <w:lastRenderedPageBreak/>
        <w:t>REFERENCE</w:t>
      </w:r>
      <w:r>
        <w:rPr>
          <w:lang w:val="en-US"/>
        </w:rPr>
        <w:t>S</w:t>
      </w:r>
      <w:bookmarkEnd w:id="19"/>
    </w:p>
    <w:p w14:paraId="3F9EC73C" w14:textId="3ECB2DCA" w:rsidR="00BE6D33" w:rsidRPr="00BE6D33" w:rsidRDefault="00DE7081" w:rsidP="00BE6D33">
      <w:pPr>
        <w:rPr>
          <w:color w:val="000000"/>
          <w:lang w:val="en-US"/>
        </w:rPr>
      </w:pPr>
      <w:r>
        <w:rPr>
          <w:color w:val="000000"/>
        </w:rPr>
        <w:t xml:space="preserve">Asmare, A. and Zewdie, S. (2022) ‘Omnichannel Retailing Strategy: a Systematic Review’, </w:t>
      </w:r>
      <w:r>
        <w:rPr>
          <w:i/>
          <w:iCs/>
          <w:color w:val="000000"/>
        </w:rPr>
        <w:t>The International Review of Retail, Distribution and Consumer Research</w:t>
      </w:r>
      <w:r>
        <w:rPr>
          <w:color w:val="000000"/>
        </w:rPr>
        <w:t xml:space="preserve">, 32(1), pp. 1–21. Available at: </w:t>
      </w:r>
      <w:hyperlink r:id="rId9" w:history="1">
        <w:r w:rsidR="00BE6D33" w:rsidRPr="00166048">
          <w:rPr>
            <w:rStyle w:val="Hyperlink"/>
          </w:rPr>
          <w:t>https://doi.org/10.1080/09593969.2021.202</w:t>
        </w:r>
        <w:r w:rsidR="00BE6D33" w:rsidRPr="00166048">
          <w:rPr>
            <w:rStyle w:val="Hyperlink"/>
          </w:rPr>
          <w:t>4</w:t>
        </w:r>
        <w:r w:rsidR="00BE6D33" w:rsidRPr="00166048">
          <w:rPr>
            <w:rStyle w:val="Hyperlink"/>
          </w:rPr>
          <w:t>447</w:t>
        </w:r>
      </w:hyperlink>
      <w:r>
        <w:rPr>
          <w:color w:val="000000"/>
        </w:rPr>
        <w:t>.</w:t>
      </w:r>
    </w:p>
    <w:p w14:paraId="1D9F23FF" w14:textId="63610624" w:rsidR="00BE6D33" w:rsidRPr="00BE6D33" w:rsidRDefault="00DE7081" w:rsidP="00DE7081">
      <w:pPr>
        <w:rPr>
          <w:color w:val="000000"/>
          <w:lang w:val="en-US"/>
        </w:rPr>
      </w:pPr>
      <w:r>
        <w:rPr>
          <w:color w:val="000000"/>
        </w:rPr>
        <w:t xml:space="preserve">Grigoli, F. and Evgenia Pugacheva (2024) ‘COVID-19 Inflation Weights in the UK and Germany’, </w:t>
      </w:r>
      <w:r>
        <w:rPr>
          <w:i/>
          <w:iCs/>
          <w:color w:val="000000"/>
        </w:rPr>
        <w:t>Journal of Macroeconomics</w:t>
      </w:r>
      <w:r>
        <w:rPr>
          <w:color w:val="000000"/>
        </w:rPr>
        <w:t xml:space="preserve">, 79, pp. 103543–103543. Available at: </w:t>
      </w:r>
      <w:hyperlink r:id="rId10" w:history="1">
        <w:r w:rsidR="00BE6D33" w:rsidRPr="00166048">
          <w:rPr>
            <w:rStyle w:val="Hyperlink"/>
          </w:rPr>
          <w:t>https://doi.org/10.1016/j.jmacro.20</w:t>
        </w:r>
        <w:r w:rsidR="00BE6D33" w:rsidRPr="00166048">
          <w:rPr>
            <w:rStyle w:val="Hyperlink"/>
          </w:rPr>
          <w:t>2</w:t>
        </w:r>
        <w:r w:rsidR="00BE6D33" w:rsidRPr="00166048">
          <w:rPr>
            <w:rStyle w:val="Hyperlink"/>
          </w:rPr>
          <w:t>3.103543</w:t>
        </w:r>
      </w:hyperlink>
      <w:r>
        <w:rPr>
          <w:color w:val="000000"/>
        </w:rPr>
        <w:t>.</w:t>
      </w:r>
    </w:p>
    <w:p w14:paraId="40809B3C" w14:textId="3559A58C" w:rsidR="00BE6D33" w:rsidRPr="00BE6D33" w:rsidRDefault="00DE7081" w:rsidP="00DE7081">
      <w:pPr>
        <w:rPr>
          <w:color w:val="000000"/>
          <w:lang w:val="en-US"/>
        </w:rPr>
      </w:pPr>
      <w:r>
        <w:rPr>
          <w:color w:val="000000"/>
        </w:rPr>
        <w:t xml:space="preserve">Hoenink, J.C. </w:t>
      </w:r>
      <w:r>
        <w:rPr>
          <w:i/>
          <w:iCs/>
          <w:color w:val="000000"/>
        </w:rPr>
        <w:t>et al.</w:t>
      </w:r>
      <w:r>
        <w:rPr>
          <w:color w:val="000000"/>
        </w:rPr>
        <w:t xml:space="preserve"> (2024) ‘Changes in UK Price Disparities between Healthy and Less Healthy Foods over 10 years: an Updated Analysis with Insights in the Context of Inflationary Increases in the cost-of-living from 2021’, </w:t>
      </w:r>
      <w:r>
        <w:rPr>
          <w:i/>
          <w:iCs/>
          <w:color w:val="000000"/>
        </w:rPr>
        <w:t>Appetite</w:t>
      </w:r>
      <w:r>
        <w:rPr>
          <w:color w:val="000000"/>
        </w:rPr>
        <w:t xml:space="preserve">, 197, pp. 107290–107290. Available at: </w:t>
      </w:r>
      <w:hyperlink r:id="rId11" w:history="1">
        <w:r w:rsidR="00BE6D33" w:rsidRPr="00166048">
          <w:rPr>
            <w:rStyle w:val="Hyperlink"/>
          </w:rPr>
          <w:t>https://doi.org/10.1016/j.appet.202</w:t>
        </w:r>
        <w:r w:rsidR="00BE6D33" w:rsidRPr="00166048">
          <w:rPr>
            <w:rStyle w:val="Hyperlink"/>
          </w:rPr>
          <w:t>4</w:t>
        </w:r>
        <w:r w:rsidR="00BE6D33" w:rsidRPr="00166048">
          <w:rPr>
            <w:rStyle w:val="Hyperlink"/>
          </w:rPr>
          <w:t>.107290</w:t>
        </w:r>
      </w:hyperlink>
      <w:r>
        <w:rPr>
          <w:color w:val="000000"/>
        </w:rPr>
        <w:t>.</w:t>
      </w:r>
    </w:p>
    <w:p w14:paraId="48BD03C0" w14:textId="63E0676B" w:rsidR="00BE6D33" w:rsidRPr="00BE6D33" w:rsidRDefault="00DE7081" w:rsidP="00DE7081">
      <w:pPr>
        <w:rPr>
          <w:color w:val="000000"/>
          <w:lang w:val="en-US"/>
        </w:rPr>
      </w:pPr>
      <w:r>
        <w:rPr>
          <w:color w:val="000000"/>
        </w:rPr>
        <w:t xml:space="preserve">Rajagopal (2022) ‘Impact of retailing technology during business shutdown’, </w:t>
      </w:r>
      <w:r>
        <w:rPr>
          <w:i/>
          <w:iCs/>
          <w:color w:val="000000"/>
        </w:rPr>
        <w:t>Marketing Intelligence &amp; Planning</w:t>
      </w:r>
      <w:r>
        <w:rPr>
          <w:color w:val="000000"/>
        </w:rPr>
        <w:t xml:space="preserve">, 40(4). Available at: </w:t>
      </w:r>
      <w:hyperlink r:id="rId12" w:history="1">
        <w:r w:rsidR="00BE6D33" w:rsidRPr="00166048">
          <w:rPr>
            <w:rStyle w:val="Hyperlink"/>
          </w:rPr>
          <w:t>https://doi.org/10.110</w:t>
        </w:r>
        <w:r w:rsidR="00BE6D33" w:rsidRPr="00166048">
          <w:rPr>
            <w:rStyle w:val="Hyperlink"/>
          </w:rPr>
          <w:t>8</w:t>
        </w:r>
        <w:r w:rsidR="00BE6D33" w:rsidRPr="00166048">
          <w:rPr>
            <w:rStyle w:val="Hyperlink"/>
          </w:rPr>
          <w:t>/mip-08-2021-0255</w:t>
        </w:r>
      </w:hyperlink>
      <w:r>
        <w:rPr>
          <w:color w:val="000000"/>
        </w:rPr>
        <w:t>.</w:t>
      </w:r>
    </w:p>
    <w:p w14:paraId="26CFFBB7" w14:textId="5A127A96" w:rsidR="00BE6D33" w:rsidRPr="00BE6D33" w:rsidRDefault="00DE7081" w:rsidP="00DE7081">
      <w:pPr>
        <w:rPr>
          <w:color w:val="000000"/>
          <w:lang w:val="en-US"/>
        </w:rPr>
      </w:pPr>
      <w:r>
        <w:rPr>
          <w:color w:val="000000"/>
        </w:rPr>
        <w:t xml:space="preserve">Rivera, R., Amorim, M. and Reis, J. (2022) ‘Technological Disruption in Grocery Retail: An Overview of the Last Decade (2012–2021)’, </w:t>
      </w:r>
      <w:r>
        <w:rPr>
          <w:i/>
          <w:iCs/>
          <w:color w:val="000000"/>
        </w:rPr>
        <w:t>Springer Proceedings in Mathematics &amp; Statistics</w:t>
      </w:r>
      <w:r>
        <w:rPr>
          <w:color w:val="000000"/>
        </w:rPr>
        <w:t xml:space="preserve">, 400, pp. 313–331. Available at: </w:t>
      </w:r>
      <w:hyperlink r:id="rId13" w:history="1">
        <w:r w:rsidR="00BE6D33" w:rsidRPr="00166048">
          <w:rPr>
            <w:rStyle w:val="Hyperlink"/>
          </w:rPr>
          <w:t>https://doi.org/10.1007/978-3-</w:t>
        </w:r>
        <w:r w:rsidR="00BE6D33" w:rsidRPr="00166048">
          <w:rPr>
            <w:rStyle w:val="Hyperlink"/>
          </w:rPr>
          <w:t>0</w:t>
        </w:r>
        <w:r w:rsidR="00BE6D33" w:rsidRPr="00166048">
          <w:rPr>
            <w:rStyle w:val="Hyperlink"/>
          </w:rPr>
          <w:t>31-14763-0_25</w:t>
        </w:r>
      </w:hyperlink>
      <w:r>
        <w:rPr>
          <w:color w:val="000000"/>
        </w:rPr>
        <w:t>.</w:t>
      </w:r>
    </w:p>
    <w:p w14:paraId="2E7C7025" w14:textId="37789A38" w:rsidR="00BE6D33" w:rsidRPr="00BE6D33" w:rsidRDefault="00DE7081" w:rsidP="00DE7081">
      <w:pPr>
        <w:rPr>
          <w:color w:val="000000"/>
          <w:lang w:val="en-US"/>
        </w:rPr>
      </w:pPr>
      <w:r>
        <w:rPr>
          <w:color w:val="000000"/>
        </w:rPr>
        <w:t xml:space="preserve">Shankar, V. </w:t>
      </w:r>
      <w:r>
        <w:rPr>
          <w:i/>
          <w:iCs/>
          <w:color w:val="000000"/>
        </w:rPr>
        <w:t>et al.</w:t>
      </w:r>
      <w:r>
        <w:rPr>
          <w:color w:val="000000"/>
        </w:rPr>
        <w:t xml:space="preserve"> (2021) ‘How Technology Is Changing Retail’, </w:t>
      </w:r>
      <w:r>
        <w:rPr>
          <w:i/>
          <w:iCs/>
          <w:color w:val="000000"/>
        </w:rPr>
        <w:t>Journal of Retailing</w:t>
      </w:r>
      <w:r>
        <w:rPr>
          <w:color w:val="000000"/>
        </w:rPr>
        <w:t xml:space="preserve">, 97(1), pp. 13–27. Available at: </w:t>
      </w:r>
      <w:hyperlink r:id="rId14" w:history="1">
        <w:r w:rsidR="00BE6D33" w:rsidRPr="00166048">
          <w:rPr>
            <w:rStyle w:val="Hyperlink"/>
          </w:rPr>
          <w:t>https://doi.org/10</w:t>
        </w:r>
        <w:r w:rsidR="00BE6D33" w:rsidRPr="00166048">
          <w:rPr>
            <w:rStyle w:val="Hyperlink"/>
          </w:rPr>
          <w:t>.</w:t>
        </w:r>
        <w:r w:rsidR="00BE6D33" w:rsidRPr="00166048">
          <w:rPr>
            <w:rStyle w:val="Hyperlink"/>
          </w:rPr>
          <w:t>1016/j.jretai.2020.10.006</w:t>
        </w:r>
      </w:hyperlink>
      <w:r>
        <w:rPr>
          <w:color w:val="000000"/>
        </w:rPr>
        <w:t>.</w:t>
      </w:r>
    </w:p>
    <w:p w14:paraId="19B2A8C4" w14:textId="014392D1" w:rsidR="00BE6D33" w:rsidRPr="00BE6D33" w:rsidRDefault="00DE7081" w:rsidP="00DE7081">
      <w:pPr>
        <w:rPr>
          <w:color w:val="000000"/>
          <w:lang w:val="en-US"/>
        </w:rPr>
      </w:pPr>
      <w:r>
        <w:rPr>
          <w:color w:val="000000"/>
        </w:rPr>
        <w:t xml:space="preserve">Timoumi, A., Gangwar, M. and Mantrala, M.K. (2022) ‘Cross-channel effects of omnichannel retail marketing strategies: A review of extant data-driven research’, </w:t>
      </w:r>
      <w:r>
        <w:rPr>
          <w:i/>
          <w:iCs/>
          <w:color w:val="000000"/>
        </w:rPr>
        <w:t>Journal of Retailing</w:t>
      </w:r>
      <w:r>
        <w:rPr>
          <w:color w:val="000000"/>
        </w:rPr>
        <w:t xml:space="preserve">, 98(1). Available at: </w:t>
      </w:r>
      <w:hyperlink r:id="rId15" w:history="1">
        <w:r w:rsidR="00BE6D33" w:rsidRPr="00166048">
          <w:rPr>
            <w:rStyle w:val="Hyperlink"/>
          </w:rPr>
          <w:t>https://doi.org/10.1016/j.jretai.2</w:t>
        </w:r>
        <w:r w:rsidR="00BE6D33" w:rsidRPr="00166048">
          <w:rPr>
            <w:rStyle w:val="Hyperlink"/>
          </w:rPr>
          <w:t>0</w:t>
        </w:r>
        <w:r w:rsidR="00BE6D33" w:rsidRPr="00166048">
          <w:rPr>
            <w:rStyle w:val="Hyperlink"/>
          </w:rPr>
          <w:t>22.02.008</w:t>
        </w:r>
      </w:hyperlink>
      <w:r>
        <w:rPr>
          <w:color w:val="000000"/>
        </w:rPr>
        <w:t>.</w:t>
      </w:r>
    </w:p>
    <w:p w14:paraId="1625EF77" w14:textId="3A032E52" w:rsidR="00BE6D33" w:rsidRPr="00BE6D33" w:rsidRDefault="00DE7081" w:rsidP="00DE7081">
      <w:pPr>
        <w:rPr>
          <w:color w:val="000000"/>
          <w:lang w:val="en-US"/>
        </w:rPr>
      </w:pPr>
      <w:r>
        <w:rPr>
          <w:color w:val="000000"/>
        </w:rPr>
        <w:t xml:space="preserve">Torres-Rodríguez, A., Chiroque-Alvites, L. and Martín Mauricio-Andía (2025) ‘The Impact of Channel Integration on Consumer Purchasing Behaviour Within an Omnichannel Supermarket Environment’, </w:t>
      </w:r>
      <w:r>
        <w:rPr>
          <w:i/>
          <w:iCs/>
          <w:color w:val="000000"/>
        </w:rPr>
        <w:t>Smart innovation, systems and technologies</w:t>
      </w:r>
      <w:r>
        <w:rPr>
          <w:color w:val="000000"/>
        </w:rPr>
        <w:t xml:space="preserve">, 439, pp. 505–519. Available at: </w:t>
      </w:r>
      <w:hyperlink r:id="rId16" w:history="1">
        <w:r w:rsidR="00BE6D33" w:rsidRPr="00166048">
          <w:rPr>
            <w:rStyle w:val="Hyperlink"/>
          </w:rPr>
          <w:t>https://doi.org/10.1007/978-981-</w:t>
        </w:r>
        <w:r w:rsidR="00BE6D33" w:rsidRPr="00166048">
          <w:rPr>
            <w:rStyle w:val="Hyperlink"/>
          </w:rPr>
          <w:t>9</w:t>
        </w:r>
        <w:r w:rsidR="00BE6D33" w:rsidRPr="00166048">
          <w:rPr>
            <w:rStyle w:val="Hyperlink"/>
          </w:rPr>
          <w:t>6-3081-3_32</w:t>
        </w:r>
      </w:hyperlink>
      <w:r>
        <w:rPr>
          <w:color w:val="000000"/>
        </w:rPr>
        <w:t>.</w:t>
      </w:r>
    </w:p>
    <w:p w14:paraId="1CFCF2AB" w14:textId="6E998930" w:rsidR="00DE7081" w:rsidRDefault="00DE7081" w:rsidP="00DE7081">
      <w:pPr>
        <w:rPr>
          <w:color w:val="000000"/>
          <w:lang w:val="en-US"/>
        </w:rPr>
      </w:pPr>
      <w:r>
        <w:rPr>
          <w:color w:val="000000"/>
        </w:rPr>
        <w:t xml:space="preserve">Valiño, P.C. </w:t>
      </w:r>
      <w:r>
        <w:rPr>
          <w:i/>
          <w:iCs/>
          <w:color w:val="000000"/>
        </w:rPr>
        <w:t>et al.</w:t>
      </w:r>
      <w:r>
        <w:rPr>
          <w:color w:val="000000"/>
        </w:rPr>
        <w:t xml:space="preserve"> (2023) ‘Strategic orientation towards digitization to improve supermarket loyalty in an omnichannel context’, </w:t>
      </w:r>
      <w:r>
        <w:rPr>
          <w:i/>
          <w:iCs/>
          <w:color w:val="000000"/>
        </w:rPr>
        <w:t>Journal of Business Research</w:t>
      </w:r>
      <w:r>
        <w:rPr>
          <w:color w:val="000000"/>
        </w:rPr>
        <w:t xml:space="preserve">, 156, p. 113475. Available at: </w:t>
      </w:r>
      <w:hyperlink r:id="rId17" w:history="1">
        <w:r w:rsidR="00BE6D33" w:rsidRPr="00166048">
          <w:rPr>
            <w:rStyle w:val="Hyperlink"/>
          </w:rPr>
          <w:t>https://doi.org/10.1016/j.jbusres.2022.11</w:t>
        </w:r>
        <w:r w:rsidR="00BE6D33" w:rsidRPr="00166048">
          <w:rPr>
            <w:rStyle w:val="Hyperlink"/>
          </w:rPr>
          <w:t>3</w:t>
        </w:r>
        <w:r w:rsidR="00BE6D33" w:rsidRPr="00166048">
          <w:rPr>
            <w:rStyle w:val="Hyperlink"/>
          </w:rPr>
          <w:t>475</w:t>
        </w:r>
      </w:hyperlink>
      <w:r>
        <w:rPr>
          <w:color w:val="000000"/>
        </w:rPr>
        <w:t>.</w:t>
      </w:r>
    </w:p>
    <w:p w14:paraId="518A55C5" w14:textId="77777777" w:rsidR="00BE6D33" w:rsidRPr="00BE6D33" w:rsidRDefault="00BE6D33" w:rsidP="00DE7081">
      <w:pPr>
        <w:rPr>
          <w:color w:val="000000"/>
          <w:lang w:val="en-US"/>
        </w:rPr>
      </w:pPr>
    </w:p>
    <w:p w14:paraId="2EF650EE" w14:textId="77777777" w:rsidR="00DE7081" w:rsidRDefault="00DE7081" w:rsidP="00DE7081">
      <w:pPr>
        <w:rPr>
          <w:color w:val="000000"/>
          <w:lang w:val="en-US"/>
        </w:rPr>
      </w:pPr>
      <w:r>
        <w:rPr>
          <w:color w:val="000000"/>
        </w:rPr>
        <w:t xml:space="preserve">Woods, R., Doherty, O. and Stephens, S. (2022) ‘Technology Driven Change in the Retail sector: Implications for Higher Education’, </w:t>
      </w:r>
      <w:r>
        <w:rPr>
          <w:i/>
          <w:iCs/>
          <w:color w:val="000000"/>
        </w:rPr>
        <w:t>Industry and Higher Education</w:t>
      </w:r>
      <w:r>
        <w:rPr>
          <w:color w:val="000000"/>
        </w:rPr>
        <w:t>, 36(2), p. 095042222110091.</w:t>
      </w:r>
    </w:p>
    <w:p w14:paraId="6C881653" w14:textId="77777777" w:rsidR="00BE6D33" w:rsidRPr="00BE6D33" w:rsidRDefault="00BE6D33" w:rsidP="00DE7081">
      <w:pPr>
        <w:rPr>
          <w:color w:val="000000"/>
          <w:lang w:val="en-US"/>
        </w:rPr>
      </w:pPr>
    </w:p>
    <w:p w14:paraId="6369E421" w14:textId="77777777" w:rsidR="00BE6D33" w:rsidRPr="00BE6D33" w:rsidRDefault="00BE6D33" w:rsidP="00DE7081">
      <w:pPr>
        <w:rPr>
          <w:color w:val="000000"/>
          <w:lang w:val="en-US"/>
        </w:rPr>
      </w:pPr>
    </w:p>
    <w:p w14:paraId="3A8B86E3" w14:textId="77777777" w:rsidR="00DE7081" w:rsidRDefault="00DE7081" w:rsidP="00DE7081"/>
    <w:p w14:paraId="15C296CC" w14:textId="77777777" w:rsidR="00DE7081" w:rsidRDefault="00DE7081" w:rsidP="00DE7081"/>
    <w:p w14:paraId="51C9893C" w14:textId="77777777" w:rsidR="00834369" w:rsidRPr="003A5961" w:rsidRDefault="00834369" w:rsidP="00DE7081"/>
    <w:sectPr w:rsidR="00834369" w:rsidRPr="003A5961" w:rsidSect="00562DF2">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BABD2" w14:textId="77777777" w:rsidR="004832C2" w:rsidRDefault="004832C2" w:rsidP="00CD3D2B">
      <w:r>
        <w:separator/>
      </w:r>
    </w:p>
  </w:endnote>
  <w:endnote w:type="continuationSeparator" w:id="0">
    <w:p w14:paraId="2174DC36" w14:textId="77777777" w:rsidR="004832C2" w:rsidRDefault="004832C2"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B1EE2" w14:textId="77777777" w:rsidR="004832C2" w:rsidRDefault="004832C2" w:rsidP="00CD3D2B">
      <w:r>
        <w:separator/>
      </w:r>
    </w:p>
  </w:footnote>
  <w:footnote w:type="continuationSeparator" w:id="0">
    <w:p w14:paraId="43BF3591" w14:textId="77777777" w:rsidR="004832C2" w:rsidRDefault="004832C2"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17"/>
  </w:num>
  <w:num w:numId="2" w16cid:durableId="2122604883">
    <w:abstractNumId w:val="1"/>
  </w:num>
  <w:num w:numId="3" w16cid:durableId="1286472407">
    <w:abstractNumId w:val="8"/>
  </w:num>
  <w:num w:numId="4" w16cid:durableId="331644281">
    <w:abstractNumId w:val="20"/>
  </w:num>
  <w:num w:numId="5" w16cid:durableId="980620283">
    <w:abstractNumId w:val="10"/>
  </w:num>
  <w:num w:numId="6" w16cid:durableId="1510290980">
    <w:abstractNumId w:val="18"/>
  </w:num>
  <w:num w:numId="7" w16cid:durableId="644555557">
    <w:abstractNumId w:val="5"/>
  </w:num>
  <w:num w:numId="8" w16cid:durableId="1079444970">
    <w:abstractNumId w:val="2"/>
  </w:num>
  <w:num w:numId="9" w16cid:durableId="697318361">
    <w:abstractNumId w:val="9"/>
  </w:num>
  <w:num w:numId="10" w16cid:durableId="1805997788">
    <w:abstractNumId w:val="6"/>
  </w:num>
  <w:num w:numId="11" w16cid:durableId="168755656">
    <w:abstractNumId w:val="4"/>
  </w:num>
  <w:num w:numId="12" w16cid:durableId="2027949617">
    <w:abstractNumId w:val="11"/>
  </w:num>
  <w:num w:numId="13" w16cid:durableId="49959725">
    <w:abstractNumId w:val="12"/>
  </w:num>
  <w:num w:numId="14" w16cid:durableId="1234389626">
    <w:abstractNumId w:val="19"/>
  </w:num>
  <w:num w:numId="15" w16cid:durableId="465972463">
    <w:abstractNumId w:val="3"/>
  </w:num>
  <w:num w:numId="16" w16cid:durableId="298726687">
    <w:abstractNumId w:val="15"/>
  </w:num>
  <w:num w:numId="17" w16cid:durableId="1875531569">
    <w:abstractNumId w:val="14"/>
  </w:num>
  <w:num w:numId="18" w16cid:durableId="950672849">
    <w:abstractNumId w:val="0"/>
  </w:num>
  <w:num w:numId="19" w16cid:durableId="1900554292">
    <w:abstractNumId w:val="13"/>
  </w:num>
  <w:num w:numId="20" w16cid:durableId="95445685">
    <w:abstractNumId w:val="16"/>
  </w:num>
  <w:num w:numId="21" w16cid:durableId="1028457272">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2938"/>
    <w:rsid w:val="000B3D55"/>
    <w:rsid w:val="000C1C9E"/>
    <w:rsid w:val="000C2C48"/>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66042"/>
    <w:rsid w:val="001674D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77B61"/>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32C2"/>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1603"/>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35C22"/>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5E8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7E6"/>
    <w:rsid w:val="00850F09"/>
    <w:rsid w:val="00851A85"/>
    <w:rsid w:val="00852B2A"/>
    <w:rsid w:val="00856D27"/>
    <w:rsid w:val="008602B8"/>
    <w:rsid w:val="00863019"/>
    <w:rsid w:val="008646CF"/>
    <w:rsid w:val="00864AFD"/>
    <w:rsid w:val="008655DE"/>
    <w:rsid w:val="00865967"/>
    <w:rsid w:val="00871161"/>
    <w:rsid w:val="00873B26"/>
    <w:rsid w:val="00876DD1"/>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3BD0"/>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69C3"/>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164C"/>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045"/>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6D33"/>
    <w:rsid w:val="00BE7F30"/>
    <w:rsid w:val="00BF0D11"/>
    <w:rsid w:val="00BF13A1"/>
    <w:rsid w:val="00BF3DEB"/>
    <w:rsid w:val="00BF5146"/>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BA8"/>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E7081"/>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B7FDE"/>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DE7081"/>
    <w:pPr>
      <w:keepNext/>
      <w:keepLines/>
      <w:spacing w:before="240"/>
      <w:outlineLvl w:val="0"/>
    </w:pPr>
    <w:rPr>
      <w:rFonts w:cstheme="majorBidi"/>
      <w:b/>
      <w:color w:val="2F5496" w:themeColor="accent1" w:themeShade="BF"/>
      <w:sz w:val="32"/>
      <w:szCs w:val="32"/>
      <w:u w:val="single"/>
      <w:lang w:eastAsia="en-US"/>
    </w:rPr>
  </w:style>
  <w:style w:type="paragraph" w:styleId="Heading2">
    <w:name w:val="heading 2"/>
    <w:basedOn w:val="Normal"/>
    <w:next w:val="Normal"/>
    <w:link w:val="Heading2Char"/>
    <w:uiPriority w:val="9"/>
    <w:unhideWhenUsed/>
    <w:qFormat/>
    <w:rsid w:val="00DE7081"/>
    <w:pPr>
      <w:keepNext/>
      <w:keepLines/>
      <w:spacing w:before="40" w:line="480" w:lineRule="auto"/>
      <w:outlineLvl w:val="1"/>
    </w:pPr>
    <w:rPr>
      <w:rFonts w:eastAsiaTheme="majorEastAsia" w:cstheme="majorBidi"/>
      <w:b/>
      <w:i/>
      <w:color w:val="4472C4" w:themeColor="accent1"/>
      <w:sz w:val="26"/>
      <w:szCs w:val="33"/>
      <w:u w:val="single"/>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081"/>
    <w:rPr>
      <w:rFonts w:ascii="Times New Roman" w:eastAsia="Times New Roman" w:hAnsi="Times New Roman" w:cstheme="majorBidi"/>
      <w:b/>
      <w:color w:val="2F5496" w:themeColor="accent1" w:themeShade="BF"/>
      <w:sz w:val="32"/>
      <w:szCs w:val="32"/>
      <w:u w:val="single"/>
      <w:lang/>
    </w:rPr>
  </w:style>
  <w:style w:type="character" w:customStyle="1" w:styleId="Heading2Char">
    <w:name w:val="Heading 2 Char"/>
    <w:basedOn w:val="DefaultParagraphFont"/>
    <w:link w:val="Heading2"/>
    <w:uiPriority w:val="9"/>
    <w:rsid w:val="00DE7081"/>
    <w:rPr>
      <w:rFonts w:ascii="Times New Roman" w:eastAsiaTheme="majorEastAsia" w:hAnsi="Times New Roman" w:cstheme="majorBidi"/>
      <w:b/>
      <w:i/>
      <w:color w:val="4472C4" w:themeColor="accent1"/>
      <w:sz w:val="26"/>
      <w:szCs w:val="33"/>
      <w:u w:val="single"/>
      <w:lang/>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Light">
    <w:name w:val="Grid Table Light"/>
    <w:basedOn w:val="TableNormal"/>
    <w:uiPriority w:val="40"/>
    <w:rsid w:val="00DE70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tenseQuote">
    <w:name w:val="Intense Quote"/>
    <w:basedOn w:val="Normal"/>
    <w:next w:val="Normal"/>
    <w:link w:val="IntenseQuoteChar"/>
    <w:uiPriority w:val="30"/>
    <w:qFormat/>
    <w:rsid w:val="00B57045"/>
    <w:pPr>
      <w:pBdr>
        <w:top w:val="single" w:sz="4" w:space="10" w:color="4472C4" w:themeColor="accent1"/>
        <w:bottom w:val="single" w:sz="4" w:space="10" w:color="4472C4" w:themeColor="accent1"/>
      </w:pBdr>
      <w:spacing w:before="360" w:after="360"/>
      <w:ind w:left="864" w:right="864"/>
      <w:jc w:val="center"/>
    </w:pPr>
    <w:rPr>
      <w:rFonts w:eastAsiaTheme="minorEastAsia" w:cstheme="minorBidi"/>
      <w:i/>
      <w:iCs/>
      <w:color w:val="4472C4" w:themeColor="accent1"/>
      <w:szCs w:val="21"/>
      <w:lang w:val="en-GB" w:eastAsia="en-US" w:bidi="ar-SA"/>
      <w14:ligatures w14:val="standardContextual"/>
    </w:rPr>
  </w:style>
  <w:style w:type="character" w:customStyle="1" w:styleId="IntenseQuoteChar">
    <w:name w:val="Intense Quote Char"/>
    <w:basedOn w:val="DefaultParagraphFont"/>
    <w:link w:val="IntenseQuote"/>
    <w:uiPriority w:val="30"/>
    <w:rsid w:val="00B57045"/>
    <w:rPr>
      <w:rFonts w:ascii="Times New Roman" w:eastAsiaTheme="minorEastAsia" w:hAnsi="Times New Roman"/>
      <w:i/>
      <w:iCs/>
      <w:color w:val="4472C4" w:themeColor="accent1"/>
      <w:sz w:val="24"/>
      <w:szCs w:val="21"/>
      <w:lang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667009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978-3-031-14763-0_2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mip-08-2021-0255" TargetMode="External"/><Relationship Id="rId17" Type="http://schemas.openxmlformats.org/officeDocument/2006/relationships/hyperlink" Target="https://doi.org/10.1016/j.jbusres.2022.113475" TargetMode="External"/><Relationship Id="rId2" Type="http://schemas.openxmlformats.org/officeDocument/2006/relationships/numbering" Target="numbering.xml"/><Relationship Id="rId16" Type="http://schemas.openxmlformats.org/officeDocument/2006/relationships/hyperlink" Target="https://doi.org/10.1007/978-981-96-3081-3_3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appet.2024.107290" TargetMode="External"/><Relationship Id="rId5" Type="http://schemas.openxmlformats.org/officeDocument/2006/relationships/webSettings" Target="webSettings.xml"/><Relationship Id="rId15" Type="http://schemas.openxmlformats.org/officeDocument/2006/relationships/hyperlink" Target="https://doi.org/10.1016/j.jretai.2022.02.008" TargetMode="External"/><Relationship Id="rId10" Type="http://schemas.openxmlformats.org/officeDocument/2006/relationships/hyperlink" Target="https://doi.org/10.1016/j.jmacro.2023.10354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9593969.2021.2024447" TargetMode="External"/><Relationship Id="rId14" Type="http://schemas.openxmlformats.org/officeDocument/2006/relationships/hyperlink" Target="https://doi.org/10.1016/j.jretai.2020.1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3421</Words>
  <Characters>19501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2025-11-19T19:57:00Z</dcterms:created>
  <dcterms:modified xsi:type="dcterms:W3CDTF">2025-11-20T23:17:00Z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