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0CCA6" w14:textId="77777777" w:rsidR="00A7490A" w:rsidRPr="00B051F4" w:rsidRDefault="00A7490A">
      <w:pPr>
        <w:rPr>
          <w:u w:val="single"/>
        </w:rPr>
      </w:pPr>
      <w:r w:rsidRPr="00B051F4">
        <w:rPr>
          <w:u w:val="single"/>
        </w:rPr>
        <w:t>To what extent did Renaissance humanism reshape the curriculum and goals of education?</w:t>
      </w:r>
    </w:p>
    <w:p w14:paraId="09F21376" w14:textId="26FDCD0D" w:rsidR="00600D8F" w:rsidRDefault="00EE1BE1">
      <w:r w:rsidRPr="00EE1BE1">
        <w:t>Renaissance humanism fundamentally reshaped the curriculum and goals of education by shifting the focus away from medieval scholasticism</w:t>
      </w:r>
      <w:r>
        <w:t xml:space="preserve">, </w:t>
      </w:r>
      <w:r w:rsidR="00387E85">
        <w:t>which</w:t>
      </w:r>
      <w:r>
        <w:t xml:space="preserve"> had a focus on </w:t>
      </w:r>
      <w:r w:rsidR="00514C9F">
        <w:t xml:space="preserve">logic and </w:t>
      </w:r>
      <w:r w:rsidR="003F6B63">
        <w:t>theology, and towards the studies of humanity</w:t>
      </w:r>
      <w:r w:rsidR="000B7D35">
        <w:t xml:space="preserve"> or the ‘humanities’ as we know the</w:t>
      </w:r>
      <w:r w:rsidR="00387E85">
        <w:t>m</w:t>
      </w:r>
      <w:r w:rsidR="000B7D35">
        <w:t xml:space="preserve"> today. </w:t>
      </w:r>
      <w:r w:rsidR="00AA2F94">
        <w:t>Renaissance</w:t>
      </w:r>
      <w:r w:rsidR="00341841">
        <w:t xml:space="preserve"> </w:t>
      </w:r>
      <w:r w:rsidR="00FA4C73">
        <w:t>H</w:t>
      </w:r>
      <w:r w:rsidR="00AA2F94">
        <w:t>umanism</w:t>
      </w:r>
      <w:r w:rsidR="00341841">
        <w:t xml:space="preserve"> was key to the reshaping of the </w:t>
      </w:r>
      <w:r w:rsidR="00E20006">
        <w:t xml:space="preserve">curriculum </w:t>
      </w:r>
      <w:r w:rsidR="00AA2F94">
        <w:t xml:space="preserve">that happened </w:t>
      </w:r>
      <w:r w:rsidR="000A1D7D">
        <w:t xml:space="preserve">between the fourteenth and </w:t>
      </w:r>
      <w:r w:rsidR="00F71B21">
        <w:t xml:space="preserve">the </w:t>
      </w:r>
      <w:r w:rsidR="000A1D7D">
        <w:t>seventeenth century</w:t>
      </w:r>
      <w:r w:rsidR="00F71B21">
        <w:t xml:space="preserve"> </w:t>
      </w:r>
      <w:r w:rsidR="00A25B42">
        <w:t xml:space="preserve">and </w:t>
      </w:r>
      <w:r w:rsidR="00AA2F94">
        <w:t xml:space="preserve">the changes to the </w:t>
      </w:r>
      <w:r w:rsidR="00A25B42">
        <w:t>goals of education</w:t>
      </w:r>
      <w:r w:rsidR="00AD20D2">
        <w:t>.</w:t>
      </w:r>
      <w:r w:rsidR="00F71B21">
        <w:t xml:space="preserve"> </w:t>
      </w:r>
      <w:r w:rsidR="001E544B">
        <w:t>Within England, a</w:t>
      </w:r>
      <w:r w:rsidR="001E544B" w:rsidRPr="001E544B">
        <w:t>t the end of the 15th century, there was a flowering of both humanistic studies and educational institutions, enabling a rapid transition from the medieval tradition to the Renaissance</w:t>
      </w:r>
      <w:r w:rsidR="001E544B">
        <w:t>.</w:t>
      </w:r>
      <w:r w:rsidR="001E544B">
        <w:rPr>
          <w:rStyle w:val="FootnoteReference"/>
        </w:rPr>
        <w:footnoteReference w:id="1"/>
      </w:r>
      <w:r w:rsidR="00F71B21">
        <w:t xml:space="preserve"> This was due to the new interest and focus on scholarship and education. </w:t>
      </w:r>
      <w:r w:rsidR="00FA4C73">
        <w:t>Renaissance H</w:t>
      </w:r>
      <w:r w:rsidR="00F71B21">
        <w:t>umanism</w:t>
      </w:r>
      <w:r w:rsidR="001F595B">
        <w:t xml:space="preserve"> was an intellectual movement</w:t>
      </w:r>
      <w:r w:rsidR="00FA4C73">
        <w:t xml:space="preserve"> centred in Italy</w:t>
      </w:r>
      <w:r w:rsidR="001F595B">
        <w:t xml:space="preserve"> that</w:t>
      </w:r>
      <w:r w:rsidR="00F71B21">
        <w:t xml:space="preserve"> arose due to </w:t>
      </w:r>
      <w:r w:rsidR="00F32F73">
        <w:t>a rising interest in t</w:t>
      </w:r>
      <w:r w:rsidR="00832275">
        <w:t>he study of antiquity and</w:t>
      </w:r>
      <w:r w:rsidR="00FA4C73">
        <w:t xml:space="preserve"> </w:t>
      </w:r>
      <w:r w:rsidR="008C2979">
        <w:t>relating these studies to</w:t>
      </w:r>
      <w:r w:rsidR="00FA4C73">
        <w:t xml:space="preserve"> human potential</w:t>
      </w:r>
      <w:r w:rsidR="008C2979">
        <w:t xml:space="preserve">. </w:t>
      </w:r>
      <w:r w:rsidR="00BA4959">
        <w:t>For Margaret Kin</w:t>
      </w:r>
      <w:r w:rsidR="001C314A">
        <w:t>g renaissance humanism</w:t>
      </w:r>
      <w:r w:rsidR="005622DB">
        <w:t xml:space="preserve"> ‘i</w:t>
      </w:r>
      <w:r w:rsidR="001C314A" w:rsidRPr="005622DB">
        <w:t xml:space="preserve">nvolved </w:t>
      </w:r>
      <w:r w:rsidR="00BA004A" w:rsidRPr="005622DB">
        <w:t xml:space="preserve">a </w:t>
      </w:r>
      <w:r w:rsidR="00F67C64" w:rsidRPr="005622DB">
        <w:t>commitment</w:t>
      </w:r>
      <w:r w:rsidR="00BA004A" w:rsidRPr="005622DB">
        <w:t xml:space="preserve"> </w:t>
      </w:r>
      <w:r w:rsidR="00F67C64" w:rsidRPr="005622DB">
        <w:t>to</w:t>
      </w:r>
      <w:r w:rsidR="00BA004A" w:rsidRPr="005622DB">
        <w:t xml:space="preserve"> the </w:t>
      </w:r>
      <w:r w:rsidR="00DC18A5" w:rsidRPr="005622DB">
        <w:t xml:space="preserve">world of ideas guided </w:t>
      </w:r>
      <w:r w:rsidR="008879DF" w:rsidRPr="005622DB">
        <w:t>by the classics</w:t>
      </w:r>
      <w:r w:rsidR="005622DB">
        <w:t>’</w:t>
      </w:r>
      <w:r w:rsidR="00032F1E" w:rsidRPr="00694503">
        <w:rPr>
          <w:i/>
          <w:iCs/>
        </w:rPr>
        <w:t>.</w:t>
      </w:r>
      <w:r w:rsidR="007D3235" w:rsidRPr="00694503">
        <w:rPr>
          <w:rStyle w:val="FootnoteReference"/>
        </w:rPr>
        <w:footnoteReference w:id="2"/>
      </w:r>
      <w:r w:rsidR="00694503" w:rsidRPr="00694503">
        <w:rPr>
          <w:i/>
          <w:iCs/>
        </w:rPr>
        <w:t xml:space="preserve"> </w:t>
      </w:r>
      <w:r w:rsidR="008C2979" w:rsidRPr="00694503">
        <w:t>This</w:t>
      </w:r>
      <w:r w:rsidR="00184AD0" w:rsidRPr="00694503">
        <w:t xml:space="preserve"> </w:t>
      </w:r>
      <w:r w:rsidR="00184AD0">
        <w:t>movem</w:t>
      </w:r>
      <w:r w:rsidR="00467D42">
        <w:t>ent</w:t>
      </w:r>
      <w:r w:rsidR="008C2979">
        <w:t xml:space="preserve"> </w:t>
      </w:r>
      <w:r w:rsidR="001F4666">
        <w:t>led</w:t>
      </w:r>
      <w:r w:rsidR="008C2979">
        <w:t xml:space="preserve"> to an increase in scholarly research and writings which included studying and translating ancient Greek and Roman texts into the </w:t>
      </w:r>
      <w:r w:rsidR="001F4666">
        <w:t xml:space="preserve">current </w:t>
      </w:r>
      <w:r w:rsidR="008C2979">
        <w:t>vernac</w:t>
      </w:r>
      <w:r w:rsidR="001F4666">
        <w:t>ular. This was also known as ‘Studia Humanitatis’</w:t>
      </w:r>
      <w:r w:rsidR="007852C7">
        <w:t xml:space="preserve"> and was </w:t>
      </w:r>
      <w:r w:rsidR="00125195">
        <w:t>believed</w:t>
      </w:r>
      <w:r w:rsidR="007852C7">
        <w:t xml:space="preserve"> to be important to enable </w:t>
      </w:r>
      <w:r w:rsidR="00125195">
        <w:t>scholars to become well-rounded citizens.</w:t>
      </w:r>
      <w:r w:rsidR="002F002E">
        <w:rPr>
          <w:rStyle w:val="FootnoteReference"/>
        </w:rPr>
        <w:footnoteReference w:id="3"/>
      </w:r>
      <w:r w:rsidR="00231E14">
        <w:t xml:space="preserve"> </w:t>
      </w:r>
      <w:r w:rsidR="00172133">
        <w:t xml:space="preserve">This </w:t>
      </w:r>
      <w:r w:rsidR="00C251B5">
        <w:t>meant that the focus and goals of education changed in order to include these studies</w:t>
      </w:r>
      <w:r w:rsidR="00600D8F">
        <w:t xml:space="preserve">. </w:t>
      </w:r>
      <w:r w:rsidR="00455C6E">
        <w:t xml:space="preserve"> Renaissance Humanism also had a focus on </w:t>
      </w:r>
      <w:r w:rsidR="00F711F5">
        <w:t>critical thinking, which is a very important skill for academics</w:t>
      </w:r>
      <w:r w:rsidR="00B1276B">
        <w:t xml:space="preserve">. </w:t>
      </w:r>
      <w:r w:rsidR="00600D8F">
        <w:t xml:space="preserve">The advancement of scholasticism that took place during the Renaissance era may also have had an effect on the curriculum and the goals of education. </w:t>
      </w:r>
    </w:p>
    <w:p w14:paraId="4676D7F8" w14:textId="7B892527" w:rsidR="00CB57E5" w:rsidRDefault="00C251B5">
      <w:r>
        <w:t xml:space="preserve">For Humanists, education was </w:t>
      </w:r>
      <w:r w:rsidR="00C02999">
        <w:t>extremely</w:t>
      </w:r>
      <w:r>
        <w:t xml:space="preserve"> important</w:t>
      </w:r>
      <w:r w:rsidR="00C02999">
        <w:t xml:space="preserve"> </w:t>
      </w:r>
      <w:r w:rsidR="00637AB1">
        <w:t xml:space="preserve">as it was key to the development of the human mind and allowed scholars to develop their </w:t>
      </w:r>
      <w:r w:rsidR="00AE19BA">
        <w:t xml:space="preserve">knowledge and skills in order </w:t>
      </w:r>
      <w:r w:rsidR="00600D8F">
        <w:t>to</w:t>
      </w:r>
      <w:r w:rsidR="00AE19BA">
        <w:t xml:space="preserve"> better function within society</w:t>
      </w:r>
      <w:r w:rsidR="00287ECA">
        <w:t xml:space="preserve"> and to develop </w:t>
      </w:r>
      <w:r w:rsidR="0091529E">
        <w:t xml:space="preserve">virtue. </w:t>
      </w:r>
      <w:r w:rsidR="009D5B9D">
        <w:t>When discussing humanism, Nicholas Mann states</w:t>
      </w:r>
      <w:r w:rsidR="00715A9D">
        <w:t>:</w:t>
      </w:r>
    </w:p>
    <w:p w14:paraId="5D84E9D8" w14:textId="1D92D6ED" w:rsidR="009D5B9D" w:rsidRPr="00457273" w:rsidRDefault="009D5B9D" w:rsidP="00194141">
      <w:pPr>
        <w:ind w:left="567" w:right="567"/>
      </w:pPr>
      <w:r w:rsidRPr="00457273">
        <w:t>The term itself owes its origin to the Latin humanitas, used by Cicero and others in classical times to betoken the kind of cultural values that one would derive from what used to be called a liberal education […].</w:t>
      </w:r>
      <w:r w:rsidR="00715A9D" w:rsidRPr="00457273">
        <w:rPr>
          <w:rStyle w:val="FootnoteReference"/>
        </w:rPr>
        <w:footnoteReference w:id="4"/>
      </w:r>
    </w:p>
    <w:p w14:paraId="22A18B5C" w14:textId="5B390BCD" w:rsidR="002B5C37" w:rsidRDefault="002B5C37">
      <w:r>
        <w:t xml:space="preserve">This suggests that </w:t>
      </w:r>
      <w:r w:rsidR="005555D4">
        <w:t>although the movement of humanism was new, the ideas it used and drew from were ancient ideas.</w:t>
      </w:r>
      <w:r w:rsidR="0055670A">
        <w:t xml:space="preserve"> Humanism involves the study of many diverse </w:t>
      </w:r>
      <w:r w:rsidR="003C5436">
        <w:t>topics</w:t>
      </w:r>
      <w:r w:rsidR="0055670A">
        <w:t xml:space="preserve">, </w:t>
      </w:r>
      <w:r w:rsidR="0055670A">
        <w:lastRenderedPageBreak/>
        <w:t xml:space="preserve">these </w:t>
      </w:r>
      <w:r w:rsidR="008D068D">
        <w:t>include</w:t>
      </w:r>
      <w:r w:rsidR="0055670A" w:rsidRPr="0055670A">
        <w:t xml:space="preserve"> theology, biblical studies, political thought, art, science and all branches of philosophy, as well as medicine and mathematic</w:t>
      </w:r>
      <w:r w:rsidR="0004441C">
        <w:t>s</w:t>
      </w:r>
      <w:r w:rsidR="0055670A">
        <w:t>.</w:t>
      </w:r>
      <w:r w:rsidR="0055670A">
        <w:rPr>
          <w:rStyle w:val="FootnoteReference"/>
        </w:rPr>
        <w:footnoteReference w:id="5"/>
      </w:r>
      <w:r w:rsidR="00605F5B">
        <w:t xml:space="preserve"> </w:t>
      </w:r>
      <w:r w:rsidR="003B0A9E">
        <w:t xml:space="preserve">This was key to the development of the curriculum and the changes to the goals of education </w:t>
      </w:r>
      <w:r w:rsidR="008A5D5D">
        <w:t xml:space="preserve">as it </w:t>
      </w:r>
      <w:r w:rsidR="00F56347">
        <w:t>meant there were many fields to study which gave academics more opportunities</w:t>
      </w:r>
      <w:r w:rsidR="00114E16">
        <w:t xml:space="preserve"> to become experts </w:t>
      </w:r>
      <w:r w:rsidR="003A6271">
        <w:t>in</w:t>
      </w:r>
      <w:r w:rsidR="00114E16">
        <w:t xml:space="preserve"> the fields that suited them.</w:t>
      </w:r>
    </w:p>
    <w:p w14:paraId="74785EA4" w14:textId="77777777" w:rsidR="00C80D89" w:rsidRDefault="00320506">
      <w:r>
        <w:t>Withi</w:t>
      </w:r>
      <w:r w:rsidR="00600D8F">
        <w:t xml:space="preserve">n </w:t>
      </w:r>
      <w:r w:rsidR="00600D8F" w:rsidRPr="00600D8F">
        <w:rPr>
          <w:i/>
          <w:iCs/>
        </w:rPr>
        <w:t>The Advancement of Learning</w:t>
      </w:r>
      <w:r w:rsidR="00600D8F">
        <w:t xml:space="preserve"> by Francis Bacon</w:t>
      </w:r>
      <w:r w:rsidR="002E1863">
        <w:t xml:space="preserve"> methods of studying are discussed including how they can be applied to learning. This includes </w:t>
      </w:r>
      <w:r w:rsidR="00A82B4F">
        <w:t xml:space="preserve">observation, scepticism and </w:t>
      </w:r>
      <w:r w:rsidR="00777F51">
        <w:t xml:space="preserve">testability. </w:t>
      </w:r>
      <w:r w:rsidR="00AA2469">
        <w:t xml:space="preserve">Bacon aims to </w:t>
      </w:r>
      <w:r w:rsidR="00C80D89" w:rsidRPr="00C80D89">
        <w:t>deliver learning</w:t>
      </w:r>
    </w:p>
    <w:p w14:paraId="1ADD9D3B" w14:textId="5DAF6519" w:rsidR="00AA2469" w:rsidRPr="00457273" w:rsidRDefault="00C80D89" w:rsidP="00C80D89">
      <w:pPr>
        <w:ind w:left="567" w:right="567"/>
      </w:pPr>
      <w:r w:rsidRPr="00457273">
        <w:t>from the discredits and disgraces which it hath received, all from ignorance; but ignorance severally disguised; appearing sometimes in the zeal and jealousy of divines; sometimes in the severity and arrogancy of politiques; and sometimes in the errors and imperfections of learned men themselves</w:t>
      </w:r>
      <w:r w:rsidR="00D34E9F" w:rsidRPr="00457273">
        <w:rPr>
          <w:rStyle w:val="FootnoteReference"/>
        </w:rPr>
        <w:footnoteReference w:id="6"/>
      </w:r>
    </w:p>
    <w:p w14:paraId="5195EA3E" w14:textId="66D34594" w:rsidR="00797401" w:rsidRDefault="00C80D89">
      <w:r>
        <w:t xml:space="preserve">This shows his attempts at reshaping education, its curriculum and its goals. </w:t>
      </w:r>
      <w:r w:rsidR="008A3418">
        <w:t>For Bacon, application of knowledge is very important whether this is in scholarly activity or in everyday life</w:t>
      </w:r>
      <w:r w:rsidR="00D045CD">
        <w:t xml:space="preserve">. This book also discusses the importance of looking back at history </w:t>
      </w:r>
      <w:r w:rsidR="00AE2CD4">
        <w:t xml:space="preserve">and learning from the mistakes that have been made. </w:t>
      </w:r>
      <w:r w:rsidR="00F417E6">
        <w:t xml:space="preserve"> In this book it is suggested that there are </w:t>
      </w:r>
      <w:r w:rsidR="00B218D1">
        <w:t xml:space="preserve">different categories of history, some examples of this are: arts, creatures and mammals. </w:t>
      </w:r>
      <w:r w:rsidR="00AE2CD4">
        <w:t xml:space="preserve">The idea that learning connects to the spirit is also </w:t>
      </w:r>
      <w:r w:rsidR="00422F37">
        <w:t>discussed through the quotation</w:t>
      </w:r>
    </w:p>
    <w:p w14:paraId="3E958278" w14:textId="619BBC84" w:rsidR="00797401" w:rsidRPr="00457273" w:rsidRDefault="00422F37" w:rsidP="008F3642">
      <w:pPr>
        <w:ind w:left="567" w:right="567"/>
      </w:pPr>
      <w:r w:rsidRPr="00457273">
        <w:t xml:space="preserve">if any man be laborious in reading </w:t>
      </w:r>
      <w:r w:rsidR="00A26757" w:rsidRPr="00457273">
        <w:t>and study</w:t>
      </w:r>
      <w:r w:rsidR="00D5101B" w:rsidRPr="00457273">
        <w:t>, and yet idle in business</w:t>
      </w:r>
      <w:r w:rsidR="00B925A2" w:rsidRPr="00457273">
        <w:t xml:space="preserve"> and action, it groweth from some weakness of body or softness in spirit</w:t>
      </w:r>
      <w:r w:rsidR="00BF1A9F" w:rsidRPr="00457273">
        <w:rPr>
          <w:rStyle w:val="FootnoteReference"/>
        </w:rPr>
        <w:footnoteReference w:id="7"/>
      </w:r>
    </w:p>
    <w:p w14:paraId="03CB3453" w14:textId="20236403" w:rsidR="00320506" w:rsidRPr="007605BC" w:rsidRDefault="00B925A2">
      <w:r>
        <w:t xml:space="preserve">this suggests that </w:t>
      </w:r>
      <w:r w:rsidR="00024EB0">
        <w:t xml:space="preserve">Bacon believed that labours both </w:t>
      </w:r>
      <w:r w:rsidR="00BA2C44">
        <w:t xml:space="preserve">in education and business or action were key to </w:t>
      </w:r>
      <w:r w:rsidR="00797401">
        <w:t>nurturing</w:t>
      </w:r>
      <w:r w:rsidR="00BA2C44">
        <w:t xml:space="preserve"> the soul, this relates to popular beliefs at the time that </w:t>
      </w:r>
      <w:r w:rsidR="00797401">
        <w:t xml:space="preserve">the soul could be </w:t>
      </w:r>
      <w:r w:rsidR="008F3642">
        <w:t>affected</w:t>
      </w:r>
      <w:r w:rsidR="00797401">
        <w:t xml:space="preserve"> by the actions of the body as well as of the mind. </w:t>
      </w:r>
      <w:r w:rsidR="00782C24">
        <w:t xml:space="preserve">Bacon also touches on how learning is connected to status. </w:t>
      </w:r>
      <w:r w:rsidR="00D77B17">
        <w:t>This text also expresses the importance and dignity of education and virtue</w:t>
      </w:r>
      <w:r w:rsidR="00C90053">
        <w:t xml:space="preserve"> and the idea that F</w:t>
      </w:r>
      <w:r w:rsidR="00F417E6">
        <w:t>undamental knowledge is important</w:t>
      </w:r>
      <w:r w:rsidR="00E05B9B">
        <w:t>. Francis Bacon also criticises those who focus on word over matter.</w:t>
      </w:r>
      <w:r w:rsidR="00C90053">
        <w:t xml:space="preserve"> Overall, The Advancement of Learning by Francis Bacon was a  text </w:t>
      </w:r>
      <w:r w:rsidR="007605BC">
        <w:t xml:space="preserve">that shows how the effects of </w:t>
      </w:r>
      <w:r w:rsidR="007605BC" w:rsidRPr="007605BC">
        <w:t xml:space="preserve">Renaissance humanism </w:t>
      </w:r>
      <w:r w:rsidR="007605BC">
        <w:t>were key to the reshaping of</w:t>
      </w:r>
      <w:r w:rsidR="007605BC" w:rsidRPr="007605BC">
        <w:t xml:space="preserve"> the curriculum and</w:t>
      </w:r>
      <w:r w:rsidR="004750E9">
        <w:t xml:space="preserve"> the</w:t>
      </w:r>
      <w:r w:rsidR="007605BC" w:rsidRPr="007605BC">
        <w:t xml:space="preserve"> goals of education</w:t>
      </w:r>
      <w:r w:rsidR="004750E9">
        <w:t>.</w:t>
      </w:r>
    </w:p>
    <w:p w14:paraId="100D1E59" w14:textId="39EADCA8" w:rsidR="00E703CF" w:rsidRDefault="0091529E" w:rsidP="00600D8F">
      <w:r w:rsidRPr="005B5A36">
        <w:rPr>
          <w:i/>
          <w:iCs/>
        </w:rPr>
        <w:t>The Scholemaster</w:t>
      </w:r>
      <w:r>
        <w:t xml:space="preserve"> by</w:t>
      </w:r>
      <w:r w:rsidR="00166DB3">
        <w:t xml:space="preserve"> Roger Ascham</w:t>
      </w:r>
      <w:r w:rsidR="00B051F4">
        <w:t xml:space="preserve"> discusses</w:t>
      </w:r>
      <w:r w:rsidR="00E70887" w:rsidRPr="00E70887">
        <w:t xml:space="preserve"> the principles and methodologies of teaching Latin</w:t>
      </w:r>
      <w:r w:rsidR="00E70887">
        <w:t xml:space="preserve"> as well as</w:t>
      </w:r>
      <w:r w:rsidR="00B051F4">
        <w:t xml:space="preserve"> how to be a schoolmaster</w:t>
      </w:r>
      <w:r w:rsidR="00E70887">
        <w:t xml:space="preserve">, </w:t>
      </w:r>
      <w:r w:rsidR="00B051F4">
        <w:t xml:space="preserve">how to treat students and </w:t>
      </w:r>
      <w:r w:rsidR="00934C44">
        <w:t>what to teach them</w:t>
      </w:r>
      <w:r w:rsidR="00166DB3">
        <w:t xml:space="preserve">, this guide may have had an effect on the curriculum and the goals of </w:t>
      </w:r>
      <w:r w:rsidR="00166DB3">
        <w:lastRenderedPageBreak/>
        <w:t>education.</w:t>
      </w:r>
      <w:r w:rsidR="002C1544">
        <w:rPr>
          <w:rStyle w:val="FootnoteReference"/>
        </w:rPr>
        <w:footnoteReference w:id="8"/>
      </w:r>
      <w:r w:rsidR="00166DB3">
        <w:t xml:space="preserve"> </w:t>
      </w:r>
      <w:r w:rsidR="00A169CF">
        <w:t>He also a</w:t>
      </w:r>
      <w:r w:rsidR="00A169CF" w:rsidRPr="00A169CF">
        <w:t>dvocates teaching with love and giving praise where it is due</w:t>
      </w:r>
      <w:r w:rsidR="00A169CF">
        <w:t>.</w:t>
      </w:r>
      <w:r w:rsidR="00166DB3">
        <w:t xml:space="preserve"> </w:t>
      </w:r>
      <w:r w:rsidR="00284F86">
        <w:t>Within this book there are references to Socrates and Plato as well as other ancient writers, this is important as the Renaissance was a rebirth of the ‘classic’ era. This book emphasises the importance of ‘good learning’</w:t>
      </w:r>
      <w:r w:rsidR="00BB3212">
        <w:t>.</w:t>
      </w:r>
      <w:r w:rsidR="003D3A42">
        <w:rPr>
          <w:rStyle w:val="FootnoteReference"/>
        </w:rPr>
        <w:footnoteReference w:id="9"/>
      </w:r>
      <w:r w:rsidR="00BB3212">
        <w:t xml:space="preserve"> </w:t>
      </w:r>
      <w:r w:rsidR="0066766F">
        <w:t>Ascham also d</w:t>
      </w:r>
      <w:r w:rsidR="009623D4">
        <w:t xml:space="preserve">iscusses the value of education and why it is key to educate children. </w:t>
      </w:r>
      <w:r w:rsidR="0066766F" w:rsidRPr="0066766F">
        <w:t xml:space="preserve">The book sets out a method not only to remove the student’s fear of learning Latin, but, </w:t>
      </w:r>
    </w:p>
    <w:p w14:paraId="18D1E1D7" w14:textId="7EE4ED49" w:rsidR="004646CD" w:rsidRPr="00457273" w:rsidRDefault="0066766F" w:rsidP="00E703CF">
      <w:pPr>
        <w:ind w:left="567" w:right="567"/>
      </w:pPr>
      <w:r w:rsidRPr="00457273">
        <w:t>with ea∫e and plea∫ure, and in ∫hort time, […] worke a true choice and placing of wordes, a right ordering of ∫entences, an ea∫ie under∫tandyng of the tonge, a readines to speake, a facilitie to write, a true iudgement, both of his owne, and other mens doinges, what tonge ∫o euer he doth u∫e.</w:t>
      </w:r>
      <w:r w:rsidR="00E703CF" w:rsidRPr="00457273">
        <w:rPr>
          <w:rStyle w:val="FootnoteReference"/>
        </w:rPr>
        <w:footnoteReference w:id="10"/>
      </w:r>
      <w:r w:rsidRPr="00457273">
        <w:t xml:space="preserve">  </w:t>
      </w:r>
    </w:p>
    <w:p w14:paraId="52866D8D" w14:textId="643F2DB5" w:rsidR="006F27EC" w:rsidRDefault="00852CDD">
      <w:r>
        <w:t>This shows the level of understanding and compassion Ascham believed teachers should have</w:t>
      </w:r>
      <w:r w:rsidR="006F27EC">
        <w:t>.</w:t>
      </w:r>
      <w:r w:rsidR="00DA68D1">
        <w:t xml:space="preserve"> This book may have been key to the </w:t>
      </w:r>
      <w:r w:rsidR="00DA68D1" w:rsidRPr="00DA68D1">
        <w:t>reshap</w:t>
      </w:r>
      <w:r w:rsidR="00DA68D1">
        <w:t>ing</w:t>
      </w:r>
      <w:r w:rsidR="002D4E9F">
        <w:t xml:space="preserve"> of</w:t>
      </w:r>
      <w:r w:rsidR="00DA68D1" w:rsidRPr="00DA68D1">
        <w:t xml:space="preserve"> the curriculum and goals of education</w:t>
      </w:r>
      <w:r w:rsidR="002D4E9F">
        <w:t xml:space="preserve"> as it introduces new methods teachers could use to educate</w:t>
      </w:r>
      <w:r w:rsidR="003B0CB8">
        <w:t>.</w:t>
      </w:r>
      <w:r w:rsidR="003F10C3">
        <w:t xml:space="preserve"> This </w:t>
      </w:r>
      <w:r w:rsidR="004750E9">
        <w:t xml:space="preserve">book may </w:t>
      </w:r>
      <w:r w:rsidR="003F10C3">
        <w:t xml:space="preserve">also </w:t>
      </w:r>
      <w:r w:rsidR="004750E9">
        <w:t xml:space="preserve">have </w:t>
      </w:r>
      <w:r w:rsidR="009D105E">
        <w:t>led</w:t>
      </w:r>
      <w:r w:rsidR="003F10C3">
        <w:t xml:space="preserve"> to the increase in student-focused teaching which was a key development during the Renaissance period.</w:t>
      </w:r>
    </w:p>
    <w:p w14:paraId="416CBDE0" w14:textId="1CED1E2A" w:rsidR="003952B7" w:rsidRDefault="003952B7">
      <w:r>
        <w:t xml:space="preserve">Although both of these authors were </w:t>
      </w:r>
      <w:r w:rsidR="002575EA">
        <w:t xml:space="preserve">important </w:t>
      </w:r>
      <w:r w:rsidR="009D105E">
        <w:t xml:space="preserve">to the </w:t>
      </w:r>
      <w:r w:rsidR="009D105E" w:rsidRPr="009D105E">
        <w:t>reshaping of the curriculum and goals of education</w:t>
      </w:r>
      <w:r w:rsidR="009D105E">
        <w:t xml:space="preserve"> that happened at this time, they did not necessarily agree with each other’s ideas. </w:t>
      </w:r>
      <w:r w:rsidR="00FF7EF0" w:rsidRPr="00FF7EF0">
        <w:t>Bacon takes aim at Ascham and other humanist educators as exhibiting ‘the first distemper of learning, when men study words and not matter’.</w:t>
      </w:r>
      <w:r w:rsidR="0083197E">
        <w:rPr>
          <w:rStyle w:val="FootnoteReference"/>
        </w:rPr>
        <w:footnoteReference w:id="11"/>
      </w:r>
      <w:r w:rsidR="00FF7EF0" w:rsidRPr="00FF7EF0">
        <w:t xml:space="preserve"> </w:t>
      </w:r>
      <w:r w:rsidR="002B482C">
        <w:t xml:space="preserve">The main difference between these two texts </w:t>
      </w:r>
      <w:r w:rsidR="000D1E5D">
        <w:t>is</w:t>
      </w:r>
      <w:r w:rsidR="002B482C">
        <w:t xml:space="preserve"> that </w:t>
      </w:r>
      <w:r w:rsidR="00D248D6" w:rsidRPr="00677AAC">
        <w:rPr>
          <w:i/>
          <w:iCs/>
        </w:rPr>
        <w:t xml:space="preserve">The Advancement of </w:t>
      </w:r>
      <w:r w:rsidR="00444310" w:rsidRPr="00677AAC">
        <w:rPr>
          <w:i/>
          <w:iCs/>
        </w:rPr>
        <w:t>Learning</w:t>
      </w:r>
      <w:r w:rsidR="00444310">
        <w:t xml:space="preserve"> focuses</w:t>
      </w:r>
      <w:r w:rsidR="00677AAC">
        <w:t xml:space="preserve"> on </w:t>
      </w:r>
      <w:r w:rsidR="00677AAC" w:rsidRPr="00677AAC">
        <w:t>how to advance human knowledge through the study of nature</w:t>
      </w:r>
      <w:r w:rsidR="00677AAC">
        <w:t xml:space="preserve"> whereas </w:t>
      </w:r>
      <w:r w:rsidR="00677AAC" w:rsidRPr="00DD23B5">
        <w:rPr>
          <w:i/>
          <w:iCs/>
        </w:rPr>
        <w:t>The Scholemaster</w:t>
      </w:r>
      <w:r w:rsidR="00677AAC">
        <w:t xml:space="preserve"> </w:t>
      </w:r>
      <w:r w:rsidR="00DD23B5">
        <w:t>focuses on</w:t>
      </w:r>
      <w:r w:rsidR="00DD23B5" w:rsidRPr="00DD23B5">
        <w:t xml:space="preserve"> how to teach classical languages and character</w:t>
      </w:r>
      <w:r w:rsidR="00DD23B5">
        <w:t>.</w:t>
      </w:r>
      <w:r w:rsidR="00E41F2F">
        <w:rPr>
          <w:rStyle w:val="FootnoteReference"/>
        </w:rPr>
        <w:footnoteReference w:id="12"/>
      </w:r>
      <w:r w:rsidR="00DD23B5">
        <w:t xml:space="preserve"> </w:t>
      </w:r>
      <w:r w:rsidR="00444310">
        <w:t>Therefore, As</w:t>
      </w:r>
      <w:r w:rsidR="00553AC0">
        <w:t>cham’s work may have had more of an effect on the goals of e</w:t>
      </w:r>
      <w:r w:rsidR="000D1E5D">
        <w:t>ducation whereas Bacon’s work may have had more of an effect on the reshaping of the curriculum.</w:t>
      </w:r>
      <w:r w:rsidR="00FF7EF0" w:rsidRPr="00FF7EF0">
        <w:t xml:space="preserve"> </w:t>
      </w:r>
      <w:r w:rsidR="00C93856">
        <w:t xml:space="preserve">Other differences between the two </w:t>
      </w:r>
      <w:r w:rsidR="000D1E5D">
        <w:t xml:space="preserve">works include </w:t>
      </w:r>
      <w:r w:rsidR="009A63FC">
        <w:t xml:space="preserve">methodology that each </w:t>
      </w:r>
      <w:r w:rsidR="00F34C31">
        <w:t>advocate</w:t>
      </w:r>
      <w:r w:rsidR="009A63FC">
        <w:t xml:space="preserve"> for. Roger Ascham advocates for </w:t>
      </w:r>
      <w:r w:rsidR="00F34C31">
        <w:t>double translation whereas Francis Bacon advocates for inductive reasoning.</w:t>
      </w:r>
      <w:r w:rsidR="00CE4D36">
        <w:t xml:space="preserve"> Although these two texts set out very different aims, they are both key humanist texts that show the effects of Renaissance Humanism on education.</w:t>
      </w:r>
    </w:p>
    <w:p w14:paraId="095B6C0F" w14:textId="62C72DD2" w:rsidR="00A22756" w:rsidRPr="007B159A" w:rsidRDefault="009C5667">
      <w:r>
        <w:t xml:space="preserve">There were many other Renaissance humanists whose work had an effect on education at the time. These works include </w:t>
      </w:r>
      <w:r w:rsidR="003D7A36">
        <w:t xml:space="preserve">Petrarch’s </w:t>
      </w:r>
      <w:r w:rsidR="003D7A36" w:rsidRPr="009960EC">
        <w:rPr>
          <w:i/>
          <w:iCs/>
        </w:rPr>
        <w:t>Letter to Homer</w:t>
      </w:r>
      <w:r w:rsidR="003D7A36">
        <w:t xml:space="preserve"> and </w:t>
      </w:r>
      <w:r w:rsidR="00105241">
        <w:t xml:space="preserve">Vespucci's </w:t>
      </w:r>
      <w:r w:rsidR="00105241" w:rsidRPr="009960EC">
        <w:rPr>
          <w:i/>
          <w:iCs/>
        </w:rPr>
        <w:t>New World</w:t>
      </w:r>
      <w:r w:rsidR="00105241">
        <w:t>.</w:t>
      </w:r>
      <w:r w:rsidR="00C313BC">
        <w:rPr>
          <w:rStyle w:val="FootnoteReference"/>
        </w:rPr>
        <w:footnoteReference w:id="13"/>
      </w:r>
      <w:r w:rsidR="009960EC">
        <w:t xml:space="preserve"> Petrarch's letter was key to understanding education at the time as he </w:t>
      </w:r>
      <w:r w:rsidR="009960EC">
        <w:lastRenderedPageBreak/>
        <w:t xml:space="preserve">expresses his respect for the ancient writer </w:t>
      </w:r>
      <w:r w:rsidR="00C56C89">
        <w:t xml:space="preserve">Homer and his desire to understand Greek instead of just Latin, this shows the </w:t>
      </w:r>
      <w:r w:rsidR="00DF7AF5">
        <w:t>languages that were learnt in Renaissance Italy but also shows the changes that Renaissance Humanists desired to make.</w:t>
      </w:r>
      <w:r w:rsidR="0083197E">
        <w:rPr>
          <w:rStyle w:val="FootnoteReference"/>
        </w:rPr>
        <w:footnoteReference w:id="14"/>
      </w:r>
      <w:r w:rsidR="00DF7AF5">
        <w:t xml:space="preserve"> </w:t>
      </w:r>
      <w:r w:rsidR="007B159A">
        <w:t xml:space="preserve">Vespucci's </w:t>
      </w:r>
      <w:r w:rsidR="007B159A" w:rsidRPr="007B159A">
        <w:rPr>
          <w:i/>
          <w:iCs/>
        </w:rPr>
        <w:t>New World</w:t>
      </w:r>
      <w:r w:rsidR="007B159A">
        <w:rPr>
          <w:i/>
          <w:iCs/>
        </w:rPr>
        <w:t xml:space="preserve"> </w:t>
      </w:r>
      <w:r w:rsidR="008B3DCE">
        <w:t>discusses</w:t>
      </w:r>
      <w:r w:rsidR="00666A90">
        <w:t xml:space="preserve"> the discovery of America, this would have had an effect on education as </w:t>
      </w:r>
      <w:r w:rsidR="000257B6">
        <w:t>it ‘describes a world unknown to the ancients</w:t>
      </w:r>
      <w:r w:rsidR="000A34AD">
        <w:t>’.</w:t>
      </w:r>
      <w:r w:rsidR="007E41F7">
        <w:rPr>
          <w:rStyle w:val="FootnoteReference"/>
        </w:rPr>
        <w:footnoteReference w:id="15"/>
      </w:r>
      <w:r w:rsidR="00581447">
        <w:t xml:space="preserve"> </w:t>
      </w:r>
      <w:r w:rsidR="00512BC2">
        <w:t>T</w:t>
      </w:r>
      <w:r w:rsidR="000A34AD">
        <w:t>his shows a key turning point for humanists</w:t>
      </w:r>
      <w:r w:rsidR="00436D4F">
        <w:t xml:space="preserve"> as they begin to pos</w:t>
      </w:r>
      <w:r w:rsidR="00581447">
        <w:t>sess</w:t>
      </w:r>
      <w:r w:rsidR="00436D4F">
        <w:t xml:space="preserve"> understanding that the ancients did not so they must begin to combine these ideas in order to develop their understanding of this world. </w:t>
      </w:r>
      <w:r w:rsidR="00512BC2">
        <w:t xml:space="preserve">Therefore, these humanist texts also had </w:t>
      </w:r>
      <w:r w:rsidR="007E41F7">
        <w:t>an effect on reshaping the curriculum.</w:t>
      </w:r>
    </w:p>
    <w:p w14:paraId="511D1C3E" w14:textId="62193457" w:rsidR="004646CD" w:rsidRDefault="00E70887">
      <w:r>
        <w:t>The i</w:t>
      </w:r>
      <w:r w:rsidR="004646CD">
        <w:t xml:space="preserve">nfluence of </w:t>
      </w:r>
      <w:r>
        <w:t xml:space="preserve">ancient writers such as </w:t>
      </w:r>
      <w:r w:rsidR="004646CD">
        <w:t>Cicero</w:t>
      </w:r>
      <w:r>
        <w:t xml:space="preserve"> </w:t>
      </w:r>
      <w:r w:rsidR="000442DA">
        <w:t xml:space="preserve">on </w:t>
      </w:r>
      <w:r>
        <w:t>renaissance humanists</w:t>
      </w:r>
      <w:r w:rsidR="000442DA">
        <w:t xml:space="preserve"> </w:t>
      </w:r>
      <w:r>
        <w:t xml:space="preserve">also had an effect on the reshaping of the </w:t>
      </w:r>
      <w:r w:rsidR="003C5436">
        <w:t>curriculum.</w:t>
      </w:r>
      <w:r>
        <w:t xml:space="preserve"> </w:t>
      </w:r>
      <w:r w:rsidR="0082407E" w:rsidRPr="0082407E">
        <w:t>This revival of classical antiquity was driven by a desire to rediscover and build upon the knowledge and achievements of the past</w:t>
      </w:r>
      <w:r w:rsidR="00A913F7">
        <w:t>.</w:t>
      </w:r>
      <w:r w:rsidR="00A913F7">
        <w:rPr>
          <w:rStyle w:val="FootnoteReference"/>
        </w:rPr>
        <w:footnoteReference w:id="16"/>
      </w:r>
      <w:r w:rsidR="00DA3EF9">
        <w:t xml:space="preserve"> Cicero </w:t>
      </w:r>
      <w:r w:rsidR="00996507">
        <w:t>was a Roman statesman, scholar and writer whos</w:t>
      </w:r>
      <w:r w:rsidR="006D3889">
        <w:t>e</w:t>
      </w:r>
      <w:r w:rsidR="00996507">
        <w:t xml:space="preserve"> work focused on</w:t>
      </w:r>
      <w:r w:rsidR="00EB2A92" w:rsidRPr="00EB2A92">
        <w:t xml:space="preserve"> rhetoric, orations, philosophical and political treatises, and letters</w:t>
      </w:r>
      <w:r w:rsidR="00EB2A92">
        <w:t>.</w:t>
      </w:r>
      <w:r w:rsidR="00EB2A92">
        <w:rPr>
          <w:rStyle w:val="FootnoteReference"/>
        </w:rPr>
        <w:footnoteReference w:id="17"/>
      </w:r>
      <w:r w:rsidR="003F36A9">
        <w:t xml:space="preserve"> Through studying the work of ancient writers, humanists were able to expand their knowledge and understanding. The </w:t>
      </w:r>
      <w:r w:rsidR="009151B2">
        <w:t xml:space="preserve">synthesis </w:t>
      </w:r>
      <w:r w:rsidR="002474F7">
        <w:t xml:space="preserve">of these ancient ideas and some more modern ideas that humanists held was key to </w:t>
      </w:r>
      <w:r w:rsidR="006D5612">
        <w:t>the reshaping of the curriculum and the changes to the goals of education.</w:t>
      </w:r>
    </w:p>
    <w:p w14:paraId="5F161060" w14:textId="77777777" w:rsidR="00416C84" w:rsidRDefault="00D045A5">
      <w:r>
        <w:t>Prior to the</w:t>
      </w:r>
      <w:r w:rsidR="00B82EB9">
        <w:t xml:space="preserve"> Renaissance</w:t>
      </w:r>
      <w:r>
        <w:t>,</w:t>
      </w:r>
      <w:r w:rsidR="00B1589A">
        <w:t xml:space="preserve"> in education</w:t>
      </w:r>
      <w:r w:rsidR="00B82EB9">
        <w:t xml:space="preserve"> there </w:t>
      </w:r>
      <w:r w:rsidR="00B1589A">
        <w:t>were</w:t>
      </w:r>
      <w:r w:rsidR="00B82EB9">
        <w:t xml:space="preserve"> </w:t>
      </w:r>
      <w:r w:rsidR="00C41DE4">
        <w:t xml:space="preserve">two </w:t>
      </w:r>
      <w:r w:rsidR="00F325F6">
        <w:t xml:space="preserve">categories of </w:t>
      </w:r>
      <w:r w:rsidR="008E34F0">
        <w:t>liberal arts</w:t>
      </w:r>
      <w:r w:rsidR="00C34CE7">
        <w:t>,</w:t>
      </w:r>
      <w:r w:rsidR="008E34F0">
        <w:t xml:space="preserve"> these are the </w:t>
      </w:r>
      <w:r w:rsidR="006523B4">
        <w:t>T</w:t>
      </w:r>
      <w:r w:rsidR="008E34F0">
        <w:t xml:space="preserve">rivium (or the arts of the world) and the </w:t>
      </w:r>
      <w:r w:rsidR="006523B4">
        <w:t>Q</w:t>
      </w:r>
      <w:r w:rsidR="008E34F0">
        <w:t xml:space="preserve">uadrivium (or </w:t>
      </w:r>
      <w:r w:rsidR="002927A7">
        <w:t>the arts of numbers).</w:t>
      </w:r>
      <w:r w:rsidR="0069564A">
        <w:rPr>
          <w:rStyle w:val="FootnoteReference"/>
        </w:rPr>
        <w:footnoteReference w:id="18"/>
      </w:r>
      <w:r w:rsidR="002927A7">
        <w:t xml:space="preserve"> The </w:t>
      </w:r>
      <w:r w:rsidR="006523B4">
        <w:t>T</w:t>
      </w:r>
      <w:r w:rsidR="002927A7">
        <w:t xml:space="preserve">rivium is made up of </w:t>
      </w:r>
      <w:r w:rsidR="00053333">
        <w:t xml:space="preserve">rhetoric, grammar and dialectic and the </w:t>
      </w:r>
      <w:r w:rsidR="006523B4">
        <w:t xml:space="preserve">Quadrivium is made up of </w:t>
      </w:r>
      <w:r w:rsidR="005D4B1E">
        <w:t xml:space="preserve">arithmetic, </w:t>
      </w:r>
      <w:r>
        <w:t>geometry, astronomy and music.</w:t>
      </w:r>
      <w:r w:rsidR="00B1589A">
        <w:t xml:space="preserve"> This idea began from Pythagoras </w:t>
      </w:r>
      <w:r w:rsidR="007A59B1">
        <w:t>in Ancient Greece.</w:t>
      </w:r>
      <w:r w:rsidR="0069564A">
        <w:rPr>
          <w:rStyle w:val="FootnoteReference"/>
        </w:rPr>
        <w:footnoteReference w:id="19"/>
      </w:r>
      <w:r w:rsidR="00F50C1F">
        <w:t xml:space="preserve"> There was also ‘</w:t>
      </w:r>
      <w:r w:rsidR="0050711A">
        <w:t>Scientia</w:t>
      </w:r>
      <w:r w:rsidR="00F50C1F">
        <w:t xml:space="preserve">’ which was knowledge that could be </w:t>
      </w:r>
      <w:r w:rsidR="00D75170">
        <w:t>perceived and understood through rational means.</w:t>
      </w:r>
      <w:r w:rsidR="00DE00C1">
        <w:t xml:space="preserve"> These ideas were key to medieval scholasticism, however due to the work of Renaissance humanists </w:t>
      </w:r>
      <w:r w:rsidR="002E194C">
        <w:t xml:space="preserve">they were replaced by the ‘studia humanitas'. </w:t>
      </w:r>
      <w:r w:rsidR="000E48DA">
        <w:t xml:space="preserve">It could be suggested that </w:t>
      </w:r>
    </w:p>
    <w:p w14:paraId="354C1382" w14:textId="6005555A" w:rsidR="00416C84" w:rsidRDefault="00416C84" w:rsidP="003367E8">
      <w:pPr>
        <w:ind w:left="567" w:right="567"/>
      </w:pPr>
      <w:r>
        <w:t xml:space="preserve">As scholasticism culminated in the twelfth and thirteenth centuries, the problem became one of arrangement and presentation </w:t>
      </w:r>
      <w:r w:rsidR="00D220CF">
        <w:t>of the mass of knowledg</w:t>
      </w:r>
      <w:r w:rsidR="003367E8">
        <w:t>e.</w:t>
      </w:r>
      <w:r w:rsidR="003367E8">
        <w:rPr>
          <w:rStyle w:val="FootnoteReference"/>
        </w:rPr>
        <w:footnoteReference w:id="20"/>
      </w:r>
    </w:p>
    <w:p w14:paraId="5098BBC8" w14:textId="15A9FC98" w:rsidR="00867864" w:rsidRDefault="002E194C">
      <w:r>
        <w:t xml:space="preserve">This is a key example of the change to the </w:t>
      </w:r>
      <w:r w:rsidR="006D5612">
        <w:t>curriculum</w:t>
      </w:r>
      <w:r>
        <w:t xml:space="preserve"> that took place during this time</w:t>
      </w:r>
      <w:r w:rsidR="006D5612">
        <w:t xml:space="preserve"> that was influenced by Renaissance humanists.</w:t>
      </w:r>
    </w:p>
    <w:p w14:paraId="7DA3FDF6" w14:textId="59E715B1" w:rsidR="00F449B9" w:rsidRDefault="00B36662">
      <w:r>
        <w:lastRenderedPageBreak/>
        <w:t xml:space="preserve">For Renaissance humanists, </w:t>
      </w:r>
      <w:r w:rsidR="004D5A03">
        <w:t xml:space="preserve">one of the key advantages of being educated was the dignity and honour that this education would grant. </w:t>
      </w:r>
      <w:r w:rsidR="00652AE7">
        <w:t xml:space="preserve">As </w:t>
      </w:r>
      <w:r w:rsidR="00652AE7" w:rsidRPr="00652AE7">
        <w:t>Marsilio Ficino states,</w:t>
      </w:r>
    </w:p>
    <w:p w14:paraId="537E3DCD" w14:textId="1752CDC4" w:rsidR="00CA06E7" w:rsidRPr="00457273" w:rsidRDefault="00652AE7" w:rsidP="00F449B9">
      <w:pPr>
        <w:ind w:left="567" w:right="567"/>
      </w:pPr>
      <w:r w:rsidRPr="00457273">
        <w:t>Man is a great miracle, a living being worthy of reverence and honour. He is celebrated by both heaven and earth; he is the intermediary between all things and the bond that ties all things together</w:t>
      </w:r>
      <w:r w:rsidR="005B1EE2" w:rsidRPr="00457273">
        <w:t>.</w:t>
      </w:r>
      <w:r w:rsidR="005B1EE2" w:rsidRPr="00457273">
        <w:rPr>
          <w:rStyle w:val="FootnoteReference"/>
        </w:rPr>
        <w:footnoteReference w:id="21"/>
      </w:r>
    </w:p>
    <w:p w14:paraId="6AA3E9D7" w14:textId="6ADE22E8" w:rsidR="00CA06E7" w:rsidRDefault="00D73537">
      <w:r>
        <w:t>This shows the honour that Renaissance Humanists thought could be gained through education.</w:t>
      </w:r>
      <w:r w:rsidR="00EE71AC">
        <w:t xml:space="preserve"> </w:t>
      </w:r>
      <w:r w:rsidR="00733D3C">
        <w:t>During this time the d</w:t>
      </w:r>
      <w:r w:rsidR="00027EA3">
        <w:t>ignity of education</w:t>
      </w:r>
      <w:r w:rsidR="00733D3C">
        <w:t xml:space="preserve"> was a key argument for the spread of education as it was believed that education was key to becoming a developed human being.</w:t>
      </w:r>
      <w:r w:rsidR="00E54E49">
        <w:t xml:space="preserve"> </w:t>
      </w:r>
      <w:r w:rsidR="007E41F7">
        <w:t>This shows a key goal of education according to Renaissance humanists.</w:t>
      </w:r>
    </w:p>
    <w:p w14:paraId="6B2FE30C" w14:textId="5AFF2F08" w:rsidR="00D01FDC" w:rsidRDefault="00A22756">
      <w:r>
        <w:t>Latin was the main language of academia throughout the Renaissance era; therefore, it was used by Renaissance humanists, this included translating texts from Ancient Greek or Roman into Latin.</w:t>
      </w:r>
      <w:r w:rsidR="00860CDE">
        <w:rPr>
          <w:rStyle w:val="FootnoteReference"/>
        </w:rPr>
        <w:footnoteReference w:id="22"/>
      </w:r>
      <w:r>
        <w:t xml:space="preserve"> This stemmed from the connection between religion and education as Latin was the language of Catholicism. </w:t>
      </w:r>
      <w:r w:rsidR="00733D3C">
        <w:t>During the Renaissance era, religion possessed a very strong connection to education as many scholars of the time began first studying religion. Th</w:t>
      </w:r>
      <w:r w:rsidR="000D2B12">
        <w:t xml:space="preserve">is meant that there are many bibliographical references </w:t>
      </w:r>
      <w:r w:rsidR="00F13054">
        <w:t>within academic texts of the time.</w:t>
      </w:r>
      <w:r w:rsidR="00A3166B">
        <w:t xml:space="preserve"> </w:t>
      </w:r>
      <w:r w:rsidR="00623A90">
        <w:t xml:space="preserve">However, throughout this era and the period that followed a separation </w:t>
      </w:r>
      <w:r w:rsidR="00932C8E">
        <w:t xml:space="preserve">between religion and education began to occur. This was </w:t>
      </w:r>
      <w:r w:rsidR="006E49B6">
        <w:t xml:space="preserve">due to many factors, some political and some not. This </w:t>
      </w:r>
      <w:r w:rsidR="00E963A3">
        <w:t xml:space="preserve">separation was not immediately spread across Europe and was concentrated to some countries at first, a good example of this is England. </w:t>
      </w:r>
      <w:r w:rsidR="00A3166B">
        <w:t xml:space="preserve">The separation between religion and </w:t>
      </w:r>
      <w:r w:rsidR="00D15775">
        <w:t xml:space="preserve">education that happened after </w:t>
      </w:r>
      <w:r w:rsidR="009F4973">
        <w:t>England’s</w:t>
      </w:r>
      <w:r w:rsidR="00D15775">
        <w:t xml:space="preserve"> </w:t>
      </w:r>
      <w:r w:rsidR="00180559">
        <w:t>break with Rome</w:t>
      </w:r>
      <w:r w:rsidR="009F4973">
        <w:t xml:space="preserve"> in the 1530s</w:t>
      </w:r>
      <w:r w:rsidR="00143509">
        <w:t xml:space="preserve"> had a major impact on the </w:t>
      </w:r>
      <w:r w:rsidR="004B27A3">
        <w:t xml:space="preserve">way education was viewed and </w:t>
      </w:r>
      <w:r w:rsidR="004C03FA">
        <w:t>approached</w:t>
      </w:r>
      <w:r w:rsidR="00E766D8">
        <w:t>.</w:t>
      </w:r>
      <w:r w:rsidR="005F6BF9">
        <w:rPr>
          <w:rStyle w:val="FootnoteReference"/>
        </w:rPr>
        <w:footnoteReference w:id="23"/>
      </w:r>
      <w:r w:rsidR="00E766D8">
        <w:t xml:space="preserve"> This meant </w:t>
      </w:r>
      <w:r w:rsidR="003C3776">
        <w:t>that education was no longer centred around religion</w:t>
      </w:r>
      <w:r w:rsidR="00DE00C1">
        <w:t xml:space="preserve"> and may have changed the way Renaissance Humanists studied and wrote</w:t>
      </w:r>
      <w:r w:rsidR="003C3776">
        <w:t xml:space="preserve">. </w:t>
      </w:r>
      <w:r w:rsidR="00306C56">
        <w:t xml:space="preserve">Therefore, </w:t>
      </w:r>
      <w:r w:rsidR="00DE00C1">
        <w:t>this was a change to the curriculum and the goals of education.</w:t>
      </w:r>
    </w:p>
    <w:p w14:paraId="15F3065E" w14:textId="3F91A257" w:rsidR="00083342" w:rsidRDefault="00083342">
      <w:r>
        <w:t xml:space="preserve">Despite the many </w:t>
      </w:r>
      <w:r w:rsidR="00794333">
        <w:t>developments</w:t>
      </w:r>
      <w:r>
        <w:t xml:space="preserve"> that Renaissance humanists brought to the curriculum and goals of education, it cou</w:t>
      </w:r>
      <w:r w:rsidR="00794333">
        <w:t xml:space="preserve">ld be argued that they were not a strong force for change as many of their ideas were not new, they were instead a ‘rebirth' of classical ideas. </w:t>
      </w:r>
      <w:r w:rsidR="001C6AC0">
        <w:t>However it was the way in which they applied these ideas that led to the changes.</w:t>
      </w:r>
    </w:p>
    <w:p w14:paraId="73339B64" w14:textId="04988A85" w:rsidR="00057E1F" w:rsidRDefault="00A22756">
      <w:r>
        <w:t>Overall</w:t>
      </w:r>
      <w:r w:rsidR="00422A92">
        <w:t xml:space="preserve">, </w:t>
      </w:r>
      <w:r w:rsidR="00330E45">
        <w:t xml:space="preserve">it could be argued that </w:t>
      </w:r>
      <w:r w:rsidR="00AC139C">
        <w:t>Renaissance humanism reshaped the curriculum and changed the goals of education.</w:t>
      </w:r>
      <w:r w:rsidR="00E17953">
        <w:t xml:space="preserve"> This happened because of the ideas and methods of scholasticism that were used by Renaissance humanists</w:t>
      </w:r>
      <w:r w:rsidR="00852EAF">
        <w:t xml:space="preserve">. These ideas included </w:t>
      </w:r>
      <w:r w:rsidR="00053C9E">
        <w:t xml:space="preserve">the study of the classics and the ‘studia  humanitatis' which shifted education away from </w:t>
      </w:r>
      <w:r w:rsidR="00053C9E">
        <w:lastRenderedPageBreak/>
        <w:t xml:space="preserve">medieval scholasticism. </w:t>
      </w:r>
      <w:r w:rsidR="00666FC4">
        <w:t xml:space="preserve">Humanists at the time saw education as </w:t>
      </w:r>
      <w:r w:rsidR="00297FD2">
        <w:t>key</w:t>
      </w:r>
      <w:r w:rsidR="00666FC4">
        <w:t xml:space="preserve"> to developing well-rounded, dignified </w:t>
      </w:r>
      <w:r w:rsidR="00297FD2">
        <w:t xml:space="preserve">and critical thinking, this shows what they saw as the goals of education. </w:t>
      </w:r>
      <w:r w:rsidR="00F725F0">
        <w:t xml:space="preserve">The humanist opinions on the changes required to the </w:t>
      </w:r>
      <w:r w:rsidR="004D635E">
        <w:t>curriculum</w:t>
      </w:r>
      <w:r w:rsidR="00F725F0">
        <w:t xml:space="preserve"> can be seen through Ascham's </w:t>
      </w:r>
      <w:r w:rsidR="004D635E" w:rsidRPr="004D635E">
        <w:rPr>
          <w:i/>
          <w:iCs/>
        </w:rPr>
        <w:t>The Scholemaster</w:t>
      </w:r>
      <w:r w:rsidR="004D635E">
        <w:t xml:space="preserve"> and Bacon's </w:t>
      </w:r>
      <w:r w:rsidR="004D635E" w:rsidRPr="004D635E">
        <w:rPr>
          <w:i/>
          <w:iCs/>
        </w:rPr>
        <w:t>The Advancement of Learning</w:t>
      </w:r>
      <w:r w:rsidR="004D635E">
        <w:t>.</w:t>
      </w:r>
    </w:p>
    <w:p w14:paraId="68A3F10C" w14:textId="77777777" w:rsidR="00E45B8D" w:rsidRDefault="00E45B8D"/>
    <w:sdt>
      <w:sdtPr>
        <w:id w:val="-1306394961"/>
        <w:docPartObj>
          <w:docPartGallery w:val="Bibliographies"/>
          <w:docPartUnique/>
        </w:docPartObj>
      </w:sdtPr>
      <w:sdtEndPr>
        <w:rPr>
          <w:rFonts w:asciiTheme="minorHAnsi" w:eastAsiaTheme="minorEastAsia" w:hAnsiTheme="minorHAnsi" w:cstheme="minorBidi"/>
          <w:color w:val="auto"/>
          <w:sz w:val="24"/>
          <w:szCs w:val="24"/>
        </w:rPr>
      </w:sdtEndPr>
      <w:sdtContent>
        <w:p w14:paraId="235E9D80" w14:textId="7D8B31F8" w:rsidR="00E45B8D" w:rsidRDefault="00E45B8D">
          <w:pPr>
            <w:pStyle w:val="Heading1"/>
          </w:pPr>
          <w:r>
            <w:t>Bibliography:</w:t>
          </w:r>
        </w:p>
        <w:p w14:paraId="74B14235" w14:textId="6BEFD1B1" w:rsidR="00752E8F" w:rsidRDefault="00752E8F" w:rsidP="00752E8F">
          <w:pPr>
            <w:rPr>
              <w:i/>
              <w:iCs/>
            </w:rPr>
          </w:pPr>
          <w:r w:rsidRPr="00752E8F">
            <w:t xml:space="preserve">Ascham, </w:t>
          </w:r>
          <w:r w:rsidRPr="00752E8F">
            <w:rPr>
              <w:i/>
              <w:iCs/>
            </w:rPr>
            <w:t>The Scholemaster</w:t>
          </w:r>
        </w:p>
        <w:p w14:paraId="168373B3" w14:textId="071E6FC0" w:rsidR="00752E8F" w:rsidRPr="00752E8F" w:rsidRDefault="00752E8F" w:rsidP="00752E8F">
          <w:r w:rsidRPr="00752E8F">
            <w:t xml:space="preserve">Amerigo Vespucci, </w:t>
          </w:r>
          <w:r w:rsidRPr="00752E8F">
            <w:rPr>
              <w:i/>
              <w:iCs/>
            </w:rPr>
            <w:t>New World, Letter to Lorenzo di Pierfrancesco de’ Medici</w:t>
          </w:r>
          <w:r w:rsidRPr="00752E8F">
            <w:t xml:space="preserve"> (1502/1503), in Renaissance Humanism: An Anthology of Sources, pp. 300</w:t>
          </w:r>
        </w:p>
        <w:p w14:paraId="5FAFA17B" w14:textId="55F7F518" w:rsidR="00752E8F" w:rsidRDefault="00752E8F" w:rsidP="00752E8F">
          <w:pPr>
            <w:rPr>
              <w:i/>
              <w:iCs/>
            </w:rPr>
          </w:pPr>
          <w:r w:rsidRPr="00752E8F">
            <w:t xml:space="preserve">Bacon, </w:t>
          </w:r>
          <w:r w:rsidRPr="00752E8F">
            <w:rPr>
              <w:i/>
              <w:iCs/>
            </w:rPr>
            <w:t>The Advancement of Learning</w:t>
          </w:r>
        </w:p>
        <w:p w14:paraId="3E80E4A3" w14:textId="62C09724" w:rsidR="00E00D23" w:rsidRDefault="00E00D23" w:rsidP="00752E8F">
          <w:r w:rsidRPr="00E00D23">
            <w:t>Balsdon, John P.V. Dacre, Ferguson, John.</w:t>
          </w:r>
          <w:r w:rsidRPr="00E00D23">
            <w:rPr>
              <w:i/>
              <w:iCs/>
            </w:rPr>
            <w:t xml:space="preserve"> "Cicero". Encyclopaedia Britannica, </w:t>
          </w:r>
          <w:r w:rsidRPr="00E00D23">
            <w:t xml:space="preserve">15 Jan. 2026, </w:t>
          </w:r>
          <w:hyperlink r:id="rId8" w:history="1">
            <w:r w:rsidRPr="008B6720">
              <w:rPr>
                <w:rStyle w:val="Hyperlink"/>
              </w:rPr>
              <w:t>https://www.britannica.com/biography/Cicero. Accessed 18 February 2026</w:t>
            </w:r>
          </w:hyperlink>
          <w:r w:rsidRPr="00E00D23">
            <w:t>.</w:t>
          </w:r>
        </w:p>
        <w:p w14:paraId="575B080B" w14:textId="211A6B7E" w:rsidR="00FC733C" w:rsidRDefault="00FC733C" w:rsidP="00752E8F">
          <w:r w:rsidRPr="00FC733C">
            <w:t xml:space="preserve">Briggs, A., Morrill, J.S., Atkins, R.C., Ravenhill, W., Kellner, P., Frere, S.S., Josephson, P.R., Barr, N.A., Prestwich, M.C., Hastings, M., Whitelock, D., Joyce, P., Gilbert, B.B., Spencer, U.M., Kishlansky, M.A., Chaney, W.A., Smith, L.B., Colley, L.J. (2026, February 20). </w:t>
          </w:r>
          <w:r w:rsidRPr="00FC733C">
            <w:rPr>
              <w:i/>
              <w:iCs/>
            </w:rPr>
            <w:t>United Kingdom. Encyclopedia Britannica</w:t>
          </w:r>
          <w:r w:rsidRPr="00FC733C">
            <w:t>. https://www.britannica.com/place/United-Kingdom</w:t>
          </w:r>
        </w:p>
        <w:p w14:paraId="20E13B35" w14:textId="29D036C6" w:rsidR="00E00D23" w:rsidRDefault="00E00D23" w:rsidP="00752E8F">
          <w:r w:rsidRPr="00E00D23">
            <w:t xml:space="preserve">Britannica Editors. </w:t>
          </w:r>
          <w:r w:rsidRPr="00E00D23">
            <w:rPr>
              <w:i/>
              <w:iCs/>
            </w:rPr>
            <w:t>"Pythagoras". Encyclopedia Britannica</w:t>
          </w:r>
          <w:r w:rsidRPr="00E00D23">
            <w:t>, 1 Jan. 2026, https://www.britannica.com/biography/Pythagoras. Accessed 20 February 2026.</w:t>
          </w:r>
        </w:p>
        <w:p w14:paraId="15FC6E5A" w14:textId="1F7110CC" w:rsidR="00E00D23" w:rsidRDefault="00E00D23" w:rsidP="00752E8F">
          <w:r w:rsidRPr="00E00D23">
            <w:t>Collison, R.L., Preece, W.E. (2026, January 20).</w:t>
          </w:r>
          <w:r w:rsidRPr="00E00D23">
            <w:rPr>
              <w:i/>
              <w:iCs/>
            </w:rPr>
            <w:t xml:space="preserve"> encyclopaedia. Encyclopedia Britannica. </w:t>
          </w:r>
          <w:r w:rsidRPr="00E00D23">
            <w:t>https://www.britannica.com/topic/encyclopaedia Accessed 20 February 2026</w:t>
          </w:r>
        </w:p>
        <w:p w14:paraId="02FA6219" w14:textId="3EA9E7CB" w:rsidR="00E00D23" w:rsidRPr="00E00D23" w:rsidRDefault="00E00D23" w:rsidP="00752E8F">
          <w:r w:rsidRPr="00E00D23">
            <w:t xml:space="preserve">Ficino, M. (2001). </w:t>
          </w:r>
          <w:r w:rsidRPr="00E00D23">
            <w:rPr>
              <w:i/>
              <w:iCs/>
            </w:rPr>
            <w:t>Platonic theology</w:t>
          </w:r>
          <w:r w:rsidRPr="00E00D23">
            <w:t xml:space="preserve"> (Vol. 1). Harvard University Press.</w:t>
          </w:r>
        </w:p>
        <w:p w14:paraId="3A798B28" w14:textId="1AC06385" w:rsidR="00752E8F" w:rsidRDefault="00752E8F" w:rsidP="00752E8F">
          <w:r w:rsidRPr="00752E8F">
            <w:t>Greene, Thomas M</w:t>
          </w:r>
          <w:r w:rsidRPr="00752E8F">
            <w:rPr>
              <w:i/>
              <w:iCs/>
            </w:rPr>
            <w:t>. “Roger Ascham: The Perfect End of Shooting.” ELH</w:t>
          </w:r>
          <w:r w:rsidRPr="00752E8F">
            <w:t>, vol. 36, no. 4, 1969, pp. 609–25. JSTOR, https://doi.org/10.2307/2872098. Accessed 19 Feb. 2026.</w:t>
          </w:r>
        </w:p>
        <w:p w14:paraId="0141B501" w14:textId="3802737F" w:rsidR="00E00D23" w:rsidRPr="00752E8F" w:rsidRDefault="00E00D23" w:rsidP="00752E8F">
          <w:r w:rsidRPr="00E00D23">
            <w:t xml:space="preserve">Henry Osborn Taylor, </w:t>
          </w:r>
          <w:r w:rsidRPr="00E00D23">
            <w:rPr>
              <w:i/>
              <w:iCs/>
            </w:rPr>
            <w:t>The Medieval Mind: A History of the Development of Thought and Emotion in the Middle Ages</w:t>
          </w:r>
          <w:r w:rsidRPr="00E00D23">
            <w:t>, 2 vols (London Macmillan, 1927)</w:t>
          </w:r>
        </w:p>
        <w:sdt>
          <w:sdtPr>
            <w:id w:val="111145805"/>
            <w:bibliography/>
          </w:sdtPr>
          <w:sdtEndPr/>
          <w:sdtContent>
            <w:p w14:paraId="278FA73D" w14:textId="31C2FC9B" w:rsidR="00E45B8D" w:rsidRPr="00E45B8D" w:rsidRDefault="00E45B8D" w:rsidP="00E45B8D">
              <w:pPr>
                <w:rPr>
                  <w:noProof/>
                </w:rPr>
              </w:pPr>
              <w:r w:rsidRPr="00E45B8D">
                <w:rPr>
                  <w:noProof/>
                </w:rPr>
                <w:t xml:space="preserve">Margaret King, </w:t>
              </w:r>
              <w:r w:rsidRPr="00E45B8D">
                <w:rPr>
                  <w:i/>
                  <w:iCs/>
                  <w:noProof/>
                </w:rPr>
                <w:t>Renaissance Humanism: An Anthology of Sources</w:t>
              </w:r>
              <w:r w:rsidRPr="00E45B8D">
                <w:rPr>
                  <w:noProof/>
                </w:rPr>
                <w:t xml:space="preserve"> (Hackett 2014)</w:t>
              </w:r>
            </w:p>
            <w:p w14:paraId="7090F764" w14:textId="77777777" w:rsidR="00E45B8D" w:rsidRDefault="00E45B8D" w:rsidP="00E45B8D">
              <w:pPr>
                <w:rPr>
                  <w:noProof/>
                </w:rPr>
              </w:pPr>
              <w:r w:rsidRPr="00E45B8D">
                <w:rPr>
                  <w:noProof/>
                </w:rPr>
                <w:t xml:space="preserve">Nichlolas Mann, </w:t>
              </w:r>
              <w:r w:rsidRPr="00E45B8D">
                <w:rPr>
                  <w:i/>
                  <w:iCs/>
                  <w:noProof/>
                </w:rPr>
                <w:t>‘The Origins of Humanism’, in The Cambridge Companion to Renaissance Humanism</w:t>
              </w:r>
              <w:r w:rsidRPr="00E45B8D">
                <w:rPr>
                  <w:noProof/>
                </w:rPr>
                <w:t>, ed. by Jill Kraye (Cambridge: Cambridge University Press, 1996), pp. 1-19 (p. 1).</w:t>
              </w:r>
            </w:p>
            <w:p w14:paraId="1A2CBC94" w14:textId="498BBEB1" w:rsidR="00752E8F" w:rsidRDefault="00752E8F" w:rsidP="00E45B8D">
              <w:pPr>
                <w:rPr>
                  <w:i/>
                  <w:iCs/>
                  <w:noProof/>
                </w:rPr>
              </w:pPr>
              <w:r w:rsidRPr="00752E8F">
                <w:rPr>
                  <w:noProof/>
                </w:rPr>
                <w:t xml:space="preserve">Petrach, </w:t>
              </w:r>
              <w:r w:rsidRPr="00752E8F">
                <w:rPr>
                  <w:i/>
                  <w:iCs/>
                  <w:noProof/>
                </w:rPr>
                <w:t>Letter to Homer</w:t>
              </w:r>
            </w:p>
            <w:p w14:paraId="5952AD70" w14:textId="6FA0FA34" w:rsidR="00FC733C" w:rsidRDefault="00FC733C" w:rsidP="00E45B8D">
              <w:pPr>
                <w:rPr>
                  <w:noProof/>
                </w:rPr>
              </w:pPr>
              <w:r w:rsidRPr="00FC733C">
                <w:rPr>
                  <w:noProof/>
                </w:rPr>
                <w:lastRenderedPageBreak/>
                <w:t xml:space="preserve">Posner, Rebecca, Sala, Marius. </w:t>
              </w:r>
              <w:r w:rsidRPr="00FC733C">
                <w:rPr>
                  <w:i/>
                  <w:iCs/>
                  <w:noProof/>
                </w:rPr>
                <w:t>"Latin language". Encyclopedia Britannica</w:t>
              </w:r>
              <w:r w:rsidRPr="00FC733C">
                <w:rPr>
                  <w:noProof/>
                </w:rPr>
                <w:t>, 3 Feb. 2026, https://www.britannica.com/topic/Latin-language. Accessed 20 February 2026.</w:t>
              </w:r>
            </w:p>
            <w:p w14:paraId="4F9DCC0E" w14:textId="594EBA96" w:rsidR="00752E8F" w:rsidRDefault="00752E8F" w:rsidP="00E45B8D">
              <w:pPr>
                <w:rPr>
                  <w:noProof/>
                </w:rPr>
              </w:pPr>
              <w:r w:rsidRPr="00752E8F">
                <w:rPr>
                  <w:noProof/>
                </w:rPr>
                <w:t xml:space="preserve">Salamon, L Bradley. </w:t>
              </w:r>
              <w:r w:rsidRPr="00752E8F">
                <w:rPr>
                  <w:i/>
                  <w:iCs/>
                  <w:noProof/>
                </w:rPr>
                <w:t>“The Courtier and the Scholemaster.” Comparative Literature, vol. 25</w:t>
              </w:r>
              <w:r w:rsidRPr="00752E8F">
                <w:rPr>
                  <w:noProof/>
                </w:rPr>
                <w:t>, no. 1, 1973, pp. 17–36. JSTOR, https://doi.org/10.2307/1769767. Accessed 19 Feb. 2026.</w:t>
              </w:r>
            </w:p>
            <w:p w14:paraId="43BB990C" w14:textId="77777777" w:rsidR="00E00D23" w:rsidRDefault="00E45B8D" w:rsidP="00E45B8D">
              <w:r w:rsidRPr="00E45B8D">
                <w:t xml:space="preserve">Swink, R.L., Mukerji, S., Naka, A., Nakosteen, M.K., Graham, H.F., Browning, R., Riché, P., Szyliowicz, J.S., Chen, T.H., Lawson, R.F., Vázquez, J.Z., Arnove, R.F., Chambliss, J., Marrou, H., Scanlon, D.G., Gelpi, E., Lauwerys, J.A., Huq, M.S., Moumouni, A., Thomas, R.M., Ipfling, H., Anweiler, O., Meyer, A.E., Bowen, J., Shimahara, N. (2026, February 9). </w:t>
              </w:r>
              <w:r w:rsidRPr="00E45B8D">
                <w:rPr>
                  <w:i/>
                  <w:iCs/>
                </w:rPr>
                <w:t>education. Encyclopedia Britannica</w:t>
              </w:r>
              <w:r w:rsidRPr="00E45B8D">
                <w:t xml:space="preserve">. </w:t>
              </w:r>
              <w:hyperlink r:id="rId9" w:history="1">
                <w:r w:rsidR="00E00D23" w:rsidRPr="008B6720">
                  <w:rPr>
                    <w:rStyle w:val="Hyperlink"/>
                  </w:rPr>
                  <w:t>https://www.britannica.com/topic/education</w:t>
                </w:r>
              </w:hyperlink>
            </w:p>
            <w:p w14:paraId="7FCD0A84" w14:textId="3116455B" w:rsidR="00E45B8D" w:rsidRDefault="00E00D23" w:rsidP="00E45B8D">
              <w:r w:rsidRPr="00E00D23">
                <w:t xml:space="preserve">Tepelea, Marius &amp; Barth, Karla. (2025). </w:t>
              </w:r>
              <w:r w:rsidRPr="00E00D23">
                <w:rPr>
                  <w:i/>
                  <w:iCs/>
                </w:rPr>
                <w:t>The Impact of Renaissance and Humanism on the Development of Pedagogy</w:t>
              </w:r>
              <w:r w:rsidRPr="00E00D23">
                <w:t>. 7-27.</w:t>
              </w:r>
            </w:p>
          </w:sdtContent>
        </w:sdt>
      </w:sdtContent>
    </w:sdt>
    <w:p w14:paraId="224D3C8A" w14:textId="77777777" w:rsidR="00E45B8D" w:rsidRDefault="00E45B8D"/>
    <w:sectPr w:rsidR="00E45B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1DCD9" w14:textId="77777777" w:rsidR="002B0674" w:rsidRDefault="002B0674">
      <w:pPr>
        <w:spacing w:after="0" w:line="240" w:lineRule="auto"/>
      </w:pPr>
      <w:r>
        <w:separator/>
      </w:r>
    </w:p>
  </w:endnote>
  <w:endnote w:type="continuationSeparator" w:id="0">
    <w:p w14:paraId="57360505" w14:textId="77777777" w:rsidR="002B0674" w:rsidRDefault="002B0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6E121" w14:textId="77777777" w:rsidR="002B0674" w:rsidRDefault="002B0674">
      <w:pPr>
        <w:spacing w:after="0" w:line="240" w:lineRule="auto"/>
      </w:pPr>
      <w:r>
        <w:separator/>
      </w:r>
    </w:p>
  </w:footnote>
  <w:footnote w:type="continuationSeparator" w:id="0">
    <w:p w14:paraId="3C570705" w14:textId="77777777" w:rsidR="002B0674" w:rsidRDefault="002B0674">
      <w:pPr>
        <w:spacing w:after="0" w:line="240" w:lineRule="auto"/>
      </w:pPr>
      <w:r>
        <w:continuationSeparator/>
      </w:r>
    </w:p>
  </w:footnote>
  <w:footnote w:id="1">
    <w:p w14:paraId="50462847" w14:textId="2E308B55" w:rsidR="001E544B" w:rsidRDefault="001E544B">
      <w:pPr>
        <w:pStyle w:val="FootnoteText"/>
      </w:pPr>
      <w:r>
        <w:rPr>
          <w:rStyle w:val="FootnoteReference"/>
        </w:rPr>
        <w:footnoteRef/>
      </w:r>
      <w:r>
        <w:t xml:space="preserve"> </w:t>
      </w:r>
      <w:r w:rsidR="00765D82" w:rsidRPr="00765D82">
        <w:t xml:space="preserve">Swink, R.L., Mukerji, S., Naka, A., Nakosteen, M.K., Graham, H.F., Browning, R., Riché, P., Szyliowicz, J.S., Chen, T.H., Lawson, R.F., Vázquez, J.Z., Arnove, R.F., Chambliss, J., Marrou, H., Scanlon, D.G., Gelpi, E., Lauwerys, J.A., Huq, M.S., Moumouni, A., Thomas, R.M., Ipfling, H., Anweiler, O., Meyer, A.E., Bowen, J., Shimahara, N. (2026, February 9). </w:t>
      </w:r>
      <w:r w:rsidR="00765D82" w:rsidRPr="00765D82">
        <w:rPr>
          <w:i/>
          <w:iCs/>
        </w:rPr>
        <w:t>education. Encyclopedia Britannica</w:t>
      </w:r>
      <w:r w:rsidR="00765D82" w:rsidRPr="00765D82">
        <w:t xml:space="preserve">. </w:t>
      </w:r>
      <w:hyperlink r:id="rId1" w:history="1">
        <w:r w:rsidR="00765D82" w:rsidRPr="007C2A95">
          <w:rPr>
            <w:rStyle w:val="Hyperlink"/>
          </w:rPr>
          <w:t>https://www.britannica.com/topic/education</w:t>
        </w:r>
      </w:hyperlink>
      <w:r w:rsidR="00765D82">
        <w:t xml:space="preserve"> </w:t>
      </w:r>
    </w:p>
  </w:footnote>
  <w:footnote w:id="2">
    <w:p w14:paraId="30CBCDC8" w14:textId="6563A71B" w:rsidR="007D3235" w:rsidRDefault="007D3235">
      <w:pPr>
        <w:pStyle w:val="FootnoteText"/>
      </w:pPr>
      <w:r>
        <w:rPr>
          <w:rStyle w:val="FootnoteReference"/>
        </w:rPr>
        <w:footnoteRef/>
      </w:r>
      <w:r>
        <w:t xml:space="preserve"> </w:t>
      </w:r>
      <w:r w:rsidR="008C0BDD" w:rsidRPr="008C0BDD">
        <w:t xml:space="preserve">Margaret King, </w:t>
      </w:r>
      <w:r w:rsidR="008C0BDD" w:rsidRPr="00765D82">
        <w:rPr>
          <w:i/>
          <w:iCs/>
        </w:rPr>
        <w:t>Renaissance Humanism: An Anthology of Sources</w:t>
      </w:r>
      <w:r w:rsidR="008C0BDD" w:rsidRPr="008C0BDD">
        <w:t xml:space="preserve"> (Hackett 2014)</w:t>
      </w:r>
    </w:p>
  </w:footnote>
  <w:footnote w:id="3">
    <w:p w14:paraId="71B0268A" w14:textId="6FF1025F" w:rsidR="002F002E" w:rsidRDefault="002F002E">
      <w:pPr>
        <w:pStyle w:val="FootnoteText"/>
      </w:pPr>
      <w:r>
        <w:rPr>
          <w:rStyle w:val="FootnoteReference"/>
        </w:rPr>
        <w:footnoteRef/>
      </w:r>
      <w:r>
        <w:t xml:space="preserve"> </w:t>
      </w:r>
      <w:r w:rsidR="007C0005" w:rsidRPr="007C0005">
        <w:t>Nichlolas Mann, ‘</w:t>
      </w:r>
      <w:r w:rsidR="007C0005" w:rsidRPr="00765D82">
        <w:rPr>
          <w:i/>
          <w:iCs/>
        </w:rPr>
        <w:t>The Origins of Humanism’, in The Cambridge Companion to Renaissance Humanism</w:t>
      </w:r>
      <w:r w:rsidR="007C0005" w:rsidRPr="007C0005">
        <w:t>, ed. by Jill Kraye (Cambridge: Cambridge University Press, 1996), pp. 1-19 (p. 1).</w:t>
      </w:r>
    </w:p>
  </w:footnote>
  <w:footnote w:id="4">
    <w:p w14:paraId="254BF174" w14:textId="50A26D76" w:rsidR="00715A9D" w:rsidRDefault="00715A9D">
      <w:pPr>
        <w:pStyle w:val="FootnoteText"/>
      </w:pPr>
      <w:r>
        <w:rPr>
          <w:rStyle w:val="FootnoteReference"/>
        </w:rPr>
        <w:footnoteRef/>
      </w:r>
      <w:r>
        <w:t xml:space="preserve"> </w:t>
      </w:r>
      <w:r w:rsidR="00BF1A9F" w:rsidRPr="00BF1A9F">
        <w:t>Nichlolas Mann, ‘</w:t>
      </w:r>
      <w:r w:rsidR="00BF1A9F" w:rsidRPr="003C5436">
        <w:rPr>
          <w:i/>
          <w:iCs/>
        </w:rPr>
        <w:t>The Origins of Humanism’, in The Cambridge Companion to Renaissance Humanism</w:t>
      </w:r>
    </w:p>
  </w:footnote>
  <w:footnote w:id="5">
    <w:p w14:paraId="2FEC48B8" w14:textId="364BDECD" w:rsidR="0055670A" w:rsidRDefault="0055670A">
      <w:pPr>
        <w:pStyle w:val="FootnoteText"/>
      </w:pPr>
      <w:r>
        <w:rPr>
          <w:rStyle w:val="FootnoteReference"/>
        </w:rPr>
        <w:footnoteRef/>
      </w:r>
      <w:r>
        <w:t xml:space="preserve"> </w:t>
      </w:r>
      <w:r w:rsidR="003C5436" w:rsidRPr="003C5436">
        <w:t xml:space="preserve">Kraye, </w:t>
      </w:r>
      <w:r w:rsidR="003C5436" w:rsidRPr="003C5436">
        <w:rPr>
          <w:i/>
          <w:iCs/>
        </w:rPr>
        <w:t>Preface</w:t>
      </w:r>
      <w:r w:rsidR="003C5436" w:rsidRPr="003C5436">
        <w:t>, p. xv.</w:t>
      </w:r>
    </w:p>
  </w:footnote>
  <w:footnote w:id="6">
    <w:p w14:paraId="2CC664E6" w14:textId="2816A981" w:rsidR="00D34E9F" w:rsidRDefault="00D34E9F">
      <w:pPr>
        <w:pStyle w:val="FootnoteText"/>
      </w:pPr>
      <w:r>
        <w:rPr>
          <w:rStyle w:val="FootnoteReference"/>
        </w:rPr>
        <w:footnoteRef/>
      </w:r>
      <w:r>
        <w:t xml:space="preserve"> </w:t>
      </w:r>
      <w:r w:rsidR="00961D09">
        <w:t xml:space="preserve">Bacon, </w:t>
      </w:r>
      <w:r w:rsidR="00961D09" w:rsidRPr="009808B5">
        <w:rPr>
          <w:i/>
          <w:iCs/>
        </w:rPr>
        <w:t>The Advancement of Learning</w:t>
      </w:r>
    </w:p>
  </w:footnote>
  <w:footnote w:id="7">
    <w:p w14:paraId="2E9C02D9" w14:textId="63A4BC7C" w:rsidR="00BF1A9F" w:rsidRDefault="00BF1A9F">
      <w:pPr>
        <w:pStyle w:val="FootnoteText"/>
      </w:pPr>
      <w:r>
        <w:rPr>
          <w:rStyle w:val="FootnoteReference"/>
        </w:rPr>
        <w:footnoteRef/>
      </w:r>
      <w:r>
        <w:t xml:space="preserve"> </w:t>
      </w:r>
      <w:r w:rsidR="00961D09">
        <w:t xml:space="preserve">Bacon, </w:t>
      </w:r>
      <w:r w:rsidR="00961D09" w:rsidRPr="009808B5">
        <w:rPr>
          <w:i/>
          <w:iCs/>
        </w:rPr>
        <w:t>The Advancement of Learning</w:t>
      </w:r>
    </w:p>
  </w:footnote>
  <w:footnote w:id="8">
    <w:p w14:paraId="4CF59465" w14:textId="6A790F66" w:rsidR="002C1544" w:rsidRDefault="002C1544">
      <w:pPr>
        <w:pStyle w:val="FootnoteText"/>
      </w:pPr>
      <w:r>
        <w:rPr>
          <w:rStyle w:val="FootnoteReference"/>
        </w:rPr>
        <w:footnoteRef/>
      </w:r>
      <w:r>
        <w:t xml:space="preserve"> </w:t>
      </w:r>
      <w:r w:rsidRPr="002C1544">
        <w:t>Salamon, L Bradley. “</w:t>
      </w:r>
      <w:r w:rsidRPr="009808B5">
        <w:rPr>
          <w:i/>
          <w:iCs/>
        </w:rPr>
        <w:t>The Courtier and the Scholemaster.” Comparative Literature,</w:t>
      </w:r>
      <w:r w:rsidRPr="002C1544">
        <w:t xml:space="preserve"> vol. 25, no. 1, 1973, pp. 17–36. JSTOR, https://doi.org/10.2307/1769767. Accessed 19 Feb. 2026.</w:t>
      </w:r>
    </w:p>
  </w:footnote>
  <w:footnote w:id="9">
    <w:p w14:paraId="021FE1DE" w14:textId="0000CDAB" w:rsidR="003D3A42" w:rsidRDefault="003D3A42">
      <w:pPr>
        <w:pStyle w:val="FootnoteText"/>
      </w:pPr>
      <w:r>
        <w:rPr>
          <w:rStyle w:val="FootnoteReference"/>
        </w:rPr>
        <w:footnoteRef/>
      </w:r>
      <w:r>
        <w:t xml:space="preserve"> </w:t>
      </w:r>
      <w:r w:rsidRPr="003D3A42">
        <w:t xml:space="preserve">Ascham, </w:t>
      </w:r>
      <w:r w:rsidRPr="00EB78AB">
        <w:rPr>
          <w:i/>
          <w:iCs/>
        </w:rPr>
        <w:t>The Scholemaster</w:t>
      </w:r>
    </w:p>
  </w:footnote>
  <w:footnote w:id="10">
    <w:p w14:paraId="2F70133D" w14:textId="0E2BCCC5" w:rsidR="00E703CF" w:rsidRDefault="00E703CF">
      <w:pPr>
        <w:pStyle w:val="FootnoteText"/>
      </w:pPr>
      <w:r>
        <w:rPr>
          <w:rStyle w:val="FootnoteReference"/>
        </w:rPr>
        <w:footnoteRef/>
      </w:r>
      <w:r>
        <w:t xml:space="preserve"> </w:t>
      </w:r>
      <w:r w:rsidR="00800B24" w:rsidRPr="00800B24">
        <w:t xml:space="preserve">Ascham, </w:t>
      </w:r>
      <w:r w:rsidR="00800B24" w:rsidRPr="00852CDD">
        <w:rPr>
          <w:i/>
          <w:iCs/>
        </w:rPr>
        <w:t>The Scholemaste</w:t>
      </w:r>
      <w:r w:rsidR="00852CDD" w:rsidRPr="00852CDD">
        <w:rPr>
          <w:i/>
          <w:iCs/>
        </w:rPr>
        <w:t>r</w:t>
      </w:r>
    </w:p>
  </w:footnote>
  <w:footnote w:id="11">
    <w:p w14:paraId="4FAAE183" w14:textId="4268DBA7" w:rsidR="0083197E" w:rsidRDefault="0083197E">
      <w:pPr>
        <w:pStyle w:val="FootnoteText"/>
      </w:pPr>
      <w:r>
        <w:rPr>
          <w:rStyle w:val="FootnoteReference"/>
        </w:rPr>
        <w:footnoteRef/>
      </w:r>
      <w:r>
        <w:t xml:space="preserve"> </w:t>
      </w:r>
      <w:r w:rsidR="00D46A1D" w:rsidRPr="00D46A1D">
        <w:t xml:space="preserve">Bacon, </w:t>
      </w:r>
      <w:r w:rsidR="00D46A1D" w:rsidRPr="0015694C">
        <w:rPr>
          <w:i/>
          <w:iCs/>
        </w:rPr>
        <w:t>The Advancement of Learning</w:t>
      </w:r>
    </w:p>
  </w:footnote>
  <w:footnote w:id="12">
    <w:p w14:paraId="5C1A79A1" w14:textId="449132B8" w:rsidR="00E41F2F" w:rsidRDefault="00E41F2F">
      <w:pPr>
        <w:pStyle w:val="FootnoteText"/>
      </w:pPr>
      <w:r>
        <w:rPr>
          <w:rStyle w:val="FootnoteReference"/>
        </w:rPr>
        <w:footnoteRef/>
      </w:r>
      <w:r>
        <w:t xml:space="preserve"> </w:t>
      </w:r>
      <w:r w:rsidRPr="00E41F2F">
        <w:t>Greene, Thomas M. “</w:t>
      </w:r>
      <w:r w:rsidRPr="0015694C">
        <w:rPr>
          <w:i/>
          <w:iCs/>
        </w:rPr>
        <w:t>Roger Ascham: The Perfect End of Shooting.” ELH</w:t>
      </w:r>
      <w:r w:rsidRPr="00E41F2F">
        <w:t>, vol. 36, no. 4, 1969, pp. 609–25. JSTOR, https://doi.org/10.2307/2872098. Accessed 19 Feb. 2026.</w:t>
      </w:r>
    </w:p>
  </w:footnote>
  <w:footnote w:id="13">
    <w:p w14:paraId="05577A54" w14:textId="3D58ED6C" w:rsidR="00C313BC" w:rsidRDefault="00C313BC">
      <w:pPr>
        <w:pStyle w:val="FootnoteText"/>
      </w:pPr>
      <w:r>
        <w:rPr>
          <w:rStyle w:val="FootnoteReference"/>
        </w:rPr>
        <w:footnoteRef/>
      </w:r>
      <w:r>
        <w:t xml:space="preserve"> </w:t>
      </w:r>
      <w:r w:rsidR="00897386">
        <w:t>Ameri</w:t>
      </w:r>
      <w:r w:rsidR="007B19C2">
        <w:t>go Vespucci</w:t>
      </w:r>
      <w:r w:rsidR="009C5C15">
        <w:t xml:space="preserve">, </w:t>
      </w:r>
      <w:r w:rsidR="009C5C15" w:rsidRPr="0015694C">
        <w:rPr>
          <w:i/>
          <w:iCs/>
        </w:rPr>
        <w:t xml:space="preserve">New World, Letter to Lorenzo </w:t>
      </w:r>
      <w:r w:rsidR="002525F0" w:rsidRPr="0015694C">
        <w:rPr>
          <w:i/>
          <w:iCs/>
        </w:rPr>
        <w:t xml:space="preserve">di Pierfrancesco </w:t>
      </w:r>
      <w:r w:rsidR="00C21ED7" w:rsidRPr="0015694C">
        <w:rPr>
          <w:i/>
          <w:iCs/>
        </w:rPr>
        <w:t>de’ Medici</w:t>
      </w:r>
      <w:r w:rsidR="00C21ED7">
        <w:t xml:space="preserve"> </w:t>
      </w:r>
      <w:r w:rsidR="00B92F9F">
        <w:t>(1502/</w:t>
      </w:r>
      <w:r w:rsidR="008D3AC5">
        <w:t>1503</w:t>
      </w:r>
      <w:r w:rsidR="00C6183D">
        <w:t>)</w:t>
      </w:r>
      <w:r w:rsidR="006D74A5">
        <w:t xml:space="preserve">, in </w:t>
      </w:r>
      <w:r w:rsidR="006D74A5" w:rsidRPr="0015694C">
        <w:rPr>
          <w:i/>
          <w:iCs/>
        </w:rPr>
        <w:t xml:space="preserve">Renaissance Humanism: </w:t>
      </w:r>
      <w:r w:rsidR="005A16D1" w:rsidRPr="0015694C">
        <w:rPr>
          <w:i/>
          <w:iCs/>
        </w:rPr>
        <w:t>An Anthology</w:t>
      </w:r>
      <w:r w:rsidR="00835FCD" w:rsidRPr="0015694C">
        <w:rPr>
          <w:i/>
          <w:iCs/>
        </w:rPr>
        <w:t xml:space="preserve"> of Sources</w:t>
      </w:r>
      <w:r w:rsidR="00CB341C">
        <w:t>, pp.</w:t>
      </w:r>
      <w:r w:rsidR="000C15D6">
        <w:t xml:space="preserve"> 300</w:t>
      </w:r>
    </w:p>
  </w:footnote>
  <w:footnote w:id="14">
    <w:p w14:paraId="655C8350" w14:textId="4148F695" w:rsidR="0083197E" w:rsidRDefault="0083197E">
      <w:pPr>
        <w:pStyle w:val="FootnoteText"/>
      </w:pPr>
      <w:r>
        <w:rPr>
          <w:rStyle w:val="FootnoteReference"/>
        </w:rPr>
        <w:footnoteRef/>
      </w:r>
      <w:r>
        <w:t xml:space="preserve"> </w:t>
      </w:r>
      <w:r w:rsidR="00E30D55">
        <w:t xml:space="preserve">Petrach, </w:t>
      </w:r>
      <w:r w:rsidR="00E30D55" w:rsidRPr="00EB78AB">
        <w:rPr>
          <w:i/>
          <w:iCs/>
        </w:rPr>
        <w:t>Letter to Homer</w:t>
      </w:r>
    </w:p>
  </w:footnote>
  <w:footnote w:id="15">
    <w:p w14:paraId="1E8D96BF" w14:textId="30664FC1" w:rsidR="007E41F7" w:rsidRDefault="007E41F7">
      <w:pPr>
        <w:pStyle w:val="FootnoteText"/>
      </w:pPr>
      <w:r>
        <w:rPr>
          <w:rStyle w:val="FootnoteReference"/>
        </w:rPr>
        <w:footnoteRef/>
      </w:r>
      <w:r>
        <w:t xml:space="preserve"> </w:t>
      </w:r>
      <w:r w:rsidR="00E44490" w:rsidRPr="00E44490">
        <w:t xml:space="preserve">Margaret King, </w:t>
      </w:r>
      <w:r w:rsidR="00E44490" w:rsidRPr="00EB78AB">
        <w:rPr>
          <w:i/>
          <w:iCs/>
        </w:rPr>
        <w:t>Renaissance Humanism: An Anthology of Sources (</w:t>
      </w:r>
      <w:r w:rsidR="00E44490" w:rsidRPr="00E44490">
        <w:t>Hackett 2014)</w:t>
      </w:r>
    </w:p>
  </w:footnote>
  <w:footnote w:id="16">
    <w:p w14:paraId="57DBD357" w14:textId="31BCBADA" w:rsidR="00A913F7" w:rsidRDefault="00A913F7">
      <w:pPr>
        <w:pStyle w:val="FootnoteText"/>
      </w:pPr>
      <w:r>
        <w:rPr>
          <w:rStyle w:val="FootnoteReference"/>
        </w:rPr>
        <w:footnoteRef/>
      </w:r>
      <w:r>
        <w:t xml:space="preserve"> </w:t>
      </w:r>
      <w:r w:rsidRPr="00A913F7">
        <w:t xml:space="preserve">Tepelea, Marius &amp; Barth, Karla. (2025). </w:t>
      </w:r>
      <w:r w:rsidR="003D7E98" w:rsidRPr="009E1833">
        <w:rPr>
          <w:i/>
          <w:iCs/>
        </w:rPr>
        <w:t xml:space="preserve">The </w:t>
      </w:r>
      <w:r w:rsidR="009E1833" w:rsidRPr="009E1833">
        <w:rPr>
          <w:i/>
          <w:iCs/>
        </w:rPr>
        <w:t>Impact of Renaissance and Humanism on the Development of Pedagogy</w:t>
      </w:r>
      <w:r w:rsidRPr="00A913F7">
        <w:t>. 7-27.</w:t>
      </w:r>
    </w:p>
  </w:footnote>
  <w:footnote w:id="17">
    <w:p w14:paraId="266BAB8F" w14:textId="73742403" w:rsidR="00EB2A92" w:rsidRDefault="00EB2A92">
      <w:pPr>
        <w:pStyle w:val="FootnoteText"/>
      </w:pPr>
      <w:r>
        <w:rPr>
          <w:rStyle w:val="FootnoteReference"/>
        </w:rPr>
        <w:footnoteRef/>
      </w:r>
      <w:r>
        <w:t xml:space="preserve"> </w:t>
      </w:r>
      <w:r w:rsidR="007C7A65" w:rsidRPr="007C7A65">
        <w:t>Balsdon, John P.V. Dacre, Ferguson, John. "</w:t>
      </w:r>
      <w:r w:rsidR="007C7A65" w:rsidRPr="007C7A65">
        <w:rPr>
          <w:i/>
          <w:iCs/>
        </w:rPr>
        <w:t>Cicero</w:t>
      </w:r>
      <w:r w:rsidR="007C7A65" w:rsidRPr="007C7A65">
        <w:t xml:space="preserve">". </w:t>
      </w:r>
      <w:r w:rsidR="007C7A65" w:rsidRPr="00EB78AB">
        <w:rPr>
          <w:i/>
          <w:iCs/>
        </w:rPr>
        <w:t>Encyclopaedia Britannica</w:t>
      </w:r>
      <w:r w:rsidR="007C7A65" w:rsidRPr="007C7A65">
        <w:t>, 15 Jan. 2026, https://www.britannica.com/biography/Cicero. Accessed 18 February 2026.</w:t>
      </w:r>
    </w:p>
  </w:footnote>
  <w:footnote w:id="18">
    <w:p w14:paraId="73747137" w14:textId="45B729A2" w:rsidR="0069564A" w:rsidRDefault="0069564A">
      <w:pPr>
        <w:pStyle w:val="FootnoteText"/>
      </w:pPr>
      <w:r>
        <w:rPr>
          <w:rStyle w:val="FootnoteReference"/>
        </w:rPr>
        <w:footnoteRef/>
      </w:r>
      <w:r>
        <w:t xml:space="preserve"> </w:t>
      </w:r>
      <w:r w:rsidR="00E421BD" w:rsidRPr="00E421BD">
        <w:t xml:space="preserve">Collison, R.L., Preece, W.E. (2026, January 20). </w:t>
      </w:r>
      <w:r w:rsidR="00E421BD" w:rsidRPr="00EB78AB">
        <w:rPr>
          <w:i/>
          <w:iCs/>
        </w:rPr>
        <w:t>encyclopaedia. Encyclopedia Britannica.</w:t>
      </w:r>
      <w:r w:rsidR="00E421BD" w:rsidRPr="00E421BD">
        <w:t xml:space="preserve"> </w:t>
      </w:r>
      <w:hyperlink r:id="rId2" w:history="1">
        <w:r w:rsidR="00E421BD" w:rsidRPr="007C2A95">
          <w:rPr>
            <w:rStyle w:val="Hyperlink"/>
          </w:rPr>
          <w:t>https://www.britannica.com/topic/encyclopaedia</w:t>
        </w:r>
      </w:hyperlink>
      <w:r w:rsidR="00E421BD">
        <w:t xml:space="preserve"> Accessed 20 February 2026</w:t>
      </w:r>
    </w:p>
  </w:footnote>
  <w:footnote w:id="19">
    <w:p w14:paraId="1DFB8E1D" w14:textId="74D118AA" w:rsidR="0069564A" w:rsidRDefault="0069564A">
      <w:pPr>
        <w:pStyle w:val="FootnoteText"/>
      </w:pPr>
      <w:r>
        <w:rPr>
          <w:rStyle w:val="FootnoteReference"/>
        </w:rPr>
        <w:footnoteRef/>
      </w:r>
      <w:r>
        <w:t xml:space="preserve"> </w:t>
      </w:r>
      <w:r w:rsidR="003260B2" w:rsidRPr="003260B2">
        <w:t xml:space="preserve">Britannica Editors. </w:t>
      </w:r>
      <w:r w:rsidR="003260B2" w:rsidRPr="00EB78AB">
        <w:rPr>
          <w:i/>
          <w:iCs/>
        </w:rPr>
        <w:t>"Pythagoras". Encyclopedia Britannica</w:t>
      </w:r>
      <w:r w:rsidR="003260B2" w:rsidRPr="003260B2">
        <w:t>, 1 Jan. 2026, https://www.britannica.com/biography/Pythagoras. Accessed 20 February 2026.</w:t>
      </w:r>
    </w:p>
  </w:footnote>
  <w:footnote w:id="20">
    <w:p w14:paraId="47A83463" w14:textId="4A90F146" w:rsidR="003367E8" w:rsidRDefault="003367E8">
      <w:pPr>
        <w:pStyle w:val="FootnoteText"/>
      </w:pPr>
      <w:r>
        <w:rPr>
          <w:rStyle w:val="FootnoteReference"/>
        </w:rPr>
        <w:footnoteRef/>
      </w:r>
      <w:r>
        <w:t xml:space="preserve"> </w:t>
      </w:r>
      <w:r w:rsidR="00135E95">
        <w:t xml:space="preserve">Henry Osborn Taylor, </w:t>
      </w:r>
      <w:r w:rsidR="00135E95" w:rsidRPr="00EB78AB">
        <w:rPr>
          <w:i/>
          <w:iCs/>
        </w:rPr>
        <w:t>The Medieval Mind: A History of the Development of Thought and Emotion in the Middle Ages</w:t>
      </w:r>
      <w:r w:rsidR="002924CA">
        <w:t>, 2 vols (London Macmillan, 1927)</w:t>
      </w:r>
    </w:p>
  </w:footnote>
  <w:footnote w:id="21">
    <w:p w14:paraId="677095D1" w14:textId="4126B076" w:rsidR="005B1EE2" w:rsidRDefault="005B1EE2">
      <w:pPr>
        <w:pStyle w:val="FootnoteText"/>
      </w:pPr>
      <w:r>
        <w:rPr>
          <w:rStyle w:val="FootnoteReference"/>
        </w:rPr>
        <w:footnoteRef/>
      </w:r>
      <w:r>
        <w:t xml:space="preserve"> </w:t>
      </w:r>
      <w:r w:rsidR="00F449B9" w:rsidRPr="00F449B9">
        <w:t xml:space="preserve">Ficino, M. (2001). </w:t>
      </w:r>
      <w:r w:rsidR="00F449B9" w:rsidRPr="00EB78AB">
        <w:rPr>
          <w:i/>
          <w:iCs/>
        </w:rPr>
        <w:t>Platonic theology (Vol. 1).</w:t>
      </w:r>
      <w:r w:rsidR="00F449B9" w:rsidRPr="00F449B9">
        <w:t xml:space="preserve"> Harvard University Press.</w:t>
      </w:r>
    </w:p>
  </w:footnote>
  <w:footnote w:id="22">
    <w:p w14:paraId="0ABC3F12" w14:textId="43A696F9" w:rsidR="00860CDE" w:rsidRDefault="00860CDE">
      <w:pPr>
        <w:pStyle w:val="FootnoteText"/>
      </w:pPr>
      <w:r>
        <w:rPr>
          <w:rStyle w:val="FootnoteReference"/>
        </w:rPr>
        <w:footnoteRef/>
      </w:r>
      <w:r>
        <w:t xml:space="preserve"> </w:t>
      </w:r>
      <w:r w:rsidR="001F7460" w:rsidRPr="001F7460">
        <w:t>Posner, Rebecca, Sala, Marius. "</w:t>
      </w:r>
      <w:r w:rsidR="001F7460" w:rsidRPr="00E45B8D">
        <w:rPr>
          <w:i/>
          <w:iCs/>
        </w:rPr>
        <w:t>Latin language". Encyclopedia Britannica</w:t>
      </w:r>
      <w:r w:rsidR="001F7460" w:rsidRPr="001F7460">
        <w:t>, 3 Feb. 2026, https://www.britannica.com/topic/Latin-language. Accessed 20 February 2026.</w:t>
      </w:r>
    </w:p>
  </w:footnote>
  <w:footnote w:id="23">
    <w:p w14:paraId="70C22142" w14:textId="68089A7C" w:rsidR="005F6BF9" w:rsidRDefault="005F6BF9">
      <w:pPr>
        <w:pStyle w:val="FootnoteText"/>
      </w:pPr>
      <w:r>
        <w:rPr>
          <w:rStyle w:val="FootnoteReference"/>
        </w:rPr>
        <w:footnoteRef/>
      </w:r>
      <w:r>
        <w:t xml:space="preserve"> </w:t>
      </w:r>
      <w:r w:rsidR="00676EBA" w:rsidRPr="00676EBA">
        <w:t xml:space="preserve">Briggs, A., Morrill, J.S., Atkins, R.C., Ravenhill, W., Kellner, P., Frere, S.S., Josephson, P.R., Barr, N.A., Prestwich, M.C., Hastings, M., Whitelock, D., Joyce, P., Gilbert, B.B., Spencer, U.M., Kishlansky, M.A., Chaney, W.A., Smith, L.B., Colley, L.J. (2026, February 20). </w:t>
      </w:r>
      <w:r w:rsidR="00676EBA" w:rsidRPr="00E45B8D">
        <w:rPr>
          <w:i/>
          <w:iCs/>
        </w:rPr>
        <w:t xml:space="preserve">United Kingdom. Encyclopedia Britannica. </w:t>
      </w:r>
      <w:hyperlink r:id="rId3" w:history="1">
        <w:r w:rsidR="00F35F03" w:rsidRPr="007C2A95">
          <w:rPr>
            <w:rStyle w:val="Hyperlink"/>
          </w:rPr>
          <w:t>https://www.britannica.com/place/United-Kingdom</w:t>
        </w:r>
      </w:hyperlink>
      <w:r w:rsidR="00F35F03">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20D"/>
    <w:rsid w:val="00001EE8"/>
    <w:rsid w:val="00024EB0"/>
    <w:rsid w:val="000257B6"/>
    <w:rsid w:val="00027EA3"/>
    <w:rsid w:val="00032F1E"/>
    <w:rsid w:val="00040304"/>
    <w:rsid w:val="000442DA"/>
    <w:rsid w:val="0004441C"/>
    <w:rsid w:val="00053333"/>
    <w:rsid w:val="00053C9E"/>
    <w:rsid w:val="00057E1F"/>
    <w:rsid w:val="00067C7A"/>
    <w:rsid w:val="00083342"/>
    <w:rsid w:val="0009385E"/>
    <w:rsid w:val="000A1D7D"/>
    <w:rsid w:val="000A34AD"/>
    <w:rsid w:val="000A7FF9"/>
    <w:rsid w:val="000B01B9"/>
    <w:rsid w:val="000B7D35"/>
    <w:rsid w:val="000C15D6"/>
    <w:rsid w:val="000C3688"/>
    <w:rsid w:val="000D1E5D"/>
    <w:rsid w:val="000D2B12"/>
    <w:rsid w:val="000E48DA"/>
    <w:rsid w:val="00105241"/>
    <w:rsid w:val="00114E16"/>
    <w:rsid w:val="00125195"/>
    <w:rsid w:val="00126D9F"/>
    <w:rsid w:val="00135E95"/>
    <w:rsid w:val="00143509"/>
    <w:rsid w:val="0014493C"/>
    <w:rsid w:val="0015694C"/>
    <w:rsid w:val="00166DB3"/>
    <w:rsid w:val="00172133"/>
    <w:rsid w:val="00180559"/>
    <w:rsid w:val="00182079"/>
    <w:rsid w:val="00184AD0"/>
    <w:rsid w:val="00194141"/>
    <w:rsid w:val="001976FC"/>
    <w:rsid w:val="001C314A"/>
    <w:rsid w:val="001C49EB"/>
    <w:rsid w:val="001C6AC0"/>
    <w:rsid w:val="001E544B"/>
    <w:rsid w:val="001F4666"/>
    <w:rsid w:val="001F595B"/>
    <w:rsid w:val="001F7460"/>
    <w:rsid w:val="00231E14"/>
    <w:rsid w:val="002474F7"/>
    <w:rsid w:val="002525F0"/>
    <w:rsid w:val="002575EA"/>
    <w:rsid w:val="00271F44"/>
    <w:rsid w:val="00284F86"/>
    <w:rsid w:val="00285ABE"/>
    <w:rsid w:val="00286EA4"/>
    <w:rsid w:val="00287ECA"/>
    <w:rsid w:val="002924CA"/>
    <w:rsid w:val="002927A7"/>
    <w:rsid w:val="0029428A"/>
    <w:rsid w:val="002961DD"/>
    <w:rsid w:val="00297FD2"/>
    <w:rsid w:val="002B0674"/>
    <w:rsid w:val="002B2C74"/>
    <w:rsid w:val="002B482C"/>
    <w:rsid w:val="002B5C37"/>
    <w:rsid w:val="002C1544"/>
    <w:rsid w:val="002D4E9F"/>
    <w:rsid w:val="002E1863"/>
    <w:rsid w:val="002E194C"/>
    <w:rsid w:val="002F002E"/>
    <w:rsid w:val="002F3F1F"/>
    <w:rsid w:val="00306C56"/>
    <w:rsid w:val="00313754"/>
    <w:rsid w:val="00320506"/>
    <w:rsid w:val="003260B2"/>
    <w:rsid w:val="00330E45"/>
    <w:rsid w:val="003367E8"/>
    <w:rsid w:val="00340ED8"/>
    <w:rsid w:val="00341841"/>
    <w:rsid w:val="00346355"/>
    <w:rsid w:val="003726BE"/>
    <w:rsid w:val="00380F86"/>
    <w:rsid w:val="0038542A"/>
    <w:rsid w:val="00387E85"/>
    <w:rsid w:val="003952B7"/>
    <w:rsid w:val="003A1597"/>
    <w:rsid w:val="003A6271"/>
    <w:rsid w:val="003B0A9E"/>
    <w:rsid w:val="003B0CB8"/>
    <w:rsid w:val="003C3776"/>
    <w:rsid w:val="003C4B1D"/>
    <w:rsid w:val="003C5436"/>
    <w:rsid w:val="003D3A42"/>
    <w:rsid w:val="003D7A36"/>
    <w:rsid w:val="003D7E98"/>
    <w:rsid w:val="003F10C3"/>
    <w:rsid w:val="003F2C33"/>
    <w:rsid w:val="003F36A9"/>
    <w:rsid w:val="003F4025"/>
    <w:rsid w:val="003F5594"/>
    <w:rsid w:val="003F6B63"/>
    <w:rsid w:val="0040781D"/>
    <w:rsid w:val="00416C84"/>
    <w:rsid w:val="00422A92"/>
    <w:rsid w:val="00422F37"/>
    <w:rsid w:val="00432DC9"/>
    <w:rsid w:val="00436217"/>
    <w:rsid w:val="00436C2E"/>
    <w:rsid w:val="00436D4F"/>
    <w:rsid w:val="00444310"/>
    <w:rsid w:val="004511BA"/>
    <w:rsid w:val="00452A32"/>
    <w:rsid w:val="00455C6E"/>
    <w:rsid w:val="004565EE"/>
    <w:rsid w:val="00457273"/>
    <w:rsid w:val="00464406"/>
    <w:rsid w:val="004646CD"/>
    <w:rsid w:val="00467D42"/>
    <w:rsid w:val="00470270"/>
    <w:rsid w:val="004750E9"/>
    <w:rsid w:val="004829FA"/>
    <w:rsid w:val="004B27A3"/>
    <w:rsid w:val="004B38A8"/>
    <w:rsid w:val="004C03FA"/>
    <w:rsid w:val="004D5A03"/>
    <w:rsid w:val="004D635E"/>
    <w:rsid w:val="004E46B9"/>
    <w:rsid w:val="004F09FC"/>
    <w:rsid w:val="004F60E3"/>
    <w:rsid w:val="0050711A"/>
    <w:rsid w:val="00512BC2"/>
    <w:rsid w:val="00514C9F"/>
    <w:rsid w:val="00553AC0"/>
    <w:rsid w:val="00555293"/>
    <w:rsid w:val="005555D4"/>
    <w:rsid w:val="0055670A"/>
    <w:rsid w:val="005622DB"/>
    <w:rsid w:val="00581447"/>
    <w:rsid w:val="005849F7"/>
    <w:rsid w:val="005A16D1"/>
    <w:rsid w:val="005B1EE2"/>
    <w:rsid w:val="005B5A36"/>
    <w:rsid w:val="005C34B9"/>
    <w:rsid w:val="005D4B1E"/>
    <w:rsid w:val="005E1D22"/>
    <w:rsid w:val="005F6BF9"/>
    <w:rsid w:val="00600D8F"/>
    <w:rsid w:val="00605F5B"/>
    <w:rsid w:val="00623A90"/>
    <w:rsid w:val="006271D6"/>
    <w:rsid w:val="00635F08"/>
    <w:rsid w:val="00637AB1"/>
    <w:rsid w:val="0064677B"/>
    <w:rsid w:val="006502D4"/>
    <w:rsid w:val="006523B4"/>
    <w:rsid w:val="00652AE7"/>
    <w:rsid w:val="0065320D"/>
    <w:rsid w:val="0065604F"/>
    <w:rsid w:val="00666A90"/>
    <w:rsid w:val="00666FC4"/>
    <w:rsid w:val="0066766F"/>
    <w:rsid w:val="00676EBA"/>
    <w:rsid w:val="00677AAC"/>
    <w:rsid w:val="00694503"/>
    <w:rsid w:val="0069564A"/>
    <w:rsid w:val="006D3889"/>
    <w:rsid w:val="006D5612"/>
    <w:rsid w:val="006D74A5"/>
    <w:rsid w:val="006E49B6"/>
    <w:rsid w:val="006F27EC"/>
    <w:rsid w:val="006F40C6"/>
    <w:rsid w:val="00700B93"/>
    <w:rsid w:val="00706442"/>
    <w:rsid w:val="00715A9D"/>
    <w:rsid w:val="00733D3C"/>
    <w:rsid w:val="007475E6"/>
    <w:rsid w:val="00752E8F"/>
    <w:rsid w:val="007605BC"/>
    <w:rsid w:val="0076271F"/>
    <w:rsid w:val="00762A92"/>
    <w:rsid w:val="00765D82"/>
    <w:rsid w:val="007743F7"/>
    <w:rsid w:val="00774CB9"/>
    <w:rsid w:val="00777F51"/>
    <w:rsid w:val="007822A0"/>
    <w:rsid w:val="00782C24"/>
    <w:rsid w:val="007852C7"/>
    <w:rsid w:val="007868BA"/>
    <w:rsid w:val="00794333"/>
    <w:rsid w:val="00797401"/>
    <w:rsid w:val="007A59B1"/>
    <w:rsid w:val="007B159A"/>
    <w:rsid w:val="007B19C2"/>
    <w:rsid w:val="007B605D"/>
    <w:rsid w:val="007C0005"/>
    <w:rsid w:val="007C23FA"/>
    <w:rsid w:val="007C634C"/>
    <w:rsid w:val="007C7A65"/>
    <w:rsid w:val="007D3235"/>
    <w:rsid w:val="007D6C65"/>
    <w:rsid w:val="007E41F7"/>
    <w:rsid w:val="00800B24"/>
    <w:rsid w:val="0082407E"/>
    <w:rsid w:val="00826244"/>
    <w:rsid w:val="0083197E"/>
    <w:rsid w:val="00832275"/>
    <w:rsid w:val="00835FCD"/>
    <w:rsid w:val="008446B6"/>
    <w:rsid w:val="00852CDD"/>
    <w:rsid w:val="00852EAF"/>
    <w:rsid w:val="00860CDE"/>
    <w:rsid w:val="00867864"/>
    <w:rsid w:val="00876682"/>
    <w:rsid w:val="0088225D"/>
    <w:rsid w:val="00883DBE"/>
    <w:rsid w:val="00886CCF"/>
    <w:rsid w:val="008878B5"/>
    <w:rsid w:val="008879DF"/>
    <w:rsid w:val="008900F1"/>
    <w:rsid w:val="00897386"/>
    <w:rsid w:val="008A3418"/>
    <w:rsid w:val="008A4F57"/>
    <w:rsid w:val="008A5D5D"/>
    <w:rsid w:val="008B3DCE"/>
    <w:rsid w:val="008C0BDD"/>
    <w:rsid w:val="008C2979"/>
    <w:rsid w:val="008D068D"/>
    <w:rsid w:val="008D1F30"/>
    <w:rsid w:val="008D3AC5"/>
    <w:rsid w:val="008E34F0"/>
    <w:rsid w:val="008F3642"/>
    <w:rsid w:val="008F3843"/>
    <w:rsid w:val="0091199C"/>
    <w:rsid w:val="009151B2"/>
    <w:rsid w:val="0091529E"/>
    <w:rsid w:val="00932C8E"/>
    <w:rsid w:val="009336B6"/>
    <w:rsid w:val="00934C44"/>
    <w:rsid w:val="00961D09"/>
    <w:rsid w:val="009623D4"/>
    <w:rsid w:val="009644CE"/>
    <w:rsid w:val="00976DC2"/>
    <w:rsid w:val="009808B5"/>
    <w:rsid w:val="00995462"/>
    <w:rsid w:val="009960EC"/>
    <w:rsid w:val="00996507"/>
    <w:rsid w:val="009A224F"/>
    <w:rsid w:val="009A63FC"/>
    <w:rsid w:val="009C5667"/>
    <w:rsid w:val="009C5C15"/>
    <w:rsid w:val="009D105E"/>
    <w:rsid w:val="009D5B9D"/>
    <w:rsid w:val="009D6587"/>
    <w:rsid w:val="009E1833"/>
    <w:rsid w:val="009E391E"/>
    <w:rsid w:val="009F4973"/>
    <w:rsid w:val="00A118E4"/>
    <w:rsid w:val="00A12749"/>
    <w:rsid w:val="00A169CF"/>
    <w:rsid w:val="00A22756"/>
    <w:rsid w:val="00A25B42"/>
    <w:rsid w:val="00A26757"/>
    <w:rsid w:val="00A3166B"/>
    <w:rsid w:val="00A51C3D"/>
    <w:rsid w:val="00A7490A"/>
    <w:rsid w:val="00A82B4F"/>
    <w:rsid w:val="00A913F7"/>
    <w:rsid w:val="00A97E58"/>
    <w:rsid w:val="00AA2469"/>
    <w:rsid w:val="00AA2F94"/>
    <w:rsid w:val="00AC139C"/>
    <w:rsid w:val="00AC474C"/>
    <w:rsid w:val="00AD20D2"/>
    <w:rsid w:val="00AE19BA"/>
    <w:rsid w:val="00AE26B2"/>
    <w:rsid w:val="00AE2CD4"/>
    <w:rsid w:val="00AE4063"/>
    <w:rsid w:val="00B019E4"/>
    <w:rsid w:val="00B030CD"/>
    <w:rsid w:val="00B051F4"/>
    <w:rsid w:val="00B1276B"/>
    <w:rsid w:val="00B1589A"/>
    <w:rsid w:val="00B218D1"/>
    <w:rsid w:val="00B23FFA"/>
    <w:rsid w:val="00B36662"/>
    <w:rsid w:val="00B47A07"/>
    <w:rsid w:val="00B61E51"/>
    <w:rsid w:val="00B82EB9"/>
    <w:rsid w:val="00B86B06"/>
    <w:rsid w:val="00B925A2"/>
    <w:rsid w:val="00B92F9F"/>
    <w:rsid w:val="00BA004A"/>
    <w:rsid w:val="00BA2C44"/>
    <w:rsid w:val="00BA4959"/>
    <w:rsid w:val="00BB3212"/>
    <w:rsid w:val="00BD5883"/>
    <w:rsid w:val="00BD7FC2"/>
    <w:rsid w:val="00BE7E59"/>
    <w:rsid w:val="00BF1A9F"/>
    <w:rsid w:val="00C02999"/>
    <w:rsid w:val="00C02B0D"/>
    <w:rsid w:val="00C11CB6"/>
    <w:rsid w:val="00C21ED7"/>
    <w:rsid w:val="00C251B5"/>
    <w:rsid w:val="00C303EB"/>
    <w:rsid w:val="00C313BC"/>
    <w:rsid w:val="00C34CE7"/>
    <w:rsid w:val="00C35567"/>
    <w:rsid w:val="00C41DE4"/>
    <w:rsid w:val="00C56C89"/>
    <w:rsid w:val="00C6183D"/>
    <w:rsid w:val="00C71FF2"/>
    <w:rsid w:val="00C80D89"/>
    <w:rsid w:val="00C90053"/>
    <w:rsid w:val="00C93856"/>
    <w:rsid w:val="00C96530"/>
    <w:rsid w:val="00CA06E7"/>
    <w:rsid w:val="00CB341C"/>
    <w:rsid w:val="00CB4580"/>
    <w:rsid w:val="00CB57E5"/>
    <w:rsid w:val="00CB6CD7"/>
    <w:rsid w:val="00CB6FAB"/>
    <w:rsid w:val="00CD6743"/>
    <w:rsid w:val="00CE0183"/>
    <w:rsid w:val="00CE4D36"/>
    <w:rsid w:val="00D01FDC"/>
    <w:rsid w:val="00D045A5"/>
    <w:rsid w:val="00D045CD"/>
    <w:rsid w:val="00D154DB"/>
    <w:rsid w:val="00D15775"/>
    <w:rsid w:val="00D220CF"/>
    <w:rsid w:val="00D248D6"/>
    <w:rsid w:val="00D34E9F"/>
    <w:rsid w:val="00D46A1D"/>
    <w:rsid w:val="00D5101B"/>
    <w:rsid w:val="00D659A4"/>
    <w:rsid w:val="00D73537"/>
    <w:rsid w:val="00D75170"/>
    <w:rsid w:val="00D77B17"/>
    <w:rsid w:val="00D835D3"/>
    <w:rsid w:val="00D86C17"/>
    <w:rsid w:val="00DA3BA3"/>
    <w:rsid w:val="00DA3EF9"/>
    <w:rsid w:val="00DA68D1"/>
    <w:rsid w:val="00DB720D"/>
    <w:rsid w:val="00DC18A5"/>
    <w:rsid w:val="00DD23B5"/>
    <w:rsid w:val="00DE00C1"/>
    <w:rsid w:val="00DE2ACE"/>
    <w:rsid w:val="00DE3372"/>
    <w:rsid w:val="00DF7AF5"/>
    <w:rsid w:val="00E00D23"/>
    <w:rsid w:val="00E02841"/>
    <w:rsid w:val="00E05B9B"/>
    <w:rsid w:val="00E17953"/>
    <w:rsid w:val="00E20006"/>
    <w:rsid w:val="00E27D51"/>
    <w:rsid w:val="00E30D55"/>
    <w:rsid w:val="00E36CA5"/>
    <w:rsid w:val="00E41F2F"/>
    <w:rsid w:val="00E421BD"/>
    <w:rsid w:val="00E44490"/>
    <w:rsid w:val="00E45B8D"/>
    <w:rsid w:val="00E54E49"/>
    <w:rsid w:val="00E703CF"/>
    <w:rsid w:val="00E70887"/>
    <w:rsid w:val="00E74DEC"/>
    <w:rsid w:val="00E766D8"/>
    <w:rsid w:val="00E82A84"/>
    <w:rsid w:val="00E963A3"/>
    <w:rsid w:val="00EA0281"/>
    <w:rsid w:val="00EB0075"/>
    <w:rsid w:val="00EB2A92"/>
    <w:rsid w:val="00EB78AB"/>
    <w:rsid w:val="00EC496E"/>
    <w:rsid w:val="00EE1BE1"/>
    <w:rsid w:val="00EE71AC"/>
    <w:rsid w:val="00EF52A2"/>
    <w:rsid w:val="00F10CE3"/>
    <w:rsid w:val="00F13054"/>
    <w:rsid w:val="00F325F6"/>
    <w:rsid w:val="00F32F73"/>
    <w:rsid w:val="00F34C31"/>
    <w:rsid w:val="00F35F03"/>
    <w:rsid w:val="00F417E6"/>
    <w:rsid w:val="00F43AC6"/>
    <w:rsid w:val="00F449B9"/>
    <w:rsid w:val="00F44BBF"/>
    <w:rsid w:val="00F50C1F"/>
    <w:rsid w:val="00F56347"/>
    <w:rsid w:val="00F67C64"/>
    <w:rsid w:val="00F711F5"/>
    <w:rsid w:val="00F71B21"/>
    <w:rsid w:val="00F725F0"/>
    <w:rsid w:val="00FA34F7"/>
    <w:rsid w:val="00FA4C73"/>
    <w:rsid w:val="00FC2945"/>
    <w:rsid w:val="00FC733C"/>
    <w:rsid w:val="00FF7EF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5EA96"/>
  <w15:chartTrackingRefBased/>
  <w15:docId w15:val="{DB983D9E-1C6F-450D-A9E9-1A1E577DD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7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2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7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20D"/>
    <w:rPr>
      <w:rFonts w:eastAsiaTheme="majorEastAsia" w:cstheme="majorBidi"/>
      <w:color w:val="272727" w:themeColor="text1" w:themeTint="D8"/>
    </w:rPr>
  </w:style>
  <w:style w:type="paragraph" w:styleId="Title">
    <w:name w:val="Title"/>
    <w:basedOn w:val="Normal"/>
    <w:next w:val="Normal"/>
    <w:link w:val="TitleChar"/>
    <w:uiPriority w:val="10"/>
    <w:qFormat/>
    <w:rsid w:val="00DB72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2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20D"/>
    <w:pPr>
      <w:spacing w:before="160"/>
      <w:jc w:val="center"/>
    </w:pPr>
    <w:rPr>
      <w:i/>
      <w:iCs/>
      <w:color w:val="404040" w:themeColor="text1" w:themeTint="BF"/>
    </w:rPr>
  </w:style>
  <w:style w:type="character" w:customStyle="1" w:styleId="QuoteChar">
    <w:name w:val="Quote Char"/>
    <w:basedOn w:val="DefaultParagraphFont"/>
    <w:link w:val="Quote"/>
    <w:uiPriority w:val="29"/>
    <w:rsid w:val="00DB720D"/>
    <w:rPr>
      <w:i/>
      <w:iCs/>
      <w:color w:val="404040" w:themeColor="text1" w:themeTint="BF"/>
    </w:rPr>
  </w:style>
  <w:style w:type="paragraph" w:styleId="ListParagraph">
    <w:name w:val="List Paragraph"/>
    <w:basedOn w:val="Normal"/>
    <w:uiPriority w:val="34"/>
    <w:qFormat/>
    <w:rsid w:val="00DB720D"/>
    <w:pPr>
      <w:ind w:left="720"/>
      <w:contextualSpacing/>
    </w:pPr>
  </w:style>
  <w:style w:type="character" w:styleId="IntenseEmphasis">
    <w:name w:val="Intense Emphasis"/>
    <w:basedOn w:val="DefaultParagraphFont"/>
    <w:uiPriority w:val="21"/>
    <w:qFormat/>
    <w:rsid w:val="00DB720D"/>
    <w:rPr>
      <w:i/>
      <w:iCs/>
      <w:color w:val="0F4761" w:themeColor="accent1" w:themeShade="BF"/>
    </w:rPr>
  </w:style>
  <w:style w:type="paragraph" w:styleId="IntenseQuote">
    <w:name w:val="Intense Quote"/>
    <w:basedOn w:val="Normal"/>
    <w:next w:val="Normal"/>
    <w:link w:val="IntenseQuoteChar"/>
    <w:uiPriority w:val="30"/>
    <w:qFormat/>
    <w:rsid w:val="00DB7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20D"/>
    <w:rPr>
      <w:i/>
      <w:iCs/>
      <w:color w:val="0F4761" w:themeColor="accent1" w:themeShade="BF"/>
    </w:rPr>
  </w:style>
  <w:style w:type="character" w:styleId="IntenseReference">
    <w:name w:val="Intense Reference"/>
    <w:basedOn w:val="DefaultParagraphFont"/>
    <w:uiPriority w:val="32"/>
    <w:qFormat/>
    <w:rsid w:val="00DB720D"/>
    <w:rPr>
      <w:b/>
      <w:bCs/>
      <w:smallCaps/>
      <w:color w:val="0F4761" w:themeColor="accent1" w:themeShade="BF"/>
      <w:spacing w:val="5"/>
    </w:rPr>
  </w:style>
  <w:style w:type="paragraph" w:styleId="Header">
    <w:name w:val="header"/>
    <w:basedOn w:val="Normal"/>
    <w:link w:val="HeaderChar"/>
    <w:uiPriority w:val="99"/>
    <w:semiHidden/>
    <w:unhideWhenUsed/>
    <w:rsid w:val="00C11CB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1CB6"/>
  </w:style>
  <w:style w:type="paragraph" w:styleId="Footer">
    <w:name w:val="footer"/>
    <w:basedOn w:val="Normal"/>
    <w:link w:val="FooterChar"/>
    <w:uiPriority w:val="99"/>
    <w:semiHidden/>
    <w:unhideWhenUsed/>
    <w:rsid w:val="00C11CB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11CB6"/>
  </w:style>
  <w:style w:type="paragraph" w:styleId="FootnoteText">
    <w:name w:val="footnote text"/>
    <w:basedOn w:val="Normal"/>
    <w:link w:val="FootnoteTextChar"/>
    <w:uiPriority w:val="99"/>
    <w:semiHidden/>
    <w:unhideWhenUsed/>
    <w:rsid w:val="00C11C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CB6"/>
    <w:rPr>
      <w:sz w:val="20"/>
      <w:szCs w:val="20"/>
    </w:rPr>
  </w:style>
  <w:style w:type="character" w:styleId="FootnoteReference">
    <w:name w:val="footnote reference"/>
    <w:basedOn w:val="DefaultParagraphFont"/>
    <w:uiPriority w:val="99"/>
    <w:semiHidden/>
    <w:unhideWhenUsed/>
    <w:rsid w:val="00C11CB6"/>
    <w:rPr>
      <w:vertAlign w:val="superscript"/>
    </w:rPr>
  </w:style>
  <w:style w:type="character" w:styleId="Hyperlink">
    <w:name w:val="Hyperlink"/>
    <w:basedOn w:val="DefaultParagraphFont"/>
    <w:uiPriority w:val="99"/>
    <w:unhideWhenUsed/>
    <w:rsid w:val="00E421BD"/>
    <w:rPr>
      <w:color w:val="467886" w:themeColor="hyperlink"/>
      <w:u w:val="single"/>
    </w:rPr>
  </w:style>
  <w:style w:type="character" w:styleId="UnresolvedMention">
    <w:name w:val="Unresolved Mention"/>
    <w:basedOn w:val="DefaultParagraphFont"/>
    <w:uiPriority w:val="99"/>
    <w:semiHidden/>
    <w:unhideWhenUsed/>
    <w:rsid w:val="00E42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Cicero.%20Accessed%2018%20February%20202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topic/educati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place/United-Kingdom" TargetMode="External"/><Relationship Id="rId2" Type="http://schemas.openxmlformats.org/officeDocument/2006/relationships/hyperlink" Target="https://www.britannica.com/topic/encyclopaedia" TargetMode="External"/><Relationship Id="rId1" Type="http://schemas.openxmlformats.org/officeDocument/2006/relationships/hyperlink" Target="https://www.britannica.com/topic/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A94388-9B19-BA45-87AB-2C0F9801D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7</Pages>
  <Words>2287</Words>
  <Characters>13038</Characters>
  <Application>Microsoft Office Word</Application>
  <DocSecurity>0</DocSecurity>
  <Lines>108</Lines>
  <Paragraphs>30</Paragraphs>
  <ScaleCrop>false</ScaleCrop>
  <Company/>
  <LinksUpToDate>false</LinksUpToDate>
  <CharactersWithSpaces>15295</CharactersWithSpaces>
  <SharedDoc>false</SharedDoc>
  <HLinks>
    <vt:vector size="12" baseType="variant">
      <vt:variant>
        <vt:i4>6750326</vt:i4>
      </vt:variant>
      <vt:variant>
        <vt:i4>3</vt:i4>
      </vt:variant>
      <vt:variant>
        <vt:i4>0</vt:i4>
      </vt:variant>
      <vt:variant>
        <vt:i4>5</vt:i4>
      </vt:variant>
      <vt:variant>
        <vt:lpwstr>https://www.britannica.com/place/United-Kingdom</vt:lpwstr>
      </vt:variant>
      <vt:variant>
        <vt:lpwstr/>
      </vt:variant>
      <vt:variant>
        <vt:i4>3080295</vt:i4>
      </vt:variant>
      <vt:variant>
        <vt:i4>0</vt:i4>
      </vt:variant>
      <vt:variant>
        <vt:i4>0</vt:i4>
      </vt:variant>
      <vt:variant>
        <vt:i4>5</vt:i4>
      </vt:variant>
      <vt:variant>
        <vt:lpwstr>https://www.britannica.com/topic/encyclopaedia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234</cp:revision>
  <dcterms:created xsi:type="dcterms:W3CDTF">2026-02-04T13:39:00Z</dcterms:created>
  <dcterms:modified xsi:type="dcterms:W3CDTF">2026-02-20T13:29:00Z</dcterms:modified>
</cp:coreProperties>
</file>