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0577D" w14:textId="55E5215F" w:rsidR="00294EDA" w:rsidRDefault="00493F91" w:rsidP="00294EDA">
      <w:pPr>
        <w:jc w:val="center"/>
        <w:rPr>
          <w:b/>
          <w:sz w:val="28"/>
          <w:szCs w:val="28"/>
        </w:rPr>
      </w:pPr>
      <w:bookmarkStart w:id="0" w:name="_cuza1frkd4u0" w:colFirst="0" w:colLast="0"/>
      <w:bookmarkEnd w:id="0"/>
      <w:r>
        <w:rPr>
          <w:noProof/>
        </w:rPr>
        <w:drawing>
          <wp:anchor distT="0" distB="0" distL="114300" distR="114300" simplePos="0" relativeHeight="251659264" behindDoc="0" locked="0" layoutInCell="1" allowOverlap="1" wp14:anchorId="523E1453" wp14:editId="329E93B0">
            <wp:simplePos x="0" y="0"/>
            <wp:positionH relativeFrom="margin">
              <wp:posOffset>0</wp:posOffset>
            </wp:positionH>
            <wp:positionV relativeFrom="paragraph">
              <wp:posOffset>406400</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8B0577E" w14:textId="77777777" w:rsidR="00294EDA" w:rsidRDefault="00294EDA" w:rsidP="00294EDA">
      <w:pPr>
        <w:jc w:val="center"/>
        <w:rPr>
          <w:b/>
          <w:sz w:val="28"/>
          <w:szCs w:val="28"/>
        </w:rPr>
      </w:pPr>
    </w:p>
    <w:p w14:paraId="08B0577F" w14:textId="77777777" w:rsidR="00294EDA" w:rsidRDefault="00294EDA" w:rsidP="00294EDA">
      <w:pPr>
        <w:jc w:val="center"/>
        <w:rPr>
          <w:b/>
          <w:sz w:val="28"/>
          <w:szCs w:val="28"/>
        </w:rPr>
      </w:pPr>
    </w:p>
    <w:p w14:paraId="08B05780" w14:textId="77777777" w:rsidR="00294EDA" w:rsidRDefault="00294EDA" w:rsidP="00294EDA">
      <w:pPr>
        <w:jc w:val="center"/>
        <w:rPr>
          <w:b/>
          <w:sz w:val="28"/>
          <w:szCs w:val="28"/>
        </w:rPr>
      </w:pPr>
    </w:p>
    <w:p w14:paraId="08B05781" w14:textId="77777777" w:rsidR="00294EDA" w:rsidRDefault="00294EDA" w:rsidP="00294EDA">
      <w:pPr>
        <w:jc w:val="center"/>
        <w:rPr>
          <w:b/>
          <w:sz w:val="28"/>
          <w:szCs w:val="28"/>
        </w:rPr>
      </w:pPr>
    </w:p>
    <w:p w14:paraId="019022AA" w14:textId="002A4F0C" w:rsidR="002B7254" w:rsidRPr="002B7254" w:rsidRDefault="00294EDA" w:rsidP="002B7254">
      <w:pPr>
        <w:jc w:val="center"/>
        <w:rPr>
          <w:b/>
          <w:sz w:val="28"/>
          <w:szCs w:val="28"/>
        </w:rPr>
      </w:pPr>
      <w:r w:rsidRPr="00294EDA">
        <w:rPr>
          <w:b/>
          <w:sz w:val="28"/>
          <w:szCs w:val="28"/>
        </w:rPr>
        <w:t>Children, Young People and Famili</w:t>
      </w:r>
      <w:r w:rsidR="002B7254">
        <w:rPr>
          <w:b/>
          <w:sz w:val="28"/>
          <w:szCs w:val="28"/>
        </w:rPr>
        <w:t>es</w:t>
      </w:r>
    </w:p>
    <w:p w14:paraId="118E75DA" w14:textId="145E79AB" w:rsidR="002B7254" w:rsidRPr="002B7254" w:rsidRDefault="00017443" w:rsidP="002B7254">
      <w:pPr>
        <w:spacing w:line="240" w:lineRule="auto"/>
        <w:jc w:val="center"/>
        <w:rPr>
          <w:rFonts w:ascii="Arial" w:hAnsi="Arial" w:cs="Arial"/>
          <w:sz w:val="28"/>
          <w:szCs w:val="28"/>
        </w:rPr>
      </w:pPr>
      <w:r>
        <w:rPr>
          <w:rFonts w:ascii="Arial" w:hAnsi="Arial" w:cs="Arial"/>
          <w:sz w:val="28"/>
          <w:szCs w:val="28"/>
        </w:rPr>
        <w:t>BMHP5004</w:t>
      </w:r>
    </w:p>
    <w:p w14:paraId="214BF87A" w14:textId="77777777" w:rsidR="002B7254" w:rsidRPr="002B7254" w:rsidRDefault="002B7254" w:rsidP="002B7254">
      <w:pPr>
        <w:spacing w:line="240" w:lineRule="auto"/>
        <w:rPr>
          <w:rFonts w:ascii="Arial" w:hAnsi="Arial" w:cs="Arial"/>
        </w:rPr>
      </w:pPr>
    </w:p>
    <w:p w14:paraId="7A881BD9" w14:textId="77777777" w:rsidR="002B7254" w:rsidRPr="002B7254" w:rsidRDefault="002B7254" w:rsidP="002B7254">
      <w:pPr>
        <w:rPr>
          <w:rFonts w:ascii="Arial" w:hAnsi="Arial" w:cs="Arial"/>
        </w:rPr>
      </w:pPr>
    </w:p>
    <w:p w14:paraId="52A14CE1" w14:textId="77777777" w:rsidR="002B7254" w:rsidRPr="002B7254" w:rsidRDefault="002B7254" w:rsidP="002B7254">
      <w:pPr>
        <w:rPr>
          <w:rFonts w:ascii="Arial" w:hAnsi="Arial" w:cs="Arial"/>
        </w:rPr>
      </w:pPr>
    </w:p>
    <w:p w14:paraId="4A280F83" w14:textId="1CD04177" w:rsidR="00493F91" w:rsidRPr="00493F91" w:rsidRDefault="002B7254" w:rsidP="00493F91">
      <w:pPr>
        <w:rPr>
          <w:rFonts w:ascii="Arial" w:hAnsi="Arial" w:cs="Arial"/>
          <w:b/>
          <w:bCs/>
        </w:rPr>
      </w:pPr>
      <w:r w:rsidRPr="00493F91">
        <w:rPr>
          <w:rFonts w:ascii="Arial" w:hAnsi="Arial" w:cs="Arial"/>
          <w:b/>
          <w:bCs/>
        </w:rPr>
        <w:t xml:space="preserve">Student name: Mirela Margareta </w:t>
      </w:r>
      <w:r w:rsidR="00117298">
        <w:rPr>
          <w:rFonts w:ascii="Arial" w:hAnsi="Arial" w:cs="Arial"/>
          <w:b/>
          <w:bCs/>
        </w:rPr>
        <w:t>Lazar</w:t>
      </w:r>
    </w:p>
    <w:p w14:paraId="7DE8025B" w14:textId="77777777" w:rsidR="00493F91" w:rsidRPr="00493F91" w:rsidRDefault="00493F91" w:rsidP="00493F91">
      <w:pPr>
        <w:rPr>
          <w:rFonts w:ascii="Arial" w:hAnsi="Arial" w:cs="Arial"/>
          <w:b/>
          <w:bCs/>
        </w:rPr>
      </w:pPr>
      <w:r w:rsidRPr="00493F91">
        <w:rPr>
          <w:rFonts w:ascii="Arial" w:hAnsi="Arial" w:cs="Arial"/>
          <w:b/>
          <w:bCs/>
        </w:rPr>
        <w:t>Student number: 1921853</w:t>
      </w:r>
    </w:p>
    <w:p w14:paraId="48AF613B" w14:textId="77777777" w:rsidR="00493F91" w:rsidRPr="00493F91" w:rsidRDefault="00493F91" w:rsidP="00493F91">
      <w:pPr>
        <w:rPr>
          <w:rFonts w:ascii="Arial" w:hAnsi="Arial" w:cs="Arial"/>
          <w:b/>
          <w:bCs/>
        </w:rPr>
      </w:pPr>
      <w:r w:rsidRPr="00493F91">
        <w:rPr>
          <w:rFonts w:ascii="Arial" w:hAnsi="Arial" w:cs="Arial"/>
          <w:b/>
          <w:bCs/>
        </w:rPr>
        <w:t>Group: 2</w:t>
      </w:r>
    </w:p>
    <w:p w14:paraId="251F5969" w14:textId="77777777" w:rsidR="002B7254" w:rsidRPr="00736BD1" w:rsidRDefault="002B7254" w:rsidP="002B7254">
      <w:pPr>
        <w:rPr>
          <w:rFonts w:ascii="Arial" w:hAnsi="Arial" w:cs="Arial"/>
          <w:b/>
          <w:bCs/>
        </w:rPr>
      </w:pPr>
      <w:r w:rsidRPr="00736BD1">
        <w:rPr>
          <w:rFonts w:ascii="Arial" w:hAnsi="Arial" w:cs="Arial"/>
          <w:b/>
          <w:bCs/>
        </w:rPr>
        <w:t xml:space="preserve">Lecturer name: </w:t>
      </w:r>
      <w:r>
        <w:rPr>
          <w:rFonts w:ascii="Arial" w:hAnsi="Arial" w:cs="Arial"/>
          <w:b/>
          <w:bCs/>
        </w:rPr>
        <w:t>Racheal Adebayo</w:t>
      </w:r>
    </w:p>
    <w:p w14:paraId="3EB5D375" w14:textId="77777777" w:rsidR="002B7254" w:rsidRPr="00736BD1" w:rsidRDefault="002B7254" w:rsidP="002B7254">
      <w:pPr>
        <w:rPr>
          <w:rFonts w:ascii="Arial" w:hAnsi="Arial" w:cs="Arial"/>
          <w:b/>
          <w:bCs/>
        </w:rPr>
      </w:pPr>
      <w:r>
        <w:rPr>
          <w:rFonts w:ascii="Arial" w:hAnsi="Arial" w:cs="Arial"/>
          <w:b/>
          <w:bCs/>
        </w:rPr>
        <w:t>Assignment 2</w:t>
      </w:r>
    </w:p>
    <w:p w14:paraId="1D133057" w14:textId="5FF42214" w:rsidR="00017443" w:rsidRDefault="00294EDA" w:rsidP="00017443">
      <w:pPr>
        <w:spacing w:line="240" w:lineRule="auto"/>
        <w:jc w:val="center"/>
        <w:rPr>
          <w:rFonts w:ascii="Arial" w:hAnsi="Arial" w:cs="Arial"/>
          <w:b/>
          <w:bCs/>
        </w:rPr>
      </w:pPr>
      <w:r>
        <w:br w:type="page"/>
      </w:r>
      <w:r w:rsidR="00017443">
        <w:rPr>
          <w:rFonts w:ascii="Arial" w:hAnsi="Arial" w:cs="Arial"/>
          <w:b/>
          <w:bCs/>
        </w:rPr>
        <w:lastRenderedPageBreak/>
        <w:t xml:space="preserve"> </w:t>
      </w:r>
    </w:p>
    <w:p w14:paraId="5E8E04FF" w14:textId="37A3A0B4" w:rsidR="002B7254" w:rsidRPr="00736BD1" w:rsidRDefault="002B7254" w:rsidP="002B7254">
      <w:pPr>
        <w:rPr>
          <w:rFonts w:ascii="Arial" w:hAnsi="Arial" w:cs="Arial"/>
          <w:b/>
          <w:bCs/>
        </w:rPr>
      </w:pPr>
    </w:p>
    <w:p w14:paraId="08B05785" w14:textId="09628EAB" w:rsidR="00294EDA" w:rsidRDefault="00294EDA">
      <w:pPr>
        <w:rPr>
          <w:b/>
          <w:sz w:val="28"/>
          <w:szCs w:val="28"/>
        </w:rPr>
      </w:pPr>
    </w:p>
    <w:p w14:paraId="08B05786" w14:textId="77777777" w:rsidR="00EE735C" w:rsidRDefault="00304659">
      <w:pPr>
        <w:pStyle w:val="Heading1"/>
      </w:pPr>
      <w:r>
        <w:t xml:space="preserve">1. Introduction </w:t>
      </w:r>
    </w:p>
    <w:p w14:paraId="08B05787" w14:textId="77777777" w:rsidR="00EE735C" w:rsidRDefault="00304659">
      <w:r>
        <w:t xml:space="preserve">Today’s generation of children, young people, and families are having different perspectives and are provided with </w:t>
      </w:r>
      <w:r>
        <w:rPr>
          <w:b/>
        </w:rPr>
        <w:t>different facilities</w:t>
      </w:r>
      <w:r>
        <w:t xml:space="preserve"> compared to previous generations. Children and young people in the UK, nowadays, are spending a significant amount of time in their formal education and usually have parents with paid employment. This was not witnessed in previous generations. There were</w:t>
      </w:r>
      <w:r>
        <w:rPr>
          <w:b/>
        </w:rPr>
        <w:t xml:space="preserve"> several inequality factors</w:t>
      </w:r>
      <w:r>
        <w:t xml:space="preserve"> that existed in the past but not in today’s modern world. Several policies, legislations, and approaches of the UK government have helped in improving the status of children, young people, and families in today’s generation. The essay will </w:t>
      </w:r>
      <w:r>
        <w:rPr>
          <w:b/>
        </w:rPr>
        <w:t xml:space="preserve">highlight </w:t>
      </w:r>
      <w:r>
        <w:t xml:space="preserve">these factors and </w:t>
      </w:r>
      <w:r>
        <w:rPr>
          <w:b/>
        </w:rPr>
        <w:t xml:space="preserve">provide recommendations </w:t>
      </w:r>
      <w:r>
        <w:t xml:space="preserve">that will further help in the development of young people, children, and families. </w:t>
      </w:r>
    </w:p>
    <w:p w14:paraId="08B05788" w14:textId="77777777" w:rsidR="00EE735C" w:rsidRDefault="00EE735C">
      <w:pPr>
        <w:rPr>
          <w:color w:val="CC0075"/>
        </w:rPr>
      </w:pPr>
    </w:p>
    <w:p w14:paraId="08B05789" w14:textId="77777777" w:rsidR="00EE735C" w:rsidRDefault="00304659">
      <w:pPr>
        <w:pStyle w:val="Heading1"/>
      </w:pPr>
      <w:bookmarkStart w:id="1" w:name="_rc2zs1q3hs1u" w:colFirst="0" w:colLast="0"/>
      <w:bookmarkEnd w:id="1"/>
      <w:r>
        <w:t xml:space="preserve">2. Description </w:t>
      </w:r>
    </w:p>
    <w:p w14:paraId="08B0578A" w14:textId="77777777" w:rsidR="00EE735C" w:rsidRDefault="00304659">
      <w:r>
        <w:t xml:space="preserve">The world is changing every day and the activities associated with </w:t>
      </w:r>
      <w:r>
        <w:rPr>
          <w:b/>
        </w:rPr>
        <w:t xml:space="preserve">every factor </w:t>
      </w:r>
      <w:r>
        <w:t xml:space="preserve">are also changing continuously. The </w:t>
      </w:r>
      <w:r>
        <w:rPr>
          <w:b/>
        </w:rPr>
        <w:t xml:space="preserve">perceptions of people </w:t>
      </w:r>
      <w:r>
        <w:t xml:space="preserve">regarding a distinctive matter have been changed if it is compared to the previous views of individuals. Previous perceptions of </w:t>
      </w:r>
      <w:r>
        <w:rPr>
          <w:b/>
        </w:rPr>
        <w:t>childhood</w:t>
      </w:r>
      <w:r>
        <w:t xml:space="preserve"> basically belong to the children of a particular age group and they also possess some perceptions regarding children and childhood </w:t>
      </w:r>
      <w:r>
        <w:rPr>
          <w:b/>
        </w:rPr>
        <w:t xml:space="preserve">like God’s gift, fragile, naughty, and many more </w:t>
      </w:r>
      <w:r>
        <w:t xml:space="preserve">like this. But these perceptions are not able to define childhood particularly (Revisesociology, 2019). The word </w:t>
      </w:r>
      <w:r>
        <w:rPr>
          <w:b/>
        </w:rPr>
        <w:t>‘child’</w:t>
      </w:r>
      <w:r>
        <w:t xml:space="preserve"> originated from the </w:t>
      </w:r>
      <w:r>
        <w:rPr>
          <w:b/>
        </w:rPr>
        <w:t>Teutonic word and Gothic</w:t>
      </w:r>
      <w:r>
        <w:t xml:space="preserve"> word womb. The </w:t>
      </w:r>
      <w:r>
        <w:lastRenderedPageBreak/>
        <w:t xml:space="preserve">childhood or child can be defined with the help of legal points, social policy, age criterion, and labour. </w:t>
      </w:r>
    </w:p>
    <w:p w14:paraId="08B0578B" w14:textId="54990356" w:rsidR="00EE735C" w:rsidRDefault="00304659">
      <w:r>
        <w:t xml:space="preserve">An individual from his/her birth </w:t>
      </w:r>
      <w:r>
        <w:rPr>
          <w:b/>
        </w:rPr>
        <w:t>up to 13 years</w:t>
      </w:r>
      <w:r>
        <w:t xml:space="preserve"> will be regarded as a child and that phase is called the childhood phase. On the other hand, it is seen that the legislation of the UK regarding children has been changing according to </w:t>
      </w:r>
      <w:r>
        <w:rPr>
          <w:b/>
        </w:rPr>
        <w:t>the demand of the situation</w:t>
      </w:r>
      <w:r>
        <w:t xml:space="preserve">. However, according to the </w:t>
      </w:r>
      <w:r>
        <w:rPr>
          <w:b/>
        </w:rPr>
        <w:t>Right of Education Act, UK</w:t>
      </w:r>
      <w:r>
        <w:t xml:space="preserve"> human beings within the age of 6 to 14 will be regarded as the child and that </w:t>
      </w:r>
      <w:r w:rsidR="00140460">
        <w:t>period</w:t>
      </w:r>
      <w:r>
        <w:t xml:space="preserve"> will be regarded as childhood significantly (Revisesociology, 2019). </w:t>
      </w:r>
      <w:r>
        <w:rPr>
          <w:b/>
        </w:rPr>
        <w:t>Child labour</w:t>
      </w:r>
      <w:r>
        <w:t xml:space="preserve"> is a significant crime in the UK but there are still some people who impose their children in small industries for </w:t>
      </w:r>
      <w:r>
        <w:rPr>
          <w:b/>
        </w:rPr>
        <w:t>working and childhood</w:t>
      </w:r>
      <w:r>
        <w:t xml:space="preserve"> is defined as the </w:t>
      </w:r>
      <w:r w:rsidR="006A7CDD">
        <w:t>laboring</w:t>
      </w:r>
      <w:r>
        <w:t xml:space="preserve"> phase of the individuals. In the last phase, children are defined as </w:t>
      </w:r>
      <w:r>
        <w:rPr>
          <w:b/>
        </w:rPr>
        <w:t>the future learners</w:t>
      </w:r>
      <w:r>
        <w:t xml:space="preserve"> of society who can brighten up the future of the nation.</w:t>
      </w:r>
    </w:p>
    <w:p w14:paraId="08B0578C" w14:textId="77777777" w:rsidR="00EE735C" w:rsidRDefault="00EE735C"/>
    <w:p w14:paraId="08B0578D" w14:textId="77777777" w:rsidR="00EE735C" w:rsidRDefault="00304659">
      <w:r>
        <w:t xml:space="preserve">Family is bonding with every member who is </w:t>
      </w:r>
      <w:r>
        <w:rPr>
          <w:b/>
        </w:rPr>
        <w:t>directly and indirectly associated</w:t>
      </w:r>
      <w:r>
        <w:t xml:space="preserve"> with our daily lives. There are mainly </w:t>
      </w:r>
      <w:r>
        <w:rPr>
          <w:b/>
        </w:rPr>
        <w:t>four major elements</w:t>
      </w:r>
      <w:r>
        <w:t xml:space="preserve"> that enhance the relationship between the family members as this can influence </w:t>
      </w:r>
      <w:r>
        <w:rPr>
          <w:b/>
        </w:rPr>
        <w:t>the characteristics</w:t>
      </w:r>
      <w:r>
        <w:t xml:space="preserve"> of children and their childhood days significantly (Shady Oak Primary, 2021). This first element within the family is to provide </w:t>
      </w:r>
      <w:r>
        <w:rPr>
          <w:b/>
        </w:rPr>
        <w:t xml:space="preserve">efficient respect </w:t>
      </w:r>
      <w:r>
        <w:t xml:space="preserve">to every person of the family member whether they are older, same age, or younger. It produces a culture of respecting everyone among children. The next element is that the family needs </w:t>
      </w:r>
      <w:r>
        <w:rPr>
          <w:b/>
        </w:rPr>
        <w:t>to enjoy special occasions together</w:t>
      </w:r>
      <w:r>
        <w:t xml:space="preserve"> so that it can create happy memories for the members as well as for children (Shady Oak Primary, 2021). Another essential factor of the relationship is </w:t>
      </w:r>
      <w:r>
        <w:rPr>
          <w:b/>
        </w:rPr>
        <w:t>the encouragement</w:t>
      </w:r>
      <w:r>
        <w:t xml:space="preserve"> of family members to another person for performing a task distinctively. It can enhance the engagement as well as the potentiality of the performer along </w:t>
      </w:r>
      <w:r>
        <w:lastRenderedPageBreak/>
        <w:t xml:space="preserve">with a cooperative positive effect on children distinctively. The last one </w:t>
      </w:r>
      <w:r>
        <w:rPr>
          <w:b/>
        </w:rPr>
        <w:t>involves a valuable communication process</w:t>
      </w:r>
      <w:r>
        <w:t xml:space="preserve"> to increase the acknowledgement of family members for each other.</w:t>
      </w:r>
    </w:p>
    <w:p w14:paraId="08B0578E" w14:textId="77777777" w:rsidR="00EE735C" w:rsidRDefault="00EE735C"/>
    <w:p w14:paraId="08B0578F" w14:textId="260F0F79" w:rsidR="00EE735C" w:rsidRDefault="00304659">
      <w:r>
        <w:rPr>
          <w:b/>
        </w:rPr>
        <w:t>Social construction</w:t>
      </w:r>
      <w:r>
        <w:t xml:space="preserve"> is defined as the theoretical perspective to define the situation of the children and childhood by differentiating it from</w:t>
      </w:r>
      <w:r>
        <w:rPr>
          <w:b/>
        </w:rPr>
        <w:t xml:space="preserve"> adulthood </w:t>
      </w:r>
      <w:r>
        <w:t xml:space="preserve">particularly (Revisesociology, 2019). In previous times children are detached from various factors by their parents but in </w:t>
      </w:r>
      <w:r w:rsidR="00AB517B">
        <w:t>these present times</w:t>
      </w:r>
      <w:r>
        <w:t xml:space="preserve">, childhood is portrayed with </w:t>
      </w:r>
      <w:r>
        <w:rPr>
          <w:b/>
        </w:rPr>
        <w:t>some psychological factors</w:t>
      </w:r>
      <w:r>
        <w:t xml:space="preserve"> and expressed implementation of children in </w:t>
      </w:r>
      <w:r>
        <w:rPr>
          <w:b/>
        </w:rPr>
        <w:t>some respective situations</w:t>
      </w:r>
      <w:r>
        <w:t xml:space="preserve">. The UK government has imposed </w:t>
      </w:r>
      <w:r>
        <w:rPr>
          <w:b/>
        </w:rPr>
        <w:t>some legislation to restrict some activities</w:t>
      </w:r>
      <w:r>
        <w:t xml:space="preserve"> that were not observed significantly in previous times. The parents are more concerned about taking care of the mental state rather than their physical health (Revisesociology, 2019). These are </w:t>
      </w:r>
      <w:r>
        <w:rPr>
          <w:b/>
        </w:rPr>
        <w:t>some changes</w:t>
      </w:r>
      <w:r>
        <w:t xml:space="preserve"> that are encountered between previous and recent times efficiently.    </w:t>
      </w:r>
    </w:p>
    <w:p w14:paraId="08B05790" w14:textId="77777777" w:rsidR="00EE735C" w:rsidRDefault="00EE735C">
      <w:pPr>
        <w:rPr>
          <w:highlight w:val="cyan"/>
        </w:rPr>
      </w:pPr>
    </w:p>
    <w:p w14:paraId="08B05791" w14:textId="77777777" w:rsidR="00EE735C" w:rsidRDefault="00304659">
      <w:r>
        <w:t xml:space="preserve">Significant changes have been witnessed in the lives of children and their families in the UK since </w:t>
      </w:r>
      <w:r>
        <w:rPr>
          <w:b/>
        </w:rPr>
        <w:t>the 19th century</w:t>
      </w:r>
      <w:r>
        <w:t>. Changes were majorly associated with work, education, the medicalisation of childcare and childbirth,</w:t>
      </w:r>
      <w:r>
        <w:rPr>
          <w:b/>
        </w:rPr>
        <w:t xml:space="preserve"> government legislations</w:t>
      </w:r>
      <w:r>
        <w:t xml:space="preserve"> and policies, parenting style, child welfare, and other similar aspects. According to a report by Thompson (2020), in recent days, most people represented these changes as </w:t>
      </w:r>
      <w:r>
        <w:rPr>
          <w:b/>
        </w:rPr>
        <w:t>‘March of Progress’</w:t>
      </w:r>
      <w:r>
        <w:t xml:space="preserve">. The lives of children nowadays are improving as these changes are gradually giving them </w:t>
      </w:r>
      <w:r>
        <w:rPr>
          <w:b/>
        </w:rPr>
        <w:t xml:space="preserve">protection </w:t>
      </w:r>
      <w:r>
        <w:t xml:space="preserve">for adult life stresses. Moreover, the country is slowly moving towards a </w:t>
      </w:r>
      <w:r>
        <w:rPr>
          <w:b/>
        </w:rPr>
        <w:t>‘children centred society’.</w:t>
      </w:r>
      <w:r>
        <w:t xml:space="preserve"> Conditions of children and their families were not as comfortable and easy as it is nowadays. </w:t>
      </w:r>
      <w:r>
        <w:rPr>
          <w:b/>
        </w:rPr>
        <w:t xml:space="preserve">During the 19th century </w:t>
      </w:r>
      <w:r>
        <w:t xml:space="preserve">in the UK, many children from working-class families were witnessed working in mines, mills, and factories. The </w:t>
      </w:r>
      <w:r>
        <w:rPr>
          <w:b/>
        </w:rPr>
        <w:t>long working hours,</w:t>
      </w:r>
      <w:r>
        <w:t xml:space="preserve"> and </w:t>
      </w:r>
      <w:r>
        <w:rPr>
          <w:b/>
        </w:rPr>
        <w:t xml:space="preserve">unsafe and unhealthy </w:t>
      </w:r>
      <w:r>
        <w:rPr>
          <w:b/>
        </w:rPr>
        <w:lastRenderedPageBreak/>
        <w:t>working environment</w:t>
      </w:r>
      <w:r>
        <w:t xml:space="preserve"> had severe consequences on their health which also led to accidental deaths of children. Children in this era were also subjected to </w:t>
      </w:r>
      <w:r>
        <w:rPr>
          <w:b/>
        </w:rPr>
        <w:t>domestic chores</w:t>
      </w:r>
      <w:r>
        <w:t xml:space="preserve"> while their </w:t>
      </w:r>
      <w:r>
        <w:rPr>
          <w:b/>
        </w:rPr>
        <w:t>parents and senior family members</w:t>
      </w:r>
      <w:r>
        <w:t xml:space="preserve"> were at work. </w:t>
      </w:r>
    </w:p>
    <w:p w14:paraId="08B05792" w14:textId="77777777" w:rsidR="00EE735C" w:rsidRDefault="00304659">
      <w:r>
        <w:rPr>
          <w:b/>
        </w:rPr>
        <w:t>Social attitudes</w:t>
      </w:r>
      <w:r>
        <w:t xml:space="preserve"> toward children were no better during the </w:t>
      </w:r>
      <w:r w:rsidR="00294EDA">
        <w:t>post-</w:t>
      </w:r>
      <w:r w:rsidR="00294EDA">
        <w:rPr>
          <w:b/>
        </w:rPr>
        <w:t>World</w:t>
      </w:r>
      <w:r>
        <w:rPr>
          <w:b/>
        </w:rPr>
        <w:t xml:space="preserve"> War II </w:t>
      </w:r>
      <w:r>
        <w:t>period. Currently, approximately</w:t>
      </w:r>
      <w:r>
        <w:rPr>
          <w:b/>
        </w:rPr>
        <w:t xml:space="preserve"> 2.2% </w:t>
      </w:r>
      <w:r>
        <w:t xml:space="preserve">of the population of the UK is mixed race and among them, </w:t>
      </w:r>
      <w:r>
        <w:rPr>
          <w:b/>
        </w:rPr>
        <w:t xml:space="preserve">about 3.3% </w:t>
      </w:r>
      <w:r>
        <w:t xml:space="preserve">are from black communities. These numbers were far lower during </w:t>
      </w:r>
      <w:r>
        <w:rPr>
          <w:b/>
        </w:rPr>
        <w:t>the post-war</w:t>
      </w:r>
      <w:r>
        <w:t xml:space="preserve"> period. Unsurprisingly, the lives of </w:t>
      </w:r>
      <w:r>
        <w:rPr>
          <w:b/>
        </w:rPr>
        <w:t>mixed-race families</w:t>
      </w:r>
      <w:r>
        <w:t xml:space="preserve"> and children were miserable in that period. </w:t>
      </w:r>
      <w:r>
        <w:rPr>
          <w:b/>
        </w:rPr>
        <w:t>Children of black communities</w:t>
      </w:r>
      <w:r>
        <w:t xml:space="preserve"> lived in the predominately white localities and were subjected to brutality and racism. From </w:t>
      </w:r>
      <w:r>
        <w:rPr>
          <w:b/>
        </w:rPr>
        <w:t>1942 to 1945 about 3 million</w:t>
      </w:r>
      <w:r>
        <w:t xml:space="preserve"> American servicemen passed through the UK, out of </w:t>
      </w:r>
      <w:r>
        <w:rPr>
          <w:b/>
        </w:rPr>
        <w:t>which 3%</w:t>
      </w:r>
      <w:r>
        <w:t xml:space="preserve"> were African-American. While living in the UK they developed relationships with local women and their children grew up in the same society along with white children. </w:t>
      </w:r>
      <w:r>
        <w:rPr>
          <w:b/>
        </w:rPr>
        <w:t xml:space="preserve">Racism </w:t>
      </w:r>
      <w:r>
        <w:t xml:space="preserve">was unavoidable as these children were referred to as </w:t>
      </w:r>
      <w:r>
        <w:rPr>
          <w:b/>
        </w:rPr>
        <w:t>‘brown babies’,</w:t>
      </w:r>
      <w:r>
        <w:t xml:space="preserve"> suffered from identity confusion, and stigma of illegitimacy (Bland, 2019). However, the</w:t>
      </w:r>
      <w:r>
        <w:rPr>
          <w:b/>
        </w:rPr>
        <w:t xml:space="preserve"> social attitude</w:t>
      </w:r>
      <w:r>
        <w:t xml:space="preserve"> towards children and vulnerable families started changing in the </w:t>
      </w:r>
      <w:r w:rsidR="00294EDA">
        <w:t>mid-19th</w:t>
      </w:r>
      <w:r>
        <w:t xml:space="preserve"> century. Changes were</w:t>
      </w:r>
      <w:r>
        <w:rPr>
          <w:b/>
        </w:rPr>
        <w:t xml:space="preserve"> witnessed</w:t>
      </w:r>
      <w:r>
        <w:t xml:space="preserve"> in almost every aspect. </w:t>
      </w:r>
    </w:p>
    <w:p w14:paraId="08B05793" w14:textId="1610350B" w:rsidR="00EE735C" w:rsidRDefault="00304659">
      <w:r>
        <w:t xml:space="preserve">From the </w:t>
      </w:r>
      <w:r w:rsidR="00294EDA">
        <w:rPr>
          <w:b/>
        </w:rPr>
        <w:t>mid-19th</w:t>
      </w:r>
      <w:r>
        <w:rPr>
          <w:b/>
        </w:rPr>
        <w:t xml:space="preserve"> century</w:t>
      </w:r>
      <w:r>
        <w:t xml:space="preserve">, childhood gradually started to be seen as </w:t>
      </w:r>
      <w:r>
        <w:rPr>
          <w:b/>
        </w:rPr>
        <w:t xml:space="preserve">a distinct phase </w:t>
      </w:r>
      <w:r>
        <w:t xml:space="preserve">that is different from adulthood. It was recognised that children must be nurtured and provided with </w:t>
      </w:r>
      <w:r>
        <w:rPr>
          <w:b/>
        </w:rPr>
        <w:t>proper education</w:t>
      </w:r>
      <w:r>
        <w:t xml:space="preserve"> and health facilities. Moreover, the social attitude towards children from black and </w:t>
      </w:r>
      <w:r>
        <w:rPr>
          <w:b/>
        </w:rPr>
        <w:t>vulnerable communities</w:t>
      </w:r>
      <w:r>
        <w:t xml:space="preserve"> and their families also began to change. This attitude towards </w:t>
      </w:r>
      <w:r>
        <w:rPr>
          <w:b/>
        </w:rPr>
        <w:t>children and vulnerable families</w:t>
      </w:r>
      <w:r>
        <w:t xml:space="preserve"> was reflected through the introduction of several government policies and legislation. These policies were majorly associated with </w:t>
      </w:r>
      <w:r>
        <w:rPr>
          <w:b/>
        </w:rPr>
        <w:t>education, work, the establishment of various institutions</w:t>
      </w:r>
      <w:r>
        <w:t xml:space="preserve"> regarding children welfare, </w:t>
      </w:r>
      <w:r w:rsidR="00AB517B">
        <w:t>discrimination,</w:t>
      </w:r>
      <w:r>
        <w:t xml:space="preserve"> and inequality, and many more. Several </w:t>
      </w:r>
      <w:r>
        <w:rPr>
          <w:b/>
        </w:rPr>
        <w:t>‘factories act’</w:t>
      </w:r>
      <w:r>
        <w:t xml:space="preserve"> came into action in the UK in </w:t>
      </w:r>
      <w:r>
        <w:rPr>
          <w:b/>
        </w:rPr>
        <w:t xml:space="preserve">the 19th century </w:t>
      </w:r>
      <w:r>
        <w:t xml:space="preserve">which </w:t>
      </w:r>
      <w:r>
        <w:lastRenderedPageBreak/>
        <w:t xml:space="preserve">improved the condition of </w:t>
      </w:r>
      <w:r>
        <w:rPr>
          <w:b/>
        </w:rPr>
        <w:t>working-class</w:t>
      </w:r>
      <w:r>
        <w:t xml:space="preserve"> families by setting limits on working hours and restricting factories to employ underage workers. </w:t>
      </w:r>
    </w:p>
    <w:p w14:paraId="08B05794" w14:textId="774951A6" w:rsidR="00EE735C" w:rsidRDefault="00304659">
      <w:r>
        <w:t xml:space="preserve">Government policies increased the condition of children and working-class families. The </w:t>
      </w:r>
      <w:r>
        <w:rPr>
          <w:b/>
        </w:rPr>
        <w:t>Factories Act of 1833</w:t>
      </w:r>
      <w:r>
        <w:t xml:space="preserve"> was the first to ban child labour in the UK’s textile industry. Later, the </w:t>
      </w:r>
      <w:r>
        <w:rPr>
          <w:b/>
        </w:rPr>
        <w:t>Factories Act of 1857</w:t>
      </w:r>
      <w:r>
        <w:t xml:space="preserve"> extended this restriction in other factories as well. Earlier, only male members worked or earned for their families as female members were restricted to domestic chores and </w:t>
      </w:r>
      <w:r w:rsidR="00E134CE">
        <w:t>childcare</w:t>
      </w:r>
      <w:r>
        <w:t>. Recently, this situation has changed as it is witnessed that the employment rate of mothers in the UK has increased from</w:t>
      </w:r>
      <w:r>
        <w:rPr>
          <w:b/>
        </w:rPr>
        <w:t xml:space="preserve"> 49%</w:t>
      </w:r>
      <w:r>
        <w:t xml:space="preserve"> in 1966 to </w:t>
      </w:r>
      <w:r>
        <w:rPr>
          <w:b/>
        </w:rPr>
        <w:t>66%</w:t>
      </w:r>
      <w:r>
        <w:t xml:space="preserve"> recorded in 2018 (Oppenheim and Rehill, 2020). </w:t>
      </w:r>
      <w:r>
        <w:rPr>
          <w:b/>
        </w:rPr>
        <w:t>The Education Act</w:t>
      </w:r>
      <w:r>
        <w:t xml:space="preserve"> introduced in </w:t>
      </w:r>
      <w:r>
        <w:rPr>
          <w:b/>
        </w:rPr>
        <w:t>1870</w:t>
      </w:r>
      <w:r>
        <w:t xml:space="preserve"> was a changing point for children's education in the UK. According to Thompson (2020), a significant change was witnessed in education as in </w:t>
      </w:r>
      <w:r>
        <w:rPr>
          <w:b/>
        </w:rPr>
        <w:t>1944</w:t>
      </w:r>
      <w:r>
        <w:t xml:space="preserve"> the </w:t>
      </w:r>
      <w:r>
        <w:rPr>
          <w:b/>
        </w:rPr>
        <w:t>Tripartite System</w:t>
      </w:r>
      <w:r>
        <w:t xml:space="preserve"> was introduced and fundings was increased for secondary education of children. Today, the government has employed over </w:t>
      </w:r>
      <w:r>
        <w:rPr>
          <w:b/>
        </w:rPr>
        <w:t>500,000 people</w:t>
      </w:r>
      <w:r>
        <w:t xml:space="preserve"> in the education system and spent over</w:t>
      </w:r>
      <w:r>
        <w:rPr>
          <w:b/>
        </w:rPr>
        <w:t xml:space="preserve"> £100 billion</w:t>
      </w:r>
      <w:r>
        <w:t xml:space="preserve">. Medicalisation in the UK has also developed in the past centuries. The infant mortality rate was significantly high in the </w:t>
      </w:r>
      <w:r>
        <w:rPr>
          <w:b/>
        </w:rPr>
        <w:t>Victorian era</w:t>
      </w:r>
      <w:r>
        <w:t xml:space="preserve">, moreover, the safety of mothers was also compromised. However, the situation is different as the </w:t>
      </w:r>
      <w:r>
        <w:rPr>
          <w:b/>
        </w:rPr>
        <w:t>NHS</w:t>
      </w:r>
      <w:r>
        <w:t xml:space="preserve"> provides comprehensive early child and maternity care. The </w:t>
      </w:r>
      <w:r>
        <w:rPr>
          <w:b/>
        </w:rPr>
        <w:t>advancement of technology</w:t>
      </w:r>
      <w:r>
        <w:t xml:space="preserve"> and change in attitude play vital roles in the transformation of the lives of children, families, and young people in the UK. </w:t>
      </w:r>
    </w:p>
    <w:p w14:paraId="08B05795" w14:textId="77777777" w:rsidR="00EE735C" w:rsidRDefault="00EE735C">
      <w:pPr>
        <w:rPr>
          <w:highlight w:val="cyan"/>
        </w:rPr>
      </w:pPr>
    </w:p>
    <w:p w14:paraId="08B05796" w14:textId="4D5E1E8B" w:rsidR="00EE735C" w:rsidRDefault="00304659">
      <w:r>
        <w:t xml:space="preserve">The increased effort nowadays concerning children in the </w:t>
      </w:r>
      <w:r>
        <w:rPr>
          <w:b/>
        </w:rPr>
        <w:t>20th century</w:t>
      </w:r>
      <w:r>
        <w:t xml:space="preserve"> is due to the recognition that certain problems associated with children persisted and required to be brought back into the limelight. The </w:t>
      </w:r>
      <w:r>
        <w:rPr>
          <w:b/>
        </w:rPr>
        <w:t>transformation of policies and legislation</w:t>
      </w:r>
      <w:r>
        <w:t xml:space="preserve"> began due to the growing concern over the rights of children and </w:t>
      </w:r>
      <w:r w:rsidR="00E134CE">
        <w:t>recognizing</w:t>
      </w:r>
      <w:r>
        <w:t xml:space="preserve"> severe limitations in previous policies. Moreover, the </w:t>
      </w:r>
      <w:r>
        <w:lastRenderedPageBreak/>
        <w:t xml:space="preserve">introduction of the </w:t>
      </w:r>
      <w:r>
        <w:rPr>
          <w:b/>
        </w:rPr>
        <w:t xml:space="preserve">Equality Act 2010 </w:t>
      </w:r>
      <w:r>
        <w:t xml:space="preserve">changed the perspective of people towards vulnerable and black communities. Children, young people, and families from backward communities were provided with equal opportunities in work, education, and social services (The British Academy, 2019). The </w:t>
      </w:r>
      <w:r>
        <w:rPr>
          <w:b/>
        </w:rPr>
        <w:t>Equality Act of 2010</w:t>
      </w:r>
      <w:r>
        <w:t xml:space="preserve"> legally protects the country’s citizens from any discrimination both at the workplace and in the wider society. Implementation of this law has significantly changed the lives of young people, especially the black community (Gov.uk, 2015). However, the problem of racism still exists in the UK. According to Marchant (2020), nearly </w:t>
      </w:r>
      <w:r>
        <w:rPr>
          <w:b/>
        </w:rPr>
        <w:t>49%</w:t>
      </w:r>
      <w:r>
        <w:t xml:space="preserve"> of children feel that </w:t>
      </w:r>
      <w:r>
        <w:rPr>
          <w:b/>
        </w:rPr>
        <w:t>racism</w:t>
      </w:r>
      <w:r>
        <w:t xml:space="preserve"> is the biggest hurdle in education and the problem still persists. </w:t>
      </w:r>
    </w:p>
    <w:p w14:paraId="08B05797" w14:textId="77777777" w:rsidR="00EE735C" w:rsidRDefault="00304659">
      <w:r>
        <w:t xml:space="preserve">The </w:t>
      </w:r>
      <w:r>
        <w:rPr>
          <w:b/>
        </w:rPr>
        <w:t>Children Act 2004</w:t>
      </w:r>
      <w:r>
        <w:t xml:space="preserve"> is the improved version of the </w:t>
      </w:r>
      <w:r>
        <w:rPr>
          <w:b/>
        </w:rPr>
        <w:t>1989 Act</w:t>
      </w:r>
      <w:r>
        <w:t xml:space="preserve">. The act reinforced that all organisations and people working for children welfare are responsible for promoting their welfare and safeguarding children. </w:t>
      </w:r>
      <w:r>
        <w:rPr>
          <w:b/>
        </w:rPr>
        <w:t>Principles of this act</w:t>
      </w:r>
      <w:r>
        <w:t xml:space="preserve"> influence children and their families to a great extent. Principles involved allowing children to lead a healthy life, allowing children to stay in a healthy environment, helping to achieve economic stability for children’s future, and making an overall </w:t>
      </w:r>
      <w:r>
        <w:rPr>
          <w:b/>
        </w:rPr>
        <w:t>positive impact</w:t>
      </w:r>
      <w:r>
        <w:t xml:space="preserve"> on children’s lives (iHASCO, 2021). The </w:t>
      </w:r>
      <w:r>
        <w:rPr>
          <w:b/>
        </w:rPr>
        <w:t>community spending</w:t>
      </w:r>
      <w:r>
        <w:t xml:space="preserve"> on the </w:t>
      </w:r>
      <w:r>
        <w:rPr>
          <w:b/>
        </w:rPr>
        <w:t>healthcare services</w:t>
      </w:r>
      <w:r>
        <w:t xml:space="preserve"> of children and </w:t>
      </w:r>
      <w:r>
        <w:rPr>
          <w:b/>
        </w:rPr>
        <w:t>medicalisation</w:t>
      </w:r>
      <w:r>
        <w:t xml:space="preserve"> has increased in recent years which has significantly influenced the lives of infants and mothers. The awareness regarding </w:t>
      </w:r>
      <w:r>
        <w:rPr>
          <w:b/>
        </w:rPr>
        <w:t>childbirth</w:t>
      </w:r>
      <w:r>
        <w:t xml:space="preserve"> and the </w:t>
      </w:r>
      <w:r>
        <w:rPr>
          <w:b/>
        </w:rPr>
        <w:t>health of children</w:t>
      </w:r>
      <w:r>
        <w:t xml:space="preserve"> has increased families to increase spending on children. Moreover, technological advancement has enabled the </w:t>
      </w:r>
      <w:r>
        <w:rPr>
          <w:b/>
        </w:rPr>
        <w:t>NHS</w:t>
      </w:r>
      <w:r>
        <w:t xml:space="preserve"> to further enhance healthcare services for children, young people, and their families (Thompson, 2020). Several government approaches are also helping to improve the conditions of people in the UK. </w:t>
      </w:r>
    </w:p>
    <w:p w14:paraId="08B05798" w14:textId="77777777" w:rsidR="00EE735C" w:rsidRDefault="00EE735C"/>
    <w:p w14:paraId="08B05799" w14:textId="1ACDA883" w:rsidR="00EE735C" w:rsidRDefault="00304659">
      <w:r>
        <w:t xml:space="preserve">There are lots of approaches and interventions in the UK which are passed by the governing authority of this country. According to Garnett </w:t>
      </w:r>
      <w:r>
        <w:rPr>
          <w:i/>
        </w:rPr>
        <w:t>et al</w:t>
      </w:r>
      <w:r>
        <w:t xml:space="preserve">., (2020, p. 316), the government has </w:t>
      </w:r>
      <w:r>
        <w:lastRenderedPageBreak/>
        <w:t xml:space="preserve">intervened towards </w:t>
      </w:r>
      <w:r>
        <w:rPr>
          <w:b/>
        </w:rPr>
        <w:t>vulnerability</w:t>
      </w:r>
      <w:r>
        <w:t xml:space="preserve"> among children, young </w:t>
      </w:r>
      <w:r w:rsidR="001577A5">
        <w:t>people,</w:t>
      </w:r>
      <w:r>
        <w:t xml:space="preserve"> and their parents to improve healthier lifestyles. Resilience and emotional </w:t>
      </w:r>
      <w:r w:rsidR="00294EDA">
        <w:t>well-being</w:t>
      </w:r>
      <w:r>
        <w:t xml:space="preserve"> are some of the most popular approaches for supporting vulnerability. It includes various campaigns and abilities of society towards improving </w:t>
      </w:r>
      <w:r>
        <w:rPr>
          <w:b/>
        </w:rPr>
        <w:t>vulnerability</w:t>
      </w:r>
      <w:r>
        <w:t xml:space="preserve"> among children, </w:t>
      </w:r>
      <w:r w:rsidR="001577A5">
        <w:t xml:space="preserve">parents </w:t>
      </w:r>
      <w:r>
        <w:t xml:space="preserve">and young people also. According to Garnett </w:t>
      </w:r>
      <w:r>
        <w:rPr>
          <w:i/>
        </w:rPr>
        <w:t>et al</w:t>
      </w:r>
      <w:r>
        <w:t xml:space="preserve">., (2020, p. 316), the abilities are </w:t>
      </w:r>
      <w:r>
        <w:rPr>
          <w:b/>
        </w:rPr>
        <w:t>positive parenting</w:t>
      </w:r>
      <w:r>
        <w:t xml:space="preserve">, </w:t>
      </w:r>
      <w:r>
        <w:rPr>
          <w:b/>
        </w:rPr>
        <w:t>child and parental drug and alcohol use, pregnancy and preconception, maternity care, Transformation in the mental health of young people</w:t>
      </w:r>
      <w:r>
        <w:t xml:space="preserve"> and children and many more. According to t</w:t>
      </w:r>
      <w:r>
        <w:rPr>
          <w:b/>
        </w:rPr>
        <w:t>ransforming young people and children’s mental health approach</w:t>
      </w:r>
      <w:r>
        <w:t xml:space="preserve">, it is observed that the government of the UK gives mental health support teams in every school and college of this country to communicate with every student of this age. It helps know one’s mental growth according to their age Oecd, (2021). </w:t>
      </w:r>
    </w:p>
    <w:p w14:paraId="08B0579A" w14:textId="77777777" w:rsidR="00EE735C" w:rsidRDefault="00304659">
      <w:r>
        <w:t xml:space="preserve">According to Naylor </w:t>
      </w:r>
      <w:r>
        <w:rPr>
          <w:i/>
        </w:rPr>
        <w:t>et al</w:t>
      </w:r>
      <w:r>
        <w:t xml:space="preserve">., (2019, p. 1836), the </w:t>
      </w:r>
      <w:r>
        <w:rPr>
          <w:b/>
        </w:rPr>
        <w:t xml:space="preserve">LGA and PHE framework </w:t>
      </w:r>
      <w:r>
        <w:t xml:space="preserve">of the UK governing authority helps the teenage mothers and young fathers of this country. It helps to identify probable risk factors towards them and the process of overcoming those disabilities in their society. It supports the </w:t>
      </w:r>
      <w:r>
        <w:rPr>
          <w:b/>
        </w:rPr>
        <w:t>teenage mothers and younger fathers</w:t>
      </w:r>
      <w:r>
        <w:t xml:space="preserve"> to meet their every need and recommends them to trust advisors to successfully run their life Oecd, (2021). According to the </w:t>
      </w:r>
      <w:r>
        <w:rPr>
          <w:b/>
        </w:rPr>
        <w:t>Maternity transformation program</w:t>
      </w:r>
      <w:r>
        <w:t xml:space="preserve"> of the UK, better births are the key element of successful maternity. According to Naylor </w:t>
      </w:r>
      <w:r>
        <w:rPr>
          <w:i/>
        </w:rPr>
        <w:t>et al.</w:t>
      </w:r>
      <w:r>
        <w:t xml:space="preserve">, (2019, p. 1836), it advises the way of caring before and after the </w:t>
      </w:r>
      <w:r>
        <w:rPr>
          <w:b/>
        </w:rPr>
        <w:t>birth of a baby</w:t>
      </w:r>
      <w:r>
        <w:t xml:space="preserve"> as well as the</w:t>
      </w:r>
      <w:r>
        <w:rPr>
          <w:b/>
        </w:rPr>
        <w:t xml:space="preserve"> caring approach</w:t>
      </w:r>
      <w:r>
        <w:t xml:space="preserve"> of the mother. It is also working for controlling excessive population as well as controlling vulnerable children in various social homes. Additionally, this approach helps in getting children to the women who are unable to be a mother as well as to get a parent to the vulnerable children (Unicef, 2020). </w:t>
      </w:r>
    </w:p>
    <w:p w14:paraId="08B0579B" w14:textId="77777777" w:rsidR="00EE735C" w:rsidRDefault="00304659">
      <w:r>
        <w:t>According to Pfefferbaum and North (2020, p. 510),</w:t>
      </w:r>
      <w:r>
        <w:rPr>
          <w:b/>
        </w:rPr>
        <w:t xml:space="preserve"> early pregnancy and teenage pregnancy</w:t>
      </w:r>
      <w:r>
        <w:t xml:space="preserve"> is very offensive and unhealthy for both mothers and children. According to Pfefferbaum and </w:t>
      </w:r>
      <w:r>
        <w:lastRenderedPageBreak/>
        <w:t xml:space="preserve">North (2020, p. 510), the UK is running through an approach of preconception as parenthood should come after </w:t>
      </w:r>
      <w:r>
        <w:rPr>
          <w:b/>
        </w:rPr>
        <w:t>1000 days</w:t>
      </w:r>
      <w:r>
        <w:t xml:space="preserve"> of any miscarriage and </w:t>
      </w:r>
      <w:r>
        <w:rPr>
          <w:b/>
        </w:rPr>
        <w:t>2 years after the first pregnancy</w:t>
      </w:r>
      <w:r>
        <w:t xml:space="preserve">. </w:t>
      </w:r>
      <w:r>
        <w:rPr>
          <w:b/>
        </w:rPr>
        <w:t>Alcohol and drug prevention</w:t>
      </w:r>
      <w:r>
        <w:t xml:space="preserve"> is also a popular campaign of the UK as it is trying to control the abuse of drugs and alcohol among children and young people (Unicef, 2020). Lots of younger people are consuming excessive drugs and as a result, they and their families have failed in difficult positions in society. The addicted people sometimes abuse children to women also. Thus, the parents, children as well as society are facing difficult situations from this context and the UK government is trying to prevent those abuses through this campaign (Unicef, 2020). It also reduces the differentiation among people and </w:t>
      </w:r>
      <w:r>
        <w:rPr>
          <w:b/>
        </w:rPr>
        <w:t>inequality distribution</w:t>
      </w:r>
      <w:r>
        <w:t xml:space="preserve"> due to the abusing mind of people. This approach is also helpful in controlling </w:t>
      </w:r>
      <w:r>
        <w:rPr>
          <w:b/>
        </w:rPr>
        <w:t>parental abuse</w:t>
      </w:r>
      <w:r>
        <w:t xml:space="preserve"> by preventing their intention to use drugs and alcohol effectively.</w:t>
      </w:r>
    </w:p>
    <w:p w14:paraId="08B0579C" w14:textId="007AA08C" w:rsidR="00EE735C" w:rsidRDefault="00304659">
      <w:pPr>
        <w:rPr>
          <w:b/>
          <w:i/>
        </w:rPr>
      </w:pPr>
      <w:r>
        <w:t xml:space="preserve">According to Manning and Soon (2019, p. 160), </w:t>
      </w:r>
      <w:r>
        <w:rPr>
          <w:b/>
        </w:rPr>
        <w:t>supporting positive parenting</w:t>
      </w:r>
      <w:r>
        <w:t xml:space="preserve"> is one of the most important approaches towards vulnerability during this current situation. Most of the children are facing loneliness and engage in different criminal offences or depression as their parents are working. According to Manning and Soon (2019, p. 160), it is needed to maintain a </w:t>
      </w:r>
      <w:r>
        <w:rPr>
          <w:b/>
        </w:rPr>
        <w:t>friendly relationship between parents and children</w:t>
      </w:r>
      <w:r>
        <w:t xml:space="preserve"> to prevent depression and such </w:t>
      </w:r>
      <w:r>
        <w:rPr>
          <w:b/>
        </w:rPr>
        <w:t>criminal activities</w:t>
      </w:r>
      <w:r>
        <w:t xml:space="preserve"> among childr</w:t>
      </w:r>
      <w:r w:rsidR="00294EDA">
        <w:t>en. Alternatively, during this C</w:t>
      </w:r>
      <w:r>
        <w:t xml:space="preserve">ovid period, the old age parents are acting like </w:t>
      </w:r>
      <w:r w:rsidR="001577A5">
        <w:t>children,</w:t>
      </w:r>
      <w:r>
        <w:t xml:space="preserve"> and they are feeling lonely at home due to </w:t>
      </w:r>
      <w:r>
        <w:rPr>
          <w:b/>
        </w:rPr>
        <w:t>home quarantine and social distancing</w:t>
      </w:r>
      <w:r>
        <w:t xml:space="preserve">. Their children are unable to give them time due to their world. Thus, they are drowning in </w:t>
      </w:r>
      <w:r>
        <w:rPr>
          <w:b/>
        </w:rPr>
        <w:t xml:space="preserve">depression </w:t>
      </w:r>
      <w:r>
        <w:t xml:space="preserve">which is also essential to be removed from them to give them a healthier life before death. According to this campaign, the younger children also understand </w:t>
      </w:r>
      <w:r>
        <w:rPr>
          <w:b/>
        </w:rPr>
        <w:t>the necessity of giving time to their parents and children</w:t>
      </w:r>
      <w:r>
        <w:t xml:space="preserve"> at home to prevent any vulnerability in their home effectively (Unicef, 2020). </w:t>
      </w:r>
    </w:p>
    <w:p w14:paraId="08B0579D" w14:textId="1E0C59BA" w:rsidR="00EE735C" w:rsidRDefault="00304659">
      <w:r>
        <w:lastRenderedPageBreak/>
        <w:t xml:space="preserve">The governing authority of the UK has taken lots of approaches to overcome the vulnerability among children, </w:t>
      </w:r>
      <w:r w:rsidR="00645902">
        <w:t>parents,</w:t>
      </w:r>
      <w:r>
        <w:t xml:space="preserve"> and young people but it sometimes becomes very slow to operate those approaches. As a result of this slow movement of those approaches, vulnerability becomes difficult to improve. There are such factors including </w:t>
      </w:r>
      <w:r>
        <w:rPr>
          <w:b/>
        </w:rPr>
        <w:t>drug abuse and alcohol consumption</w:t>
      </w:r>
      <w:r>
        <w:t>, teenage maternity impacts very badly upon a vulnerability in societal behaviour in the UK. It is highly recommended to prevent</w:t>
      </w:r>
      <w:r>
        <w:rPr>
          <w:b/>
        </w:rPr>
        <w:t xml:space="preserve"> teenage pregnancy</w:t>
      </w:r>
      <w:r>
        <w:t xml:space="preserve"> as soon as possible as it is not healthier for both the newborn child and the mother. It can cause a death of a mother or child which will result in a </w:t>
      </w:r>
      <w:r>
        <w:rPr>
          <w:b/>
        </w:rPr>
        <w:t>vulnerable child</w:t>
      </w:r>
      <w:r>
        <w:t xml:space="preserve"> or </w:t>
      </w:r>
      <w:r>
        <w:rPr>
          <w:b/>
        </w:rPr>
        <w:t>mental health disturbance</w:t>
      </w:r>
      <w:r>
        <w:t xml:space="preserve"> towards the new mother. On the other hand, regular </w:t>
      </w:r>
      <w:r>
        <w:rPr>
          <w:b/>
        </w:rPr>
        <w:t>alcohol consumption or use of drugs</w:t>
      </w:r>
      <w:r>
        <w:t xml:space="preserve"> behind children can affect their mental growth and they can be engaged in different criminal offences. Thus, it is needed to arrange different programs for parents to understand some good behaviour for their child’s mental growth. Additionally, it is observed that</w:t>
      </w:r>
      <w:r>
        <w:rPr>
          <w:b/>
        </w:rPr>
        <w:t xml:space="preserve"> child persistence</w:t>
      </w:r>
      <w:r>
        <w:t xml:space="preserve"> is an emerging problem among children of the 20th century which is highly recommended to be treated with various</w:t>
      </w:r>
      <w:r>
        <w:rPr>
          <w:b/>
        </w:rPr>
        <w:t xml:space="preserve"> psychological counselling</w:t>
      </w:r>
      <w:r>
        <w:t xml:space="preserve">. </w:t>
      </w:r>
    </w:p>
    <w:p w14:paraId="08B0579E" w14:textId="77777777" w:rsidR="00EE735C" w:rsidRDefault="00EE735C"/>
    <w:p w14:paraId="08B0579F" w14:textId="77777777" w:rsidR="00EE735C" w:rsidRDefault="00304659">
      <w:pPr>
        <w:pStyle w:val="Heading1"/>
      </w:pPr>
      <w:bookmarkStart w:id="2" w:name="_phr0hugyzus5" w:colFirst="0" w:colLast="0"/>
      <w:bookmarkEnd w:id="2"/>
      <w:r>
        <w:t xml:space="preserve">3. Conclusion </w:t>
      </w:r>
    </w:p>
    <w:p w14:paraId="08B057A0" w14:textId="1BFEFAC8" w:rsidR="00EE735C" w:rsidRDefault="00304659">
      <w:r>
        <w:t xml:space="preserve">This paper concludes with different derivations and descriptions of childhood which is compared here from the nineteenth century to this current situation. It is observed that the children of the nineteenth century were upgrading with a very </w:t>
      </w:r>
      <w:r>
        <w:rPr>
          <w:b/>
        </w:rPr>
        <w:t>simple lifestyle</w:t>
      </w:r>
      <w:r>
        <w:t xml:space="preserve"> whereas the children of the current situation are afforded with highly</w:t>
      </w:r>
      <w:r>
        <w:rPr>
          <w:b/>
        </w:rPr>
        <w:t xml:space="preserve"> demanded gadgets and electronics</w:t>
      </w:r>
      <w:r>
        <w:t xml:space="preserve"> </w:t>
      </w:r>
      <w:r>
        <w:rPr>
          <w:b/>
        </w:rPr>
        <w:t>items</w:t>
      </w:r>
      <w:r>
        <w:t xml:space="preserve"> in their everyday lifestyle. The children of the 19th century were termed as </w:t>
      </w:r>
      <w:r>
        <w:rPr>
          <w:b/>
        </w:rPr>
        <w:t>naughty, intelligent</w:t>
      </w:r>
      <w:r>
        <w:t xml:space="preserve"> and many more but nowadays, children are given a proper environment of education without giving them </w:t>
      </w:r>
      <w:r>
        <w:rPr>
          <w:b/>
        </w:rPr>
        <w:t>extra time to grow naturally or to play</w:t>
      </w:r>
      <w:r>
        <w:t xml:space="preserve">. Lastly, this paper includes different approaches </w:t>
      </w:r>
      <w:r>
        <w:lastRenderedPageBreak/>
        <w:t xml:space="preserve">of the governing authority of the UK </w:t>
      </w:r>
      <w:r w:rsidR="00645902">
        <w:t>to</w:t>
      </w:r>
      <w:r>
        <w:t xml:space="preserve"> sustain vulnerability from children, parents and young people in the society.</w:t>
      </w:r>
      <w:r>
        <w:br w:type="page"/>
      </w:r>
    </w:p>
    <w:p w14:paraId="08B057A1" w14:textId="77777777" w:rsidR="00EE735C" w:rsidRDefault="00304659">
      <w:pPr>
        <w:pStyle w:val="Heading1"/>
      </w:pPr>
      <w:bookmarkStart w:id="3" w:name="_axmg50fcm16m" w:colFirst="0" w:colLast="0"/>
      <w:bookmarkEnd w:id="3"/>
      <w:r>
        <w:lastRenderedPageBreak/>
        <w:t>References</w:t>
      </w:r>
    </w:p>
    <w:p w14:paraId="08B057A2" w14:textId="77777777" w:rsidR="00EE735C" w:rsidRDefault="00304659">
      <w:pPr>
        <w:pStyle w:val="Heading2"/>
      </w:pPr>
      <w:bookmarkStart w:id="4" w:name="_maxctwmqlh44" w:colFirst="0" w:colLast="0"/>
      <w:bookmarkEnd w:id="4"/>
      <w:r>
        <w:t>Books &amp; Journals</w:t>
      </w:r>
    </w:p>
    <w:p w14:paraId="08B057A3" w14:textId="77777777" w:rsidR="00294EDA" w:rsidRDefault="00294EDA">
      <w:pPr>
        <w:rPr>
          <w:color w:val="222222"/>
          <w:highlight w:val="white"/>
        </w:rPr>
      </w:pPr>
      <w:r>
        <w:rPr>
          <w:color w:val="222222"/>
          <w:highlight w:val="white"/>
        </w:rPr>
        <w:t xml:space="preserve">Garnett, P., Doherty, B. and Heron, T., (2020). Vulnerability of the United Kingdom’s food supply chains exposed by COVID-19. </w:t>
      </w:r>
      <w:r>
        <w:rPr>
          <w:i/>
          <w:color w:val="222222"/>
          <w:highlight w:val="white"/>
        </w:rPr>
        <w:t>Nature Food</w:t>
      </w:r>
      <w:r>
        <w:rPr>
          <w:color w:val="222222"/>
          <w:highlight w:val="white"/>
        </w:rPr>
        <w:t xml:space="preserve">, </w:t>
      </w:r>
      <w:r>
        <w:rPr>
          <w:i/>
          <w:color w:val="222222"/>
          <w:highlight w:val="white"/>
        </w:rPr>
        <w:t>1</w:t>
      </w:r>
      <w:r>
        <w:rPr>
          <w:color w:val="222222"/>
          <w:highlight w:val="white"/>
        </w:rPr>
        <w:t>(6), pp.315-318.</w:t>
      </w:r>
    </w:p>
    <w:p w14:paraId="08B057A4" w14:textId="77777777" w:rsidR="00294EDA" w:rsidRDefault="00294EDA">
      <w:pPr>
        <w:rPr>
          <w:color w:val="222222"/>
          <w:highlight w:val="white"/>
        </w:rPr>
      </w:pPr>
      <w:r>
        <w:rPr>
          <w:color w:val="222222"/>
          <w:highlight w:val="white"/>
        </w:rPr>
        <w:t xml:space="preserve">Manning, L. and Soon, J.M., (2019). Food fraud vulnerability assessment: Reliable data sources and effective assessment approaches. </w:t>
      </w:r>
      <w:r>
        <w:rPr>
          <w:i/>
          <w:color w:val="222222"/>
          <w:highlight w:val="white"/>
        </w:rPr>
        <w:t>Trends in Food Science &amp; Technology</w:t>
      </w:r>
      <w:r>
        <w:rPr>
          <w:color w:val="222222"/>
          <w:highlight w:val="white"/>
        </w:rPr>
        <w:t xml:space="preserve">, </w:t>
      </w:r>
      <w:r>
        <w:rPr>
          <w:i/>
          <w:color w:val="222222"/>
          <w:highlight w:val="white"/>
        </w:rPr>
        <w:t>91</w:t>
      </w:r>
      <w:r>
        <w:rPr>
          <w:color w:val="222222"/>
          <w:highlight w:val="white"/>
        </w:rPr>
        <w:t>, pp.159-168.</w:t>
      </w:r>
    </w:p>
    <w:p w14:paraId="08B057A5" w14:textId="77777777" w:rsidR="00294EDA" w:rsidRDefault="00294EDA">
      <w:pPr>
        <w:rPr>
          <w:color w:val="222222"/>
          <w:highlight w:val="white"/>
        </w:rPr>
      </w:pPr>
      <w:r>
        <w:rPr>
          <w:color w:val="222222"/>
          <w:highlight w:val="white"/>
        </w:rPr>
        <w:t xml:space="preserve">Naylor, L.A., Brady, U., Quinn, T., Brown, K. and Anderies, J.M., (2019). A multiscale analysis of social-ecological system robustness and vulnerability in Cornwall, UK. </w:t>
      </w:r>
      <w:r>
        <w:rPr>
          <w:i/>
          <w:color w:val="222222"/>
          <w:highlight w:val="white"/>
        </w:rPr>
        <w:t>Regional Environmental Change</w:t>
      </w:r>
      <w:r>
        <w:rPr>
          <w:color w:val="222222"/>
          <w:highlight w:val="white"/>
        </w:rPr>
        <w:t xml:space="preserve">, </w:t>
      </w:r>
      <w:r>
        <w:rPr>
          <w:i/>
          <w:color w:val="222222"/>
          <w:highlight w:val="white"/>
        </w:rPr>
        <w:t>19</w:t>
      </w:r>
      <w:r>
        <w:rPr>
          <w:color w:val="222222"/>
          <w:highlight w:val="white"/>
        </w:rPr>
        <w:t>(7), pp.1835-1848.</w:t>
      </w:r>
    </w:p>
    <w:p w14:paraId="08B057A6" w14:textId="77777777" w:rsidR="00294EDA" w:rsidRDefault="00294EDA">
      <w:pPr>
        <w:rPr>
          <w:color w:val="222222"/>
          <w:highlight w:val="white"/>
        </w:rPr>
      </w:pPr>
      <w:r>
        <w:rPr>
          <w:color w:val="222222"/>
          <w:highlight w:val="white"/>
        </w:rPr>
        <w:t xml:space="preserve">Pfefferbaum, B. and North, C.S., (2020). Mental health and the Covid-19 pandemic. </w:t>
      </w:r>
      <w:r>
        <w:rPr>
          <w:i/>
          <w:color w:val="222222"/>
          <w:highlight w:val="white"/>
        </w:rPr>
        <w:t>New England Journal of Medicine</w:t>
      </w:r>
      <w:r>
        <w:rPr>
          <w:color w:val="222222"/>
          <w:highlight w:val="white"/>
        </w:rPr>
        <w:t xml:space="preserve">, </w:t>
      </w:r>
      <w:r>
        <w:rPr>
          <w:i/>
          <w:color w:val="222222"/>
          <w:highlight w:val="white"/>
        </w:rPr>
        <w:t>383</w:t>
      </w:r>
      <w:r>
        <w:rPr>
          <w:color w:val="222222"/>
          <w:highlight w:val="white"/>
        </w:rPr>
        <w:t xml:space="preserve">(6), pp.510-512. </w:t>
      </w:r>
    </w:p>
    <w:p w14:paraId="08B057A7" w14:textId="77777777" w:rsidR="00EE735C" w:rsidRDefault="00304659">
      <w:pPr>
        <w:pStyle w:val="Heading2"/>
      </w:pPr>
      <w:bookmarkStart w:id="5" w:name="_n1yt02sdh6ak" w:colFirst="0" w:colLast="0"/>
      <w:bookmarkEnd w:id="5"/>
      <w:r>
        <w:t>Websites</w:t>
      </w:r>
    </w:p>
    <w:p w14:paraId="08B057A8" w14:textId="77777777" w:rsidR="00294EDA" w:rsidRDefault="00294EDA">
      <w:r>
        <w:t xml:space="preserve">Bland, L. (2019) </w:t>
      </w:r>
      <w:r>
        <w:rPr>
          <w:i/>
        </w:rPr>
        <w:t>‘</w:t>
      </w:r>
      <w:r>
        <w:rPr>
          <w:i/>
          <w:color w:val="222222"/>
        </w:rPr>
        <w:t>I never felt whole’: How post-war Britain treated the mixed race children left by black US soldiers</w:t>
      </w:r>
      <w:r>
        <w:t xml:space="preserve"> [online] Available from: </w:t>
      </w:r>
      <w:hyperlink r:id="rId7">
        <w:r>
          <w:rPr>
            <w:color w:val="1155CC"/>
            <w:u w:val="single"/>
          </w:rPr>
          <w:t>https://scroll.in/article/923849/i-never-felt-whole-how-post-war-britain-treated-the-mixed-race-children-left-by-black-us-soldiers</w:t>
        </w:r>
      </w:hyperlink>
      <w:r>
        <w:t xml:space="preserve"> [Accessed 26 August 2021]</w:t>
      </w:r>
    </w:p>
    <w:p w14:paraId="08B057A9" w14:textId="77777777" w:rsidR="00294EDA" w:rsidRDefault="00294EDA">
      <w:r>
        <w:t xml:space="preserve">Gov.uk (2015) </w:t>
      </w:r>
      <w:r>
        <w:rPr>
          <w:i/>
          <w:color w:val="0B0C0C"/>
        </w:rPr>
        <w:t>Equality Act 2010: guidance</w:t>
      </w:r>
      <w:r>
        <w:t xml:space="preserve"> [online] Available from: </w:t>
      </w:r>
      <w:hyperlink r:id="rId8">
        <w:r>
          <w:rPr>
            <w:color w:val="1155CC"/>
            <w:u w:val="single"/>
          </w:rPr>
          <w:t>https://www.gov.uk/guidance/equality-act-2010-guidance</w:t>
        </w:r>
      </w:hyperlink>
      <w:r>
        <w:t xml:space="preserve"> [Accessed 26 August 2021]</w:t>
      </w:r>
    </w:p>
    <w:p w14:paraId="08B057AA" w14:textId="77777777" w:rsidR="00294EDA" w:rsidRDefault="00294EDA">
      <w:r>
        <w:t xml:space="preserve">iHASCO (2021) </w:t>
      </w:r>
      <w:r>
        <w:rPr>
          <w:i/>
          <w:color w:val="212529"/>
        </w:rPr>
        <w:t>What is the Children Act 2004?</w:t>
      </w:r>
      <w:r>
        <w:t xml:space="preserve"> [online] Available from: </w:t>
      </w:r>
      <w:hyperlink r:id="rId9">
        <w:r>
          <w:rPr>
            <w:color w:val="1155CC"/>
            <w:u w:val="single"/>
          </w:rPr>
          <w:t>https://www.ihasco.co.uk/blog/entry/2508/what-is-the-childrens-act-2004</w:t>
        </w:r>
      </w:hyperlink>
      <w:r>
        <w:t xml:space="preserve"> [Accessed 26 August 2021]</w:t>
      </w:r>
    </w:p>
    <w:p w14:paraId="08B057AB" w14:textId="77777777" w:rsidR="00294EDA" w:rsidRDefault="00294EDA">
      <w:r>
        <w:lastRenderedPageBreak/>
        <w:t xml:space="preserve">Marchant, N. (2020) </w:t>
      </w:r>
      <w:r>
        <w:rPr>
          <w:i/>
          <w:color w:val="141414"/>
        </w:rPr>
        <w:t>Study: Almost all Black British children have experienced racism at school</w:t>
      </w:r>
      <w:r>
        <w:t xml:space="preserve"> [online] Available from: </w:t>
      </w:r>
      <w:hyperlink r:id="rId10">
        <w:r>
          <w:rPr>
            <w:color w:val="1155CC"/>
            <w:u w:val="single"/>
          </w:rPr>
          <w:t>https://www.weforum.org/agenda/2020/11/racism-united-kingdom-schools-black-children-inequality/</w:t>
        </w:r>
      </w:hyperlink>
      <w:r>
        <w:t xml:space="preserve"> [Accessed 26 August 2021]</w:t>
      </w:r>
    </w:p>
    <w:p w14:paraId="08B057AC" w14:textId="77777777" w:rsidR="00294EDA" w:rsidRDefault="00294EDA">
      <w:r>
        <w:t xml:space="preserve">Oppenheim, C. and Rehill, J. (2020) </w:t>
      </w:r>
      <w:r>
        <w:rPr>
          <w:i/>
        </w:rPr>
        <w:t xml:space="preserve">How are the lives of families with young children changing? </w:t>
      </w:r>
      <w:r>
        <w:t xml:space="preserve">[online] Available from: </w:t>
      </w:r>
      <w:hyperlink r:id="rId11">
        <w:r>
          <w:rPr>
            <w:color w:val="1155CC"/>
            <w:u w:val="single"/>
          </w:rPr>
          <w:t>https://www.nuffieldfoundation.org/publications/changing-lives-families-young-children</w:t>
        </w:r>
      </w:hyperlink>
      <w:r>
        <w:t xml:space="preserve"> [Accessed 26 August 2021]</w:t>
      </w:r>
    </w:p>
    <w:p w14:paraId="08B057AD" w14:textId="77777777" w:rsidR="00294EDA" w:rsidRDefault="00294EDA">
      <w:r>
        <w:t xml:space="preserve">Revisesociology (2019) </w:t>
      </w:r>
      <w:r>
        <w:rPr>
          <w:i/>
        </w:rPr>
        <w:t xml:space="preserve">Social construction of childhood </w:t>
      </w:r>
      <w:r>
        <w:t xml:space="preserve">[online] Available from: </w:t>
      </w:r>
      <w:hyperlink r:id="rId12">
        <w:r>
          <w:rPr>
            <w:color w:val="1155CC"/>
            <w:u w:val="single"/>
          </w:rPr>
          <w:t>https://revisesociology.com/2019/05/06/social-construction-of-childhood/</w:t>
        </w:r>
      </w:hyperlink>
      <w:r>
        <w:t xml:space="preserve"> [Accessed 26 August 2021]</w:t>
      </w:r>
    </w:p>
    <w:p w14:paraId="08B057AE" w14:textId="77777777" w:rsidR="00294EDA" w:rsidRDefault="00294EDA">
      <w:r>
        <w:t xml:space="preserve">Shady Oak Primary (2021) </w:t>
      </w:r>
      <w:r>
        <w:rPr>
          <w:i/>
        </w:rPr>
        <w:t xml:space="preserve">Different elements of family relationships </w:t>
      </w:r>
      <w:r>
        <w:t xml:space="preserve">[online] Available from: </w:t>
      </w:r>
      <w:hyperlink r:id="rId13">
        <w:r>
          <w:rPr>
            <w:color w:val="1155CC"/>
            <w:u w:val="single"/>
          </w:rPr>
          <w:t>https://www.shadyoakprimary.com/top-4-elements-of-strong-family-relationships/</w:t>
        </w:r>
      </w:hyperlink>
      <w:r>
        <w:t xml:space="preserve"> [Accessed 26 August 2021]</w:t>
      </w:r>
    </w:p>
    <w:p w14:paraId="08B057AF" w14:textId="77777777" w:rsidR="00294EDA" w:rsidRDefault="00294EDA">
      <w:r>
        <w:t xml:space="preserve">The British Academy (2019) </w:t>
      </w:r>
      <w:r>
        <w:rPr>
          <w:i/>
        </w:rPr>
        <w:t>Reframing Childhood Past and Present</w:t>
      </w:r>
      <w:r>
        <w:t xml:space="preserve"> [online] Available from: </w:t>
      </w:r>
      <w:hyperlink r:id="rId14">
        <w:r>
          <w:rPr>
            <w:color w:val="1155CC"/>
            <w:u w:val="single"/>
          </w:rPr>
          <w:t>https://www.thebritishacademy.ac.uk/documents/227/The-British-Academy-Reframing-Childhood-Past-and-Present-Chronologies.pdf</w:t>
        </w:r>
      </w:hyperlink>
      <w:r>
        <w:t xml:space="preserve"> [Accessed 26 August 2021]</w:t>
      </w:r>
    </w:p>
    <w:p w14:paraId="08B057B0" w14:textId="77777777" w:rsidR="00294EDA" w:rsidRDefault="00294EDA">
      <w:r>
        <w:t xml:space="preserve">Thompson, K. (2020) </w:t>
      </w:r>
      <w:r>
        <w:rPr>
          <w:i/>
        </w:rPr>
        <w:t>Changes to childhood since Victorian Times</w:t>
      </w:r>
      <w:r>
        <w:t xml:space="preserve"> [online] Available from: </w:t>
      </w:r>
      <w:hyperlink r:id="rId15">
        <w:r>
          <w:rPr>
            <w:color w:val="1155CC"/>
            <w:u w:val="single"/>
          </w:rPr>
          <w:t>https://revisesociology.com/2020/06/30/changes-childhood-since-victorian-times/</w:t>
        </w:r>
      </w:hyperlink>
      <w:r>
        <w:t xml:space="preserve"> [Accessed 26 August 2021]</w:t>
      </w:r>
    </w:p>
    <w:p w14:paraId="08B057B1" w14:textId="77777777" w:rsidR="00294EDA" w:rsidRDefault="00294EDA">
      <w:r>
        <w:t xml:space="preserve">Tumkur University (2020) </w:t>
      </w:r>
      <w:r>
        <w:rPr>
          <w:i/>
        </w:rPr>
        <w:t xml:space="preserve">Definitions of childhood </w:t>
      </w:r>
      <w:r>
        <w:t xml:space="preserve">[online] Available from: </w:t>
      </w:r>
      <w:hyperlink r:id="rId16">
        <w:r>
          <w:rPr>
            <w:color w:val="1155CC"/>
            <w:u w:val="single"/>
          </w:rPr>
          <w:t>http://tumkuruniversity.ac.in/oc_pg/msw/CONCEPT%20OF%20CHILDHOOD.pdf</w:t>
        </w:r>
      </w:hyperlink>
      <w:r>
        <w:t xml:space="preserve"> [Accessed 26 August 2021]</w:t>
      </w:r>
    </w:p>
    <w:p w14:paraId="08B057B2" w14:textId="77777777" w:rsidR="00EE735C" w:rsidRDefault="00304659">
      <w:r>
        <w:lastRenderedPageBreak/>
        <w:t xml:space="preserve">Oecd, (2021) </w:t>
      </w:r>
      <w:r>
        <w:rPr>
          <w:i/>
        </w:rPr>
        <w:t xml:space="preserve">What is child vulnerability and how can it be overcome? </w:t>
      </w:r>
      <w:r>
        <w:t xml:space="preserve">[online] Available from: </w:t>
      </w:r>
      <w:hyperlink r:id="rId17">
        <w:r>
          <w:rPr>
            <w:color w:val="1155CC"/>
            <w:u w:val="single"/>
          </w:rPr>
          <w:t>https://www.oecd-ilibrary.org/sites/23101e74-en/index.html?itemId=/content/component/23101e74-en</w:t>
        </w:r>
      </w:hyperlink>
      <w:r>
        <w:t xml:space="preserve"> [Accessed 26 August 2021]</w:t>
      </w:r>
    </w:p>
    <w:p w14:paraId="08B057B3" w14:textId="77777777" w:rsidR="00EE735C" w:rsidRDefault="00304659">
      <w:r>
        <w:t xml:space="preserve">Unicef, (2020) </w:t>
      </w:r>
      <w:r>
        <w:rPr>
          <w:i/>
        </w:rPr>
        <w:t>Protecting the most vulnerable children from the impact of coronavirus: An agenda for action</w:t>
      </w:r>
      <w:r>
        <w:rPr>
          <w:i/>
          <w:color w:val="333333"/>
        </w:rPr>
        <w:t xml:space="preserve"> </w:t>
      </w:r>
      <w:r>
        <w:t xml:space="preserve">[online] Available from:  </w:t>
      </w:r>
      <w:hyperlink r:id="rId18">
        <w:r>
          <w:rPr>
            <w:color w:val="1155CC"/>
            <w:u w:val="single"/>
          </w:rPr>
          <w:t>h</w:t>
        </w:r>
      </w:hyperlink>
      <w:hyperlink r:id="rId19">
        <w:r>
          <w:rPr>
            <w:color w:val="1155CC"/>
            <w:u w:val="single"/>
          </w:rPr>
          <w:t>ttps://www.unicef.org/coronavirus/agenda-for-action</w:t>
        </w:r>
      </w:hyperlink>
      <w:r>
        <w:t xml:space="preserve"> [Accessed 26 August 2021]</w:t>
      </w:r>
    </w:p>
    <w:p w14:paraId="08B057B4" w14:textId="77777777" w:rsidR="00EE735C" w:rsidRDefault="00EE735C"/>
    <w:p w14:paraId="08B057B5" w14:textId="77777777" w:rsidR="00EE735C" w:rsidRDefault="00EE735C"/>
    <w:p w14:paraId="08B057B6" w14:textId="77777777" w:rsidR="00EE735C" w:rsidRDefault="00EE735C"/>
    <w:sectPr w:rsidR="00EE735C" w:rsidSect="00294EDA">
      <w:headerReference w:type="default" r:id="rId20"/>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057B9" w14:textId="77777777" w:rsidR="00304659" w:rsidRDefault="00304659" w:rsidP="00294EDA">
      <w:pPr>
        <w:spacing w:line="240" w:lineRule="auto"/>
      </w:pPr>
      <w:r>
        <w:separator/>
      </w:r>
    </w:p>
  </w:endnote>
  <w:endnote w:type="continuationSeparator" w:id="0">
    <w:p w14:paraId="08B057BA" w14:textId="77777777" w:rsidR="00304659" w:rsidRDefault="00304659" w:rsidP="00294E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630502"/>
      <w:docPartObj>
        <w:docPartGallery w:val="Page Numbers (Bottom of Page)"/>
        <w:docPartUnique/>
      </w:docPartObj>
    </w:sdtPr>
    <w:sdtEndPr/>
    <w:sdtContent>
      <w:sdt>
        <w:sdtPr>
          <w:id w:val="860082579"/>
          <w:docPartObj>
            <w:docPartGallery w:val="Page Numbers (Top of Page)"/>
            <w:docPartUnique/>
          </w:docPartObj>
        </w:sdtPr>
        <w:sdtEndPr/>
        <w:sdtContent>
          <w:p w14:paraId="08B057BC" w14:textId="77777777" w:rsidR="00294EDA" w:rsidRDefault="00294ED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13</w:t>
            </w:r>
            <w:r>
              <w:rPr>
                <w:b/>
                <w:bCs/>
              </w:rPr>
              <w:fldChar w:fldCharType="end"/>
            </w:r>
          </w:p>
        </w:sdtContent>
      </w:sdt>
    </w:sdtContent>
  </w:sdt>
  <w:p w14:paraId="08B057BD" w14:textId="77777777" w:rsidR="00294EDA" w:rsidRDefault="00294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057B7" w14:textId="77777777" w:rsidR="00304659" w:rsidRDefault="00304659" w:rsidP="00294EDA">
      <w:pPr>
        <w:spacing w:line="240" w:lineRule="auto"/>
      </w:pPr>
      <w:r>
        <w:separator/>
      </w:r>
    </w:p>
  </w:footnote>
  <w:footnote w:type="continuationSeparator" w:id="0">
    <w:p w14:paraId="08B057B8" w14:textId="77777777" w:rsidR="00304659" w:rsidRDefault="00304659" w:rsidP="00294E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057BB" w14:textId="77777777" w:rsidR="00294EDA" w:rsidRPr="00294EDA" w:rsidRDefault="00294EDA" w:rsidP="00294EDA">
    <w:pPr>
      <w:pStyle w:val="Header"/>
      <w:jc w:val="right"/>
    </w:pPr>
    <w:r w:rsidRPr="00294EDA">
      <w:t>Children, Young People and Families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E735C"/>
    <w:rsid w:val="00017443"/>
    <w:rsid w:val="00117298"/>
    <w:rsid w:val="00140460"/>
    <w:rsid w:val="001577A5"/>
    <w:rsid w:val="00294EDA"/>
    <w:rsid w:val="002B7254"/>
    <w:rsid w:val="00304659"/>
    <w:rsid w:val="00493F91"/>
    <w:rsid w:val="00645902"/>
    <w:rsid w:val="006A7CDD"/>
    <w:rsid w:val="00AB517B"/>
    <w:rsid w:val="00E134CE"/>
    <w:rsid w:val="00EE73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0577D"/>
  <w15:docId w15:val="{9055F2A7-7838-4ECE-A566-49FA4C68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94EDA"/>
    <w:pPr>
      <w:tabs>
        <w:tab w:val="center" w:pos="4513"/>
        <w:tab w:val="right" w:pos="9026"/>
      </w:tabs>
      <w:spacing w:line="240" w:lineRule="auto"/>
    </w:pPr>
  </w:style>
  <w:style w:type="character" w:customStyle="1" w:styleId="HeaderChar">
    <w:name w:val="Header Char"/>
    <w:basedOn w:val="DefaultParagraphFont"/>
    <w:link w:val="Header"/>
    <w:uiPriority w:val="99"/>
    <w:rsid w:val="00294EDA"/>
  </w:style>
  <w:style w:type="paragraph" w:styleId="Footer">
    <w:name w:val="footer"/>
    <w:basedOn w:val="Normal"/>
    <w:link w:val="FooterChar"/>
    <w:uiPriority w:val="99"/>
    <w:unhideWhenUsed/>
    <w:rsid w:val="00294EDA"/>
    <w:pPr>
      <w:tabs>
        <w:tab w:val="center" w:pos="4513"/>
        <w:tab w:val="right" w:pos="9026"/>
      </w:tabs>
      <w:spacing w:line="240" w:lineRule="auto"/>
    </w:pPr>
  </w:style>
  <w:style w:type="character" w:customStyle="1" w:styleId="FooterChar">
    <w:name w:val="Footer Char"/>
    <w:basedOn w:val="DefaultParagraphFont"/>
    <w:link w:val="Footer"/>
    <w:uiPriority w:val="99"/>
    <w:rsid w:val="00294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hyperlink" Target="https://www.shadyoakprimary.com/top-4-elements-of-strong-family-relationships/" TargetMode="External"/><Relationship Id="rId18" Type="http://schemas.openxmlformats.org/officeDocument/2006/relationships/hyperlink" Target="https://www.unicef.org/coronavirus/agenda-for-action"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scroll.in/article/923849/i-never-felt-whole-how-post-war-britain-treated-the-mixed-race-children-left-by-black-us-soldiers" TargetMode="External"/><Relationship Id="rId12" Type="http://schemas.openxmlformats.org/officeDocument/2006/relationships/hyperlink" Target="https://revisesociology.com/2019/05/06/social-construction-of-childhood/" TargetMode="External"/><Relationship Id="rId17" Type="http://schemas.openxmlformats.org/officeDocument/2006/relationships/hyperlink" Target="https://www.oecd-ilibrary.org/sites/23101e74-en/index.html?itemId=/content/component/23101e74-en" TargetMode="External"/><Relationship Id="rId2" Type="http://schemas.openxmlformats.org/officeDocument/2006/relationships/settings" Target="settings.xml"/><Relationship Id="rId16" Type="http://schemas.openxmlformats.org/officeDocument/2006/relationships/hyperlink" Target="http://tumkuruniversity.ac.in/oc_pg/msw/CONCEPT%20OF%20CHILDHOOD.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uffieldfoundation.org/publications/changing-lives-families-young-children" TargetMode="External"/><Relationship Id="rId5" Type="http://schemas.openxmlformats.org/officeDocument/2006/relationships/endnotes" Target="endnotes.xml"/><Relationship Id="rId15" Type="http://schemas.openxmlformats.org/officeDocument/2006/relationships/hyperlink" Target="https://revisesociology.com/2020/06/30/changes-childhood-since-victorian-times/" TargetMode="External"/><Relationship Id="rId23" Type="http://schemas.openxmlformats.org/officeDocument/2006/relationships/theme" Target="theme/theme1.xml"/><Relationship Id="rId10" Type="http://schemas.openxmlformats.org/officeDocument/2006/relationships/hyperlink" Target="https://www.weforum.org/agenda/2020/11/racism-united-kingdom-schools-black-children-inequality/" TargetMode="External"/><Relationship Id="rId19" Type="http://schemas.openxmlformats.org/officeDocument/2006/relationships/hyperlink" Target="https://www.unicef.org/coronavirus/agenda-for-action" TargetMode="External"/><Relationship Id="rId4" Type="http://schemas.openxmlformats.org/officeDocument/2006/relationships/footnotes" Target="footnotes.xml"/><Relationship Id="rId9" Type="http://schemas.openxmlformats.org/officeDocument/2006/relationships/hyperlink" Target="https://www.ihasco.co.uk/blog/entry/2508/what-is-the-childrens-act-2004" TargetMode="External"/><Relationship Id="rId14" Type="http://schemas.openxmlformats.org/officeDocument/2006/relationships/hyperlink" Target="https://www.thebritishacademy.ac.uk/documents/227/The-British-Academy-Reframing-Childhood-Past-and-Present-Chronologi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14</Pages>
  <Words>3294</Words>
  <Characters>18779</Characters>
  <Application>Microsoft Office Word</Application>
  <DocSecurity>0</DocSecurity>
  <Lines>156</Lines>
  <Paragraphs>44</Paragraphs>
  <ScaleCrop>false</ScaleCrop>
  <Company/>
  <LinksUpToDate>false</LinksUpToDate>
  <CharactersWithSpaces>22029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lazar</cp:lastModifiedBy>
  <cp:revision>12</cp:revision>
  <dcterms:created xsi:type="dcterms:W3CDTF">2021-08-26T13:28:00Z</dcterms:created>
  <dcterms:modified xsi:type="dcterms:W3CDTF">2021-08-26T17:53:00Z</dcterms:modified>
</cp:coreProperties>
</file>