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93C58" w14:textId="77777777" w:rsidR="0032185F" w:rsidRPr="000363C8" w:rsidRDefault="0032185F" w:rsidP="0032185F">
      <w:pPr>
        <w:pStyle w:val="Title"/>
        <w:jc w:val="center"/>
        <w:rPr>
          <w:rFonts w:ascii="Times New Roman" w:hAnsi="Times New Roman" w:cs="Times New Roman"/>
          <w:lang w:val="en-GB"/>
        </w:rPr>
      </w:pPr>
      <w:r w:rsidRPr="000363C8">
        <w:rPr>
          <w:rFonts w:ascii="Times New Roman" w:hAnsi="Times New Roman" w:cs="Times New Roman"/>
          <w:lang w:val="en-GB"/>
        </w:rPr>
        <w:t>Global Business Environment</w:t>
      </w:r>
    </w:p>
    <w:p w14:paraId="376CD775" w14:textId="77777777" w:rsidR="0032185F" w:rsidRPr="000363C8" w:rsidRDefault="0032185F" w:rsidP="0032185F">
      <w:pPr>
        <w:rPr>
          <w:rFonts w:ascii="Times New Roman" w:hAnsi="Times New Roman" w:cs="Times New Roman"/>
          <w:lang w:val="en-GB"/>
        </w:rPr>
      </w:pPr>
    </w:p>
    <w:p w14:paraId="65927506" w14:textId="77777777" w:rsidR="0032185F" w:rsidRPr="000363C8" w:rsidRDefault="0032185F" w:rsidP="0032185F">
      <w:pPr>
        <w:rPr>
          <w:rFonts w:ascii="Times New Roman" w:hAnsi="Times New Roman" w:cs="Times New Roman"/>
          <w:lang w:val="en-GB"/>
        </w:rPr>
      </w:pPr>
    </w:p>
    <w:p w14:paraId="3EA058FF" w14:textId="77777777" w:rsidR="0032185F" w:rsidRPr="000363C8" w:rsidRDefault="0032185F" w:rsidP="0032185F">
      <w:pPr>
        <w:rPr>
          <w:rFonts w:ascii="Times New Roman" w:hAnsi="Times New Roman" w:cs="Times New Roman"/>
          <w:lang w:val="en-GB"/>
        </w:rPr>
      </w:pPr>
    </w:p>
    <w:p w14:paraId="2883051B" w14:textId="77777777" w:rsidR="003F5F55" w:rsidRPr="000363C8" w:rsidRDefault="003F5F55" w:rsidP="0032185F">
      <w:pPr>
        <w:rPr>
          <w:rFonts w:ascii="Times New Roman" w:hAnsi="Times New Roman" w:cs="Times New Roman"/>
          <w:lang w:val="en-GB"/>
        </w:rPr>
      </w:pPr>
    </w:p>
    <w:p w14:paraId="4567A7D0" w14:textId="77777777" w:rsidR="00147EFD" w:rsidRPr="000363C8" w:rsidRDefault="00147EFD" w:rsidP="0032185F">
      <w:pPr>
        <w:rPr>
          <w:rFonts w:ascii="Times New Roman" w:hAnsi="Times New Roman" w:cs="Times New Roman"/>
          <w:lang w:val="en-GB"/>
        </w:rPr>
      </w:pPr>
    </w:p>
    <w:p w14:paraId="349DA996" w14:textId="77777777" w:rsidR="0032185F" w:rsidRPr="000363C8" w:rsidRDefault="0032185F" w:rsidP="0032185F">
      <w:pPr>
        <w:rPr>
          <w:rFonts w:ascii="Times New Roman" w:hAnsi="Times New Roman" w:cs="Times New Roman"/>
          <w:lang w:val="en-GB"/>
        </w:rPr>
      </w:pPr>
      <w:r w:rsidRPr="000363C8">
        <w:rPr>
          <w:rFonts w:ascii="Times New Roman" w:hAnsi="Times New Roman" w:cs="Times New Roman"/>
          <w:lang w:val="en-GB"/>
        </w:rPr>
        <w:t>Module Code: LCBB4016</w:t>
      </w:r>
    </w:p>
    <w:p w14:paraId="1F7F9CDC" w14:textId="55F6CB56" w:rsidR="0032185F" w:rsidRPr="000363C8" w:rsidRDefault="0032185F" w:rsidP="0032185F">
      <w:pPr>
        <w:rPr>
          <w:rFonts w:ascii="Times New Roman" w:hAnsi="Times New Roman" w:cs="Times New Roman"/>
          <w:lang w:val="en-GB"/>
        </w:rPr>
      </w:pPr>
      <w:r w:rsidRPr="000363C8">
        <w:rPr>
          <w:rFonts w:ascii="Times New Roman" w:hAnsi="Times New Roman" w:cs="Times New Roman"/>
          <w:lang w:val="en-GB"/>
        </w:rPr>
        <w:t xml:space="preserve">Student Name: </w:t>
      </w:r>
      <w:r w:rsidR="00A24EB0">
        <w:rPr>
          <w:rFonts w:ascii="Times New Roman" w:hAnsi="Times New Roman" w:cs="Times New Roman"/>
          <w:lang w:val="en-GB"/>
        </w:rPr>
        <w:t xml:space="preserve">Hicham </w:t>
      </w:r>
      <w:proofErr w:type="spellStart"/>
      <w:r w:rsidR="00A24EB0">
        <w:rPr>
          <w:rFonts w:ascii="Times New Roman" w:hAnsi="Times New Roman" w:cs="Times New Roman"/>
          <w:lang w:val="en-GB"/>
        </w:rPr>
        <w:t>Chaibi</w:t>
      </w:r>
      <w:proofErr w:type="spellEnd"/>
    </w:p>
    <w:p w14:paraId="7DB174B1" w14:textId="0A07D562" w:rsidR="0032185F" w:rsidRPr="000363C8" w:rsidRDefault="0032185F" w:rsidP="0032185F">
      <w:pPr>
        <w:rPr>
          <w:rFonts w:ascii="Times New Roman" w:hAnsi="Times New Roman" w:cs="Times New Roman"/>
          <w:lang w:val="en-GB"/>
        </w:rPr>
      </w:pPr>
      <w:r w:rsidRPr="000363C8">
        <w:rPr>
          <w:rFonts w:ascii="Times New Roman" w:hAnsi="Times New Roman" w:cs="Times New Roman"/>
          <w:lang w:val="en-GB"/>
        </w:rPr>
        <w:t>Student ID:</w:t>
      </w:r>
      <w:r w:rsidR="00A24EB0">
        <w:rPr>
          <w:rFonts w:ascii="Times New Roman" w:hAnsi="Times New Roman" w:cs="Times New Roman"/>
          <w:lang w:val="en-GB"/>
        </w:rPr>
        <w:t>2423821</w:t>
      </w:r>
    </w:p>
    <w:p w14:paraId="1BD6A32A" w14:textId="77777777" w:rsidR="0032185F" w:rsidRPr="000363C8" w:rsidRDefault="0032185F" w:rsidP="0032185F">
      <w:pPr>
        <w:rPr>
          <w:rFonts w:ascii="Times New Roman" w:hAnsi="Times New Roman" w:cs="Times New Roman"/>
          <w:lang w:val="en-GB"/>
        </w:rPr>
      </w:pPr>
    </w:p>
    <w:p w14:paraId="143E3549" w14:textId="77777777" w:rsidR="0032185F" w:rsidRPr="000363C8" w:rsidRDefault="0032185F" w:rsidP="0032185F">
      <w:pPr>
        <w:rPr>
          <w:rFonts w:ascii="Times New Roman" w:hAnsi="Times New Roman" w:cs="Times New Roman"/>
          <w:lang w:val="en-GB"/>
        </w:rPr>
      </w:pPr>
    </w:p>
    <w:p w14:paraId="318EFFBF" w14:textId="77777777" w:rsidR="0032185F" w:rsidRPr="000363C8" w:rsidRDefault="0032185F" w:rsidP="0032185F">
      <w:pPr>
        <w:rPr>
          <w:rFonts w:ascii="Times New Roman" w:hAnsi="Times New Roman" w:cs="Times New Roman"/>
          <w:lang w:val="en-GB"/>
        </w:rPr>
      </w:pPr>
    </w:p>
    <w:p w14:paraId="55F60E23" w14:textId="77777777" w:rsidR="0032185F" w:rsidRPr="000363C8" w:rsidRDefault="0032185F" w:rsidP="0032185F">
      <w:pPr>
        <w:rPr>
          <w:rFonts w:ascii="Times New Roman" w:hAnsi="Times New Roman" w:cs="Times New Roman"/>
          <w:lang w:val="en-GB"/>
        </w:rPr>
      </w:pPr>
    </w:p>
    <w:p w14:paraId="5B89470E" w14:textId="77777777" w:rsidR="0032185F" w:rsidRPr="000363C8" w:rsidRDefault="0032185F" w:rsidP="0032185F">
      <w:pPr>
        <w:rPr>
          <w:rFonts w:ascii="Times New Roman" w:hAnsi="Times New Roman" w:cs="Times New Roman"/>
          <w:lang w:val="en-GB"/>
        </w:rPr>
      </w:pPr>
    </w:p>
    <w:p w14:paraId="3C77C4F8" w14:textId="77777777" w:rsidR="0032185F" w:rsidRPr="000363C8" w:rsidRDefault="0032185F" w:rsidP="0032185F">
      <w:pPr>
        <w:rPr>
          <w:rFonts w:ascii="Times New Roman" w:hAnsi="Times New Roman" w:cs="Times New Roman"/>
          <w:lang w:val="en-GB"/>
        </w:rPr>
      </w:pPr>
    </w:p>
    <w:p w14:paraId="59CC329D" w14:textId="77777777" w:rsidR="0032185F" w:rsidRPr="000363C8" w:rsidRDefault="0032185F" w:rsidP="0032185F">
      <w:pPr>
        <w:rPr>
          <w:rFonts w:ascii="Times New Roman" w:hAnsi="Times New Roman" w:cs="Times New Roman"/>
          <w:lang w:val="en-GB"/>
        </w:rPr>
      </w:pPr>
    </w:p>
    <w:p w14:paraId="09BE86AF" w14:textId="77777777" w:rsidR="0032185F" w:rsidRPr="000363C8" w:rsidRDefault="0032185F" w:rsidP="0032185F">
      <w:pPr>
        <w:rPr>
          <w:rFonts w:ascii="Times New Roman" w:hAnsi="Times New Roman" w:cs="Times New Roman"/>
          <w:lang w:val="en-GB"/>
        </w:rPr>
      </w:pPr>
    </w:p>
    <w:p w14:paraId="6D418C49" w14:textId="77777777" w:rsidR="0032185F" w:rsidRPr="000363C8" w:rsidRDefault="0032185F" w:rsidP="0032185F">
      <w:pPr>
        <w:rPr>
          <w:rFonts w:ascii="Times New Roman" w:hAnsi="Times New Roman" w:cs="Times New Roman"/>
          <w:lang w:val="en-GB"/>
        </w:rPr>
      </w:pPr>
    </w:p>
    <w:p w14:paraId="06AFCCE0" w14:textId="77777777" w:rsidR="0032185F" w:rsidRPr="000363C8" w:rsidRDefault="0032185F" w:rsidP="0032185F">
      <w:pPr>
        <w:rPr>
          <w:rFonts w:ascii="Times New Roman" w:hAnsi="Times New Roman" w:cs="Times New Roman"/>
          <w:lang w:val="en-GB"/>
        </w:rPr>
      </w:pPr>
    </w:p>
    <w:p w14:paraId="215366B3" w14:textId="77777777" w:rsidR="0032185F" w:rsidRPr="000363C8" w:rsidRDefault="0032185F" w:rsidP="0032185F">
      <w:pPr>
        <w:rPr>
          <w:rFonts w:ascii="Times New Roman" w:hAnsi="Times New Roman" w:cs="Times New Roman"/>
          <w:lang w:val="en-GB"/>
        </w:rPr>
      </w:pPr>
    </w:p>
    <w:p w14:paraId="179792C8" w14:textId="77777777" w:rsidR="0032185F" w:rsidRPr="000363C8" w:rsidRDefault="0032185F" w:rsidP="0032185F">
      <w:pPr>
        <w:rPr>
          <w:rFonts w:ascii="Times New Roman" w:hAnsi="Times New Roman" w:cs="Times New Roman"/>
          <w:lang w:val="en-GB"/>
        </w:rPr>
      </w:pPr>
    </w:p>
    <w:p w14:paraId="2CE6CD83" w14:textId="77777777" w:rsidR="0032185F" w:rsidRPr="000363C8" w:rsidRDefault="0032185F" w:rsidP="0032185F">
      <w:pPr>
        <w:rPr>
          <w:rFonts w:ascii="Times New Roman" w:hAnsi="Times New Roman" w:cs="Times New Roman"/>
          <w:lang w:val="en-GB"/>
        </w:rPr>
      </w:pPr>
    </w:p>
    <w:p w14:paraId="2D66DFAD" w14:textId="77777777" w:rsidR="0032185F" w:rsidRPr="000363C8" w:rsidRDefault="0032185F" w:rsidP="0032185F">
      <w:pPr>
        <w:rPr>
          <w:rFonts w:ascii="Times New Roman" w:hAnsi="Times New Roman" w:cs="Times New Roman"/>
          <w:lang w:val="en-GB"/>
        </w:rPr>
      </w:pPr>
    </w:p>
    <w:p w14:paraId="5E9FB574" w14:textId="77777777" w:rsidR="0032185F" w:rsidRPr="000363C8" w:rsidRDefault="0032185F" w:rsidP="0032185F">
      <w:pPr>
        <w:rPr>
          <w:rFonts w:ascii="Times New Roman" w:hAnsi="Times New Roman" w:cs="Times New Roman"/>
          <w:lang w:val="en-GB"/>
        </w:rPr>
      </w:pPr>
    </w:p>
    <w:p w14:paraId="30011987" w14:textId="77777777" w:rsidR="0032185F" w:rsidRPr="000363C8" w:rsidRDefault="0032185F" w:rsidP="0032185F">
      <w:pPr>
        <w:rPr>
          <w:rFonts w:ascii="Times New Roman" w:hAnsi="Times New Roman" w:cs="Times New Roman"/>
          <w:lang w:val="en-GB"/>
        </w:rPr>
      </w:pPr>
    </w:p>
    <w:p w14:paraId="353D2995" w14:textId="77777777" w:rsidR="0032185F" w:rsidRPr="000363C8" w:rsidRDefault="0032185F" w:rsidP="0032185F">
      <w:pPr>
        <w:rPr>
          <w:rFonts w:ascii="Times New Roman" w:hAnsi="Times New Roman" w:cs="Times New Roman"/>
          <w:lang w:val="en-GB"/>
        </w:rPr>
      </w:pPr>
    </w:p>
    <w:p w14:paraId="0671154B" w14:textId="77777777" w:rsidR="0032185F" w:rsidRPr="000363C8" w:rsidRDefault="0032185F" w:rsidP="0032185F">
      <w:pPr>
        <w:rPr>
          <w:rFonts w:ascii="Times New Roman" w:hAnsi="Times New Roman" w:cs="Times New Roman"/>
          <w:lang w:val="en-GB"/>
        </w:rPr>
      </w:pPr>
    </w:p>
    <w:p w14:paraId="3B4AA1C2" w14:textId="77777777" w:rsidR="003F5F55" w:rsidRPr="000363C8" w:rsidRDefault="003F5F55" w:rsidP="003F5F55">
      <w:pPr>
        <w:rPr>
          <w:rFonts w:ascii="Times New Roman" w:hAnsi="Times New Roman" w:cs="Times New Roman"/>
          <w:lang w:val="en-GB"/>
        </w:rPr>
      </w:pPr>
    </w:p>
    <w:p w14:paraId="392C5C34" w14:textId="77777777" w:rsidR="003F5F55" w:rsidRPr="000363C8" w:rsidRDefault="003F5F55" w:rsidP="003F5F55">
      <w:pPr>
        <w:rPr>
          <w:rFonts w:ascii="Times New Roman" w:hAnsi="Times New Roman" w:cs="Times New Roman"/>
          <w:lang w:val="en-GB"/>
        </w:rPr>
      </w:pPr>
    </w:p>
    <w:p w14:paraId="75DA10BA" w14:textId="77777777" w:rsidR="003F5F55" w:rsidRPr="000363C8" w:rsidRDefault="003F5F55" w:rsidP="003F5F55">
      <w:pPr>
        <w:rPr>
          <w:rFonts w:ascii="Times New Roman" w:hAnsi="Times New Roman" w:cs="Times New Roman"/>
          <w:lang w:val="en-GB"/>
        </w:rPr>
      </w:pPr>
    </w:p>
    <w:p w14:paraId="49C0A79B" w14:textId="77777777" w:rsidR="003F5F55" w:rsidRPr="000363C8" w:rsidRDefault="003F5F55">
      <w:pPr>
        <w:rPr>
          <w:rFonts w:ascii="Times New Roman" w:hAnsi="Times New Roman" w:cs="Times New Roman"/>
          <w:lang w:val="en-GB"/>
        </w:rPr>
      </w:pPr>
      <w:r w:rsidRPr="000363C8">
        <w:rPr>
          <w:rFonts w:ascii="Times New Roman" w:hAnsi="Times New Roman" w:cs="Times New Roman"/>
          <w:lang w:val="en-GB"/>
        </w:rPr>
        <w:br w:type="page"/>
      </w:r>
    </w:p>
    <w:p w14:paraId="7EEABED8" w14:textId="77777777" w:rsidR="0032185F" w:rsidRPr="000363C8" w:rsidRDefault="0032185F" w:rsidP="00DA3B61">
      <w:pPr>
        <w:pStyle w:val="Heading1"/>
        <w:rPr>
          <w:lang w:val="en-GB"/>
        </w:rPr>
      </w:pPr>
      <w:r w:rsidRPr="000363C8">
        <w:rPr>
          <w:lang w:val="en-GB"/>
        </w:rPr>
        <w:lastRenderedPageBreak/>
        <w:t>Introduction</w:t>
      </w:r>
    </w:p>
    <w:p w14:paraId="0EA866FF" w14:textId="77777777" w:rsidR="00CF3E77" w:rsidRPr="000363C8" w:rsidRDefault="00CF3E77" w:rsidP="00CF3E77">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 xml:space="preserve">Globalisation is the increased conformity of markets, technology and supply chains </w:t>
      </w:r>
      <w:r w:rsidR="003435A4" w:rsidRPr="000363C8">
        <w:rPr>
          <w:rFonts w:ascii="Times New Roman" w:hAnsi="Times New Roman" w:cs="Times New Roman"/>
          <w:sz w:val="24"/>
          <w:szCs w:val="24"/>
          <w:lang w:val="en-GB"/>
        </w:rPr>
        <w:t>prompt</w:t>
      </w:r>
      <w:r w:rsidRPr="000363C8">
        <w:rPr>
          <w:rFonts w:ascii="Times New Roman" w:hAnsi="Times New Roman" w:cs="Times New Roman"/>
          <w:sz w:val="24"/>
          <w:szCs w:val="24"/>
          <w:lang w:val="en-GB"/>
        </w:rPr>
        <w:t>ing companies to go worldwide, take in international talent and increase their competitiveness. In the case of multinational enterprises, it helps to scale, innovate, and be resili</w:t>
      </w:r>
      <w:r w:rsidR="000427E2" w:rsidRPr="000363C8">
        <w:rPr>
          <w:rFonts w:ascii="Times New Roman" w:hAnsi="Times New Roman" w:cs="Times New Roman"/>
          <w:sz w:val="24"/>
          <w:szCs w:val="24"/>
          <w:lang w:val="en-GB"/>
        </w:rPr>
        <w:t>ent in a world that is digitalis</w:t>
      </w:r>
      <w:r w:rsidRPr="000363C8">
        <w:rPr>
          <w:rFonts w:ascii="Times New Roman" w:hAnsi="Times New Roman" w:cs="Times New Roman"/>
          <w:sz w:val="24"/>
          <w:szCs w:val="24"/>
          <w:lang w:val="en-GB"/>
        </w:rPr>
        <w:t>ing and seems uncertain about geopolitical change. AstraZeneca is a multinational pharmaceutical company based in Cambridge, the</w:t>
      </w:r>
      <w:r w:rsidR="0086558F" w:rsidRPr="000363C8">
        <w:rPr>
          <w:rFonts w:ascii="Times New Roman" w:hAnsi="Times New Roman" w:cs="Times New Roman"/>
          <w:sz w:val="24"/>
          <w:szCs w:val="24"/>
          <w:lang w:val="en-GB"/>
        </w:rPr>
        <w:t xml:space="preserve"> United Kingdom with</w:t>
      </w:r>
      <w:r w:rsidRPr="000363C8">
        <w:rPr>
          <w:rFonts w:ascii="Times New Roman" w:hAnsi="Times New Roman" w:cs="Times New Roman"/>
          <w:sz w:val="24"/>
          <w:szCs w:val="24"/>
          <w:lang w:val="en-GB"/>
        </w:rPr>
        <w:t xml:space="preserve"> business</w:t>
      </w:r>
      <w:r w:rsidR="003435A4" w:rsidRPr="000363C8">
        <w:rPr>
          <w:rFonts w:ascii="Times New Roman" w:hAnsi="Times New Roman" w:cs="Times New Roman"/>
          <w:sz w:val="24"/>
          <w:szCs w:val="24"/>
          <w:lang w:val="en-GB"/>
        </w:rPr>
        <w:t>es</w:t>
      </w:r>
      <w:r w:rsidRPr="000363C8">
        <w:rPr>
          <w:rFonts w:ascii="Times New Roman" w:hAnsi="Times New Roman" w:cs="Times New Roman"/>
          <w:sz w:val="24"/>
          <w:szCs w:val="24"/>
          <w:lang w:val="en-GB"/>
        </w:rPr>
        <w:t xml:space="preserve"> in more than 100 countries and manufactures innovative medicines in oncology, cardiovascular, respiratory and immunolog</w:t>
      </w:r>
      <w:r w:rsidR="0086558F" w:rsidRPr="000363C8">
        <w:rPr>
          <w:rFonts w:ascii="Times New Roman" w:hAnsi="Times New Roman" w:cs="Times New Roman"/>
          <w:sz w:val="24"/>
          <w:szCs w:val="24"/>
          <w:lang w:val="en-GB"/>
        </w:rPr>
        <w:t>y. This is highly dependent</w:t>
      </w:r>
      <w:r w:rsidR="002C1F76" w:rsidRPr="000363C8">
        <w:rPr>
          <w:rFonts w:ascii="Times New Roman" w:hAnsi="Times New Roman" w:cs="Times New Roman"/>
          <w:sz w:val="24"/>
          <w:szCs w:val="24"/>
          <w:lang w:val="en-GB"/>
        </w:rPr>
        <w:t xml:space="preserve"> on</w:t>
      </w:r>
      <w:r w:rsidRPr="000363C8">
        <w:rPr>
          <w:rFonts w:ascii="Times New Roman" w:hAnsi="Times New Roman" w:cs="Times New Roman"/>
          <w:sz w:val="24"/>
          <w:szCs w:val="24"/>
          <w:lang w:val="en-GB"/>
        </w:rPr>
        <w:t xml:space="preserve"> international partnership</w:t>
      </w:r>
      <w:r w:rsidR="003435A4" w:rsidRPr="000363C8">
        <w:rPr>
          <w:rFonts w:ascii="Times New Roman" w:hAnsi="Times New Roman" w:cs="Times New Roman"/>
          <w:sz w:val="24"/>
          <w:szCs w:val="24"/>
          <w:lang w:val="en-GB"/>
        </w:rPr>
        <w:t>s</w:t>
      </w:r>
      <w:r w:rsidR="002C1F76" w:rsidRPr="000363C8">
        <w:rPr>
          <w:rFonts w:ascii="Times New Roman" w:hAnsi="Times New Roman" w:cs="Times New Roman"/>
          <w:sz w:val="24"/>
          <w:szCs w:val="24"/>
          <w:lang w:val="en-GB"/>
        </w:rPr>
        <w:t xml:space="preserve"> and</w:t>
      </w:r>
      <w:r w:rsidR="0086558F" w:rsidRPr="000363C8">
        <w:rPr>
          <w:rFonts w:ascii="Times New Roman" w:hAnsi="Times New Roman" w:cs="Times New Roman"/>
          <w:sz w:val="24"/>
          <w:szCs w:val="24"/>
          <w:lang w:val="en-GB"/>
        </w:rPr>
        <w:t xml:space="preserve"> logistics and</w:t>
      </w:r>
      <w:r w:rsidRPr="000363C8">
        <w:rPr>
          <w:rFonts w:ascii="Times New Roman" w:hAnsi="Times New Roman" w:cs="Times New Roman"/>
          <w:sz w:val="24"/>
          <w:szCs w:val="24"/>
          <w:lang w:val="en-GB"/>
        </w:rPr>
        <w:t xml:space="preserve"> with its globally spread research, manufacturing and supply-chain network and it </w:t>
      </w:r>
      <w:r w:rsidR="0086558F" w:rsidRPr="000363C8">
        <w:rPr>
          <w:rFonts w:ascii="Times New Roman" w:hAnsi="Times New Roman" w:cs="Times New Roman"/>
          <w:sz w:val="24"/>
          <w:szCs w:val="24"/>
          <w:lang w:val="en-GB"/>
        </w:rPr>
        <w:t xml:space="preserve">plays a significant role in </w:t>
      </w:r>
      <w:r w:rsidR="003435A4" w:rsidRPr="000363C8">
        <w:rPr>
          <w:rFonts w:ascii="Times New Roman" w:hAnsi="Times New Roman" w:cs="Times New Roman"/>
          <w:sz w:val="24"/>
          <w:szCs w:val="24"/>
          <w:lang w:val="en-GB"/>
        </w:rPr>
        <w:t xml:space="preserve">the </w:t>
      </w:r>
      <w:r w:rsidR="0086558F" w:rsidRPr="000363C8">
        <w:rPr>
          <w:rFonts w:ascii="Times New Roman" w:hAnsi="Times New Roman" w:cs="Times New Roman"/>
          <w:sz w:val="24"/>
          <w:szCs w:val="24"/>
          <w:lang w:val="en-GB"/>
        </w:rPr>
        <w:t>international healthcare sector. This essay critically assesses</w:t>
      </w:r>
      <w:r w:rsidRPr="000363C8">
        <w:rPr>
          <w:rFonts w:ascii="Times New Roman" w:hAnsi="Times New Roman" w:cs="Times New Roman"/>
          <w:sz w:val="24"/>
          <w:szCs w:val="24"/>
          <w:lang w:val="en-GB"/>
        </w:rPr>
        <w:t xml:space="preserve"> the impact of the adoption of AI, geopolitical supply-chain disruptions and sustainabil</w:t>
      </w:r>
      <w:r w:rsidR="0086558F" w:rsidRPr="000363C8">
        <w:rPr>
          <w:rFonts w:ascii="Times New Roman" w:hAnsi="Times New Roman" w:cs="Times New Roman"/>
          <w:sz w:val="24"/>
          <w:szCs w:val="24"/>
          <w:lang w:val="en-GB"/>
        </w:rPr>
        <w:t>ity regulations like the CSRD on</w:t>
      </w:r>
      <w:r w:rsidRPr="000363C8">
        <w:rPr>
          <w:rFonts w:ascii="Times New Roman" w:hAnsi="Times New Roman" w:cs="Times New Roman"/>
          <w:sz w:val="24"/>
          <w:szCs w:val="24"/>
          <w:lang w:val="en-GB"/>
        </w:rPr>
        <w:t xml:space="preserve"> the operations and strategic decision</w:t>
      </w:r>
      <w:r w:rsidR="003435A4" w:rsidRPr="000363C8">
        <w:rPr>
          <w:rFonts w:ascii="Times New Roman" w:hAnsi="Times New Roman" w:cs="Times New Roman"/>
          <w:sz w:val="24"/>
          <w:szCs w:val="24"/>
          <w:lang w:val="en-GB"/>
        </w:rPr>
        <w:t>-</w:t>
      </w:r>
      <w:r w:rsidRPr="000363C8">
        <w:rPr>
          <w:rFonts w:ascii="Times New Roman" w:hAnsi="Times New Roman" w:cs="Times New Roman"/>
          <w:sz w:val="24"/>
          <w:szCs w:val="24"/>
          <w:lang w:val="en-GB"/>
        </w:rPr>
        <w:t>making of AstraZeneca, its competitiveness and future resilience.</w:t>
      </w:r>
    </w:p>
    <w:p w14:paraId="6D84084B" w14:textId="77777777" w:rsidR="0032185F" w:rsidRPr="000363C8" w:rsidRDefault="0032185F" w:rsidP="00741FCF">
      <w:pPr>
        <w:spacing w:after="120" w:line="360" w:lineRule="auto"/>
        <w:jc w:val="both"/>
        <w:rPr>
          <w:rFonts w:ascii="Times New Roman" w:hAnsi="Times New Roman" w:cs="Times New Roman"/>
          <w:lang w:val="en-GB"/>
        </w:rPr>
      </w:pPr>
    </w:p>
    <w:p w14:paraId="7D3F2645" w14:textId="77777777" w:rsidR="0032185F" w:rsidRPr="000363C8" w:rsidRDefault="0032185F" w:rsidP="00741FCF">
      <w:pPr>
        <w:spacing w:after="120" w:line="360" w:lineRule="auto"/>
        <w:jc w:val="both"/>
        <w:rPr>
          <w:rFonts w:ascii="Times New Roman" w:hAnsi="Times New Roman" w:cs="Times New Roman"/>
          <w:lang w:val="en-GB"/>
        </w:rPr>
      </w:pPr>
    </w:p>
    <w:p w14:paraId="7AAC1D2C" w14:textId="77777777" w:rsidR="0032185F" w:rsidRPr="000363C8" w:rsidRDefault="0032185F" w:rsidP="00741FCF">
      <w:pPr>
        <w:spacing w:after="120" w:line="360" w:lineRule="auto"/>
        <w:jc w:val="both"/>
        <w:rPr>
          <w:rFonts w:ascii="Times New Roman" w:hAnsi="Times New Roman" w:cs="Times New Roman"/>
          <w:lang w:val="en-GB"/>
        </w:rPr>
      </w:pPr>
    </w:p>
    <w:p w14:paraId="37E827C8" w14:textId="77777777" w:rsidR="0032185F" w:rsidRPr="000363C8" w:rsidRDefault="0032185F" w:rsidP="00741FCF">
      <w:pPr>
        <w:spacing w:after="120" w:line="360" w:lineRule="auto"/>
        <w:jc w:val="both"/>
        <w:rPr>
          <w:rFonts w:ascii="Times New Roman" w:hAnsi="Times New Roman" w:cs="Times New Roman"/>
          <w:lang w:val="en-GB"/>
        </w:rPr>
      </w:pPr>
    </w:p>
    <w:p w14:paraId="604AF4CD" w14:textId="77777777" w:rsidR="0032185F" w:rsidRPr="000363C8" w:rsidRDefault="0032185F" w:rsidP="00741FCF">
      <w:pPr>
        <w:spacing w:after="120" w:line="360" w:lineRule="auto"/>
        <w:jc w:val="both"/>
        <w:rPr>
          <w:rFonts w:ascii="Times New Roman" w:hAnsi="Times New Roman" w:cs="Times New Roman"/>
          <w:lang w:val="en-GB"/>
        </w:rPr>
      </w:pPr>
    </w:p>
    <w:p w14:paraId="369E51D0" w14:textId="77777777" w:rsidR="0032185F" w:rsidRPr="000363C8" w:rsidRDefault="0032185F" w:rsidP="00741FCF">
      <w:pPr>
        <w:spacing w:after="120" w:line="360" w:lineRule="auto"/>
        <w:jc w:val="both"/>
        <w:rPr>
          <w:rFonts w:ascii="Times New Roman" w:hAnsi="Times New Roman" w:cs="Times New Roman"/>
          <w:lang w:val="en-GB"/>
        </w:rPr>
      </w:pPr>
    </w:p>
    <w:p w14:paraId="72B55D45" w14:textId="77777777" w:rsidR="0032185F" w:rsidRPr="000363C8" w:rsidRDefault="0032185F" w:rsidP="00741FCF">
      <w:pPr>
        <w:spacing w:after="120" w:line="360" w:lineRule="auto"/>
        <w:jc w:val="both"/>
        <w:rPr>
          <w:rFonts w:ascii="Times New Roman" w:hAnsi="Times New Roman" w:cs="Times New Roman"/>
          <w:lang w:val="en-GB"/>
        </w:rPr>
      </w:pPr>
    </w:p>
    <w:p w14:paraId="32C80F90" w14:textId="77777777" w:rsidR="0032185F" w:rsidRPr="000363C8" w:rsidRDefault="0032185F" w:rsidP="00741FCF">
      <w:pPr>
        <w:spacing w:after="120" w:line="360" w:lineRule="auto"/>
        <w:jc w:val="both"/>
        <w:rPr>
          <w:rFonts w:ascii="Times New Roman" w:hAnsi="Times New Roman" w:cs="Times New Roman"/>
          <w:lang w:val="en-GB"/>
        </w:rPr>
      </w:pPr>
    </w:p>
    <w:p w14:paraId="4009C594" w14:textId="77777777" w:rsidR="0032185F" w:rsidRPr="000363C8" w:rsidRDefault="0032185F" w:rsidP="00741FCF">
      <w:pPr>
        <w:spacing w:after="120" w:line="360" w:lineRule="auto"/>
        <w:jc w:val="both"/>
        <w:rPr>
          <w:rFonts w:ascii="Times New Roman" w:hAnsi="Times New Roman" w:cs="Times New Roman"/>
          <w:lang w:val="en-GB"/>
        </w:rPr>
      </w:pPr>
    </w:p>
    <w:p w14:paraId="51ED966E" w14:textId="77777777" w:rsidR="0032185F" w:rsidRPr="000363C8" w:rsidRDefault="0032185F" w:rsidP="00741FCF">
      <w:pPr>
        <w:spacing w:after="120" w:line="360" w:lineRule="auto"/>
        <w:jc w:val="both"/>
        <w:rPr>
          <w:rFonts w:ascii="Times New Roman" w:hAnsi="Times New Roman" w:cs="Times New Roman"/>
          <w:lang w:val="en-GB"/>
        </w:rPr>
      </w:pPr>
    </w:p>
    <w:p w14:paraId="22B0E7BC" w14:textId="77777777" w:rsidR="0032185F" w:rsidRPr="000363C8" w:rsidRDefault="0032185F" w:rsidP="00741FCF">
      <w:pPr>
        <w:spacing w:after="120" w:line="360" w:lineRule="auto"/>
        <w:jc w:val="both"/>
        <w:rPr>
          <w:rFonts w:ascii="Times New Roman" w:hAnsi="Times New Roman" w:cs="Times New Roman"/>
          <w:lang w:val="en-GB"/>
        </w:rPr>
      </w:pPr>
    </w:p>
    <w:p w14:paraId="77B6CEBE" w14:textId="77777777" w:rsidR="0032185F" w:rsidRPr="000363C8" w:rsidRDefault="0032185F" w:rsidP="00741FCF">
      <w:pPr>
        <w:spacing w:after="120" w:line="360" w:lineRule="auto"/>
        <w:jc w:val="both"/>
        <w:rPr>
          <w:rFonts w:ascii="Times New Roman" w:hAnsi="Times New Roman" w:cs="Times New Roman"/>
          <w:lang w:val="en-GB"/>
        </w:rPr>
      </w:pPr>
    </w:p>
    <w:p w14:paraId="3B2638BF" w14:textId="77777777" w:rsidR="0032185F" w:rsidRPr="000363C8" w:rsidRDefault="0032185F" w:rsidP="00741FCF">
      <w:pPr>
        <w:spacing w:after="120" w:line="360" w:lineRule="auto"/>
        <w:jc w:val="both"/>
        <w:rPr>
          <w:rFonts w:ascii="Times New Roman" w:hAnsi="Times New Roman" w:cs="Times New Roman"/>
          <w:lang w:val="en-GB"/>
        </w:rPr>
      </w:pPr>
    </w:p>
    <w:p w14:paraId="445BDC9D" w14:textId="77777777" w:rsidR="0032185F" w:rsidRPr="000363C8" w:rsidRDefault="0032185F" w:rsidP="00741FCF">
      <w:pPr>
        <w:spacing w:after="120" w:line="360" w:lineRule="auto"/>
        <w:jc w:val="both"/>
        <w:rPr>
          <w:rFonts w:ascii="Times New Roman" w:hAnsi="Times New Roman" w:cs="Times New Roman"/>
          <w:lang w:val="en-GB"/>
        </w:rPr>
      </w:pPr>
    </w:p>
    <w:p w14:paraId="132B5C16" w14:textId="77777777" w:rsidR="0032185F" w:rsidRPr="000363C8" w:rsidRDefault="0032185F" w:rsidP="00741FCF">
      <w:pPr>
        <w:spacing w:after="120" w:line="360" w:lineRule="auto"/>
        <w:jc w:val="both"/>
        <w:rPr>
          <w:rFonts w:ascii="Times New Roman" w:hAnsi="Times New Roman" w:cs="Times New Roman"/>
          <w:lang w:val="en-GB"/>
        </w:rPr>
      </w:pPr>
      <w:r w:rsidRPr="000363C8">
        <w:rPr>
          <w:rFonts w:ascii="Times New Roman" w:hAnsi="Times New Roman" w:cs="Times New Roman"/>
          <w:lang w:val="en-GB"/>
        </w:rPr>
        <w:br w:type="page"/>
      </w:r>
    </w:p>
    <w:p w14:paraId="017884CC" w14:textId="77777777" w:rsidR="0032185F" w:rsidRPr="000363C8" w:rsidRDefault="0032185F" w:rsidP="00741FCF">
      <w:pPr>
        <w:pStyle w:val="Heading1"/>
        <w:spacing w:before="0" w:beforeAutospacing="0" w:after="120" w:afterAutospacing="0" w:line="360" w:lineRule="auto"/>
        <w:jc w:val="both"/>
        <w:rPr>
          <w:lang w:val="en-GB"/>
        </w:rPr>
      </w:pPr>
      <w:r w:rsidRPr="000363C8">
        <w:rPr>
          <w:lang w:val="en-GB"/>
        </w:rPr>
        <w:lastRenderedPageBreak/>
        <w:t>Main Body</w:t>
      </w:r>
    </w:p>
    <w:p w14:paraId="078B408F" w14:textId="77777777" w:rsidR="001E676E" w:rsidRPr="000363C8" w:rsidRDefault="00CF3E77" w:rsidP="00741FCF">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The opportunities posed by artificial intelligence in AstraZeneca are significant because it helps in speeding up the R and D processes based on predictive modelling, fast molecule screening and data-driven decision-making. Artificial intelligence is applied to enhance global supply chains improving forecasti</w:t>
      </w:r>
      <w:r w:rsidR="005E228B" w:rsidRPr="000363C8">
        <w:rPr>
          <w:rFonts w:ascii="Times New Roman" w:hAnsi="Times New Roman" w:cs="Times New Roman"/>
          <w:sz w:val="24"/>
          <w:szCs w:val="24"/>
          <w:lang w:val="en-GB"/>
        </w:rPr>
        <w:t>ng and inventory optimis</w:t>
      </w:r>
      <w:r w:rsidRPr="000363C8">
        <w:rPr>
          <w:rFonts w:ascii="Times New Roman" w:hAnsi="Times New Roman" w:cs="Times New Roman"/>
          <w:sz w:val="24"/>
          <w:szCs w:val="24"/>
          <w:lang w:val="en-GB"/>
        </w:rPr>
        <w:t>ation, transport scheduling and live tracking, expanding reliability, and minimising expenses. These efficiencies boost competitiveness as they reduce development times, increase the performance of logistics and allow responding more swiftly to the demands of the international market and patients (</w:t>
      </w:r>
      <w:r w:rsidRPr="000363C8">
        <w:rPr>
          <w:rFonts w:ascii="Times New Roman" w:hAnsi="Times New Roman" w:cs="Times New Roman"/>
          <w:color w:val="222222"/>
          <w:sz w:val="24"/>
          <w:szCs w:val="24"/>
          <w:shd w:val="clear" w:color="auto" w:fill="FFFFFF"/>
          <w:lang w:val="en-GB"/>
        </w:rPr>
        <w:t>Gangwal and Lavecchia, 2025)</w:t>
      </w:r>
      <w:r w:rsidRPr="000363C8">
        <w:rPr>
          <w:rFonts w:ascii="Times New Roman" w:hAnsi="Times New Roman" w:cs="Times New Roman"/>
          <w:sz w:val="24"/>
          <w:szCs w:val="24"/>
          <w:lang w:val="en-GB"/>
        </w:rPr>
        <w:t>.</w:t>
      </w:r>
    </w:p>
    <w:p w14:paraId="04385524" w14:textId="77777777" w:rsidR="001E676E" w:rsidRPr="000363C8" w:rsidRDefault="00CF3E77" w:rsidP="00741FCF">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The global supply-chain dynamics of AstraZeneca are changing and therefore</w:t>
      </w:r>
      <w:r w:rsidR="003435A4" w:rsidRPr="000363C8">
        <w:rPr>
          <w:rFonts w:ascii="Times New Roman" w:hAnsi="Times New Roman" w:cs="Times New Roman"/>
          <w:sz w:val="24"/>
          <w:szCs w:val="24"/>
          <w:lang w:val="en-GB"/>
        </w:rPr>
        <w:t>,</w:t>
      </w:r>
      <w:r w:rsidRPr="000363C8">
        <w:rPr>
          <w:rFonts w:ascii="Times New Roman" w:hAnsi="Times New Roman" w:cs="Times New Roman"/>
          <w:sz w:val="24"/>
          <w:szCs w:val="24"/>
          <w:lang w:val="en-GB"/>
        </w:rPr>
        <w:t xml:space="preserve"> it can be leveraged to improve its resilience. It can be relocation of production to the EU or the US as this will lessen dependence on Asia-Pacific </w:t>
      </w:r>
      <w:r w:rsidR="003435A4" w:rsidRPr="000363C8">
        <w:rPr>
          <w:rFonts w:ascii="Times New Roman" w:hAnsi="Times New Roman" w:cs="Times New Roman"/>
          <w:sz w:val="24"/>
          <w:szCs w:val="24"/>
          <w:lang w:val="en-GB"/>
        </w:rPr>
        <w:t>suppliers and increase access to pharmaceutical</w:t>
      </w:r>
      <w:r w:rsidRPr="000363C8">
        <w:rPr>
          <w:rFonts w:ascii="Times New Roman" w:hAnsi="Times New Roman" w:cs="Times New Roman"/>
          <w:sz w:val="24"/>
          <w:szCs w:val="24"/>
          <w:lang w:val="en-GB"/>
        </w:rPr>
        <w:t xml:space="preserve"> markets</w:t>
      </w:r>
      <w:r w:rsidR="003435A4" w:rsidRPr="000363C8">
        <w:rPr>
          <w:rFonts w:ascii="Times New Roman" w:hAnsi="Times New Roman" w:cs="Times New Roman"/>
          <w:sz w:val="24"/>
          <w:szCs w:val="24"/>
          <w:lang w:val="en-GB"/>
        </w:rPr>
        <w:t xml:space="preserve"> in those regions</w:t>
      </w:r>
      <w:r w:rsidRPr="000363C8">
        <w:rPr>
          <w:rFonts w:ascii="Times New Roman" w:hAnsi="Times New Roman" w:cs="Times New Roman"/>
          <w:sz w:val="24"/>
          <w:szCs w:val="24"/>
          <w:lang w:val="en-GB"/>
        </w:rPr>
        <w:t>. Digital tools within the supply-chain, like real-time track, blockchain track and digital twins, enhance transparency, efficiency and risk management, which is why AstraZeneca will be in a better position to react more swiftly to disruption and shortages of ingredients (</w:t>
      </w:r>
      <w:r w:rsidRPr="000363C8">
        <w:rPr>
          <w:rFonts w:ascii="Times New Roman" w:hAnsi="Times New Roman" w:cs="Times New Roman"/>
          <w:color w:val="222222"/>
          <w:sz w:val="24"/>
          <w:szCs w:val="24"/>
          <w:shd w:val="clear" w:color="auto" w:fill="FFFFFF"/>
          <w:lang w:val="en-GB"/>
        </w:rPr>
        <w:t>Panda and Satapathy, 2024).</w:t>
      </w:r>
    </w:p>
    <w:p w14:paraId="002704FC" w14:textId="77777777" w:rsidR="00CF3E77" w:rsidRPr="000363C8" w:rsidRDefault="00CF3E77" w:rsidP="00CF3E77">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Regulations on sustainability including the CSRD enable AstraZeneca to promote transparency, promotion of investor confidence and its access to ESG-based financing. Better reporting on sustainability and the diminished environmental impact facilitate</w:t>
      </w:r>
      <w:r w:rsidR="003435A4" w:rsidRPr="000363C8">
        <w:rPr>
          <w:rFonts w:ascii="Times New Roman" w:hAnsi="Times New Roman" w:cs="Times New Roman"/>
          <w:sz w:val="24"/>
          <w:szCs w:val="24"/>
          <w:lang w:val="en-GB"/>
        </w:rPr>
        <w:t>s</w:t>
      </w:r>
      <w:r w:rsidRPr="000363C8">
        <w:rPr>
          <w:rFonts w:ascii="Times New Roman" w:hAnsi="Times New Roman" w:cs="Times New Roman"/>
          <w:sz w:val="24"/>
          <w:szCs w:val="24"/>
          <w:lang w:val="en-GB"/>
        </w:rPr>
        <w:t xml:space="preserve"> long-term creation of values by minimising risks and enhancing efficiency. Exhibiting high levels of sustainability initiatives is also a distinguishing factor </w:t>
      </w:r>
      <w:r w:rsidR="003435A4" w:rsidRPr="000363C8">
        <w:rPr>
          <w:rFonts w:ascii="Times New Roman" w:hAnsi="Times New Roman" w:cs="Times New Roman"/>
          <w:sz w:val="24"/>
          <w:szCs w:val="24"/>
          <w:lang w:val="en-GB"/>
        </w:rPr>
        <w:t>for AstraZeneca as it</w:t>
      </w:r>
      <w:r w:rsidRPr="000363C8">
        <w:rPr>
          <w:rFonts w:ascii="Times New Roman" w:hAnsi="Times New Roman" w:cs="Times New Roman"/>
          <w:sz w:val="24"/>
          <w:szCs w:val="24"/>
          <w:lang w:val="en-GB"/>
        </w:rPr>
        <w:t xml:space="preserve"> enhances its stance as a responsible global healthcare leader (</w:t>
      </w:r>
      <w:r w:rsidRPr="000363C8">
        <w:rPr>
          <w:rFonts w:ascii="Times New Roman" w:hAnsi="Times New Roman" w:cs="Times New Roman"/>
          <w:color w:val="222222"/>
          <w:sz w:val="24"/>
          <w:szCs w:val="24"/>
          <w:shd w:val="clear" w:color="auto" w:fill="FFFFFF"/>
          <w:lang w:val="en-GB"/>
        </w:rPr>
        <w:t>O'Connor, 2022)</w:t>
      </w:r>
      <w:r w:rsidRPr="000363C8">
        <w:rPr>
          <w:rFonts w:ascii="Times New Roman" w:hAnsi="Times New Roman" w:cs="Times New Roman"/>
          <w:sz w:val="24"/>
          <w:szCs w:val="24"/>
          <w:lang w:val="en-GB"/>
        </w:rPr>
        <w:t>.</w:t>
      </w:r>
    </w:p>
    <w:p w14:paraId="73F6EA88" w14:textId="77777777" w:rsidR="001E676E" w:rsidRPr="000363C8" w:rsidRDefault="00CF3E77" w:rsidP="000C3335">
      <w:pPr>
        <w:tabs>
          <w:tab w:val="left" w:pos="1770"/>
        </w:tabs>
        <w:spacing w:after="120" w:line="360" w:lineRule="auto"/>
        <w:jc w:val="both"/>
        <w:rPr>
          <w:rFonts w:ascii="Times New Roman" w:eastAsia="Times New Roman" w:hAnsi="Times New Roman" w:cs="Times New Roman"/>
          <w:sz w:val="24"/>
          <w:szCs w:val="24"/>
          <w:lang w:val="en-GB" w:eastAsia="en-IN"/>
        </w:rPr>
      </w:pPr>
      <w:r w:rsidRPr="000363C8">
        <w:rPr>
          <w:rFonts w:ascii="Times New Roman" w:hAnsi="Times New Roman" w:cs="Times New Roman"/>
          <w:sz w:val="24"/>
          <w:szCs w:val="24"/>
          <w:lang w:val="en-GB"/>
        </w:rPr>
        <w:t>Just like other companies, AI integration poses a challenge to AstraZeneca, in terms of its high capital requirements and limited human resources with regard to specialised skills, including data scientists and AI engineers. The concerns in data privacy, transparency, and algorithmic fairness are fields of ethical concern that should be heavily governed. The combination of AI between territories with varying digital maturity complicates things, which may reduce the pace of innovation and create more problems in the operations without proper handling (</w:t>
      </w:r>
      <w:proofErr w:type="spellStart"/>
      <w:r w:rsidRPr="000363C8">
        <w:rPr>
          <w:rFonts w:ascii="Times New Roman" w:hAnsi="Times New Roman" w:cs="Times New Roman"/>
          <w:color w:val="222222"/>
          <w:sz w:val="24"/>
          <w:szCs w:val="24"/>
          <w:shd w:val="clear" w:color="auto" w:fill="FFFFFF"/>
          <w:lang w:val="en-GB"/>
        </w:rPr>
        <w:t>Mökander</w:t>
      </w:r>
      <w:proofErr w:type="spellEnd"/>
      <w:r w:rsidRPr="000363C8">
        <w:rPr>
          <w:rFonts w:ascii="Times New Roman" w:hAnsi="Times New Roman" w:cs="Times New Roman"/>
          <w:color w:val="222222"/>
          <w:sz w:val="24"/>
          <w:szCs w:val="24"/>
          <w:shd w:val="clear" w:color="auto" w:fill="FFFFFF"/>
          <w:lang w:val="en-GB"/>
        </w:rPr>
        <w:t xml:space="preserve"> et al., 2022)</w:t>
      </w:r>
      <w:r w:rsidRPr="000363C8">
        <w:rPr>
          <w:rFonts w:ascii="Times New Roman" w:hAnsi="Times New Roman" w:cs="Times New Roman"/>
          <w:sz w:val="24"/>
          <w:szCs w:val="24"/>
          <w:lang w:val="en-GB"/>
        </w:rPr>
        <w:t>.</w:t>
      </w:r>
    </w:p>
    <w:p w14:paraId="629067B1" w14:textId="77777777" w:rsidR="000C3335" w:rsidRPr="000363C8" w:rsidRDefault="000C3335" w:rsidP="00741FCF">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 xml:space="preserve">Geopolitical tensions on the international level pose a high risk to AstraZeneca’s international supply chain. The instability between China and Taiwan influences the availability of valuable ingredients and any variability in the Red Sea makes the shipments to Europe and Middle East </w:t>
      </w:r>
      <w:r w:rsidRPr="000363C8">
        <w:rPr>
          <w:rFonts w:ascii="Times New Roman" w:hAnsi="Times New Roman" w:cs="Times New Roman"/>
          <w:sz w:val="24"/>
          <w:szCs w:val="24"/>
          <w:lang w:val="en-GB"/>
        </w:rPr>
        <w:lastRenderedPageBreak/>
        <w:t>and Africa (sensitive to temperature) delayed. There are growing limits to US-China business, which creates regulatory risks and cost. These pressures contribute to operation delays, transport instability and variability of operations, and product availability globally to coherence (</w:t>
      </w:r>
      <w:proofErr w:type="spellStart"/>
      <w:r w:rsidRPr="000363C8">
        <w:rPr>
          <w:rFonts w:ascii="Times New Roman" w:hAnsi="Times New Roman" w:cs="Times New Roman"/>
          <w:sz w:val="24"/>
          <w:szCs w:val="24"/>
          <w:lang w:val="en-GB"/>
        </w:rPr>
        <w:t>Notteboom</w:t>
      </w:r>
      <w:proofErr w:type="spellEnd"/>
      <w:r w:rsidRPr="000363C8">
        <w:rPr>
          <w:rFonts w:ascii="Times New Roman" w:hAnsi="Times New Roman" w:cs="Times New Roman"/>
          <w:sz w:val="24"/>
          <w:szCs w:val="24"/>
          <w:lang w:val="en-GB"/>
        </w:rPr>
        <w:t xml:space="preserve"> et al., 2024).</w:t>
      </w:r>
    </w:p>
    <w:p w14:paraId="58E6E0B8" w14:textId="77777777" w:rsidR="00726D86" w:rsidRPr="000363C8" w:rsidRDefault="00CF3E77" w:rsidP="00741FCF">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Compliance with CSRD is an extremely tough task on the side of AstraZeneca, and involves a lot of data gathering, external audit and Scope 3 emission monitoring in all the subsidiaries worldwide. The standards of greener materials and the low-carbon process require heavy investment, elevating the administrative expenses and possibly stretching the available resources, making it more difficult to make a choice across its geographically distributed business</w:t>
      </w:r>
      <w:r w:rsidR="00663CC2" w:rsidRPr="000363C8">
        <w:rPr>
          <w:rFonts w:ascii="Times New Roman" w:hAnsi="Times New Roman" w:cs="Times New Roman"/>
          <w:sz w:val="24"/>
          <w:szCs w:val="24"/>
          <w:lang w:val="en-GB"/>
        </w:rPr>
        <w:t>es</w:t>
      </w:r>
      <w:r w:rsidRPr="000363C8">
        <w:rPr>
          <w:rFonts w:ascii="Times New Roman" w:hAnsi="Times New Roman" w:cs="Times New Roman"/>
          <w:sz w:val="24"/>
          <w:szCs w:val="24"/>
          <w:lang w:val="en-GB"/>
        </w:rPr>
        <w:t xml:space="preserve"> (</w:t>
      </w:r>
      <w:r w:rsidRPr="000363C8">
        <w:rPr>
          <w:rFonts w:ascii="Times New Roman" w:hAnsi="Times New Roman" w:cs="Times New Roman"/>
          <w:color w:val="222222"/>
          <w:sz w:val="24"/>
          <w:szCs w:val="24"/>
          <w:shd w:val="clear" w:color="auto" w:fill="FFFFFF"/>
          <w:lang w:val="en-GB"/>
        </w:rPr>
        <w:t>Booth et al., 2025)</w:t>
      </w:r>
      <w:r w:rsidRPr="000363C8">
        <w:rPr>
          <w:rFonts w:ascii="Times New Roman" w:hAnsi="Times New Roman" w:cs="Times New Roman"/>
          <w:sz w:val="24"/>
          <w:szCs w:val="24"/>
          <w:lang w:val="en-GB"/>
        </w:rPr>
        <w:t>.</w:t>
      </w:r>
    </w:p>
    <w:p w14:paraId="2C47D081" w14:textId="77777777" w:rsidR="00173D13" w:rsidRPr="000363C8" w:rsidRDefault="00173D13" w:rsidP="00173D13">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eastAsia="Times New Roman" w:hAnsi="Times New Roman" w:cs="Times New Roman"/>
          <w:sz w:val="24"/>
          <w:szCs w:val="24"/>
          <w:lang w:val="en-GB" w:eastAsia="en-IN"/>
        </w:rPr>
        <w:t xml:space="preserve">The world forces affect AstraZeneca competitiveness in the global arena. The introduction to AI results into increased speed of innovation, personalised treatment, and improved brand positioning, and sustainability and compliance with regulations influence the perception of stakeholders. There is a possibility of </w:t>
      </w:r>
      <w:r w:rsidR="003435A4" w:rsidRPr="000363C8">
        <w:rPr>
          <w:rFonts w:ascii="Times New Roman" w:eastAsia="Times New Roman" w:hAnsi="Times New Roman" w:cs="Times New Roman"/>
          <w:sz w:val="24"/>
          <w:szCs w:val="24"/>
          <w:lang w:val="en-GB" w:eastAsia="en-IN"/>
        </w:rPr>
        <w:t xml:space="preserve">a </w:t>
      </w:r>
      <w:r w:rsidRPr="000363C8">
        <w:rPr>
          <w:rFonts w:ascii="Times New Roman" w:eastAsia="Times New Roman" w:hAnsi="Times New Roman" w:cs="Times New Roman"/>
          <w:sz w:val="24"/>
          <w:szCs w:val="24"/>
          <w:lang w:val="en-GB" w:eastAsia="en-IN"/>
        </w:rPr>
        <w:t xml:space="preserve">geopolitical wake-up-call and </w:t>
      </w:r>
      <w:r w:rsidR="003435A4" w:rsidRPr="000363C8">
        <w:rPr>
          <w:rFonts w:ascii="Times New Roman" w:eastAsia="Times New Roman" w:hAnsi="Times New Roman" w:cs="Times New Roman"/>
          <w:sz w:val="24"/>
          <w:szCs w:val="24"/>
          <w:lang w:val="en-GB" w:eastAsia="en-IN"/>
        </w:rPr>
        <w:t xml:space="preserve">a </w:t>
      </w:r>
      <w:r w:rsidRPr="000363C8">
        <w:rPr>
          <w:rFonts w:ascii="Times New Roman" w:eastAsia="Times New Roman" w:hAnsi="Times New Roman" w:cs="Times New Roman"/>
          <w:sz w:val="24"/>
          <w:szCs w:val="24"/>
          <w:lang w:val="en-GB" w:eastAsia="en-IN"/>
        </w:rPr>
        <w:t>lack of supply-chain cons</w:t>
      </w:r>
      <w:r w:rsidR="003435A4" w:rsidRPr="000363C8">
        <w:rPr>
          <w:rFonts w:ascii="Times New Roman" w:eastAsia="Times New Roman" w:hAnsi="Times New Roman" w:cs="Times New Roman"/>
          <w:sz w:val="24"/>
          <w:szCs w:val="24"/>
          <w:lang w:val="en-GB" w:eastAsia="en-IN"/>
        </w:rPr>
        <w:t>iste</w:t>
      </w:r>
      <w:r w:rsidRPr="000363C8">
        <w:rPr>
          <w:rFonts w:ascii="Times New Roman" w:eastAsia="Times New Roman" w:hAnsi="Times New Roman" w:cs="Times New Roman"/>
          <w:sz w:val="24"/>
          <w:szCs w:val="24"/>
          <w:lang w:val="en-GB" w:eastAsia="en-IN"/>
        </w:rPr>
        <w:t>ncy that may influence the product supply and client esteem. The major challenge at AstraZeneca, in order to remain competitive, will be striking a balance between technological leadership, sustainability and reliability to the supply</w:t>
      </w:r>
      <w:r w:rsidR="003435A4" w:rsidRPr="000363C8">
        <w:rPr>
          <w:rFonts w:ascii="Times New Roman" w:eastAsia="Times New Roman" w:hAnsi="Times New Roman" w:cs="Times New Roman"/>
          <w:sz w:val="24"/>
          <w:szCs w:val="24"/>
          <w:lang w:val="en-GB" w:eastAsia="en-IN"/>
        </w:rPr>
        <w:t xml:space="preserve"> </w:t>
      </w:r>
      <w:r w:rsidRPr="000363C8">
        <w:rPr>
          <w:rFonts w:ascii="Times New Roman" w:eastAsia="Times New Roman" w:hAnsi="Times New Roman" w:cs="Times New Roman"/>
          <w:sz w:val="24"/>
          <w:szCs w:val="24"/>
          <w:lang w:val="en-GB" w:eastAsia="en-IN"/>
        </w:rPr>
        <w:t>chain (Streur, 2025).</w:t>
      </w:r>
    </w:p>
    <w:p w14:paraId="5A16C0A6" w14:textId="77777777" w:rsidR="00173D13" w:rsidRPr="000363C8" w:rsidRDefault="00173D13" w:rsidP="00173D13">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eastAsia="Times New Roman" w:hAnsi="Times New Roman" w:cs="Times New Roman"/>
          <w:sz w:val="24"/>
          <w:szCs w:val="24"/>
          <w:lang w:val="en-GB" w:eastAsia="en-IN"/>
        </w:rPr>
        <w:t>Through the acceler</w:t>
      </w:r>
      <w:r w:rsidR="005E228B" w:rsidRPr="000363C8">
        <w:rPr>
          <w:rFonts w:ascii="Times New Roman" w:eastAsia="Times New Roman" w:hAnsi="Times New Roman" w:cs="Times New Roman"/>
          <w:sz w:val="24"/>
          <w:szCs w:val="24"/>
          <w:lang w:val="en-GB" w:eastAsia="en-IN"/>
        </w:rPr>
        <w:t>ation of drug discovery, minimis</w:t>
      </w:r>
      <w:r w:rsidRPr="000363C8">
        <w:rPr>
          <w:rFonts w:ascii="Times New Roman" w:eastAsia="Times New Roman" w:hAnsi="Times New Roman" w:cs="Times New Roman"/>
          <w:sz w:val="24"/>
          <w:szCs w:val="24"/>
          <w:lang w:val="en-GB" w:eastAsia="en-IN"/>
        </w:rPr>
        <w:t xml:space="preserve">ation of risks and targeting cure, AI </w:t>
      </w:r>
      <w:r w:rsidR="005E228B" w:rsidRPr="000363C8">
        <w:rPr>
          <w:rFonts w:ascii="Times New Roman" w:eastAsia="Times New Roman" w:hAnsi="Times New Roman" w:cs="Times New Roman"/>
          <w:sz w:val="24"/>
          <w:szCs w:val="24"/>
          <w:lang w:val="en-GB" w:eastAsia="en-IN"/>
        </w:rPr>
        <w:t xml:space="preserve">can </w:t>
      </w:r>
      <w:r w:rsidRPr="000363C8">
        <w:rPr>
          <w:rFonts w:ascii="Times New Roman" w:eastAsia="Times New Roman" w:hAnsi="Times New Roman" w:cs="Times New Roman"/>
          <w:sz w:val="24"/>
          <w:szCs w:val="24"/>
          <w:lang w:val="en-GB" w:eastAsia="en-IN"/>
        </w:rPr>
        <w:t xml:space="preserve">overhaul the R&amp;D at AstraZeneca. It spread the dedication towards digital platforms, information platforms, and cloud research, facilitating collaboration on a global level. AstraZeneca should implement </w:t>
      </w:r>
      <w:r w:rsidR="003435A4" w:rsidRPr="000363C8">
        <w:rPr>
          <w:rFonts w:ascii="Times New Roman" w:eastAsia="Times New Roman" w:hAnsi="Times New Roman" w:cs="Times New Roman"/>
          <w:sz w:val="24"/>
          <w:szCs w:val="24"/>
          <w:lang w:val="en-GB" w:eastAsia="en-IN"/>
        </w:rPr>
        <w:t xml:space="preserve">the </w:t>
      </w:r>
      <w:r w:rsidRPr="000363C8">
        <w:rPr>
          <w:rFonts w:ascii="Times New Roman" w:eastAsia="Times New Roman" w:hAnsi="Times New Roman" w:cs="Times New Roman"/>
          <w:sz w:val="24"/>
          <w:szCs w:val="24"/>
          <w:lang w:val="en-GB" w:eastAsia="en-IN"/>
        </w:rPr>
        <w:t>current modernisation of the R&amp;D</w:t>
      </w:r>
      <w:r w:rsidR="003435A4" w:rsidRPr="000363C8">
        <w:rPr>
          <w:rFonts w:ascii="Times New Roman" w:eastAsia="Times New Roman" w:hAnsi="Times New Roman" w:cs="Times New Roman"/>
          <w:sz w:val="24"/>
          <w:szCs w:val="24"/>
          <w:lang w:val="en-GB" w:eastAsia="en-IN"/>
        </w:rPr>
        <w:t xml:space="preserve"> </w:t>
      </w:r>
      <w:r w:rsidRPr="000363C8">
        <w:rPr>
          <w:rFonts w:ascii="Times New Roman" w:eastAsia="Times New Roman" w:hAnsi="Times New Roman" w:cs="Times New Roman"/>
          <w:sz w:val="24"/>
          <w:szCs w:val="24"/>
          <w:lang w:val="en-GB" w:eastAsia="en-IN"/>
        </w:rPr>
        <w:t>capacity, regulatory compliance and the long-term digital transformation in order to keep pace with the competition and be innovative (Sarkar et al., 2023).</w:t>
      </w:r>
    </w:p>
    <w:p w14:paraId="35E98DB3" w14:textId="77777777" w:rsidR="00173D13" w:rsidRPr="000363C8" w:rsidRDefault="00173D13" w:rsidP="00173D13">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eastAsia="Times New Roman" w:hAnsi="Times New Roman" w:cs="Times New Roman"/>
          <w:sz w:val="24"/>
          <w:szCs w:val="24"/>
          <w:lang w:val="en-GB" w:eastAsia="en-IN"/>
        </w:rPr>
        <w:t>Artificial intelligence, sustainability, and geopolitical forces drive AstraZeneca, and put pressure on the workforce strategy demanding the development of AI, data science, analytics, and sustainable operations. Recruitment worldwide is made complex due to lack of talent and also limitation of mobility. To stay competitive, AstraZeneca will need to invest in reskilling of employees, developing internal digital capability, and contacts with universities and research institutions, so that it will have a talent pipeline in the future (Han and Tao, 2024).</w:t>
      </w:r>
    </w:p>
    <w:p w14:paraId="5BEDED5C" w14:textId="77777777" w:rsidR="00CF3E77" w:rsidRPr="000363C8" w:rsidRDefault="00CF3E77" w:rsidP="00173D13">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hAnsi="Times New Roman" w:cs="Times New Roman"/>
          <w:sz w:val="24"/>
          <w:szCs w:val="24"/>
          <w:lang w:val="en-GB"/>
        </w:rPr>
        <w:t xml:space="preserve">The supply-chain strategy of AstraZeneca is affected by the geopolitical disturbances and the sustainability imperative to operate diversified sourcing, geographical production centres, and discretionary selection of a supplier. In order to strengthen the resilience further, the company </w:t>
      </w:r>
      <w:r w:rsidRPr="000363C8">
        <w:rPr>
          <w:rFonts w:ascii="Times New Roman" w:hAnsi="Times New Roman" w:cs="Times New Roman"/>
          <w:sz w:val="24"/>
          <w:szCs w:val="24"/>
          <w:lang w:val="en-GB"/>
        </w:rPr>
        <w:lastRenderedPageBreak/>
        <w:t xml:space="preserve">is also investing in strategic relationships with the logistics providers and suppliers to ensure the stable pharmaceutical transportation that would be temperature-regulated. The sensitive pharmaceutical flows management is the key to real-time tracking, predictive analytics on the one hand, and the CSRD compliance is the factor introducing sustainability metrics in the operations. These forces all require free-market, resilient, sustainable, and digitally enabled supply-chain systems. </w:t>
      </w:r>
      <w:r w:rsidRPr="000363C8">
        <w:rPr>
          <w:rFonts w:ascii="Times New Roman" w:eastAsia="Times New Roman" w:hAnsi="Times New Roman" w:cs="Times New Roman"/>
          <w:sz w:val="24"/>
          <w:szCs w:val="24"/>
          <w:lang w:val="en-GB" w:eastAsia="en-IN"/>
        </w:rPr>
        <w:t>(</w:t>
      </w:r>
      <w:r w:rsidRPr="000363C8">
        <w:rPr>
          <w:rFonts w:ascii="Times New Roman" w:hAnsi="Times New Roman" w:cs="Times New Roman"/>
          <w:color w:val="222222"/>
          <w:sz w:val="24"/>
          <w:szCs w:val="24"/>
          <w:shd w:val="clear" w:color="auto" w:fill="FFFFFF"/>
          <w:lang w:val="en-GB"/>
        </w:rPr>
        <w:t>Roscoe et al., 2022)</w:t>
      </w:r>
      <w:r w:rsidRPr="000363C8">
        <w:rPr>
          <w:rFonts w:ascii="Times New Roman" w:eastAsia="Times New Roman" w:hAnsi="Times New Roman" w:cs="Times New Roman"/>
          <w:sz w:val="24"/>
          <w:szCs w:val="24"/>
          <w:lang w:val="en-GB" w:eastAsia="en-IN"/>
        </w:rPr>
        <w:t>.</w:t>
      </w:r>
    </w:p>
    <w:p w14:paraId="51B7BA63" w14:textId="77777777" w:rsidR="00CF3E77" w:rsidRPr="000363C8" w:rsidRDefault="00CF3E77" w:rsidP="00CF3E77">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hAnsi="Times New Roman" w:cs="Times New Roman"/>
          <w:sz w:val="24"/>
          <w:szCs w:val="24"/>
          <w:lang w:val="en-GB"/>
        </w:rPr>
        <w:t xml:space="preserve">The success of AstraZeneca in the long term depends on the adaptation to the forces of the international environment. Innovation and quality Tech, AI accelerates innovation and improves quality, meanwhile, supply-chain resilience renders processes geopolitics-hurdle-resistant. Good ESG performance complies with augmented sustainability anticipations. Giving an investment in workforce upskilling and access to digital capabilities will help the organisation to maximise the possibilities of AI and sustainability efforts in every region. The secrets to the survival in the ever-evolving multi-polar environment are the strategic advantage of AI and reinforcement of supply chain, combined with focus on sustainability leadership. </w:t>
      </w:r>
      <w:r w:rsidRPr="000363C8">
        <w:rPr>
          <w:rFonts w:ascii="Times New Roman" w:eastAsia="Times New Roman" w:hAnsi="Times New Roman" w:cs="Times New Roman"/>
          <w:sz w:val="24"/>
          <w:szCs w:val="24"/>
          <w:lang w:val="en-GB" w:eastAsia="en-IN"/>
        </w:rPr>
        <w:t>(</w:t>
      </w:r>
      <w:r w:rsidRPr="000363C8">
        <w:rPr>
          <w:rFonts w:ascii="Times New Roman" w:hAnsi="Times New Roman" w:cs="Times New Roman"/>
          <w:color w:val="222222"/>
          <w:sz w:val="24"/>
          <w:szCs w:val="24"/>
          <w:shd w:val="clear" w:color="auto" w:fill="FFFFFF"/>
          <w:lang w:val="en-GB"/>
        </w:rPr>
        <w:t>Ali et al., 2026)</w:t>
      </w:r>
      <w:r w:rsidRPr="000363C8">
        <w:rPr>
          <w:rFonts w:ascii="Times New Roman" w:eastAsia="Times New Roman" w:hAnsi="Times New Roman" w:cs="Times New Roman"/>
          <w:sz w:val="24"/>
          <w:szCs w:val="24"/>
          <w:lang w:val="en-GB" w:eastAsia="en-IN"/>
        </w:rPr>
        <w:t>.</w:t>
      </w:r>
    </w:p>
    <w:p w14:paraId="10764B40" w14:textId="77777777" w:rsidR="00CF3E77" w:rsidRPr="000363C8" w:rsidRDefault="00CF3E77" w:rsidP="00CF3E77">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Investment in analytics, machine learning, and automated laboratory technology and creating a central digital infrastructure should also be made to maximise the use of AI in global R&amp;D activities and facilitated the smooth exchange of data. Increasing the quality of data and their interoperability across the research sites will also improve the quality and scalability of AI-driven insights. Ethical pharmaceutical research will also make the company active in the specified field as the emphasis on AI education, collaboration with start-ups, and academic organisations and excellent AI control will foster engagement of the company in not only the top position but also the work on it as an ethical and effective enterprise. It will also be necessary to invest more in the safe cloud systems and appropriate data-protection solutions to make sure the global regulatory requirements are met and that the sensitive research information is not jeopardised. (</w:t>
      </w:r>
      <w:r w:rsidRPr="000363C8">
        <w:rPr>
          <w:rFonts w:ascii="Times New Roman" w:hAnsi="Times New Roman" w:cs="Times New Roman"/>
          <w:color w:val="222222"/>
          <w:sz w:val="24"/>
          <w:szCs w:val="24"/>
          <w:shd w:val="clear" w:color="auto" w:fill="FFFFFF"/>
          <w:lang w:val="en-GB"/>
        </w:rPr>
        <w:t>Ashenden, 2021)</w:t>
      </w:r>
      <w:r w:rsidRPr="000363C8">
        <w:rPr>
          <w:rFonts w:ascii="Times New Roman" w:hAnsi="Times New Roman" w:cs="Times New Roman"/>
          <w:sz w:val="24"/>
          <w:szCs w:val="24"/>
          <w:lang w:val="en-GB"/>
        </w:rPr>
        <w:t>.</w:t>
      </w:r>
    </w:p>
    <w:p w14:paraId="25317D37" w14:textId="77777777" w:rsidR="00CF3E77" w:rsidRPr="000363C8" w:rsidRDefault="00CF3E77" w:rsidP="00CF3E77">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 xml:space="preserve">AstraZeneca should continue to develop supply-chain resilience through various avenues such as sourcing diversification, manufacturing centres in the areas, investing in predictive logistics, real-time tracking and digital twins. In-depth preparation of contingency plans to the high-risk trade pathways will also enhance the company to respond timely to unprecedented global disruptions. The constant flow is the result of the strategic planning of the inventory, cooperation with the safe logistics service providers. This kind of action will reduce the geopolitical conflicts and risk of shipping disruption and ensure the sound work of the </w:t>
      </w:r>
      <w:r w:rsidRPr="000363C8">
        <w:rPr>
          <w:rFonts w:ascii="Times New Roman" w:hAnsi="Times New Roman" w:cs="Times New Roman"/>
          <w:sz w:val="24"/>
          <w:szCs w:val="24"/>
          <w:lang w:val="en-GB"/>
        </w:rPr>
        <w:lastRenderedPageBreak/>
        <w:t>operations and prevent the shortage of products on the planet globally (Marmolejo-Saucedo, 2020).</w:t>
      </w:r>
    </w:p>
    <w:p w14:paraId="769D6BD6" w14:textId="77777777" w:rsidR="007C28DA" w:rsidRPr="000363C8" w:rsidRDefault="00CF3E77" w:rsidP="003033BA">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AstraZeneca will have to fine-tune the ESG data, reporting and auditing, accelerate the decarbonisation of Scope 1-3, and employ low-carbon packaging. One method of acquiring responsibilities of the suppliers is through audits, score-cards and capacity building. Formation of stronger cross</w:t>
      </w:r>
      <w:r w:rsidR="003435A4" w:rsidRPr="000363C8">
        <w:rPr>
          <w:rFonts w:ascii="Times New Roman" w:hAnsi="Times New Roman" w:cs="Times New Roman"/>
          <w:sz w:val="24"/>
          <w:szCs w:val="24"/>
          <w:lang w:val="en-GB"/>
        </w:rPr>
        <w:t>-</w:t>
      </w:r>
      <w:r w:rsidRPr="000363C8">
        <w:rPr>
          <w:rFonts w:ascii="Times New Roman" w:hAnsi="Times New Roman" w:cs="Times New Roman"/>
          <w:sz w:val="24"/>
          <w:szCs w:val="24"/>
          <w:lang w:val="en-GB"/>
        </w:rPr>
        <w:t>functional sustainability cohorts will facilitate increased coordination of CSRD requirements in international operations. With the alignment to the strategic goals, sustainability brings reputation, ESG-oriented investors, long-term business resilience, and regulatory risks mitigation (Villena, 2019).</w:t>
      </w:r>
    </w:p>
    <w:p w14:paraId="103EEE2D" w14:textId="77777777" w:rsidR="00CF3E77" w:rsidRPr="000363C8" w:rsidRDefault="00CF3E77" w:rsidP="00CF3E77">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Global recruitment partnerships, ongoing training in AI, data science, sustainability, and Digital Supply Chains, and talent mobility schemes are some of the methods that AstraZeneca should adopt to address talent shortages. Its employer value proposition, which is based on focusing on innovation, scientific direction, and sustainability, provides it with a strong base of skilled and flexible working force, which contributes to innovation, operational efficiency, and being in touch with current global trends (</w:t>
      </w:r>
      <w:r w:rsidRPr="000363C8">
        <w:rPr>
          <w:rFonts w:ascii="Times New Roman" w:hAnsi="Times New Roman" w:cs="Times New Roman"/>
          <w:color w:val="222222"/>
          <w:sz w:val="24"/>
          <w:szCs w:val="24"/>
          <w:shd w:val="clear" w:color="auto" w:fill="FFFFFF"/>
          <w:lang w:val="en-GB"/>
        </w:rPr>
        <w:t>Pichardo-</w:t>
      </w:r>
      <w:proofErr w:type="spellStart"/>
      <w:r w:rsidRPr="000363C8">
        <w:rPr>
          <w:rFonts w:ascii="Times New Roman" w:hAnsi="Times New Roman" w:cs="Times New Roman"/>
          <w:color w:val="222222"/>
          <w:sz w:val="24"/>
          <w:szCs w:val="24"/>
          <w:shd w:val="clear" w:color="auto" w:fill="FFFFFF"/>
          <w:lang w:val="en-GB"/>
        </w:rPr>
        <w:t>Almarza</w:t>
      </w:r>
      <w:proofErr w:type="spellEnd"/>
      <w:r w:rsidRPr="000363C8">
        <w:rPr>
          <w:rFonts w:ascii="Times New Roman" w:hAnsi="Times New Roman" w:cs="Times New Roman"/>
          <w:color w:val="222222"/>
          <w:sz w:val="24"/>
          <w:szCs w:val="24"/>
          <w:shd w:val="clear" w:color="auto" w:fill="FFFFFF"/>
          <w:lang w:val="en-GB"/>
        </w:rPr>
        <w:t xml:space="preserve"> and </w:t>
      </w:r>
      <w:proofErr w:type="spellStart"/>
      <w:r w:rsidRPr="000363C8">
        <w:rPr>
          <w:rFonts w:ascii="Times New Roman" w:hAnsi="Times New Roman" w:cs="Times New Roman"/>
          <w:color w:val="222222"/>
          <w:sz w:val="24"/>
          <w:szCs w:val="24"/>
          <w:shd w:val="clear" w:color="auto" w:fill="FFFFFF"/>
          <w:lang w:val="en-GB"/>
        </w:rPr>
        <w:t>Kimko</w:t>
      </w:r>
      <w:proofErr w:type="spellEnd"/>
      <w:r w:rsidRPr="000363C8">
        <w:rPr>
          <w:rFonts w:ascii="Times New Roman" w:hAnsi="Times New Roman" w:cs="Times New Roman"/>
          <w:color w:val="222222"/>
          <w:sz w:val="24"/>
          <w:szCs w:val="24"/>
          <w:shd w:val="clear" w:color="auto" w:fill="FFFFFF"/>
          <w:lang w:val="en-GB"/>
        </w:rPr>
        <w:t>, 2025)</w:t>
      </w:r>
      <w:r w:rsidRPr="000363C8">
        <w:rPr>
          <w:rFonts w:ascii="Times New Roman" w:hAnsi="Times New Roman" w:cs="Times New Roman"/>
          <w:sz w:val="24"/>
          <w:szCs w:val="24"/>
          <w:lang w:val="en-GB"/>
        </w:rPr>
        <w:t>.</w:t>
      </w:r>
    </w:p>
    <w:p w14:paraId="5943EA85" w14:textId="77777777" w:rsidR="00892526" w:rsidRPr="000363C8" w:rsidRDefault="00892526" w:rsidP="00E371E4">
      <w:pPr>
        <w:spacing w:after="120" w:line="360" w:lineRule="auto"/>
        <w:rPr>
          <w:rFonts w:ascii="Times New Roman" w:hAnsi="Times New Roman" w:cs="Times New Roman"/>
          <w:lang w:val="en-GB"/>
        </w:rPr>
      </w:pPr>
    </w:p>
    <w:p w14:paraId="1D88D6AC" w14:textId="77777777" w:rsidR="00CF3E77" w:rsidRPr="000363C8" w:rsidRDefault="00CF3E77" w:rsidP="00CF3E77">
      <w:pPr>
        <w:spacing w:after="120" w:line="360" w:lineRule="auto"/>
        <w:rPr>
          <w:rFonts w:ascii="Times New Roman" w:hAnsi="Times New Roman" w:cs="Times New Roman"/>
          <w:lang w:val="en-GB"/>
        </w:rPr>
      </w:pPr>
    </w:p>
    <w:p w14:paraId="25A03C9C" w14:textId="77777777" w:rsidR="00CF3E77" w:rsidRPr="000363C8" w:rsidRDefault="00CF3E77" w:rsidP="00CF3E77">
      <w:pPr>
        <w:spacing w:after="120" w:line="360" w:lineRule="auto"/>
        <w:rPr>
          <w:rFonts w:ascii="Times New Roman" w:hAnsi="Times New Roman" w:cs="Times New Roman"/>
          <w:lang w:val="en-GB"/>
        </w:rPr>
      </w:pPr>
    </w:p>
    <w:p w14:paraId="0F41E206" w14:textId="77777777" w:rsidR="00CF3E77" w:rsidRPr="000363C8" w:rsidRDefault="00CF3E77" w:rsidP="00CF3E77">
      <w:pPr>
        <w:spacing w:after="120" w:line="360" w:lineRule="auto"/>
        <w:rPr>
          <w:rFonts w:ascii="Times New Roman" w:hAnsi="Times New Roman" w:cs="Times New Roman"/>
          <w:lang w:val="en-GB"/>
        </w:rPr>
      </w:pPr>
    </w:p>
    <w:p w14:paraId="6D88C03E" w14:textId="77777777" w:rsidR="00CF3E77" w:rsidRPr="000363C8" w:rsidRDefault="00CF3E77" w:rsidP="00CF3E77">
      <w:pPr>
        <w:spacing w:after="120" w:line="360" w:lineRule="auto"/>
        <w:rPr>
          <w:rFonts w:ascii="Times New Roman" w:hAnsi="Times New Roman" w:cs="Times New Roman"/>
          <w:lang w:val="en-GB"/>
        </w:rPr>
      </w:pPr>
    </w:p>
    <w:p w14:paraId="3243EFFA" w14:textId="77777777" w:rsidR="00CF3E77" w:rsidRPr="000363C8" w:rsidRDefault="00CF3E77" w:rsidP="00CF3E77">
      <w:pPr>
        <w:spacing w:after="120" w:line="360" w:lineRule="auto"/>
        <w:rPr>
          <w:rFonts w:ascii="Times New Roman" w:hAnsi="Times New Roman" w:cs="Times New Roman"/>
          <w:lang w:val="en-GB"/>
        </w:rPr>
      </w:pPr>
    </w:p>
    <w:p w14:paraId="735A218F" w14:textId="77777777" w:rsidR="00CF3E77" w:rsidRPr="000363C8" w:rsidRDefault="00CF3E77" w:rsidP="00CF3E77">
      <w:pPr>
        <w:spacing w:after="120" w:line="360" w:lineRule="auto"/>
        <w:rPr>
          <w:rFonts w:ascii="Times New Roman" w:hAnsi="Times New Roman" w:cs="Times New Roman"/>
          <w:lang w:val="en-GB"/>
        </w:rPr>
      </w:pPr>
    </w:p>
    <w:p w14:paraId="63C65FB0" w14:textId="77777777" w:rsidR="00CF3E77" w:rsidRPr="000363C8" w:rsidRDefault="00CF3E77" w:rsidP="00CF3E77">
      <w:pPr>
        <w:spacing w:after="120" w:line="360" w:lineRule="auto"/>
        <w:rPr>
          <w:rFonts w:ascii="Times New Roman" w:hAnsi="Times New Roman" w:cs="Times New Roman"/>
          <w:lang w:val="en-GB"/>
        </w:rPr>
      </w:pPr>
    </w:p>
    <w:p w14:paraId="4C51BCC7" w14:textId="77777777" w:rsidR="00CF3E77" w:rsidRPr="000363C8" w:rsidRDefault="00CF3E77" w:rsidP="00CF3E77">
      <w:pPr>
        <w:spacing w:after="120" w:line="360" w:lineRule="auto"/>
        <w:rPr>
          <w:rFonts w:ascii="Times New Roman" w:hAnsi="Times New Roman" w:cs="Times New Roman"/>
          <w:lang w:val="en-GB"/>
        </w:rPr>
      </w:pPr>
    </w:p>
    <w:p w14:paraId="76C3EFF6" w14:textId="77777777" w:rsidR="00CF3E77" w:rsidRPr="000363C8" w:rsidRDefault="00CF3E77" w:rsidP="00CF3E77">
      <w:pPr>
        <w:spacing w:after="120" w:line="360" w:lineRule="auto"/>
        <w:rPr>
          <w:rFonts w:ascii="Times New Roman" w:hAnsi="Times New Roman" w:cs="Times New Roman"/>
          <w:lang w:val="en-GB"/>
        </w:rPr>
      </w:pPr>
    </w:p>
    <w:p w14:paraId="55D9B01E" w14:textId="77777777" w:rsidR="00CF3E77" w:rsidRPr="000363C8" w:rsidRDefault="00CF3E77" w:rsidP="00CF3E77">
      <w:pPr>
        <w:spacing w:after="120" w:line="360" w:lineRule="auto"/>
        <w:rPr>
          <w:rFonts w:ascii="Times New Roman" w:hAnsi="Times New Roman" w:cs="Times New Roman"/>
          <w:lang w:val="en-GB"/>
        </w:rPr>
      </w:pPr>
    </w:p>
    <w:p w14:paraId="1B466390" w14:textId="77777777" w:rsidR="006210EA" w:rsidRPr="000363C8" w:rsidRDefault="006210EA">
      <w:pPr>
        <w:rPr>
          <w:rFonts w:ascii="Times New Roman" w:hAnsi="Times New Roman" w:cs="Times New Roman"/>
          <w:lang w:val="en-GB"/>
        </w:rPr>
      </w:pPr>
      <w:r w:rsidRPr="000363C8">
        <w:rPr>
          <w:rFonts w:ascii="Times New Roman" w:hAnsi="Times New Roman" w:cs="Times New Roman"/>
          <w:lang w:val="en-GB"/>
        </w:rPr>
        <w:br w:type="page"/>
      </w:r>
    </w:p>
    <w:p w14:paraId="76665E08" w14:textId="77777777" w:rsidR="00892526" w:rsidRPr="000363C8" w:rsidRDefault="00892526" w:rsidP="006210EA">
      <w:pPr>
        <w:pStyle w:val="Heading1"/>
        <w:rPr>
          <w:lang w:val="en-GB"/>
        </w:rPr>
      </w:pPr>
      <w:r w:rsidRPr="000363C8">
        <w:rPr>
          <w:lang w:val="en-GB"/>
        </w:rPr>
        <w:lastRenderedPageBreak/>
        <w:t>Conclusion</w:t>
      </w:r>
    </w:p>
    <w:p w14:paraId="50324720" w14:textId="77777777" w:rsidR="00A03766" w:rsidRPr="000363C8" w:rsidRDefault="00E40D88" w:rsidP="000427E2">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sz w:val="24"/>
          <w:szCs w:val="24"/>
          <w:lang w:val="en-GB"/>
        </w:rPr>
        <w:t>The artificial intelligence concept, geopolitical instability, and sustainability policies are influential to the activities of AstraZeneca in different countries and</w:t>
      </w:r>
      <w:r w:rsidR="00173D13" w:rsidRPr="000363C8">
        <w:rPr>
          <w:rFonts w:ascii="Times New Roman" w:hAnsi="Times New Roman" w:cs="Times New Roman"/>
          <w:sz w:val="24"/>
          <w:szCs w:val="24"/>
          <w:lang w:val="en-GB"/>
        </w:rPr>
        <w:t xml:space="preserve"> its policy. Artificial Intelligence</w:t>
      </w:r>
      <w:r w:rsidRPr="000363C8">
        <w:rPr>
          <w:rFonts w:ascii="Times New Roman" w:hAnsi="Times New Roman" w:cs="Times New Roman"/>
          <w:sz w:val="24"/>
          <w:szCs w:val="24"/>
          <w:lang w:val="en-GB"/>
        </w:rPr>
        <w:t xml:space="preserve"> (AI) improves innovatio</w:t>
      </w:r>
      <w:r w:rsidR="00173D13" w:rsidRPr="000363C8">
        <w:rPr>
          <w:rFonts w:ascii="Times New Roman" w:hAnsi="Times New Roman" w:cs="Times New Roman"/>
          <w:sz w:val="24"/>
          <w:szCs w:val="24"/>
          <w:lang w:val="en-GB"/>
        </w:rPr>
        <w:t>n and scientific leadership, while</w:t>
      </w:r>
      <w:r w:rsidRPr="000363C8">
        <w:rPr>
          <w:rFonts w:ascii="Times New Roman" w:hAnsi="Times New Roman" w:cs="Times New Roman"/>
          <w:sz w:val="24"/>
          <w:szCs w:val="24"/>
          <w:lang w:val="en-GB"/>
        </w:rPr>
        <w:t xml:space="preserve"> geopolitical </w:t>
      </w:r>
      <w:r w:rsidR="00173D13" w:rsidRPr="000363C8">
        <w:rPr>
          <w:rFonts w:ascii="Times New Roman" w:hAnsi="Times New Roman" w:cs="Times New Roman"/>
          <w:sz w:val="24"/>
          <w:szCs w:val="24"/>
          <w:lang w:val="en-GB"/>
        </w:rPr>
        <w:t xml:space="preserve">pressures </w:t>
      </w:r>
      <w:r w:rsidR="00AD7786" w:rsidRPr="000363C8">
        <w:rPr>
          <w:rFonts w:ascii="Times New Roman" w:hAnsi="Times New Roman" w:cs="Times New Roman"/>
          <w:sz w:val="24"/>
          <w:szCs w:val="24"/>
          <w:lang w:val="en-GB"/>
        </w:rPr>
        <w:t>generate the need for diversified</w:t>
      </w:r>
      <w:r w:rsidR="003435A4" w:rsidRPr="000363C8">
        <w:rPr>
          <w:rFonts w:ascii="Times New Roman" w:hAnsi="Times New Roman" w:cs="Times New Roman"/>
          <w:sz w:val="24"/>
          <w:szCs w:val="24"/>
          <w:lang w:val="en-GB"/>
        </w:rPr>
        <w:t>,</w:t>
      </w:r>
      <w:r w:rsidRPr="000363C8">
        <w:rPr>
          <w:rFonts w:ascii="Times New Roman" w:hAnsi="Times New Roman" w:cs="Times New Roman"/>
          <w:sz w:val="24"/>
          <w:szCs w:val="24"/>
          <w:lang w:val="en-GB"/>
        </w:rPr>
        <w:t xml:space="preserve"> solid supply chains. The operational priorities are further determined by increasing requirements of sustainability </w:t>
      </w:r>
      <w:r w:rsidR="00AD7786" w:rsidRPr="000363C8">
        <w:rPr>
          <w:rFonts w:ascii="Times New Roman" w:hAnsi="Times New Roman" w:cs="Times New Roman"/>
          <w:sz w:val="24"/>
          <w:szCs w:val="24"/>
          <w:lang w:val="en-GB"/>
        </w:rPr>
        <w:t>and CSRD</w:t>
      </w:r>
      <w:r w:rsidR="003435A4" w:rsidRPr="000363C8">
        <w:rPr>
          <w:rFonts w:ascii="Times New Roman" w:hAnsi="Times New Roman" w:cs="Times New Roman"/>
          <w:sz w:val="24"/>
          <w:szCs w:val="24"/>
          <w:lang w:val="en-GB"/>
        </w:rPr>
        <w:t>,</w:t>
      </w:r>
      <w:r w:rsidR="00AD7786" w:rsidRPr="000363C8">
        <w:rPr>
          <w:rFonts w:ascii="Times New Roman" w:hAnsi="Times New Roman" w:cs="Times New Roman"/>
          <w:sz w:val="24"/>
          <w:szCs w:val="24"/>
          <w:lang w:val="en-GB"/>
        </w:rPr>
        <w:t xml:space="preserve"> which include</w:t>
      </w:r>
      <w:r w:rsidRPr="000363C8">
        <w:rPr>
          <w:rFonts w:ascii="Times New Roman" w:hAnsi="Times New Roman" w:cs="Times New Roman"/>
          <w:sz w:val="24"/>
          <w:szCs w:val="24"/>
          <w:lang w:val="en-GB"/>
        </w:rPr>
        <w:t xml:space="preserve"> transparency</w:t>
      </w:r>
      <w:r w:rsidR="00AD7786" w:rsidRPr="000363C8">
        <w:rPr>
          <w:rFonts w:ascii="Times New Roman" w:hAnsi="Times New Roman" w:cs="Times New Roman"/>
          <w:sz w:val="24"/>
          <w:szCs w:val="24"/>
          <w:lang w:val="en-GB"/>
        </w:rPr>
        <w:t xml:space="preserve"> in operations</w:t>
      </w:r>
      <w:r w:rsidRPr="000363C8">
        <w:rPr>
          <w:rFonts w:ascii="Times New Roman" w:hAnsi="Times New Roman" w:cs="Times New Roman"/>
          <w:sz w:val="24"/>
          <w:szCs w:val="24"/>
          <w:lang w:val="en-GB"/>
        </w:rPr>
        <w:t>, responsible sourcing and environmental performa</w:t>
      </w:r>
      <w:r w:rsidR="00AD7786" w:rsidRPr="000363C8">
        <w:rPr>
          <w:rFonts w:ascii="Times New Roman" w:hAnsi="Times New Roman" w:cs="Times New Roman"/>
          <w:sz w:val="24"/>
          <w:szCs w:val="24"/>
          <w:lang w:val="en-GB"/>
        </w:rPr>
        <w:t>nce. AstraZeneca needs to proactively maintain</w:t>
      </w:r>
      <w:r w:rsidRPr="000363C8">
        <w:rPr>
          <w:rFonts w:ascii="Times New Roman" w:hAnsi="Times New Roman" w:cs="Times New Roman"/>
          <w:sz w:val="24"/>
          <w:szCs w:val="24"/>
          <w:lang w:val="en-GB"/>
        </w:rPr>
        <w:t xml:space="preserve"> technological potent</w:t>
      </w:r>
      <w:r w:rsidR="00AD7786" w:rsidRPr="000363C8">
        <w:rPr>
          <w:rFonts w:ascii="Times New Roman" w:hAnsi="Times New Roman" w:cs="Times New Roman"/>
          <w:sz w:val="24"/>
          <w:szCs w:val="24"/>
          <w:lang w:val="en-GB"/>
        </w:rPr>
        <w:t>ial, reflection of sustainability</w:t>
      </w:r>
      <w:r w:rsidRPr="000363C8">
        <w:rPr>
          <w:rFonts w:ascii="Times New Roman" w:hAnsi="Times New Roman" w:cs="Times New Roman"/>
          <w:sz w:val="24"/>
          <w:szCs w:val="24"/>
          <w:lang w:val="en-GB"/>
        </w:rPr>
        <w:t>, resilien</w:t>
      </w:r>
      <w:r w:rsidR="00AD7786" w:rsidRPr="000363C8">
        <w:rPr>
          <w:rFonts w:ascii="Times New Roman" w:hAnsi="Times New Roman" w:cs="Times New Roman"/>
          <w:sz w:val="24"/>
          <w:szCs w:val="24"/>
          <w:lang w:val="en-GB"/>
        </w:rPr>
        <w:t>cy of supply chains to secure</w:t>
      </w:r>
      <w:r w:rsidRPr="000363C8">
        <w:rPr>
          <w:rFonts w:ascii="Times New Roman" w:hAnsi="Times New Roman" w:cs="Times New Roman"/>
          <w:sz w:val="24"/>
          <w:szCs w:val="24"/>
          <w:lang w:val="en-GB"/>
        </w:rPr>
        <w:t xml:space="preserve"> c</w:t>
      </w:r>
      <w:r w:rsidR="00AD7786" w:rsidRPr="000363C8">
        <w:rPr>
          <w:rFonts w:ascii="Times New Roman" w:hAnsi="Times New Roman" w:cs="Times New Roman"/>
          <w:sz w:val="24"/>
          <w:szCs w:val="24"/>
          <w:lang w:val="en-GB"/>
        </w:rPr>
        <w:t xml:space="preserve">ompetitiveness, </w:t>
      </w:r>
      <w:r w:rsidRPr="000363C8">
        <w:rPr>
          <w:rFonts w:ascii="Times New Roman" w:hAnsi="Times New Roman" w:cs="Times New Roman"/>
          <w:sz w:val="24"/>
          <w:szCs w:val="24"/>
          <w:lang w:val="en-GB"/>
        </w:rPr>
        <w:t>stakeholders</w:t>
      </w:r>
      <w:r w:rsidR="00AD7786" w:rsidRPr="000363C8">
        <w:rPr>
          <w:rFonts w:ascii="Times New Roman" w:hAnsi="Times New Roman" w:cs="Times New Roman"/>
          <w:sz w:val="24"/>
          <w:szCs w:val="24"/>
          <w:lang w:val="en-GB"/>
        </w:rPr>
        <w:t>’ faithfulness</w:t>
      </w:r>
      <w:r w:rsidRPr="000363C8">
        <w:rPr>
          <w:rFonts w:ascii="Times New Roman" w:hAnsi="Times New Roman" w:cs="Times New Roman"/>
          <w:sz w:val="24"/>
          <w:szCs w:val="24"/>
          <w:lang w:val="en-GB"/>
        </w:rPr>
        <w:t xml:space="preserve"> and </w:t>
      </w:r>
      <w:r w:rsidR="0002145A" w:rsidRPr="000363C8">
        <w:rPr>
          <w:rFonts w:ascii="Times New Roman" w:hAnsi="Times New Roman" w:cs="Times New Roman"/>
          <w:sz w:val="24"/>
          <w:szCs w:val="24"/>
          <w:lang w:val="en-GB"/>
        </w:rPr>
        <w:t>long-term success</w:t>
      </w:r>
      <w:r w:rsidRPr="000363C8">
        <w:rPr>
          <w:rFonts w:ascii="Times New Roman" w:hAnsi="Times New Roman" w:cs="Times New Roman"/>
          <w:sz w:val="24"/>
          <w:szCs w:val="24"/>
          <w:lang w:val="en-GB"/>
        </w:rPr>
        <w:t xml:space="preserve"> in a competition-driven business world. Further long-term investment in these locations will help AstraZeneca to be flexible and dynamic to changes in the global environment.</w:t>
      </w:r>
    </w:p>
    <w:p w14:paraId="33DF77F5"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1F09C9F9"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5596125F"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794BBA33"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693321BF"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69A299E4"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1DF6A32F"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19DF165F"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1E69FB41"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62D89DB1"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2B26682B"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7B76FD6E"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1EE54D90"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5DDD56AA"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0F52B14B" w14:textId="77777777" w:rsidR="00A03766" w:rsidRPr="000363C8" w:rsidRDefault="00A03766" w:rsidP="00CF3E77">
      <w:pPr>
        <w:spacing w:after="120" w:line="360" w:lineRule="auto"/>
        <w:jc w:val="both"/>
        <w:rPr>
          <w:rFonts w:ascii="Times New Roman" w:hAnsi="Times New Roman" w:cs="Times New Roman"/>
          <w:sz w:val="24"/>
          <w:szCs w:val="24"/>
          <w:lang w:val="en-GB"/>
        </w:rPr>
      </w:pPr>
    </w:p>
    <w:p w14:paraId="7268558C" w14:textId="77777777" w:rsidR="00A03766" w:rsidRPr="000363C8" w:rsidRDefault="00A03766">
      <w:pPr>
        <w:rPr>
          <w:rFonts w:ascii="Times New Roman" w:hAnsi="Times New Roman" w:cs="Times New Roman"/>
          <w:sz w:val="24"/>
          <w:szCs w:val="24"/>
          <w:lang w:val="en-GB"/>
        </w:rPr>
      </w:pPr>
      <w:r w:rsidRPr="000363C8">
        <w:rPr>
          <w:rFonts w:ascii="Times New Roman" w:hAnsi="Times New Roman" w:cs="Times New Roman"/>
          <w:sz w:val="24"/>
          <w:szCs w:val="24"/>
          <w:lang w:val="en-GB"/>
        </w:rPr>
        <w:br w:type="page"/>
      </w:r>
    </w:p>
    <w:p w14:paraId="27A6CAC1" w14:textId="77777777" w:rsidR="00A03766" w:rsidRPr="000363C8" w:rsidRDefault="003033BA" w:rsidP="003033BA">
      <w:pPr>
        <w:pStyle w:val="Heading1"/>
        <w:rPr>
          <w:lang w:val="en-GB"/>
        </w:rPr>
      </w:pPr>
      <w:r w:rsidRPr="000363C8">
        <w:rPr>
          <w:lang w:val="en-GB"/>
        </w:rPr>
        <w:lastRenderedPageBreak/>
        <w:t>References</w:t>
      </w:r>
    </w:p>
    <w:p w14:paraId="44BD215C" w14:textId="77777777" w:rsidR="003033BA" w:rsidRPr="000363C8" w:rsidRDefault="003033BA" w:rsidP="003033BA">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hAnsi="Times New Roman" w:cs="Times New Roman"/>
          <w:color w:val="222222"/>
          <w:sz w:val="24"/>
          <w:szCs w:val="24"/>
          <w:shd w:val="clear" w:color="auto" w:fill="FFFFFF"/>
          <w:lang w:val="en-GB"/>
        </w:rPr>
        <w:t>Ali, I., Ho, W., Papadopoulos, T. and White, C., (2026). Introduction to Global Value Chains and Geopolitical Turmoil. In </w:t>
      </w:r>
      <w:r w:rsidRPr="000363C8">
        <w:rPr>
          <w:rFonts w:ascii="Times New Roman" w:hAnsi="Times New Roman" w:cs="Times New Roman"/>
          <w:i/>
          <w:iCs/>
          <w:color w:val="222222"/>
          <w:sz w:val="24"/>
          <w:szCs w:val="24"/>
          <w:shd w:val="clear" w:color="auto" w:fill="FFFFFF"/>
          <w:lang w:val="en-GB"/>
        </w:rPr>
        <w:t>Global Value Chains and Geopolitical Uncertainty</w:t>
      </w:r>
      <w:r w:rsidRPr="000363C8">
        <w:rPr>
          <w:rFonts w:ascii="Times New Roman" w:hAnsi="Times New Roman" w:cs="Times New Roman"/>
          <w:color w:val="222222"/>
          <w:sz w:val="24"/>
          <w:szCs w:val="24"/>
          <w:shd w:val="clear" w:color="auto" w:fill="FFFFFF"/>
          <w:lang w:val="en-GB"/>
        </w:rPr>
        <w:t>. Routledge.</w:t>
      </w:r>
    </w:p>
    <w:p w14:paraId="26B598B2" w14:textId="77777777" w:rsidR="003033BA" w:rsidRPr="000363C8" w:rsidRDefault="003033BA" w:rsidP="003033BA">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color w:val="222222"/>
          <w:sz w:val="24"/>
          <w:szCs w:val="24"/>
          <w:shd w:val="clear" w:color="auto" w:fill="FFFFFF"/>
          <w:lang w:val="en-GB"/>
        </w:rPr>
        <w:t>Ashenden, S.K. ed., (2021). </w:t>
      </w:r>
      <w:r w:rsidRPr="000363C8">
        <w:rPr>
          <w:rFonts w:ascii="Times New Roman" w:hAnsi="Times New Roman" w:cs="Times New Roman"/>
          <w:i/>
          <w:iCs/>
          <w:color w:val="222222"/>
          <w:sz w:val="24"/>
          <w:szCs w:val="24"/>
          <w:shd w:val="clear" w:color="auto" w:fill="FFFFFF"/>
          <w:lang w:val="en-GB"/>
        </w:rPr>
        <w:t>The era of artificial intelligence, machine learning, and data science in the pharmaceutical industry</w:t>
      </w:r>
      <w:r w:rsidRPr="000363C8">
        <w:rPr>
          <w:rFonts w:ascii="Times New Roman" w:hAnsi="Times New Roman" w:cs="Times New Roman"/>
          <w:color w:val="222222"/>
          <w:sz w:val="24"/>
          <w:szCs w:val="24"/>
          <w:shd w:val="clear" w:color="auto" w:fill="FFFFFF"/>
          <w:lang w:val="en-GB"/>
        </w:rPr>
        <w:t xml:space="preserve">. Academic Press. </w:t>
      </w:r>
    </w:p>
    <w:p w14:paraId="1FAFA913" w14:textId="77777777" w:rsidR="003033BA" w:rsidRPr="000363C8" w:rsidRDefault="003033BA" w:rsidP="003033BA">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color w:val="222222"/>
          <w:sz w:val="24"/>
          <w:szCs w:val="24"/>
          <w:shd w:val="clear" w:color="auto" w:fill="FFFFFF"/>
          <w:lang w:val="en-GB"/>
        </w:rPr>
        <w:t>Booth, A., Breen, L., Wieringa, S. and Shaw, S.E., (2025). Planetary health leadership to drive climate action across pharmaceutical supply chains: insights from qualitative research and a call to action. </w:t>
      </w:r>
      <w:r w:rsidRPr="000363C8">
        <w:rPr>
          <w:rFonts w:ascii="Times New Roman" w:hAnsi="Times New Roman" w:cs="Times New Roman"/>
          <w:i/>
          <w:iCs/>
          <w:color w:val="222222"/>
          <w:sz w:val="24"/>
          <w:szCs w:val="24"/>
          <w:shd w:val="clear" w:color="auto" w:fill="FFFFFF"/>
          <w:lang w:val="en-GB"/>
        </w:rPr>
        <w:t>BMJ leader</w:t>
      </w:r>
      <w:r w:rsidRPr="000363C8">
        <w:rPr>
          <w:rFonts w:ascii="Times New Roman" w:hAnsi="Times New Roman" w:cs="Times New Roman"/>
          <w:color w:val="222222"/>
          <w:sz w:val="24"/>
          <w:szCs w:val="24"/>
          <w:shd w:val="clear" w:color="auto" w:fill="FFFFFF"/>
          <w:lang w:val="en-GB"/>
        </w:rPr>
        <w:t xml:space="preserve">. Available at: </w:t>
      </w:r>
      <w:hyperlink r:id="rId6" w:history="1">
        <w:r w:rsidRPr="000363C8">
          <w:rPr>
            <w:rStyle w:val="Hyperlink"/>
            <w:rFonts w:ascii="Times New Roman" w:hAnsi="Times New Roman" w:cs="Times New Roman"/>
            <w:sz w:val="24"/>
            <w:szCs w:val="24"/>
            <w:shd w:val="clear" w:color="auto" w:fill="FFFFFF"/>
            <w:lang w:val="en-GB"/>
          </w:rPr>
          <w:t>https://ora.ox.ac.uk/objects/uuid:870e9f65-c266-4d8f-a570-481377d3881c/files/rh128ng75b</w:t>
        </w:r>
      </w:hyperlink>
      <w:r w:rsidRPr="000363C8">
        <w:rPr>
          <w:rFonts w:ascii="Times New Roman" w:hAnsi="Times New Roman" w:cs="Times New Roman"/>
          <w:color w:val="222222"/>
          <w:sz w:val="24"/>
          <w:szCs w:val="24"/>
          <w:shd w:val="clear" w:color="auto" w:fill="FFFFFF"/>
          <w:lang w:val="en-GB"/>
        </w:rPr>
        <w:t xml:space="preserve"> </w:t>
      </w:r>
    </w:p>
    <w:p w14:paraId="30F61186" w14:textId="77777777" w:rsidR="003033BA" w:rsidRPr="000363C8" w:rsidRDefault="003033BA" w:rsidP="003033BA">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color w:val="222222"/>
          <w:sz w:val="24"/>
          <w:szCs w:val="24"/>
          <w:shd w:val="clear" w:color="auto" w:fill="FFFFFF"/>
          <w:lang w:val="en-GB"/>
        </w:rPr>
        <w:t>Gangwal, A. and Lavecchia, A., (2025). Artificial intelligence in natural product drug discovery: current applications and future perspectives. </w:t>
      </w:r>
      <w:r w:rsidRPr="000363C8">
        <w:rPr>
          <w:rFonts w:ascii="Times New Roman" w:hAnsi="Times New Roman" w:cs="Times New Roman"/>
          <w:i/>
          <w:iCs/>
          <w:color w:val="222222"/>
          <w:sz w:val="24"/>
          <w:szCs w:val="24"/>
          <w:shd w:val="clear" w:color="auto" w:fill="FFFFFF"/>
          <w:lang w:val="en-GB"/>
        </w:rPr>
        <w:t>Journal of medicinal chemistry</w:t>
      </w:r>
      <w:r w:rsidRPr="000363C8">
        <w:rPr>
          <w:rFonts w:ascii="Times New Roman" w:hAnsi="Times New Roman" w:cs="Times New Roman"/>
          <w:color w:val="222222"/>
          <w:sz w:val="24"/>
          <w:szCs w:val="24"/>
          <w:shd w:val="clear" w:color="auto" w:fill="FFFFFF"/>
          <w:lang w:val="en-GB"/>
        </w:rPr>
        <w:t>, </w:t>
      </w:r>
      <w:r w:rsidRPr="000363C8">
        <w:rPr>
          <w:rFonts w:ascii="Times New Roman" w:hAnsi="Times New Roman" w:cs="Times New Roman"/>
          <w:i/>
          <w:iCs/>
          <w:color w:val="222222"/>
          <w:sz w:val="24"/>
          <w:szCs w:val="24"/>
          <w:shd w:val="clear" w:color="auto" w:fill="FFFFFF"/>
          <w:lang w:val="en-GB"/>
        </w:rPr>
        <w:t>68</w:t>
      </w:r>
      <w:r w:rsidRPr="000363C8">
        <w:rPr>
          <w:rFonts w:ascii="Times New Roman" w:hAnsi="Times New Roman" w:cs="Times New Roman"/>
          <w:color w:val="222222"/>
          <w:sz w:val="24"/>
          <w:szCs w:val="24"/>
          <w:shd w:val="clear" w:color="auto" w:fill="FFFFFF"/>
          <w:lang w:val="en-GB"/>
        </w:rPr>
        <w:t xml:space="preserve">(4), pp.3948-3969. Available at: </w:t>
      </w:r>
      <w:hyperlink r:id="rId7" w:history="1">
        <w:r w:rsidRPr="000363C8">
          <w:rPr>
            <w:rStyle w:val="Hyperlink"/>
            <w:rFonts w:ascii="Times New Roman" w:hAnsi="Times New Roman" w:cs="Times New Roman"/>
            <w:sz w:val="24"/>
            <w:szCs w:val="24"/>
            <w:shd w:val="clear" w:color="auto" w:fill="FFFFFF"/>
            <w:lang w:val="en-GB"/>
          </w:rPr>
          <w:t>https://pubs.acs.org/doi/full/10.1021/acs.jmedchem.4c01257</w:t>
        </w:r>
      </w:hyperlink>
      <w:r w:rsidRPr="000363C8">
        <w:rPr>
          <w:rFonts w:ascii="Times New Roman" w:hAnsi="Times New Roman" w:cs="Times New Roman"/>
          <w:color w:val="222222"/>
          <w:sz w:val="24"/>
          <w:szCs w:val="24"/>
          <w:shd w:val="clear" w:color="auto" w:fill="FFFFFF"/>
          <w:lang w:val="en-GB"/>
        </w:rPr>
        <w:t xml:space="preserve"> </w:t>
      </w:r>
    </w:p>
    <w:p w14:paraId="6B0B106D" w14:textId="77777777" w:rsidR="003033BA" w:rsidRPr="000363C8" w:rsidRDefault="003033BA" w:rsidP="003033BA">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hAnsi="Times New Roman" w:cs="Times New Roman"/>
          <w:color w:val="222222"/>
          <w:sz w:val="24"/>
          <w:szCs w:val="24"/>
          <w:shd w:val="clear" w:color="auto" w:fill="FFFFFF"/>
          <w:lang w:val="en-GB"/>
        </w:rPr>
        <w:t>Han, Y. and Tao, J., (2024). Revolutionizing pharma: Unveiling the AI and LLM trends in the pharmaceutical industry. </w:t>
      </w:r>
      <w:proofErr w:type="spellStart"/>
      <w:r w:rsidRPr="000363C8">
        <w:rPr>
          <w:rFonts w:ascii="Times New Roman" w:hAnsi="Times New Roman" w:cs="Times New Roman"/>
          <w:i/>
          <w:iCs/>
          <w:color w:val="222222"/>
          <w:sz w:val="24"/>
          <w:szCs w:val="24"/>
          <w:shd w:val="clear" w:color="auto" w:fill="FFFFFF"/>
          <w:lang w:val="en-GB"/>
        </w:rPr>
        <w:t>arXiv</w:t>
      </w:r>
      <w:proofErr w:type="spellEnd"/>
      <w:r w:rsidRPr="000363C8">
        <w:rPr>
          <w:rFonts w:ascii="Times New Roman" w:hAnsi="Times New Roman" w:cs="Times New Roman"/>
          <w:i/>
          <w:iCs/>
          <w:color w:val="222222"/>
          <w:sz w:val="24"/>
          <w:szCs w:val="24"/>
          <w:shd w:val="clear" w:color="auto" w:fill="FFFFFF"/>
          <w:lang w:val="en-GB"/>
        </w:rPr>
        <w:t xml:space="preserve"> preprint arXiv:2401.10273</w:t>
      </w:r>
      <w:r w:rsidRPr="000363C8">
        <w:rPr>
          <w:rFonts w:ascii="Times New Roman" w:hAnsi="Times New Roman" w:cs="Times New Roman"/>
          <w:color w:val="222222"/>
          <w:sz w:val="24"/>
          <w:szCs w:val="24"/>
          <w:shd w:val="clear" w:color="auto" w:fill="FFFFFF"/>
          <w:lang w:val="en-GB"/>
        </w:rPr>
        <w:t xml:space="preserve">. Available at: </w:t>
      </w:r>
      <w:hyperlink r:id="rId8" w:history="1">
        <w:r w:rsidRPr="000363C8">
          <w:rPr>
            <w:rStyle w:val="Hyperlink"/>
            <w:rFonts w:ascii="Times New Roman" w:hAnsi="Times New Roman" w:cs="Times New Roman"/>
            <w:sz w:val="24"/>
            <w:szCs w:val="24"/>
            <w:shd w:val="clear" w:color="auto" w:fill="FFFFFF"/>
            <w:lang w:val="en-GB"/>
          </w:rPr>
          <w:t>https://arxiv.org/pdf/2401.10273</w:t>
        </w:r>
      </w:hyperlink>
      <w:r w:rsidRPr="000363C8">
        <w:rPr>
          <w:rFonts w:ascii="Times New Roman" w:hAnsi="Times New Roman" w:cs="Times New Roman"/>
          <w:color w:val="222222"/>
          <w:sz w:val="24"/>
          <w:szCs w:val="24"/>
          <w:shd w:val="clear" w:color="auto" w:fill="FFFFFF"/>
          <w:lang w:val="en-GB"/>
        </w:rPr>
        <w:t xml:space="preserve"> </w:t>
      </w:r>
    </w:p>
    <w:p w14:paraId="22822221" w14:textId="77777777" w:rsidR="003033BA" w:rsidRPr="000363C8" w:rsidRDefault="003033BA" w:rsidP="003033BA">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color w:val="222222"/>
          <w:sz w:val="24"/>
          <w:szCs w:val="24"/>
          <w:shd w:val="clear" w:color="auto" w:fill="FFFFFF"/>
          <w:lang w:val="en-GB"/>
        </w:rPr>
        <w:t>Marmolejo-Saucedo, J.A., (2020). Design and development of digital twins: A case study in supply chains. </w:t>
      </w:r>
      <w:r w:rsidRPr="000363C8">
        <w:rPr>
          <w:rFonts w:ascii="Times New Roman" w:hAnsi="Times New Roman" w:cs="Times New Roman"/>
          <w:i/>
          <w:iCs/>
          <w:color w:val="222222"/>
          <w:sz w:val="24"/>
          <w:szCs w:val="24"/>
          <w:shd w:val="clear" w:color="auto" w:fill="FFFFFF"/>
          <w:lang w:val="en-GB"/>
        </w:rPr>
        <w:t>Mobile Networks and Applications</w:t>
      </w:r>
      <w:r w:rsidRPr="000363C8">
        <w:rPr>
          <w:rFonts w:ascii="Times New Roman" w:hAnsi="Times New Roman" w:cs="Times New Roman"/>
          <w:color w:val="222222"/>
          <w:sz w:val="24"/>
          <w:szCs w:val="24"/>
          <w:shd w:val="clear" w:color="auto" w:fill="FFFFFF"/>
          <w:lang w:val="en-GB"/>
        </w:rPr>
        <w:t>, </w:t>
      </w:r>
      <w:r w:rsidRPr="000363C8">
        <w:rPr>
          <w:rFonts w:ascii="Times New Roman" w:hAnsi="Times New Roman" w:cs="Times New Roman"/>
          <w:i/>
          <w:iCs/>
          <w:color w:val="222222"/>
          <w:sz w:val="24"/>
          <w:szCs w:val="24"/>
          <w:shd w:val="clear" w:color="auto" w:fill="FFFFFF"/>
          <w:lang w:val="en-GB"/>
        </w:rPr>
        <w:t>25</w:t>
      </w:r>
      <w:r w:rsidRPr="000363C8">
        <w:rPr>
          <w:rFonts w:ascii="Times New Roman" w:hAnsi="Times New Roman" w:cs="Times New Roman"/>
          <w:color w:val="222222"/>
          <w:sz w:val="24"/>
          <w:szCs w:val="24"/>
          <w:shd w:val="clear" w:color="auto" w:fill="FFFFFF"/>
          <w:lang w:val="en-GB"/>
        </w:rPr>
        <w:t xml:space="preserve">(6), pp.2141-2160. Available at: </w:t>
      </w:r>
      <w:hyperlink r:id="rId9" w:history="1">
        <w:r w:rsidRPr="000363C8">
          <w:rPr>
            <w:rStyle w:val="Hyperlink"/>
            <w:rFonts w:ascii="Times New Roman" w:hAnsi="Times New Roman" w:cs="Times New Roman"/>
            <w:sz w:val="24"/>
            <w:szCs w:val="24"/>
            <w:shd w:val="clear" w:color="auto" w:fill="FFFFFF"/>
            <w:lang w:val="en-GB"/>
          </w:rPr>
          <w:t>https://pmc.ncbi.nlm.nih.gov/articles/PMC7275123/pdf/11036_2020_Article_1557.pdf</w:t>
        </w:r>
      </w:hyperlink>
      <w:r w:rsidRPr="000363C8">
        <w:rPr>
          <w:rFonts w:ascii="Times New Roman" w:hAnsi="Times New Roman" w:cs="Times New Roman"/>
          <w:color w:val="222222"/>
          <w:sz w:val="24"/>
          <w:szCs w:val="24"/>
          <w:shd w:val="clear" w:color="auto" w:fill="FFFFFF"/>
          <w:lang w:val="en-GB"/>
        </w:rPr>
        <w:t xml:space="preserve">. </w:t>
      </w:r>
    </w:p>
    <w:p w14:paraId="756421A1" w14:textId="77777777" w:rsidR="003033BA" w:rsidRPr="000363C8" w:rsidRDefault="003033BA" w:rsidP="003033BA">
      <w:pPr>
        <w:spacing w:after="120" w:line="360" w:lineRule="auto"/>
        <w:jc w:val="both"/>
        <w:rPr>
          <w:rFonts w:ascii="Times New Roman" w:hAnsi="Times New Roman" w:cs="Times New Roman"/>
          <w:sz w:val="24"/>
          <w:szCs w:val="24"/>
          <w:lang w:val="en-GB"/>
        </w:rPr>
      </w:pPr>
      <w:proofErr w:type="spellStart"/>
      <w:r w:rsidRPr="000363C8">
        <w:rPr>
          <w:rFonts w:ascii="Times New Roman" w:hAnsi="Times New Roman" w:cs="Times New Roman"/>
          <w:color w:val="222222"/>
          <w:sz w:val="24"/>
          <w:szCs w:val="24"/>
          <w:shd w:val="clear" w:color="auto" w:fill="FFFFFF"/>
          <w:lang w:val="en-GB"/>
        </w:rPr>
        <w:t>Mökander</w:t>
      </w:r>
      <w:proofErr w:type="spellEnd"/>
      <w:r w:rsidRPr="000363C8">
        <w:rPr>
          <w:rFonts w:ascii="Times New Roman" w:hAnsi="Times New Roman" w:cs="Times New Roman"/>
          <w:color w:val="222222"/>
          <w:sz w:val="24"/>
          <w:szCs w:val="24"/>
          <w:shd w:val="clear" w:color="auto" w:fill="FFFFFF"/>
          <w:lang w:val="en-GB"/>
        </w:rPr>
        <w:t xml:space="preserve">, J., Sheth, M., </w:t>
      </w:r>
      <w:proofErr w:type="spellStart"/>
      <w:r w:rsidRPr="000363C8">
        <w:rPr>
          <w:rFonts w:ascii="Times New Roman" w:hAnsi="Times New Roman" w:cs="Times New Roman"/>
          <w:color w:val="222222"/>
          <w:sz w:val="24"/>
          <w:szCs w:val="24"/>
          <w:shd w:val="clear" w:color="auto" w:fill="FFFFFF"/>
          <w:lang w:val="en-GB"/>
        </w:rPr>
        <w:t>Gersbro-Sundler</w:t>
      </w:r>
      <w:proofErr w:type="spellEnd"/>
      <w:r w:rsidRPr="000363C8">
        <w:rPr>
          <w:rFonts w:ascii="Times New Roman" w:hAnsi="Times New Roman" w:cs="Times New Roman"/>
          <w:color w:val="222222"/>
          <w:sz w:val="24"/>
          <w:szCs w:val="24"/>
          <w:shd w:val="clear" w:color="auto" w:fill="FFFFFF"/>
          <w:lang w:val="en-GB"/>
        </w:rPr>
        <w:t xml:space="preserve">, M., Blomgren, P. and </w:t>
      </w:r>
      <w:proofErr w:type="spellStart"/>
      <w:r w:rsidRPr="000363C8">
        <w:rPr>
          <w:rFonts w:ascii="Times New Roman" w:hAnsi="Times New Roman" w:cs="Times New Roman"/>
          <w:color w:val="222222"/>
          <w:sz w:val="24"/>
          <w:szCs w:val="24"/>
          <w:shd w:val="clear" w:color="auto" w:fill="FFFFFF"/>
          <w:lang w:val="en-GB"/>
        </w:rPr>
        <w:t>Floridi</w:t>
      </w:r>
      <w:proofErr w:type="spellEnd"/>
      <w:r w:rsidRPr="000363C8">
        <w:rPr>
          <w:rFonts w:ascii="Times New Roman" w:hAnsi="Times New Roman" w:cs="Times New Roman"/>
          <w:color w:val="222222"/>
          <w:sz w:val="24"/>
          <w:szCs w:val="24"/>
          <w:shd w:val="clear" w:color="auto" w:fill="FFFFFF"/>
          <w:lang w:val="en-GB"/>
        </w:rPr>
        <w:t>, L., (2022). Challenges and best practices in corporate AI governance: Lessons from the biopharmaceutical industry. </w:t>
      </w:r>
      <w:r w:rsidRPr="000363C8">
        <w:rPr>
          <w:rFonts w:ascii="Times New Roman" w:hAnsi="Times New Roman" w:cs="Times New Roman"/>
          <w:i/>
          <w:iCs/>
          <w:color w:val="222222"/>
          <w:sz w:val="24"/>
          <w:szCs w:val="24"/>
          <w:shd w:val="clear" w:color="auto" w:fill="FFFFFF"/>
          <w:lang w:val="en-GB"/>
        </w:rPr>
        <w:t>Frontiers in Computer Science</w:t>
      </w:r>
      <w:r w:rsidRPr="000363C8">
        <w:rPr>
          <w:rFonts w:ascii="Times New Roman" w:hAnsi="Times New Roman" w:cs="Times New Roman"/>
          <w:color w:val="222222"/>
          <w:sz w:val="24"/>
          <w:szCs w:val="24"/>
          <w:shd w:val="clear" w:color="auto" w:fill="FFFFFF"/>
          <w:lang w:val="en-GB"/>
        </w:rPr>
        <w:t>, </w:t>
      </w:r>
      <w:r w:rsidRPr="000363C8">
        <w:rPr>
          <w:rFonts w:ascii="Times New Roman" w:hAnsi="Times New Roman" w:cs="Times New Roman"/>
          <w:i/>
          <w:iCs/>
          <w:color w:val="222222"/>
          <w:sz w:val="24"/>
          <w:szCs w:val="24"/>
          <w:shd w:val="clear" w:color="auto" w:fill="FFFFFF"/>
          <w:lang w:val="en-GB"/>
        </w:rPr>
        <w:t>4</w:t>
      </w:r>
      <w:r w:rsidRPr="000363C8">
        <w:rPr>
          <w:rFonts w:ascii="Times New Roman" w:hAnsi="Times New Roman" w:cs="Times New Roman"/>
          <w:color w:val="222222"/>
          <w:sz w:val="24"/>
          <w:szCs w:val="24"/>
          <w:shd w:val="clear" w:color="auto" w:fill="FFFFFF"/>
          <w:lang w:val="en-GB"/>
        </w:rPr>
        <w:t xml:space="preserve">, p.1068361. Available at: </w:t>
      </w:r>
      <w:hyperlink r:id="rId10" w:history="1">
        <w:r w:rsidRPr="000363C8">
          <w:rPr>
            <w:rStyle w:val="Hyperlink"/>
            <w:rFonts w:ascii="Times New Roman" w:hAnsi="Times New Roman" w:cs="Times New Roman"/>
            <w:sz w:val="24"/>
            <w:szCs w:val="24"/>
            <w:shd w:val="clear" w:color="auto" w:fill="FFFFFF"/>
            <w:lang w:val="en-GB"/>
          </w:rPr>
          <w:t>https://www.frontiersin.org/journals/computer-science/articles/10.3389/fcomp.2022.1068361/pdf</w:t>
        </w:r>
      </w:hyperlink>
      <w:r w:rsidRPr="000363C8">
        <w:rPr>
          <w:rFonts w:ascii="Times New Roman" w:hAnsi="Times New Roman" w:cs="Times New Roman"/>
          <w:color w:val="222222"/>
          <w:sz w:val="24"/>
          <w:szCs w:val="24"/>
          <w:shd w:val="clear" w:color="auto" w:fill="FFFFFF"/>
          <w:lang w:val="en-GB"/>
        </w:rPr>
        <w:t xml:space="preserve"> </w:t>
      </w:r>
    </w:p>
    <w:p w14:paraId="1D6B0EEF" w14:textId="7D2BF8BD" w:rsidR="003033BA" w:rsidRPr="000363C8" w:rsidRDefault="003033BA" w:rsidP="003033BA">
      <w:pPr>
        <w:spacing w:after="120" w:line="360" w:lineRule="auto"/>
        <w:jc w:val="both"/>
        <w:rPr>
          <w:rFonts w:ascii="Times New Roman" w:hAnsi="Times New Roman" w:cs="Times New Roman"/>
          <w:sz w:val="24"/>
          <w:szCs w:val="24"/>
          <w:lang w:val="en-GB"/>
        </w:rPr>
      </w:pPr>
      <w:proofErr w:type="spellStart"/>
      <w:r w:rsidRPr="000363C8">
        <w:rPr>
          <w:rFonts w:ascii="Times New Roman" w:hAnsi="Times New Roman" w:cs="Times New Roman"/>
          <w:color w:val="222222"/>
          <w:sz w:val="24"/>
          <w:szCs w:val="24"/>
          <w:shd w:val="clear" w:color="auto" w:fill="FFFFFF"/>
          <w:lang w:val="en-GB"/>
        </w:rPr>
        <w:t>Notteboom</w:t>
      </w:r>
      <w:proofErr w:type="spellEnd"/>
      <w:r w:rsidRPr="000363C8">
        <w:rPr>
          <w:rFonts w:ascii="Times New Roman" w:hAnsi="Times New Roman" w:cs="Times New Roman"/>
          <w:color w:val="222222"/>
          <w:sz w:val="24"/>
          <w:szCs w:val="24"/>
          <w:shd w:val="clear" w:color="auto" w:fill="FFFFFF"/>
          <w:lang w:val="en-GB"/>
        </w:rPr>
        <w:t xml:space="preserve">, T., </w:t>
      </w:r>
      <w:proofErr w:type="spellStart"/>
      <w:r w:rsidRPr="000363C8">
        <w:rPr>
          <w:rFonts w:ascii="Times New Roman" w:hAnsi="Times New Roman" w:cs="Times New Roman"/>
          <w:color w:val="222222"/>
          <w:sz w:val="24"/>
          <w:szCs w:val="24"/>
          <w:shd w:val="clear" w:color="auto" w:fill="FFFFFF"/>
          <w:lang w:val="en-GB"/>
        </w:rPr>
        <w:t>Haralambides</w:t>
      </w:r>
      <w:proofErr w:type="spellEnd"/>
      <w:r w:rsidRPr="000363C8">
        <w:rPr>
          <w:rFonts w:ascii="Times New Roman" w:hAnsi="Times New Roman" w:cs="Times New Roman"/>
          <w:color w:val="222222"/>
          <w:sz w:val="24"/>
          <w:szCs w:val="24"/>
          <w:shd w:val="clear" w:color="auto" w:fill="FFFFFF"/>
          <w:lang w:val="en-GB"/>
        </w:rPr>
        <w:t>, H. and Cullinane, K., (2024). The Red Sea Crisis: ramifications for vessel operations, shipping networks, and maritime supply chains. </w:t>
      </w:r>
      <w:r w:rsidRPr="000363C8">
        <w:rPr>
          <w:rFonts w:ascii="Times New Roman" w:hAnsi="Times New Roman" w:cs="Times New Roman"/>
          <w:i/>
          <w:iCs/>
          <w:color w:val="222222"/>
          <w:sz w:val="24"/>
          <w:szCs w:val="24"/>
          <w:shd w:val="clear" w:color="auto" w:fill="FFFFFF"/>
          <w:lang w:val="en-GB"/>
        </w:rPr>
        <w:t>Maritime Economics &amp; Logistics</w:t>
      </w:r>
      <w:r w:rsidRPr="000363C8">
        <w:rPr>
          <w:rFonts w:ascii="Times New Roman" w:hAnsi="Times New Roman" w:cs="Times New Roman"/>
          <w:color w:val="222222"/>
          <w:sz w:val="24"/>
          <w:szCs w:val="24"/>
          <w:shd w:val="clear" w:color="auto" w:fill="FFFFFF"/>
          <w:lang w:val="en-GB"/>
        </w:rPr>
        <w:t>, </w:t>
      </w:r>
      <w:r w:rsidRPr="000363C8">
        <w:rPr>
          <w:rFonts w:ascii="Times New Roman" w:hAnsi="Times New Roman" w:cs="Times New Roman"/>
          <w:i/>
          <w:iCs/>
          <w:color w:val="222222"/>
          <w:sz w:val="24"/>
          <w:szCs w:val="24"/>
          <w:shd w:val="clear" w:color="auto" w:fill="FFFFFF"/>
          <w:lang w:val="en-GB"/>
        </w:rPr>
        <w:t>26</w:t>
      </w:r>
      <w:r w:rsidRPr="000363C8">
        <w:rPr>
          <w:rFonts w:ascii="Times New Roman" w:hAnsi="Times New Roman" w:cs="Times New Roman"/>
          <w:color w:val="222222"/>
          <w:sz w:val="24"/>
          <w:szCs w:val="24"/>
          <w:shd w:val="clear" w:color="auto" w:fill="FFFFFF"/>
          <w:lang w:val="en-GB"/>
        </w:rPr>
        <w:t xml:space="preserve">(1), pp.1-20. Available at: </w:t>
      </w:r>
      <w:hyperlink r:id="rId11" w:history="1">
        <w:r w:rsidR="00072447" w:rsidRPr="004A48F5">
          <w:rPr>
            <w:rStyle w:val="Hyperlink"/>
            <w:rFonts w:ascii="Times New Roman" w:hAnsi="Times New Roman" w:cs="Times New Roman"/>
            <w:sz w:val="24"/>
            <w:szCs w:val="24"/>
            <w:shd w:val="clear" w:color="auto" w:fill="FFFFFF"/>
            <w:lang w:val="en-GB"/>
          </w:rPr>
          <w:t>https://doi.org/10.1057/s41278-024-00287-z</w:t>
        </w:r>
      </w:hyperlink>
      <w:r w:rsidR="00072447">
        <w:rPr>
          <w:rFonts w:ascii="Times New Roman" w:hAnsi="Times New Roman" w:cs="Times New Roman"/>
          <w:color w:val="222222"/>
          <w:sz w:val="24"/>
          <w:szCs w:val="24"/>
          <w:shd w:val="clear" w:color="auto" w:fill="FFFFFF"/>
          <w:lang w:val="en-GB"/>
        </w:rPr>
        <w:t xml:space="preserve">  </w:t>
      </w:r>
    </w:p>
    <w:p w14:paraId="2F289A9A" w14:textId="77777777" w:rsidR="003033BA" w:rsidRPr="000363C8" w:rsidRDefault="003033BA" w:rsidP="003033BA">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color w:val="222222"/>
          <w:sz w:val="24"/>
          <w:szCs w:val="24"/>
          <w:shd w:val="clear" w:color="auto" w:fill="FFFFFF"/>
          <w:lang w:val="en-GB"/>
        </w:rPr>
        <w:t>O'Connor, B., (2022). </w:t>
      </w:r>
      <w:r w:rsidRPr="000363C8">
        <w:rPr>
          <w:rFonts w:ascii="Times New Roman" w:hAnsi="Times New Roman" w:cs="Times New Roman"/>
          <w:i/>
          <w:iCs/>
          <w:color w:val="222222"/>
          <w:sz w:val="24"/>
          <w:szCs w:val="24"/>
          <w:shd w:val="clear" w:color="auto" w:fill="FFFFFF"/>
          <w:lang w:val="en-GB"/>
        </w:rPr>
        <w:t>The ESG investing handbook: Insights and developments in environmental, social and governance investment</w:t>
      </w:r>
      <w:r w:rsidRPr="000363C8">
        <w:rPr>
          <w:rFonts w:ascii="Times New Roman" w:hAnsi="Times New Roman" w:cs="Times New Roman"/>
          <w:color w:val="222222"/>
          <w:sz w:val="24"/>
          <w:szCs w:val="24"/>
          <w:shd w:val="clear" w:color="auto" w:fill="FFFFFF"/>
          <w:lang w:val="en-GB"/>
        </w:rPr>
        <w:t>. Harriman House Limited.</w:t>
      </w:r>
    </w:p>
    <w:p w14:paraId="43BFCD21" w14:textId="77777777" w:rsidR="003033BA" w:rsidRPr="000363C8" w:rsidRDefault="003033BA" w:rsidP="003033BA">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color w:val="222222"/>
          <w:sz w:val="24"/>
          <w:szCs w:val="24"/>
          <w:shd w:val="clear" w:color="auto" w:fill="FFFFFF"/>
          <w:lang w:val="en-GB"/>
        </w:rPr>
        <w:t xml:space="preserve">Panda, S.K. and Satapathy, S.C., (2024). Drug traceability and transparency in medical supply chain using blockchain for easing the process and creating trust between stakeholders and </w:t>
      </w:r>
      <w:r w:rsidRPr="000363C8">
        <w:rPr>
          <w:rFonts w:ascii="Times New Roman" w:hAnsi="Times New Roman" w:cs="Times New Roman"/>
          <w:color w:val="222222"/>
          <w:sz w:val="24"/>
          <w:szCs w:val="24"/>
          <w:shd w:val="clear" w:color="auto" w:fill="FFFFFF"/>
          <w:lang w:val="en-GB"/>
        </w:rPr>
        <w:lastRenderedPageBreak/>
        <w:t>consumers. </w:t>
      </w:r>
      <w:r w:rsidRPr="000363C8">
        <w:rPr>
          <w:rFonts w:ascii="Times New Roman" w:hAnsi="Times New Roman" w:cs="Times New Roman"/>
          <w:i/>
          <w:iCs/>
          <w:color w:val="222222"/>
          <w:sz w:val="24"/>
          <w:szCs w:val="24"/>
          <w:shd w:val="clear" w:color="auto" w:fill="FFFFFF"/>
          <w:lang w:val="en-GB"/>
        </w:rPr>
        <w:t>Personal and Ubiquitous Computing</w:t>
      </w:r>
      <w:r w:rsidRPr="000363C8">
        <w:rPr>
          <w:rFonts w:ascii="Times New Roman" w:hAnsi="Times New Roman" w:cs="Times New Roman"/>
          <w:color w:val="222222"/>
          <w:sz w:val="24"/>
          <w:szCs w:val="24"/>
          <w:shd w:val="clear" w:color="auto" w:fill="FFFFFF"/>
          <w:lang w:val="en-GB"/>
        </w:rPr>
        <w:t>, </w:t>
      </w:r>
      <w:r w:rsidRPr="000363C8">
        <w:rPr>
          <w:rFonts w:ascii="Times New Roman" w:hAnsi="Times New Roman" w:cs="Times New Roman"/>
          <w:i/>
          <w:iCs/>
          <w:color w:val="222222"/>
          <w:sz w:val="24"/>
          <w:szCs w:val="24"/>
          <w:shd w:val="clear" w:color="auto" w:fill="FFFFFF"/>
          <w:lang w:val="en-GB"/>
        </w:rPr>
        <w:t>28</w:t>
      </w:r>
      <w:r w:rsidRPr="000363C8">
        <w:rPr>
          <w:rFonts w:ascii="Times New Roman" w:hAnsi="Times New Roman" w:cs="Times New Roman"/>
          <w:color w:val="222222"/>
          <w:sz w:val="24"/>
          <w:szCs w:val="24"/>
          <w:shd w:val="clear" w:color="auto" w:fill="FFFFFF"/>
          <w:lang w:val="en-GB"/>
        </w:rPr>
        <w:t xml:space="preserve">(1), pp.75-91. Available at: </w:t>
      </w:r>
      <w:hyperlink r:id="rId12" w:history="1">
        <w:r w:rsidRPr="000363C8">
          <w:rPr>
            <w:rStyle w:val="Hyperlink"/>
            <w:rFonts w:ascii="Times New Roman" w:hAnsi="Times New Roman" w:cs="Times New Roman"/>
            <w:sz w:val="24"/>
            <w:szCs w:val="24"/>
            <w:shd w:val="clear" w:color="auto" w:fill="FFFFFF"/>
            <w:lang w:val="en-GB"/>
          </w:rPr>
          <w:t>https://www.academia.edu/download/68394983/Panda_et_al_2021_Personal_and_Ubiquitous_Computing.pdf</w:t>
        </w:r>
      </w:hyperlink>
      <w:r w:rsidRPr="000363C8">
        <w:rPr>
          <w:rFonts w:ascii="Times New Roman" w:hAnsi="Times New Roman" w:cs="Times New Roman"/>
          <w:color w:val="222222"/>
          <w:sz w:val="24"/>
          <w:szCs w:val="24"/>
          <w:shd w:val="clear" w:color="auto" w:fill="FFFFFF"/>
          <w:lang w:val="en-GB"/>
        </w:rPr>
        <w:t xml:space="preserve"> </w:t>
      </w:r>
    </w:p>
    <w:p w14:paraId="302D33E5" w14:textId="77777777" w:rsidR="003033BA" w:rsidRPr="000363C8" w:rsidRDefault="003033BA" w:rsidP="003033BA">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color w:val="222222"/>
          <w:sz w:val="24"/>
          <w:szCs w:val="24"/>
          <w:shd w:val="clear" w:color="auto" w:fill="FFFFFF"/>
          <w:lang w:val="en-GB"/>
        </w:rPr>
        <w:t xml:space="preserve">Pichardo-Almarza, C. and </w:t>
      </w:r>
      <w:proofErr w:type="spellStart"/>
      <w:r w:rsidRPr="000363C8">
        <w:rPr>
          <w:rFonts w:ascii="Times New Roman" w:hAnsi="Times New Roman" w:cs="Times New Roman"/>
          <w:color w:val="222222"/>
          <w:sz w:val="24"/>
          <w:szCs w:val="24"/>
          <w:shd w:val="clear" w:color="auto" w:fill="FFFFFF"/>
          <w:lang w:val="en-GB"/>
        </w:rPr>
        <w:t>Kimko</w:t>
      </w:r>
      <w:proofErr w:type="spellEnd"/>
      <w:r w:rsidRPr="000363C8">
        <w:rPr>
          <w:rFonts w:ascii="Times New Roman" w:hAnsi="Times New Roman" w:cs="Times New Roman"/>
          <w:color w:val="222222"/>
          <w:sz w:val="24"/>
          <w:szCs w:val="24"/>
          <w:shd w:val="clear" w:color="auto" w:fill="FFFFFF"/>
          <w:lang w:val="en-GB"/>
        </w:rPr>
        <w:t>, H., (2025). Bridging Academia and Industry: Advancing Systems Biology and QSP Education through AstraZeneca's Collaborative Partnerships. </w:t>
      </w:r>
      <w:r w:rsidRPr="000363C8">
        <w:rPr>
          <w:rFonts w:ascii="Times New Roman" w:hAnsi="Times New Roman" w:cs="Times New Roman"/>
          <w:i/>
          <w:iCs/>
          <w:color w:val="222222"/>
          <w:sz w:val="24"/>
          <w:szCs w:val="24"/>
          <w:shd w:val="clear" w:color="auto" w:fill="FFFFFF"/>
          <w:lang w:val="en-GB"/>
        </w:rPr>
        <w:t>Frontiers in Systems Biology</w:t>
      </w:r>
      <w:r w:rsidRPr="000363C8">
        <w:rPr>
          <w:rFonts w:ascii="Times New Roman" w:hAnsi="Times New Roman" w:cs="Times New Roman"/>
          <w:color w:val="222222"/>
          <w:sz w:val="24"/>
          <w:szCs w:val="24"/>
          <w:shd w:val="clear" w:color="auto" w:fill="FFFFFF"/>
          <w:lang w:val="en-GB"/>
        </w:rPr>
        <w:t>, </w:t>
      </w:r>
      <w:r w:rsidRPr="000363C8">
        <w:rPr>
          <w:rFonts w:ascii="Times New Roman" w:hAnsi="Times New Roman" w:cs="Times New Roman"/>
          <w:i/>
          <w:iCs/>
          <w:color w:val="222222"/>
          <w:sz w:val="24"/>
          <w:szCs w:val="24"/>
          <w:shd w:val="clear" w:color="auto" w:fill="FFFFFF"/>
          <w:lang w:val="en-GB"/>
        </w:rPr>
        <w:t>5</w:t>
      </w:r>
      <w:r w:rsidRPr="000363C8">
        <w:rPr>
          <w:rFonts w:ascii="Times New Roman" w:hAnsi="Times New Roman" w:cs="Times New Roman"/>
          <w:color w:val="222222"/>
          <w:sz w:val="24"/>
          <w:szCs w:val="24"/>
          <w:shd w:val="clear" w:color="auto" w:fill="FFFFFF"/>
          <w:lang w:val="en-GB"/>
        </w:rPr>
        <w:t xml:space="preserve">, p.1627214. Available at: </w:t>
      </w:r>
      <w:hyperlink r:id="rId13" w:history="1">
        <w:r w:rsidRPr="000363C8">
          <w:rPr>
            <w:rStyle w:val="Hyperlink"/>
            <w:rFonts w:ascii="Times New Roman" w:hAnsi="Times New Roman" w:cs="Times New Roman"/>
            <w:sz w:val="24"/>
            <w:szCs w:val="24"/>
            <w:shd w:val="clear" w:color="auto" w:fill="FFFFFF"/>
            <w:lang w:val="en-GB"/>
          </w:rPr>
          <w:t>https://www.frontiersin.org/journals/systems-biology/articles/10.3389/fsysb.2025.1627214/pdf</w:t>
        </w:r>
      </w:hyperlink>
      <w:r w:rsidRPr="000363C8">
        <w:rPr>
          <w:rFonts w:ascii="Times New Roman" w:hAnsi="Times New Roman" w:cs="Times New Roman"/>
          <w:color w:val="222222"/>
          <w:sz w:val="24"/>
          <w:szCs w:val="24"/>
          <w:shd w:val="clear" w:color="auto" w:fill="FFFFFF"/>
          <w:lang w:val="en-GB"/>
        </w:rPr>
        <w:t xml:space="preserve"> </w:t>
      </w:r>
    </w:p>
    <w:p w14:paraId="512CA7EA" w14:textId="77777777" w:rsidR="003033BA" w:rsidRPr="000363C8" w:rsidRDefault="003033BA" w:rsidP="003033BA">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hAnsi="Times New Roman" w:cs="Times New Roman"/>
          <w:color w:val="222222"/>
          <w:sz w:val="24"/>
          <w:szCs w:val="24"/>
          <w:shd w:val="clear" w:color="auto" w:fill="FFFFFF"/>
          <w:lang w:val="en-GB"/>
        </w:rPr>
        <w:t>Roscoe, S., Aktas, E., Petersen, K.J., Skipworth, H.D., Handfield, R.B. and Habib, F., (2022). Redesigning global supply chains during compounding geopolitical disruptions: the role of supply chain logics. </w:t>
      </w:r>
      <w:r w:rsidRPr="000363C8">
        <w:rPr>
          <w:rFonts w:ascii="Times New Roman" w:hAnsi="Times New Roman" w:cs="Times New Roman"/>
          <w:i/>
          <w:iCs/>
          <w:color w:val="222222"/>
          <w:sz w:val="24"/>
          <w:szCs w:val="24"/>
          <w:shd w:val="clear" w:color="auto" w:fill="FFFFFF"/>
          <w:lang w:val="en-GB"/>
        </w:rPr>
        <w:t>International Journal of Operations &amp; Production Management</w:t>
      </w:r>
      <w:r w:rsidRPr="000363C8">
        <w:rPr>
          <w:rFonts w:ascii="Times New Roman" w:hAnsi="Times New Roman" w:cs="Times New Roman"/>
          <w:color w:val="222222"/>
          <w:sz w:val="24"/>
          <w:szCs w:val="24"/>
          <w:shd w:val="clear" w:color="auto" w:fill="FFFFFF"/>
          <w:lang w:val="en-GB"/>
        </w:rPr>
        <w:t>, </w:t>
      </w:r>
      <w:r w:rsidRPr="000363C8">
        <w:rPr>
          <w:rFonts w:ascii="Times New Roman" w:hAnsi="Times New Roman" w:cs="Times New Roman"/>
          <w:i/>
          <w:iCs/>
          <w:color w:val="222222"/>
          <w:sz w:val="24"/>
          <w:szCs w:val="24"/>
          <w:shd w:val="clear" w:color="auto" w:fill="FFFFFF"/>
          <w:lang w:val="en-GB"/>
        </w:rPr>
        <w:t>42</w:t>
      </w:r>
      <w:r w:rsidRPr="000363C8">
        <w:rPr>
          <w:rFonts w:ascii="Times New Roman" w:hAnsi="Times New Roman" w:cs="Times New Roman"/>
          <w:color w:val="222222"/>
          <w:sz w:val="24"/>
          <w:szCs w:val="24"/>
          <w:shd w:val="clear" w:color="auto" w:fill="FFFFFF"/>
          <w:lang w:val="en-GB"/>
        </w:rPr>
        <w:t xml:space="preserve">(9), pp.1407-1434. Available at: </w:t>
      </w:r>
      <w:hyperlink r:id="rId14" w:history="1">
        <w:r w:rsidRPr="000363C8">
          <w:rPr>
            <w:rStyle w:val="Hyperlink"/>
            <w:rFonts w:ascii="Times New Roman" w:hAnsi="Times New Roman" w:cs="Times New Roman"/>
            <w:sz w:val="24"/>
            <w:szCs w:val="24"/>
            <w:shd w:val="clear" w:color="auto" w:fill="FFFFFF"/>
            <w:lang w:val="en-GB"/>
          </w:rPr>
          <w:t>https://dspace.lib.cranfield.ac.uk/bitstreams/d725aa98-61f2-4cb7-b2aa-945deaf9b4c0/download</w:t>
        </w:r>
      </w:hyperlink>
      <w:r w:rsidRPr="000363C8">
        <w:rPr>
          <w:rFonts w:ascii="Times New Roman" w:hAnsi="Times New Roman" w:cs="Times New Roman"/>
          <w:color w:val="222222"/>
          <w:sz w:val="24"/>
          <w:szCs w:val="24"/>
          <w:shd w:val="clear" w:color="auto" w:fill="FFFFFF"/>
          <w:lang w:val="en-GB"/>
        </w:rPr>
        <w:t xml:space="preserve"> </w:t>
      </w:r>
    </w:p>
    <w:p w14:paraId="3932A00A" w14:textId="77777777" w:rsidR="003033BA" w:rsidRPr="000363C8" w:rsidRDefault="003033BA" w:rsidP="003033BA">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hAnsi="Times New Roman" w:cs="Times New Roman"/>
          <w:color w:val="222222"/>
          <w:sz w:val="24"/>
          <w:szCs w:val="24"/>
          <w:shd w:val="clear" w:color="auto" w:fill="FFFFFF"/>
          <w:lang w:val="en-GB"/>
        </w:rPr>
        <w:t xml:space="preserve">Sarkar, C., Das, B., Rawat, V.S., </w:t>
      </w:r>
      <w:proofErr w:type="spellStart"/>
      <w:r w:rsidRPr="000363C8">
        <w:rPr>
          <w:rFonts w:ascii="Times New Roman" w:hAnsi="Times New Roman" w:cs="Times New Roman"/>
          <w:color w:val="222222"/>
          <w:sz w:val="24"/>
          <w:szCs w:val="24"/>
          <w:shd w:val="clear" w:color="auto" w:fill="FFFFFF"/>
          <w:lang w:val="en-GB"/>
        </w:rPr>
        <w:t>Wahlang</w:t>
      </w:r>
      <w:proofErr w:type="spellEnd"/>
      <w:r w:rsidRPr="000363C8">
        <w:rPr>
          <w:rFonts w:ascii="Times New Roman" w:hAnsi="Times New Roman" w:cs="Times New Roman"/>
          <w:color w:val="222222"/>
          <w:sz w:val="24"/>
          <w:szCs w:val="24"/>
          <w:shd w:val="clear" w:color="auto" w:fill="FFFFFF"/>
          <w:lang w:val="en-GB"/>
        </w:rPr>
        <w:t xml:space="preserve">, J.B., </w:t>
      </w:r>
      <w:proofErr w:type="spellStart"/>
      <w:r w:rsidRPr="000363C8">
        <w:rPr>
          <w:rFonts w:ascii="Times New Roman" w:hAnsi="Times New Roman" w:cs="Times New Roman"/>
          <w:color w:val="222222"/>
          <w:sz w:val="24"/>
          <w:szCs w:val="24"/>
          <w:shd w:val="clear" w:color="auto" w:fill="FFFFFF"/>
          <w:lang w:val="en-GB"/>
        </w:rPr>
        <w:t>Nongpiur</w:t>
      </w:r>
      <w:proofErr w:type="spellEnd"/>
      <w:r w:rsidRPr="000363C8">
        <w:rPr>
          <w:rFonts w:ascii="Times New Roman" w:hAnsi="Times New Roman" w:cs="Times New Roman"/>
          <w:color w:val="222222"/>
          <w:sz w:val="24"/>
          <w:szCs w:val="24"/>
          <w:shd w:val="clear" w:color="auto" w:fill="FFFFFF"/>
          <w:lang w:val="en-GB"/>
        </w:rPr>
        <w:t xml:space="preserve">, A., </w:t>
      </w:r>
      <w:proofErr w:type="spellStart"/>
      <w:r w:rsidRPr="000363C8">
        <w:rPr>
          <w:rFonts w:ascii="Times New Roman" w:hAnsi="Times New Roman" w:cs="Times New Roman"/>
          <w:color w:val="222222"/>
          <w:sz w:val="24"/>
          <w:szCs w:val="24"/>
          <w:shd w:val="clear" w:color="auto" w:fill="FFFFFF"/>
          <w:lang w:val="en-GB"/>
        </w:rPr>
        <w:t>Tiewsoh</w:t>
      </w:r>
      <w:proofErr w:type="spellEnd"/>
      <w:r w:rsidRPr="000363C8">
        <w:rPr>
          <w:rFonts w:ascii="Times New Roman" w:hAnsi="Times New Roman" w:cs="Times New Roman"/>
          <w:color w:val="222222"/>
          <w:sz w:val="24"/>
          <w:szCs w:val="24"/>
          <w:shd w:val="clear" w:color="auto" w:fill="FFFFFF"/>
          <w:lang w:val="en-GB"/>
        </w:rPr>
        <w:t xml:space="preserve">, I., Lyngdoh, N.M., Das, D., </w:t>
      </w:r>
      <w:proofErr w:type="spellStart"/>
      <w:r w:rsidRPr="000363C8">
        <w:rPr>
          <w:rFonts w:ascii="Times New Roman" w:hAnsi="Times New Roman" w:cs="Times New Roman"/>
          <w:color w:val="222222"/>
          <w:sz w:val="24"/>
          <w:szCs w:val="24"/>
          <w:shd w:val="clear" w:color="auto" w:fill="FFFFFF"/>
          <w:lang w:val="en-GB"/>
        </w:rPr>
        <w:t>Bidarolli</w:t>
      </w:r>
      <w:proofErr w:type="spellEnd"/>
      <w:r w:rsidRPr="000363C8">
        <w:rPr>
          <w:rFonts w:ascii="Times New Roman" w:hAnsi="Times New Roman" w:cs="Times New Roman"/>
          <w:color w:val="222222"/>
          <w:sz w:val="24"/>
          <w:szCs w:val="24"/>
          <w:shd w:val="clear" w:color="auto" w:fill="FFFFFF"/>
          <w:lang w:val="en-GB"/>
        </w:rPr>
        <w:t>, M. and Sony, H.T., (2023). Artificial intelligence and machine learning technology driven modern drug discovery and development. </w:t>
      </w:r>
      <w:r w:rsidRPr="000363C8">
        <w:rPr>
          <w:rFonts w:ascii="Times New Roman" w:hAnsi="Times New Roman" w:cs="Times New Roman"/>
          <w:i/>
          <w:iCs/>
          <w:color w:val="222222"/>
          <w:sz w:val="24"/>
          <w:szCs w:val="24"/>
          <w:shd w:val="clear" w:color="auto" w:fill="FFFFFF"/>
          <w:lang w:val="en-GB"/>
        </w:rPr>
        <w:t>International Journal of Molecular Sciences</w:t>
      </w:r>
      <w:r w:rsidRPr="000363C8">
        <w:rPr>
          <w:rFonts w:ascii="Times New Roman" w:hAnsi="Times New Roman" w:cs="Times New Roman"/>
          <w:color w:val="222222"/>
          <w:sz w:val="24"/>
          <w:szCs w:val="24"/>
          <w:shd w:val="clear" w:color="auto" w:fill="FFFFFF"/>
          <w:lang w:val="en-GB"/>
        </w:rPr>
        <w:t>, </w:t>
      </w:r>
      <w:r w:rsidRPr="000363C8">
        <w:rPr>
          <w:rFonts w:ascii="Times New Roman" w:hAnsi="Times New Roman" w:cs="Times New Roman"/>
          <w:i/>
          <w:iCs/>
          <w:color w:val="222222"/>
          <w:sz w:val="24"/>
          <w:szCs w:val="24"/>
          <w:shd w:val="clear" w:color="auto" w:fill="FFFFFF"/>
          <w:lang w:val="en-GB"/>
        </w:rPr>
        <w:t>24</w:t>
      </w:r>
      <w:r w:rsidRPr="000363C8">
        <w:rPr>
          <w:rFonts w:ascii="Times New Roman" w:hAnsi="Times New Roman" w:cs="Times New Roman"/>
          <w:color w:val="222222"/>
          <w:sz w:val="24"/>
          <w:szCs w:val="24"/>
          <w:shd w:val="clear" w:color="auto" w:fill="FFFFFF"/>
          <w:lang w:val="en-GB"/>
        </w:rPr>
        <w:t xml:space="preserve">(3), p.2026. Available at: </w:t>
      </w:r>
      <w:hyperlink r:id="rId15" w:history="1">
        <w:r w:rsidRPr="000363C8">
          <w:rPr>
            <w:rStyle w:val="Hyperlink"/>
            <w:rFonts w:ascii="Times New Roman" w:hAnsi="Times New Roman" w:cs="Times New Roman"/>
            <w:sz w:val="24"/>
            <w:szCs w:val="24"/>
            <w:shd w:val="clear" w:color="auto" w:fill="FFFFFF"/>
            <w:lang w:val="en-GB"/>
          </w:rPr>
          <w:t>https://doi.org/10.3390/ijms24032026</w:t>
        </w:r>
      </w:hyperlink>
      <w:r w:rsidRPr="000363C8">
        <w:rPr>
          <w:rFonts w:ascii="Times New Roman" w:hAnsi="Times New Roman" w:cs="Times New Roman"/>
          <w:color w:val="222222"/>
          <w:sz w:val="24"/>
          <w:szCs w:val="24"/>
          <w:shd w:val="clear" w:color="auto" w:fill="FFFFFF"/>
          <w:lang w:val="en-GB"/>
        </w:rPr>
        <w:t xml:space="preserve"> </w:t>
      </w:r>
    </w:p>
    <w:p w14:paraId="663265EA" w14:textId="77777777" w:rsidR="003033BA" w:rsidRPr="000363C8" w:rsidRDefault="003033BA" w:rsidP="003033BA">
      <w:pPr>
        <w:spacing w:after="120" w:line="360" w:lineRule="auto"/>
        <w:jc w:val="both"/>
        <w:rPr>
          <w:rFonts w:ascii="Times New Roman" w:eastAsia="Times New Roman" w:hAnsi="Times New Roman" w:cs="Times New Roman"/>
          <w:sz w:val="24"/>
          <w:szCs w:val="24"/>
          <w:lang w:val="en-GB" w:eastAsia="en-IN"/>
        </w:rPr>
      </w:pPr>
      <w:r w:rsidRPr="000363C8">
        <w:rPr>
          <w:rFonts w:ascii="Times New Roman" w:hAnsi="Times New Roman" w:cs="Times New Roman"/>
          <w:color w:val="222222"/>
          <w:sz w:val="24"/>
          <w:szCs w:val="24"/>
          <w:shd w:val="clear" w:color="auto" w:fill="FFFFFF"/>
          <w:lang w:val="en-GB"/>
        </w:rPr>
        <w:t xml:space="preserve">Streur, J. (2025), Cold Chains, China, and Climate in the Pharmaceutical Risk Equation. [online] Available at: </w:t>
      </w:r>
      <w:hyperlink r:id="rId16" w:history="1">
        <w:r w:rsidRPr="000363C8">
          <w:rPr>
            <w:rStyle w:val="Hyperlink"/>
            <w:rFonts w:ascii="Times New Roman" w:hAnsi="Times New Roman" w:cs="Times New Roman"/>
            <w:sz w:val="24"/>
            <w:szCs w:val="24"/>
            <w:shd w:val="clear" w:color="auto" w:fill="FFFFFF"/>
            <w:lang w:val="en-GB"/>
          </w:rPr>
          <w:t>https://bostoncommonasset.com/wp-content/uploads/2025/07/Supply-Strain-Pharmaceutical-Risk-Equation-Boston-Common-Asset-Management-July-2025.pdf</w:t>
        </w:r>
      </w:hyperlink>
      <w:r w:rsidRPr="000363C8">
        <w:rPr>
          <w:rFonts w:ascii="Times New Roman" w:hAnsi="Times New Roman" w:cs="Times New Roman"/>
          <w:color w:val="222222"/>
          <w:sz w:val="24"/>
          <w:szCs w:val="24"/>
          <w:shd w:val="clear" w:color="auto" w:fill="FFFFFF"/>
          <w:lang w:val="en-GB"/>
        </w:rPr>
        <w:t xml:space="preserve"> [Accessed: 9 December 2025]</w:t>
      </w:r>
    </w:p>
    <w:p w14:paraId="367CAA62" w14:textId="77777777" w:rsidR="003033BA" w:rsidRPr="000363C8" w:rsidRDefault="003033BA" w:rsidP="003033BA">
      <w:pPr>
        <w:spacing w:after="120" w:line="360" w:lineRule="auto"/>
        <w:jc w:val="both"/>
        <w:rPr>
          <w:rFonts w:ascii="Times New Roman" w:hAnsi="Times New Roman" w:cs="Times New Roman"/>
          <w:sz w:val="24"/>
          <w:szCs w:val="24"/>
          <w:lang w:val="en-GB"/>
        </w:rPr>
      </w:pPr>
      <w:r w:rsidRPr="000363C8">
        <w:rPr>
          <w:rFonts w:ascii="Times New Roman" w:hAnsi="Times New Roman" w:cs="Times New Roman"/>
          <w:color w:val="222222"/>
          <w:sz w:val="24"/>
          <w:szCs w:val="24"/>
          <w:shd w:val="clear" w:color="auto" w:fill="FFFFFF"/>
          <w:lang w:val="en-GB"/>
        </w:rPr>
        <w:t>Villena, V.H., (2019). The missing link? The strategic role of procurement in building sustainable supply networks. </w:t>
      </w:r>
      <w:r w:rsidRPr="000363C8">
        <w:rPr>
          <w:rFonts w:ascii="Times New Roman" w:hAnsi="Times New Roman" w:cs="Times New Roman"/>
          <w:i/>
          <w:iCs/>
          <w:color w:val="222222"/>
          <w:sz w:val="24"/>
          <w:szCs w:val="24"/>
          <w:shd w:val="clear" w:color="auto" w:fill="FFFFFF"/>
          <w:lang w:val="en-GB"/>
        </w:rPr>
        <w:t>Production and Operations Management</w:t>
      </w:r>
      <w:r w:rsidRPr="000363C8">
        <w:rPr>
          <w:rFonts w:ascii="Times New Roman" w:hAnsi="Times New Roman" w:cs="Times New Roman"/>
          <w:color w:val="222222"/>
          <w:sz w:val="24"/>
          <w:szCs w:val="24"/>
          <w:shd w:val="clear" w:color="auto" w:fill="FFFFFF"/>
          <w:lang w:val="en-GB"/>
        </w:rPr>
        <w:t>, </w:t>
      </w:r>
      <w:r w:rsidRPr="000363C8">
        <w:rPr>
          <w:rFonts w:ascii="Times New Roman" w:hAnsi="Times New Roman" w:cs="Times New Roman"/>
          <w:i/>
          <w:iCs/>
          <w:color w:val="222222"/>
          <w:sz w:val="24"/>
          <w:szCs w:val="24"/>
          <w:shd w:val="clear" w:color="auto" w:fill="FFFFFF"/>
          <w:lang w:val="en-GB"/>
        </w:rPr>
        <w:t>28</w:t>
      </w:r>
      <w:r w:rsidRPr="000363C8">
        <w:rPr>
          <w:rFonts w:ascii="Times New Roman" w:hAnsi="Times New Roman" w:cs="Times New Roman"/>
          <w:color w:val="222222"/>
          <w:sz w:val="24"/>
          <w:szCs w:val="24"/>
          <w:shd w:val="clear" w:color="auto" w:fill="FFFFFF"/>
          <w:lang w:val="en-GB"/>
        </w:rPr>
        <w:t xml:space="preserve">(5), pp.1149-1172. Available at: </w:t>
      </w:r>
      <w:hyperlink r:id="rId17" w:history="1">
        <w:r w:rsidRPr="000363C8">
          <w:rPr>
            <w:rStyle w:val="Hyperlink"/>
            <w:rFonts w:ascii="Times New Roman" w:hAnsi="Times New Roman" w:cs="Times New Roman"/>
            <w:sz w:val="24"/>
            <w:szCs w:val="24"/>
            <w:shd w:val="clear" w:color="auto" w:fill="FFFFFF"/>
            <w:lang w:val="en-GB"/>
          </w:rPr>
          <w:t>https://papers.ssrn.com/sol3/Delivery.cfm?abstractid=3310919</w:t>
        </w:r>
      </w:hyperlink>
      <w:r w:rsidRPr="000363C8">
        <w:rPr>
          <w:rFonts w:ascii="Times New Roman" w:hAnsi="Times New Roman" w:cs="Times New Roman"/>
          <w:color w:val="222222"/>
          <w:sz w:val="24"/>
          <w:szCs w:val="24"/>
          <w:shd w:val="clear" w:color="auto" w:fill="FFFFFF"/>
          <w:lang w:val="en-GB"/>
        </w:rPr>
        <w:t xml:space="preserve"> </w:t>
      </w:r>
    </w:p>
    <w:p w14:paraId="67A14C6A" w14:textId="77777777" w:rsidR="003033BA" w:rsidRPr="000363C8" w:rsidRDefault="003033BA" w:rsidP="00CF3E77">
      <w:pPr>
        <w:spacing w:after="120" w:line="360" w:lineRule="auto"/>
        <w:jc w:val="both"/>
        <w:rPr>
          <w:rFonts w:ascii="Times New Roman" w:hAnsi="Times New Roman" w:cs="Times New Roman"/>
          <w:sz w:val="24"/>
          <w:szCs w:val="24"/>
          <w:lang w:val="en-GB"/>
        </w:rPr>
      </w:pPr>
    </w:p>
    <w:sectPr w:rsidR="003033BA" w:rsidRPr="000363C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F2E06" w14:textId="77777777" w:rsidR="00F53EBE" w:rsidRDefault="00F53EBE" w:rsidP="0032185F">
      <w:pPr>
        <w:spacing w:after="0" w:line="240" w:lineRule="auto"/>
      </w:pPr>
      <w:r>
        <w:separator/>
      </w:r>
    </w:p>
  </w:endnote>
  <w:endnote w:type="continuationSeparator" w:id="0">
    <w:p w14:paraId="4401886F" w14:textId="77777777" w:rsidR="00F53EBE" w:rsidRDefault="00F53EBE" w:rsidP="00321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4972798"/>
      <w:docPartObj>
        <w:docPartGallery w:val="Page Numbers (Bottom of Page)"/>
        <w:docPartUnique/>
      </w:docPartObj>
    </w:sdtPr>
    <w:sdtEndPr>
      <w:rPr>
        <w:noProof/>
      </w:rPr>
    </w:sdtEndPr>
    <w:sdtContent>
      <w:p w14:paraId="081B0445" w14:textId="77777777" w:rsidR="0032185F" w:rsidRDefault="0032185F">
        <w:pPr>
          <w:pStyle w:val="Footer"/>
          <w:jc w:val="right"/>
        </w:pPr>
        <w:r>
          <w:fldChar w:fldCharType="begin"/>
        </w:r>
        <w:r>
          <w:instrText xml:space="preserve"> PAGE   \* MERGEFORMAT </w:instrText>
        </w:r>
        <w:r>
          <w:fldChar w:fldCharType="separate"/>
        </w:r>
        <w:r w:rsidR="003435A4">
          <w:rPr>
            <w:noProof/>
          </w:rPr>
          <w:t>2</w:t>
        </w:r>
        <w:r>
          <w:rPr>
            <w:noProof/>
          </w:rPr>
          <w:fldChar w:fldCharType="end"/>
        </w:r>
      </w:p>
    </w:sdtContent>
  </w:sdt>
  <w:p w14:paraId="0F7F6ECF" w14:textId="77777777" w:rsidR="0032185F" w:rsidRDefault="003218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2A1C26" w14:textId="77777777" w:rsidR="00F53EBE" w:rsidRDefault="00F53EBE" w:rsidP="0032185F">
      <w:pPr>
        <w:spacing w:after="0" w:line="240" w:lineRule="auto"/>
      </w:pPr>
      <w:r>
        <w:separator/>
      </w:r>
    </w:p>
  </w:footnote>
  <w:footnote w:type="continuationSeparator" w:id="0">
    <w:p w14:paraId="2108BB08" w14:textId="77777777" w:rsidR="00F53EBE" w:rsidRDefault="00F53EBE" w:rsidP="003218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DQ3srAwNDM1szQzNDVS0lEKTi0uzszPAykwqQUAYJqMuCwAAAA="/>
  </w:docVars>
  <w:rsids>
    <w:rsidRoot w:val="009658BF"/>
    <w:rsid w:val="00016C88"/>
    <w:rsid w:val="0002145A"/>
    <w:rsid w:val="000363C8"/>
    <w:rsid w:val="000427E2"/>
    <w:rsid w:val="00070184"/>
    <w:rsid w:val="00072447"/>
    <w:rsid w:val="000C3335"/>
    <w:rsid w:val="00147EFD"/>
    <w:rsid w:val="00173D13"/>
    <w:rsid w:val="001E676E"/>
    <w:rsid w:val="001F2CB1"/>
    <w:rsid w:val="002C1F76"/>
    <w:rsid w:val="003033BA"/>
    <w:rsid w:val="0032185F"/>
    <w:rsid w:val="003435A4"/>
    <w:rsid w:val="00372A3B"/>
    <w:rsid w:val="003F5F55"/>
    <w:rsid w:val="0047758F"/>
    <w:rsid w:val="00585999"/>
    <w:rsid w:val="005E228B"/>
    <w:rsid w:val="006210EA"/>
    <w:rsid w:val="00646050"/>
    <w:rsid w:val="00663CC2"/>
    <w:rsid w:val="00665CF0"/>
    <w:rsid w:val="006710F8"/>
    <w:rsid w:val="006B2621"/>
    <w:rsid w:val="00726D86"/>
    <w:rsid w:val="00741FCF"/>
    <w:rsid w:val="007C28DA"/>
    <w:rsid w:val="0086558F"/>
    <w:rsid w:val="00892526"/>
    <w:rsid w:val="00903394"/>
    <w:rsid w:val="009658BF"/>
    <w:rsid w:val="009D08E1"/>
    <w:rsid w:val="00A03766"/>
    <w:rsid w:val="00A24EB0"/>
    <w:rsid w:val="00A37790"/>
    <w:rsid w:val="00AC56E6"/>
    <w:rsid w:val="00AD46B5"/>
    <w:rsid w:val="00AD7786"/>
    <w:rsid w:val="00B73775"/>
    <w:rsid w:val="00C03177"/>
    <w:rsid w:val="00CF3E77"/>
    <w:rsid w:val="00DA3B61"/>
    <w:rsid w:val="00DD48B2"/>
    <w:rsid w:val="00E371E4"/>
    <w:rsid w:val="00E40D88"/>
    <w:rsid w:val="00E90E0C"/>
    <w:rsid w:val="00F53EBE"/>
    <w:rsid w:val="00F57A0D"/>
    <w:rsid w:val="00F76E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3DFB0"/>
  <w15:chartTrackingRefBased/>
  <w15:docId w15:val="{477E4A95-26FD-4624-966E-3DEDDD2FD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76EBF"/>
    <w:pPr>
      <w:spacing w:before="100" w:beforeAutospacing="1" w:after="100" w:afterAutospacing="1" w:line="240" w:lineRule="auto"/>
      <w:outlineLvl w:val="0"/>
    </w:pPr>
    <w:rPr>
      <w:rFonts w:ascii="Times New Roman" w:eastAsia="Times New Roman" w:hAnsi="Times New Roman" w:cs="Times New Roman"/>
      <w:b/>
      <w:bCs/>
      <w:color w:val="2E74B5" w:themeColor="accent1" w:themeShade="BF"/>
      <w:kern w:val="36"/>
      <w:sz w:val="32"/>
      <w:szCs w:val="48"/>
      <w:lang w:eastAsia="en-IN"/>
    </w:rPr>
  </w:style>
  <w:style w:type="paragraph" w:styleId="Heading2">
    <w:name w:val="heading 2"/>
    <w:basedOn w:val="Normal"/>
    <w:link w:val="Heading2Char"/>
    <w:uiPriority w:val="9"/>
    <w:qFormat/>
    <w:rsid w:val="00903394"/>
    <w:pPr>
      <w:spacing w:before="100" w:beforeAutospacing="1" w:after="100" w:afterAutospacing="1" w:line="240" w:lineRule="auto"/>
      <w:outlineLvl w:val="1"/>
    </w:pPr>
    <w:rPr>
      <w:rFonts w:ascii="Times New Roman" w:eastAsia="Times New Roman" w:hAnsi="Times New Roman" w:cs="Times New Roman"/>
      <w:b/>
      <w:bCs/>
      <w:color w:val="5B9BD5" w:themeColor="accent1"/>
      <w:sz w:val="28"/>
      <w:szCs w:val="36"/>
      <w:lang w:eastAsia="en-IN"/>
    </w:rPr>
  </w:style>
  <w:style w:type="paragraph" w:styleId="Heading3">
    <w:name w:val="heading 3"/>
    <w:basedOn w:val="Normal"/>
    <w:link w:val="Heading3Char"/>
    <w:uiPriority w:val="9"/>
    <w:qFormat/>
    <w:rsid w:val="00B73775"/>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6">
    <w:name w:val="heading 6"/>
    <w:basedOn w:val="Normal"/>
    <w:next w:val="Normal"/>
    <w:link w:val="Heading6Char"/>
    <w:uiPriority w:val="9"/>
    <w:semiHidden/>
    <w:unhideWhenUsed/>
    <w:qFormat/>
    <w:rsid w:val="007C28D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D46B5"/>
    <w:pPr>
      <w:spacing w:after="0" w:line="240" w:lineRule="auto"/>
      <w:contextualSpacing/>
    </w:pPr>
    <w:rPr>
      <w:rFonts w:asciiTheme="majorHAnsi" w:eastAsiaTheme="majorEastAsia" w:hAnsiTheme="majorHAnsi" w:cstheme="majorBidi"/>
      <w:color w:val="2E74B5" w:themeColor="accent1" w:themeShade="BF"/>
      <w:spacing w:val="-10"/>
      <w:kern w:val="28"/>
      <w:sz w:val="56"/>
      <w:szCs w:val="56"/>
    </w:rPr>
  </w:style>
  <w:style w:type="character" w:customStyle="1" w:styleId="TitleChar">
    <w:name w:val="Title Char"/>
    <w:basedOn w:val="DefaultParagraphFont"/>
    <w:link w:val="Title"/>
    <w:uiPriority w:val="10"/>
    <w:rsid w:val="00AD46B5"/>
    <w:rPr>
      <w:rFonts w:asciiTheme="majorHAnsi" w:eastAsiaTheme="majorEastAsia" w:hAnsiTheme="majorHAnsi" w:cstheme="majorBidi"/>
      <w:color w:val="2E74B5" w:themeColor="accent1" w:themeShade="BF"/>
      <w:spacing w:val="-10"/>
      <w:kern w:val="28"/>
      <w:sz w:val="56"/>
      <w:szCs w:val="56"/>
    </w:rPr>
  </w:style>
  <w:style w:type="paragraph" w:styleId="Header">
    <w:name w:val="header"/>
    <w:basedOn w:val="Normal"/>
    <w:link w:val="HeaderChar"/>
    <w:uiPriority w:val="99"/>
    <w:unhideWhenUsed/>
    <w:rsid w:val="003218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85F"/>
  </w:style>
  <w:style w:type="paragraph" w:styleId="Footer">
    <w:name w:val="footer"/>
    <w:basedOn w:val="Normal"/>
    <w:link w:val="FooterChar"/>
    <w:uiPriority w:val="99"/>
    <w:unhideWhenUsed/>
    <w:rsid w:val="003218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85F"/>
  </w:style>
  <w:style w:type="paragraph" w:styleId="NormalWeb">
    <w:name w:val="Normal (Web)"/>
    <w:basedOn w:val="Normal"/>
    <w:uiPriority w:val="99"/>
    <w:semiHidden/>
    <w:unhideWhenUsed/>
    <w:rsid w:val="0032185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F76EBF"/>
    <w:rPr>
      <w:rFonts w:ascii="Times New Roman" w:eastAsia="Times New Roman" w:hAnsi="Times New Roman" w:cs="Times New Roman"/>
      <w:b/>
      <w:bCs/>
      <w:color w:val="2E74B5" w:themeColor="accent1" w:themeShade="BF"/>
      <w:kern w:val="36"/>
      <w:sz w:val="32"/>
      <w:szCs w:val="48"/>
      <w:lang w:eastAsia="en-IN"/>
    </w:rPr>
  </w:style>
  <w:style w:type="character" w:customStyle="1" w:styleId="Heading2Char">
    <w:name w:val="Heading 2 Char"/>
    <w:basedOn w:val="DefaultParagraphFont"/>
    <w:link w:val="Heading2"/>
    <w:uiPriority w:val="9"/>
    <w:rsid w:val="00903394"/>
    <w:rPr>
      <w:rFonts w:ascii="Times New Roman" w:eastAsia="Times New Roman" w:hAnsi="Times New Roman" w:cs="Times New Roman"/>
      <w:b/>
      <w:bCs/>
      <w:color w:val="5B9BD5" w:themeColor="accent1"/>
      <w:sz w:val="28"/>
      <w:szCs w:val="36"/>
      <w:lang w:eastAsia="en-IN"/>
    </w:rPr>
  </w:style>
  <w:style w:type="character" w:customStyle="1" w:styleId="Heading3Char">
    <w:name w:val="Heading 3 Char"/>
    <w:basedOn w:val="DefaultParagraphFont"/>
    <w:link w:val="Heading3"/>
    <w:uiPriority w:val="9"/>
    <w:rsid w:val="00B73775"/>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B73775"/>
    <w:rPr>
      <w:b/>
      <w:bCs/>
    </w:rPr>
  </w:style>
  <w:style w:type="character" w:customStyle="1" w:styleId="Heading6Char">
    <w:name w:val="Heading 6 Char"/>
    <w:basedOn w:val="DefaultParagraphFont"/>
    <w:link w:val="Heading6"/>
    <w:uiPriority w:val="9"/>
    <w:semiHidden/>
    <w:rsid w:val="007C28DA"/>
    <w:rPr>
      <w:rFonts w:asciiTheme="majorHAnsi" w:eastAsiaTheme="majorEastAsia" w:hAnsiTheme="majorHAnsi" w:cstheme="majorBidi"/>
      <w:color w:val="1F4D78" w:themeColor="accent1" w:themeShade="7F"/>
    </w:rPr>
  </w:style>
  <w:style w:type="character" w:styleId="Hyperlink">
    <w:name w:val="Hyperlink"/>
    <w:basedOn w:val="DefaultParagraphFont"/>
    <w:uiPriority w:val="99"/>
    <w:unhideWhenUsed/>
    <w:rsid w:val="003033BA"/>
    <w:rPr>
      <w:color w:val="0563C1" w:themeColor="hyperlink"/>
      <w:u w:val="single"/>
    </w:rPr>
  </w:style>
  <w:style w:type="character" w:styleId="UnresolvedMention">
    <w:name w:val="Unresolved Mention"/>
    <w:basedOn w:val="DefaultParagraphFont"/>
    <w:uiPriority w:val="99"/>
    <w:semiHidden/>
    <w:unhideWhenUsed/>
    <w:rsid w:val="000724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57675">
      <w:bodyDiv w:val="1"/>
      <w:marLeft w:val="0"/>
      <w:marRight w:val="0"/>
      <w:marTop w:val="0"/>
      <w:marBottom w:val="0"/>
      <w:divBdr>
        <w:top w:val="none" w:sz="0" w:space="0" w:color="auto"/>
        <w:left w:val="none" w:sz="0" w:space="0" w:color="auto"/>
        <w:bottom w:val="none" w:sz="0" w:space="0" w:color="auto"/>
        <w:right w:val="none" w:sz="0" w:space="0" w:color="auto"/>
      </w:divBdr>
    </w:div>
    <w:div w:id="330722677">
      <w:bodyDiv w:val="1"/>
      <w:marLeft w:val="0"/>
      <w:marRight w:val="0"/>
      <w:marTop w:val="0"/>
      <w:marBottom w:val="0"/>
      <w:divBdr>
        <w:top w:val="none" w:sz="0" w:space="0" w:color="auto"/>
        <w:left w:val="none" w:sz="0" w:space="0" w:color="auto"/>
        <w:bottom w:val="none" w:sz="0" w:space="0" w:color="auto"/>
        <w:right w:val="none" w:sz="0" w:space="0" w:color="auto"/>
      </w:divBdr>
      <w:divsChild>
        <w:div w:id="38675028">
          <w:marLeft w:val="0"/>
          <w:marRight w:val="0"/>
          <w:marTop w:val="0"/>
          <w:marBottom w:val="0"/>
          <w:divBdr>
            <w:top w:val="none" w:sz="0" w:space="0" w:color="auto"/>
            <w:left w:val="none" w:sz="0" w:space="0" w:color="auto"/>
            <w:bottom w:val="none" w:sz="0" w:space="0" w:color="auto"/>
            <w:right w:val="none" w:sz="0" w:space="0" w:color="auto"/>
          </w:divBdr>
          <w:divsChild>
            <w:div w:id="1649090612">
              <w:marLeft w:val="0"/>
              <w:marRight w:val="0"/>
              <w:marTop w:val="0"/>
              <w:marBottom w:val="0"/>
              <w:divBdr>
                <w:top w:val="none" w:sz="0" w:space="0" w:color="auto"/>
                <w:left w:val="none" w:sz="0" w:space="0" w:color="auto"/>
                <w:bottom w:val="none" w:sz="0" w:space="0" w:color="auto"/>
                <w:right w:val="none" w:sz="0" w:space="0" w:color="auto"/>
              </w:divBdr>
              <w:divsChild>
                <w:div w:id="1490487546">
                  <w:marLeft w:val="0"/>
                  <w:marRight w:val="0"/>
                  <w:marTop w:val="0"/>
                  <w:marBottom w:val="0"/>
                  <w:divBdr>
                    <w:top w:val="none" w:sz="0" w:space="0" w:color="auto"/>
                    <w:left w:val="none" w:sz="0" w:space="0" w:color="auto"/>
                    <w:bottom w:val="none" w:sz="0" w:space="0" w:color="auto"/>
                    <w:right w:val="none" w:sz="0" w:space="0" w:color="auto"/>
                  </w:divBdr>
                  <w:divsChild>
                    <w:div w:id="381945775">
                      <w:marLeft w:val="0"/>
                      <w:marRight w:val="0"/>
                      <w:marTop w:val="0"/>
                      <w:marBottom w:val="0"/>
                      <w:divBdr>
                        <w:top w:val="none" w:sz="0" w:space="0" w:color="auto"/>
                        <w:left w:val="none" w:sz="0" w:space="0" w:color="auto"/>
                        <w:bottom w:val="none" w:sz="0" w:space="0" w:color="auto"/>
                        <w:right w:val="none" w:sz="0" w:space="0" w:color="auto"/>
                      </w:divBdr>
                      <w:divsChild>
                        <w:div w:id="290408000">
                          <w:marLeft w:val="0"/>
                          <w:marRight w:val="0"/>
                          <w:marTop w:val="0"/>
                          <w:marBottom w:val="0"/>
                          <w:divBdr>
                            <w:top w:val="none" w:sz="0" w:space="0" w:color="auto"/>
                            <w:left w:val="none" w:sz="0" w:space="0" w:color="auto"/>
                            <w:bottom w:val="none" w:sz="0" w:space="0" w:color="auto"/>
                            <w:right w:val="none" w:sz="0" w:space="0" w:color="auto"/>
                          </w:divBdr>
                          <w:divsChild>
                            <w:div w:id="131930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5213830">
      <w:bodyDiv w:val="1"/>
      <w:marLeft w:val="0"/>
      <w:marRight w:val="0"/>
      <w:marTop w:val="0"/>
      <w:marBottom w:val="0"/>
      <w:divBdr>
        <w:top w:val="none" w:sz="0" w:space="0" w:color="auto"/>
        <w:left w:val="none" w:sz="0" w:space="0" w:color="auto"/>
        <w:bottom w:val="none" w:sz="0" w:space="0" w:color="auto"/>
        <w:right w:val="none" w:sz="0" w:space="0" w:color="auto"/>
      </w:divBdr>
    </w:div>
    <w:div w:id="1908492782">
      <w:bodyDiv w:val="1"/>
      <w:marLeft w:val="0"/>
      <w:marRight w:val="0"/>
      <w:marTop w:val="0"/>
      <w:marBottom w:val="0"/>
      <w:divBdr>
        <w:top w:val="none" w:sz="0" w:space="0" w:color="auto"/>
        <w:left w:val="none" w:sz="0" w:space="0" w:color="auto"/>
        <w:bottom w:val="none" w:sz="0" w:space="0" w:color="auto"/>
        <w:right w:val="none" w:sz="0" w:space="0" w:color="auto"/>
      </w:divBdr>
    </w:div>
    <w:div w:id="201787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xiv.org/pdf/2401.10273" TargetMode="External"/><Relationship Id="rId13" Type="http://schemas.openxmlformats.org/officeDocument/2006/relationships/hyperlink" Target="https://www.frontiersin.org/journals/systems-biology/articles/10.3389/fsysb.2025.1627214/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pubs.acs.org/doi/full/10.1021/acs.jmedchem.4c01257" TargetMode="External"/><Relationship Id="rId12" Type="http://schemas.openxmlformats.org/officeDocument/2006/relationships/hyperlink" Target="https://www.academia.edu/download/68394983/Panda_et_al_2021_Personal_and_Ubiquitous_Computing.pdf" TargetMode="External"/><Relationship Id="rId17" Type="http://schemas.openxmlformats.org/officeDocument/2006/relationships/hyperlink" Target="https://papers.ssrn.com/sol3/Delivery.cfm?abstractid=3310919" TargetMode="External"/><Relationship Id="rId2" Type="http://schemas.openxmlformats.org/officeDocument/2006/relationships/settings" Target="settings.xml"/><Relationship Id="rId16" Type="http://schemas.openxmlformats.org/officeDocument/2006/relationships/hyperlink" Target="https://bostoncommonasset.com/wp-content/uploads/2025/07/Supply-Strain-Pharmaceutical-Risk-Equation-Boston-Common-Asset-Management-July-2025.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ora.ox.ac.uk/objects/uuid:870e9f65-c266-4d8f-a570-481377d3881c/files/rh128ng75b" TargetMode="External"/><Relationship Id="rId11" Type="http://schemas.openxmlformats.org/officeDocument/2006/relationships/hyperlink" Target="https://doi.org/10.1057/s41278-024-00287-z" TargetMode="External"/><Relationship Id="rId5" Type="http://schemas.openxmlformats.org/officeDocument/2006/relationships/endnotes" Target="endnotes.xml"/><Relationship Id="rId15" Type="http://schemas.openxmlformats.org/officeDocument/2006/relationships/hyperlink" Target="https://doi.org/10.3390/ijms24032026" TargetMode="External"/><Relationship Id="rId10" Type="http://schemas.openxmlformats.org/officeDocument/2006/relationships/hyperlink" Target="https://www.frontiersin.org/journals/computer-science/articles/10.3389/fcomp.2022.1068361/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pmc.ncbi.nlm.nih.gov/articles/PMC7275123/pdf/11036_2020_Article_1557.pdf" TargetMode="External"/><Relationship Id="rId14" Type="http://schemas.openxmlformats.org/officeDocument/2006/relationships/hyperlink" Target="https://dspace.lib.cranfield.ac.uk/bitstreams/d725aa98-61f2-4cb7-b2aa-945deaf9b4c0/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2527</Words>
  <Characters>14406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Yousra Kammiri</cp:lastModifiedBy>
  <cp:revision>2</cp:revision>
  <dcterms:created xsi:type="dcterms:W3CDTF">2025-12-10T22:47:00Z</dcterms:created>
  <dcterms:modified xsi:type="dcterms:W3CDTF">2025-12-10T22:47:00Z</dcterms:modified>
</cp:coreProperties>
</file>