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glossary/webSettings.xml" ContentType="application/vnd.openxmlformats-officedocument.wordprocessingml.webSetting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18560" w14:textId="77777777" w:rsidR="00BC3C2C" w:rsidRDefault="00BC3C2C" w:rsidP="00BC3C2C">
      <w:pPr>
        <w:pStyle w:val="NoSpacing"/>
      </w:pPr>
      <w:r>
        <w:rPr>
          <w:noProof/>
        </w:rPr>
        <w:drawing>
          <wp:inline distT="0" distB="0" distL="0" distR="0" wp14:anchorId="7B470E99" wp14:editId="70080163">
            <wp:extent cx="5274310" cy="2350770"/>
            <wp:effectExtent l="0" t="0" r="2540" b="0"/>
            <wp:docPr id="164136307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350770"/>
                    </a:xfrm>
                    <a:prstGeom prst="rect">
                      <a:avLst/>
                    </a:prstGeom>
                  </pic:spPr>
                </pic:pic>
              </a:graphicData>
            </a:graphic>
          </wp:inline>
        </w:drawing>
      </w:r>
      <w:r>
        <w:rPr>
          <w:noProof/>
        </w:rPr>
        <mc:AlternateContent>
          <mc:Choice Requires="wpg">
            <w:drawing>
              <wp:anchor distT="0" distB="0" distL="114300" distR="114300" simplePos="0" relativeHeight="251659264" behindDoc="1" locked="0" layoutInCell="1" allowOverlap="1" wp14:anchorId="7E2A22D4" wp14:editId="3187269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EA3B2D" w14:textId="77777777" w:rsidR="00BC3C2C" w:rsidRDefault="00BC3C2C" w:rsidP="00BC3C2C">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2A22D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EA3B2D" w14:textId="77777777" w:rsidR="00BC3C2C" w:rsidRDefault="00BC3C2C" w:rsidP="00BC3C2C">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8DF2C6B" wp14:editId="14B7D10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789FC1" w14:textId="77777777" w:rsidR="00BC3C2C" w:rsidRPr="00896E4E" w:rsidRDefault="00BC3C2C" w:rsidP="00BC3C2C">
                            <w:pPr>
                              <w:pStyle w:val="NoSpacing"/>
                              <w:rPr>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DF2C6B"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4789FC1" w14:textId="77777777" w:rsidR="00BC3C2C" w:rsidRPr="00896E4E" w:rsidRDefault="00BC3C2C" w:rsidP="00BC3C2C">
                      <w:pPr>
                        <w:pStyle w:val="NoSpacing"/>
                        <w:rPr>
                          <w:color w:val="595959" w:themeColor="text1" w:themeTint="A6"/>
                          <w:sz w:val="20"/>
                          <w:szCs w:val="20"/>
                          <w:lang w:val="en-GB"/>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AD9B574" wp14:editId="3D1315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351985343"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12A60C" w14:textId="77777777" w:rsidR="00BC3C2C" w:rsidRDefault="00BC3C2C" w:rsidP="00BC3C2C">
                            <w:pPr>
                              <w:pStyle w:val="NoSpacing"/>
                              <w:rPr>
                                <w:rFonts w:asciiTheme="majorHAnsi" w:eastAsiaTheme="majorEastAsia" w:hAnsiTheme="majorHAnsi" w:cstheme="majorBidi"/>
                                <w:color w:val="262626" w:themeColor="text1" w:themeTint="D9"/>
                                <w:sz w:val="72"/>
                              </w:rPr>
                            </w:pPr>
                          </w:p>
                          <w:p w14:paraId="6C78DED8" w14:textId="77777777" w:rsidR="00BC3C2C" w:rsidRPr="00DD47B0" w:rsidRDefault="00BC3C2C" w:rsidP="00BC3C2C">
                            <w:pPr>
                              <w:spacing w:before="120"/>
                              <w:rPr>
                                <w:color w:val="404040" w:themeColor="text1" w:themeTint="BF"/>
                                <w:sz w:val="36"/>
                                <w:szCs w:val="36"/>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AD9B574"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E12A60C" w14:textId="77777777" w:rsidR="00BC3C2C" w:rsidRDefault="00BC3C2C" w:rsidP="00BC3C2C">
                      <w:pPr>
                        <w:pStyle w:val="NoSpacing"/>
                        <w:rPr>
                          <w:rFonts w:asciiTheme="majorHAnsi" w:eastAsiaTheme="majorEastAsia" w:hAnsiTheme="majorHAnsi" w:cstheme="majorBidi"/>
                          <w:color w:val="262626" w:themeColor="text1" w:themeTint="D9"/>
                          <w:sz w:val="72"/>
                        </w:rPr>
                      </w:pPr>
                    </w:p>
                    <w:p w14:paraId="6C78DED8" w14:textId="77777777" w:rsidR="00BC3C2C" w:rsidRPr="00DD47B0" w:rsidRDefault="00BC3C2C" w:rsidP="00BC3C2C">
                      <w:pPr>
                        <w:spacing w:before="120"/>
                        <w:rPr>
                          <w:color w:val="404040" w:themeColor="text1" w:themeTint="BF"/>
                          <w:sz w:val="36"/>
                          <w:szCs w:val="36"/>
                          <w:lang w:val="en-US"/>
                        </w:rPr>
                      </w:pPr>
                    </w:p>
                  </w:txbxContent>
                </v:textbox>
                <w10:wrap anchorx="page" anchory="page"/>
              </v:shape>
            </w:pict>
          </mc:Fallback>
        </mc:AlternateContent>
      </w:r>
    </w:p>
    <w:p w14:paraId="2FD68B51" w14:textId="77777777" w:rsidR="00BC3C2C" w:rsidRDefault="00BC3C2C" w:rsidP="00BC3C2C">
      <w:pPr>
        <w:rPr>
          <w:rFonts w:ascii="Times New Roman" w:hAnsi="Times New Roman"/>
          <w:b/>
          <w:bCs/>
          <w:lang w:val="en-US"/>
        </w:rPr>
      </w:pPr>
    </w:p>
    <w:p w14:paraId="54AB7B4A" w14:textId="77777777" w:rsidR="00BC3C2C" w:rsidRDefault="00BC3C2C" w:rsidP="00BC3C2C">
      <w:pPr>
        <w:rPr>
          <w:rFonts w:ascii="Times New Roman" w:hAnsi="Times New Roman"/>
          <w:b/>
          <w:bCs/>
          <w:lang w:val="en-US"/>
        </w:rPr>
      </w:pPr>
    </w:p>
    <w:p w14:paraId="51A5B00E" w14:textId="77777777" w:rsidR="00BC3C2C" w:rsidRDefault="00BC3C2C" w:rsidP="00BC3C2C">
      <w:pPr>
        <w:rPr>
          <w:rFonts w:ascii="Times New Roman" w:hAnsi="Times New Roman"/>
          <w:b/>
          <w:bCs/>
          <w:lang w:val="en-US"/>
        </w:rPr>
      </w:pPr>
    </w:p>
    <w:p w14:paraId="5C5FF1AF" w14:textId="77777777" w:rsidR="00BC3C2C" w:rsidRDefault="00BC3C2C" w:rsidP="00BC3C2C">
      <w:pPr>
        <w:rPr>
          <w:rFonts w:ascii="Times New Roman" w:hAnsi="Times New Roman"/>
          <w:b/>
          <w:bCs/>
          <w:lang w:val="en-US"/>
        </w:rPr>
      </w:pPr>
    </w:p>
    <w:p w14:paraId="67C7B64A" w14:textId="77777777" w:rsidR="00BC3C2C" w:rsidRPr="000805D4" w:rsidRDefault="00BC3C2C" w:rsidP="00BC3C2C">
      <w:pPr>
        <w:jc w:val="center"/>
        <w:rPr>
          <w:rFonts w:ascii="Times New Roman" w:hAnsi="Times New Roman"/>
          <w:b/>
          <w:bCs/>
          <w:sz w:val="40"/>
          <w:szCs w:val="40"/>
        </w:rPr>
      </w:pPr>
      <w:r w:rsidRPr="00A66F28">
        <w:rPr>
          <w:rFonts w:ascii="Times New Roman" w:hAnsi="Times New Roman"/>
          <w:b/>
          <w:bCs/>
          <w:sz w:val="40"/>
          <w:szCs w:val="40"/>
          <w:lang w:val="en-US"/>
        </w:rPr>
        <w:t xml:space="preserve"> </w:t>
      </w:r>
      <w:r w:rsidRPr="00A66F28">
        <w:rPr>
          <w:rFonts w:ascii="Times New Roman" w:hAnsi="Times New Roman"/>
          <w:b/>
          <w:bCs/>
          <w:sz w:val="40"/>
          <w:szCs w:val="40"/>
        </w:rPr>
        <w:t>(ACCA4023_LON</w:t>
      </w:r>
      <w:r w:rsidRPr="00A66F28">
        <w:rPr>
          <w:rFonts w:ascii="Times New Roman" w:hAnsi="Times New Roman"/>
          <w:b/>
          <w:bCs/>
          <w:sz w:val="40"/>
          <w:szCs w:val="40"/>
          <w:lang w:val="en-US"/>
        </w:rPr>
        <w:t>)</w:t>
      </w:r>
    </w:p>
    <w:p w14:paraId="73A92E6A" w14:textId="77777777" w:rsidR="00BC3C2C" w:rsidRPr="000805D4" w:rsidRDefault="00BC3C2C" w:rsidP="00BC3C2C">
      <w:pPr>
        <w:jc w:val="center"/>
        <w:rPr>
          <w:rFonts w:ascii="Times New Roman" w:hAnsi="Times New Roman"/>
          <w:b/>
          <w:bCs/>
          <w:sz w:val="40"/>
          <w:szCs w:val="40"/>
        </w:rPr>
      </w:pPr>
      <w:r>
        <w:rPr>
          <w:rFonts w:ascii="Times New Roman" w:hAnsi="Times New Roman"/>
          <w:b/>
          <w:bCs/>
          <w:sz w:val="40"/>
          <w:szCs w:val="40"/>
        </w:rPr>
        <w:t xml:space="preserve">Module name: Introduction to Web and Database </w:t>
      </w:r>
    </w:p>
    <w:p w14:paraId="3C668A2D" w14:textId="77777777" w:rsidR="00BC3C2C" w:rsidRPr="00A66F28" w:rsidRDefault="00BC3C2C" w:rsidP="00BC3C2C">
      <w:pPr>
        <w:jc w:val="center"/>
        <w:rPr>
          <w:rFonts w:ascii="Times New Roman" w:hAnsi="Times New Roman"/>
          <w:b/>
          <w:bCs/>
        </w:rPr>
      </w:pPr>
    </w:p>
    <w:p w14:paraId="44CFA8F4" w14:textId="77777777" w:rsidR="00BC3C2C" w:rsidRPr="00A66F28" w:rsidRDefault="00BC3C2C" w:rsidP="00BC3C2C">
      <w:pPr>
        <w:jc w:val="center"/>
        <w:rPr>
          <w:b/>
          <w:bCs/>
          <w:sz w:val="32"/>
          <w:szCs w:val="32"/>
          <w:lang w:val="en-US"/>
        </w:rPr>
      </w:pPr>
      <w:bookmarkStart w:id="0" w:name="_Hlk206672359"/>
      <w:proofErr w:type="spellStart"/>
      <w:r w:rsidRPr="00A66F28">
        <w:rPr>
          <w:b/>
          <w:bCs/>
          <w:sz w:val="32"/>
          <w:szCs w:val="32"/>
          <w:lang w:val="en-US"/>
        </w:rPr>
        <w:t>CertHE</w:t>
      </w:r>
      <w:proofErr w:type="spellEnd"/>
      <w:r w:rsidRPr="00A66F28">
        <w:rPr>
          <w:b/>
          <w:bCs/>
          <w:sz w:val="32"/>
          <w:szCs w:val="32"/>
          <w:lang w:val="en-US"/>
        </w:rPr>
        <w:t xml:space="preserve"> Computing Skills for Workplace</w:t>
      </w:r>
      <w:bookmarkEnd w:id="0"/>
    </w:p>
    <w:p w14:paraId="6D9172DA" w14:textId="77777777" w:rsidR="00BC3C2C" w:rsidRDefault="00BC3C2C" w:rsidP="00BC3C2C">
      <w:pPr>
        <w:jc w:val="center"/>
        <w:rPr>
          <w:rFonts w:ascii="Times New Roman" w:hAnsi="Times New Roman"/>
          <w:b/>
          <w:bCs/>
          <w:lang w:val="en-US"/>
        </w:rPr>
      </w:pPr>
    </w:p>
    <w:p w14:paraId="7FF009B5" w14:textId="77777777" w:rsidR="00BC3C2C" w:rsidRPr="00A66F28" w:rsidRDefault="00BC3C2C" w:rsidP="00BC3C2C">
      <w:pPr>
        <w:rPr>
          <w:rFonts w:ascii="Times New Roman" w:hAnsi="Times New Roman"/>
          <w:b/>
          <w:bCs/>
          <w:lang w:val="en-US"/>
        </w:rPr>
      </w:pPr>
      <w:r w:rsidRPr="00A66F28">
        <w:rPr>
          <w:rFonts w:ascii="Times New Roman" w:hAnsi="Times New Roman"/>
          <w:b/>
          <w:bCs/>
          <w:lang w:val="en-US"/>
        </w:rPr>
        <w:t>Student Name</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Biniam Aregawi Abraha</w:t>
      </w:r>
    </w:p>
    <w:p w14:paraId="36B14FFA" w14:textId="77777777" w:rsidR="00BC3C2C" w:rsidRPr="00896E4E" w:rsidRDefault="00BC3C2C" w:rsidP="00BC3C2C">
      <w:pPr>
        <w:rPr>
          <w:rFonts w:ascii="Times New Roman" w:hAnsi="Times New Roman"/>
          <w:b/>
          <w:bCs/>
          <w:lang w:val="en-GB"/>
        </w:rPr>
      </w:pPr>
      <w:r w:rsidRPr="00A66F28">
        <w:rPr>
          <w:rFonts w:ascii="Times New Roman" w:hAnsi="Times New Roman"/>
          <w:b/>
          <w:bCs/>
          <w:lang w:val="en-US"/>
        </w:rPr>
        <w:t xml:space="preserve">Student </w:t>
      </w:r>
      <w:proofErr w:type="gramStart"/>
      <w:r w:rsidRPr="00A66F28">
        <w:rPr>
          <w:rFonts w:ascii="Times New Roman" w:hAnsi="Times New Roman"/>
          <w:b/>
          <w:bCs/>
          <w:lang w:val="en-US"/>
        </w:rPr>
        <w:t>Number</w:t>
      </w:r>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w:t>
      </w:r>
      <w:r>
        <w:rPr>
          <w:color w:val="156082" w:themeColor="accent1"/>
          <w:sz w:val="26"/>
          <w:szCs w:val="26"/>
        </w:rPr>
        <w:t>2</w:t>
      </w:r>
      <w:r>
        <w:rPr>
          <w:color w:val="156082" w:themeColor="accent1"/>
          <w:sz w:val="26"/>
          <w:szCs w:val="26"/>
          <w:lang w:val="en-GB"/>
        </w:rPr>
        <w:t>532266</w:t>
      </w:r>
    </w:p>
    <w:p w14:paraId="4B5600F6" w14:textId="77777777" w:rsidR="00BC3C2C" w:rsidRPr="00A66F28" w:rsidRDefault="00BC3C2C" w:rsidP="00BC3C2C">
      <w:pPr>
        <w:rPr>
          <w:rFonts w:ascii="Times New Roman" w:hAnsi="Times New Roman"/>
          <w:b/>
          <w:bCs/>
          <w:lang w:val="en-US"/>
        </w:rPr>
      </w:pPr>
      <w:r w:rsidRPr="00A66F28">
        <w:rPr>
          <w:rFonts w:ascii="Times New Roman" w:hAnsi="Times New Roman"/>
          <w:b/>
          <w:bCs/>
          <w:lang w:val="en-US"/>
        </w:rPr>
        <w:t>Group</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w:t>
      </w:r>
      <w:r w:rsidRPr="00A66F28">
        <w:rPr>
          <w:rFonts w:ascii="Times New Roman" w:hAnsi="Times New Roman"/>
          <w:b/>
          <w:bCs/>
          <w:lang w:val="en-US"/>
        </w:rPr>
        <w:t xml:space="preserve"> 0</w:t>
      </w:r>
      <w:r>
        <w:rPr>
          <w:rFonts w:ascii="Times New Roman" w:hAnsi="Times New Roman"/>
          <w:b/>
          <w:bCs/>
          <w:lang w:val="en-US"/>
        </w:rPr>
        <w:t>1</w:t>
      </w:r>
    </w:p>
    <w:p w14:paraId="3D6FC0B9" w14:textId="77777777" w:rsidR="00BC3C2C" w:rsidRDefault="00BC3C2C" w:rsidP="00BC3C2C">
      <w:pPr>
        <w:rPr>
          <w:rFonts w:ascii="Times New Roman" w:hAnsi="Times New Roman"/>
          <w:b/>
          <w:bCs/>
        </w:rPr>
      </w:pPr>
      <w:r w:rsidRPr="00A66F28">
        <w:rPr>
          <w:rFonts w:ascii="Times New Roman" w:hAnsi="Times New Roman"/>
          <w:b/>
          <w:bCs/>
          <w:lang w:val="en-US"/>
        </w:rPr>
        <w:t>Date</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20 July 2026</w:t>
      </w:r>
    </w:p>
    <w:p w14:paraId="03414D81" w14:textId="77777777" w:rsidR="00BC3C2C" w:rsidRPr="00896E4E" w:rsidRDefault="00BC3C2C" w:rsidP="00BC3C2C">
      <w:pPr>
        <w:rPr>
          <w:rFonts w:ascii="Times New Roman" w:hAnsi="Times New Roman"/>
          <w:b/>
          <w:bCs/>
          <w:lang w:val="en-GB"/>
        </w:rPr>
      </w:pPr>
      <w:r w:rsidRPr="00243566">
        <w:rPr>
          <w:rFonts w:ascii="Times New Roman" w:hAnsi="Times New Roman"/>
          <w:b/>
          <w:bCs/>
        </w:rPr>
        <w:t>Lecturer</w:t>
      </w:r>
      <w:r>
        <w:rPr>
          <w:rFonts w:ascii="Times New Roman" w:hAnsi="Times New Roman"/>
          <w:b/>
          <w:bCs/>
        </w:rPr>
        <w:t xml:space="preserve">               :     </w:t>
      </w:r>
      <w:r>
        <w:rPr>
          <w:rFonts w:ascii="Times New Roman" w:hAnsi="Times New Roman"/>
          <w:b/>
          <w:bCs/>
          <w:lang w:val="en-GB"/>
        </w:rPr>
        <w:t>Suresh Shanmugasundaram</w:t>
      </w:r>
    </w:p>
    <w:p w14:paraId="2436DF99" w14:textId="77777777" w:rsidR="00BC3C2C" w:rsidRDefault="00BC3C2C" w:rsidP="00BC3C2C">
      <w:pPr>
        <w:spacing w:before="2000"/>
      </w:pPr>
    </w:p>
    <w:p w14:paraId="34F1BB09" w14:textId="77777777" w:rsidR="00BC3C2C" w:rsidRDefault="00BC3C2C" w:rsidP="00BC3C2C">
      <w:pPr>
        <w:spacing w:before="2000"/>
      </w:pPr>
    </w:p>
    <w:p w14:paraId="173C2E24" w14:textId="77777777" w:rsidR="00BC3C2C" w:rsidRDefault="00BC3C2C" w:rsidP="00BC3C2C">
      <w:pPr>
        <w:spacing w:before="2000"/>
      </w:pPr>
    </w:p>
    <w:p w14:paraId="52B4E944" w14:textId="77777777" w:rsidR="00BC3C2C" w:rsidRPr="00BC3C2C" w:rsidRDefault="00BC3C2C" w:rsidP="00BC3C2C">
      <w:pPr>
        <w:spacing w:before="2000"/>
      </w:pPr>
    </w:p>
    <w:p w14:paraId="682CA46E" w14:textId="77777777" w:rsidR="00BC3C2C" w:rsidRDefault="00BC3C2C" w:rsidP="00BC3C2C">
      <w:pPr>
        <w:keepNext w:val="0"/>
        <w:spacing w:before="80" w:after="160"/>
        <w:jc w:val="center"/>
      </w:pPr>
      <w:bookmarkStart w:id="1" w:name="_Toc237452977"/>
      <w:r>
        <w:rPr>
          <w:rFonts w:ascii="Arial" w:hAnsi="Arial"/>
          <w:b/>
          <w:i/>
          <w:color w:val="555555"/>
          <w:sz w:val="18"/>
        </w:rPr>
        <w:t>Table of Contents</w:t>
      </w:r>
      <w:bookmarkEnd w:id="1"/>
    </w:p>
    <w:sdt>
      <w:sdtPr>
        <w:alias w:val="Citation"/>
        <w:id w:val="-1342082210"/>
      </w:sdtPr>
      <w:sdtContent>
        <w:p w14:paraId="3302C6D2" w14:textId="148948D2" w:rsidR="00B95123" w:rsidRDefault="00BC3C2C">
          <w:pPr>
            <w:pStyle w:val="TOC1"/>
            <w:tabs>
              <w:tab w:val="right" w:leader="dot" w:pos="9736"/>
            </w:tabs>
            <w:rPr>
              <w:rFonts w:asciiTheme="minorHAnsi" w:eastAsiaTheme="minorEastAsia" w:hAnsiTheme="minorHAnsi" w:cstheme="minorBidi"/>
              <w:noProof/>
              <w:kern w:val="2"/>
              <w:sz w:val="24"/>
              <w:szCs w:val="24"/>
              <w14:ligatures w14:val="standardContextual"/>
            </w:rPr>
          </w:pPr>
          <w:r>
            <w:fldChar w:fldCharType="begin"/>
          </w:r>
          <w:r>
            <w:instrText>TOC \h \o "1-3"</w:instrText>
          </w:r>
          <w:r>
            <w:fldChar w:fldCharType="separate"/>
          </w:r>
          <w:hyperlink w:anchor="_Toc237452977" w:history="1">
            <w:r w:rsidR="00B95123" w:rsidRPr="003E18E0">
              <w:rPr>
                <w:rStyle w:val="Hyperlink"/>
                <w:noProof/>
              </w:rPr>
              <w:t>Table of Contents</w:t>
            </w:r>
            <w:r w:rsidR="00B95123">
              <w:rPr>
                <w:noProof/>
              </w:rPr>
              <w:tab/>
            </w:r>
            <w:r w:rsidR="00B95123">
              <w:rPr>
                <w:noProof/>
              </w:rPr>
              <w:fldChar w:fldCharType="begin"/>
            </w:r>
            <w:r w:rsidR="00B95123">
              <w:rPr>
                <w:noProof/>
              </w:rPr>
              <w:instrText xml:space="preserve"> PAGEREF _Toc237452977 \h </w:instrText>
            </w:r>
            <w:r w:rsidR="00B95123">
              <w:rPr>
                <w:noProof/>
              </w:rPr>
            </w:r>
            <w:r w:rsidR="00B95123">
              <w:rPr>
                <w:noProof/>
              </w:rPr>
              <w:fldChar w:fldCharType="separate"/>
            </w:r>
            <w:r w:rsidR="00B95123">
              <w:rPr>
                <w:noProof/>
              </w:rPr>
              <w:t>2</w:t>
            </w:r>
            <w:r w:rsidR="00B95123">
              <w:rPr>
                <w:noProof/>
              </w:rPr>
              <w:fldChar w:fldCharType="end"/>
            </w:r>
          </w:hyperlink>
        </w:p>
        <w:p w14:paraId="1C960EC8" w14:textId="0C923F3B" w:rsidR="00BC3C2C" w:rsidRDefault="00BC3C2C" w:rsidP="00BC3C2C">
          <w:r>
            <w:fldChar w:fldCharType="end"/>
          </w:r>
        </w:p>
      </w:sdtContent>
    </w:sdt>
    <w:p w14:paraId="43C1DDEE" w14:textId="77777777" w:rsidR="00BC3C2C" w:rsidRDefault="00BC3C2C" w:rsidP="00BC3C2C">
      <w:pPr>
        <w:spacing w:after="100"/>
        <w:jc w:val="left"/>
        <w:tabs>
          <w:tab w:val="right" w:leader="dot" w:pos="9000"/>
        </w:tabs>
      </w:pPr>
      <w:r>
        <w:rPr>
          <w:rFonts w:ascii="Arial" w:hAnsi="Arial"/>
          <w:color w:val="202020"/>
          <w:sz w:val="21"/>
        </w:rPr>
        <w:t>Abstract</w:t>
        <w:tab/>
        <w:t>2</w:t>
      </w:r>
    </w:p>
    <w:p>
      <w:pPr>
        <w:spacing w:after="100"/>
        <w:tabs>
          <w:tab w:val="right" w:leader="dot" w:pos="9000"/>
        </w:tabs>
      </w:pPr>
      <w:r>
        <w:rPr>
          <w:rFonts w:ascii="Arial" w:hAnsi="Arial"/>
          <w:color w:val="202020"/>
          <w:sz w:val="21"/>
        </w:rPr>
        <w:t>1. Introduction</w:t>
        <w:tab/>
        <w:t>2</w:t>
      </w:r>
    </w:p>
    <w:p>
      <w:pPr>
        <w:spacing w:after="100"/>
        <w:tabs>
          <w:tab w:val="right" w:leader="dot" w:pos="9000"/>
        </w:tabs>
      </w:pPr>
      <w:r>
        <w:rPr>
          <w:rFonts w:ascii="Arial" w:hAnsi="Arial"/>
          <w:color w:val="202020"/>
          <w:sz w:val="21"/>
        </w:rPr>
        <w:t>2. Threat Identification and Risk Evaluation</w:t>
        <w:tab/>
        <w:t>3</w:t>
      </w:r>
    </w:p>
    <w:p>
      <w:pPr>
        <w:spacing w:after="100"/>
        <w:tabs>
          <w:tab w:val="right" w:leader="dot" w:pos="9000"/>
        </w:tabs>
      </w:pPr>
      <w:r>
        <w:rPr>
          <w:rFonts w:ascii="Arial" w:hAnsi="Arial"/>
          <w:color w:val="202020"/>
          <w:sz w:val="21"/>
        </w:rPr>
        <w:t>3. Security and Data-Governance Policies</w:t>
        <w:tab/>
        <w:t>4</w:t>
      </w:r>
    </w:p>
    <w:p>
      <w:pPr>
        <w:spacing w:after="100"/>
        <w:tabs>
          <w:tab w:val="right" w:leader="dot" w:pos="9000"/>
        </w:tabs>
      </w:pPr>
      <w:r>
        <w:rPr>
          <w:rFonts w:ascii="Arial" w:hAnsi="Arial"/>
          <w:color w:val="202020"/>
          <w:sz w:val="21"/>
        </w:rPr>
        <w:t>4. Mitigation Measures and Implementation</w:t>
        <w:tab/>
        <w:t>6</w:t>
      </w:r>
    </w:p>
    <w:p>
      <w:pPr>
        <w:spacing w:after="100"/>
        <w:tabs>
          <w:tab w:val="right" w:leader="dot" w:pos="9000"/>
        </w:tabs>
      </w:pPr>
      <w:r>
        <w:rPr>
          <w:rFonts w:ascii="Arial" w:hAnsi="Arial"/>
          <w:color w:val="202020"/>
          <w:sz w:val="21"/>
        </w:rPr>
        <w:t>5. Continuous Monitoring and Incident Response</w:t>
        <w:tab/>
        <w:t>7</w:t>
      </w:r>
    </w:p>
    <w:p>
      <w:pPr>
        <w:spacing w:after="100"/>
        <w:tabs>
          <w:tab w:val="right" w:leader="dot" w:pos="9000"/>
        </w:tabs>
      </w:pPr>
      <w:r>
        <w:rPr>
          <w:rFonts w:ascii="Arial" w:hAnsi="Arial"/>
          <w:color w:val="202020"/>
          <w:sz w:val="21"/>
        </w:rPr>
        <w:t>6. Training and Awareness Programme</w:t>
        <w:tab/>
        <w:t>8</w:t>
      </w:r>
    </w:p>
    <w:p>
      <w:pPr>
        <w:spacing w:after="100"/>
        <w:tabs>
          <w:tab w:val="right" w:leader="dot" w:pos="9000"/>
        </w:tabs>
      </w:pPr>
      <w:r>
        <w:rPr>
          <w:rFonts w:ascii="Arial" w:hAnsi="Arial"/>
          <w:color w:val="202020"/>
          <w:sz w:val="21"/>
        </w:rPr>
        <w:t>7. Conclusion</w:t>
        <w:tab/>
        <w:t>9</w:t>
      </w:r>
    </w:p>
    <w:p>
      <w:pPr>
        <w:spacing w:after="100"/>
        <w:tabs>
          <w:tab w:val="right" w:leader="dot" w:pos="9000"/>
        </w:tabs>
      </w:pPr>
      <w:r>
        <w:rPr>
          <w:rFonts w:ascii="Arial" w:hAnsi="Arial"/>
          <w:color w:val="202020"/>
          <w:sz w:val="21"/>
        </w:rPr>
        <w:t>References</w:t>
        <w:tab/>
        <w:t>9</w:t>
      </w:r>
    </w:p>
    <w:p w14:paraId="492D2729" w14:textId="0622B1DC" w:rsidR="00695B47" w:rsidRPr="007D41F0" w:rsidRDefault="00695B47" w:rsidP="007D41F0">
      <w:pPr>
        <w:pStyle w:val="Heading1"/>
        <w:rPr>
          <w:lang w:val="en-US"/>
        </w:rPr>
      </w:pPr>
      <w:r w:rsidRPr="007D41F0">
        <w:rPr>
          <w:lang w:val="en-US"/>
        </w:rPr>
        <w:lastRenderedPageBreak/>
        <w:t>Abstract</w:t>
      </w:r>
    </w:p>
    <w:p w14:paraId="64442337" w14:textId="77777777" w:rsidR="00695B47" w:rsidRPr="00695B47" w:rsidRDefault="00695B47" w:rsidP="00695B47">
      <w:pPr>
        <w:widowControl/>
        <w:spacing w:after="120" w:line="276" w:lineRule="auto"/>
        <w:jc w:val="both"/>
        <w:rPr>
          <w:sz w:val="28"/>
          <w:szCs w:val="28"/>
        </w:rPr>
      </w:pPr>
    </w:p>
    <w:p w14:paraId="2507CE39" w14:textId="77777777" w:rsidR="00695B47" w:rsidRPr="00695B47" w:rsidRDefault="00695B47" w:rsidP="00695B47">
      <w:pPr>
        <w:widowControl/>
        <w:spacing w:after="120" w:line="276" w:lineRule="auto"/>
        <w:jc w:val="both"/>
        <w:rPr>
          <w:sz w:val="28"/>
          <w:szCs w:val="28"/>
        </w:rPr>
      </w:pPr>
      <w:r w:rsidRPr="00695B47">
        <w:rPr>
          <w:sz w:val="28"/>
          <w:szCs w:val="28"/>
        </w:rPr>
        <w:t>This report sets out a risk-based cybersecurity and data-governance policy for the combined IT and OT environment of SteelForm Manufacturing Ltd’s (SFM) sites. This solution is based on the CIA triad and the best practice of ISO/IEC 27001:2022, combined with the six functions of NIST Cybersecurity Framework (CSF) 2.0. Priority measures are set out to protect SFM’s IT and OT systems from current and future threats. An authoritative asset inventory, IT/OT segmentation via an industrial DMZ, MFA, least privilege, EDR, controlled supplier access, immutable backups, security monitoring, and a rehearsed incident-response process are proposed as priority measures. In addition, a role-based awareness program would support compliance. A phased implementation approach would protect availability and safety, while also providing the SFM board with measurable assurance of the company’s cybersecurity and data-governance controls.</w:t>
      </w:r>
    </w:p>
    <w:p w14:paraId="377F20FF" w14:textId="77777777" w:rsidR="00695B47" w:rsidRPr="00695B47" w:rsidRDefault="00695B47" w:rsidP="00695B47">
      <w:pPr>
        <w:pStyle w:val="Heading1"/>
        <w:rPr>
          <w:sz w:val="28"/>
          <w:szCs w:val="28"/>
        </w:rPr>
      </w:pPr>
      <w:r w:rsidRPr="00695B47">
        <w:rPr>
          <w:sz w:val="28"/>
          <w:szCs w:val="28"/>
        </w:rPr>
        <w:t>1. Introduction</w:t>
      </w:r>
    </w:p>
    <w:p w14:paraId="2321AAA2" w14:textId="1CB0735F" w:rsidR="00695B47" w:rsidRPr="00695B47" w:rsidRDefault="00695B47" w:rsidP="00695B47">
      <w:pPr>
        <w:widowControl/>
        <w:spacing w:after="120" w:line="276" w:lineRule="auto"/>
        <w:jc w:val="both"/>
        <w:rPr>
          <w:sz w:val="28"/>
          <w:szCs w:val="28"/>
        </w:rPr>
      </w:pPr>
      <w:r w:rsidRPr="00695B47">
        <w:rPr>
          <w:sz w:val="28"/>
          <w:szCs w:val="28"/>
        </w:rPr>
        <w:t xml:space="preserve">The processes and operations of this industry can now be improved with respect to quality, visibility and throughput. However, an attack on a connected factory can affect physical processes and systems as well as information systems. Thus, NIST OT security is defined and framed within the context of and against the background of performance, reliability and safety requirements </w:t>
      </w:r>
      <w:sdt>
        <w:sdtPr>
          <w:rPr>
            <w:color w:val="000000"/>
            <w:sz w:val="28"/>
            <w:szCs w:val="28"/>
            <w:highlight w:val="white"/>
          </w:rPr>
          <w:alias w:val="Citation"/>
          <w:tag w:val="{&quot;referencesIds&quot;:[&quot;doc:6a7caf544f126f734de275aa&quot;],&quot;referencesOptions&quot;:{&quot;doc:6a7caf544f126f734de275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0518312"/>
          <w:placeholder>
            <w:docPart w:val="8146FC0F1CF64E2C9FF47B843B50CCEC"/>
          </w:placeholder>
        </w:sdtPr>
        <w:sdtContent>
          <w:r w:rsidR="00947DF0">
            <w:rPr>
              <w:rFonts w:eastAsia="Times New Roman"/>
              <w:color w:val="000000"/>
              <w:sz w:val="28"/>
              <w:szCs w:val="28"/>
            </w:rPr>
            <w:t>[1]</w:t>
          </w:r>
        </w:sdtContent>
      </w:sdt>
      <w:r w:rsidRPr="00695B47">
        <w:rPr>
          <w:sz w:val="28"/>
          <w:szCs w:val="28"/>
        </w:rPr>
        <w:t xml:space="preserve">. This is why information about SFM’s custom designs for specific applications, customer information for aerospace and automotive, information about SFM’s employees, SFM’s process recipes, information about SFM’s production and availability, are all highly valuable to financially motivated criminals, industrial spies and compromised suppliers. The 2025 Data Breach Investigations Report found that third-party involvement increased to 30% and vulnerability exploitation increased by 34% </w:t>
      </w:r>
      <w:sdt>
        <w:sdtPr>
          <w:rPr>
            <w:color w:val="000000"/>
            <w:sz w:val="28"/>
            <w:szCs w:val="28"/>
            <w:highlight w:val="white"/>
          </w:rPr>
          <w:alias w:val="Citation"/>
          <w:tag w:val="{&quot;referencesIds&quot;:[&quot;doc:6a7caf91cf042f25e9d28c51&quot;],&quot;referencesOptions&quot;:{&quot;doc:6a7caf91cf042f25e9d28c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1093647"/>
          <w:placeholder>
            <w:docPart w:val="D68F3572FAD34D54BC865018B8480B14"/>
          </w:placeholder>
        </w:sdtPr>
        <w:sdtContent>
          <w:r w:rsidR="00947DF0">
            <w:rPr>
              <w:rFonts w:eastAsia="Times New Roman"/>
              <w:color w:val="000000"/>
              <w:sz w:val="28"/>
              <w:szCs w:val="28"/>
            </w:rPr>
            <w:t>[2]</w:t>
          </w:r>
        </w:sdtContent>
      </w:sdt>
      <w:r w:rsidRPr="00695B47">
        <w:rPr>
          <w:sz w:val="28"/>
          <w:szCs w:val="28"/>
        </w:rPr>
        <w:t>. Suppliers as well as technical weaknesses need to be controlled.</w:t>
      </w:r>
    </w:p>
    <w:p w14:paraId="5D9BD414" w14:textId="77777777" w:rsidR="00695B47" w:rsidRDefault="00695B47" w:rsidP="00695B47">
      <w:pPr>
        <w:widowControl/>
        <w:spacing w:after="120" w:line="276" w:lineRule="auto"/>
        <w:jc w:val="both"/>
        <w:rPr>
          <w:sz w:val="28"/>
          <w:szCs w:val="28"/>
        </w:rPr>
      </w:pPr>
      <w:r w:rsidRPr="00695B47">
        <w:rPr>
          <w:sz w:val="28"/>
          <w:szCs w:val="28"/>
        </w:rPr>
        <w:t>Reducing risk to a board-approved level and safely recovering from a breach is realistic for SFM, a medium-sized company. An information-security management system (ISMS) is provided by the standard for managing information security, ISO/IEC 27001. The standard for cybersecurity for organizations, NIST CSF 2.0, organizes the 5 outcomes of Govern, Identify, Protect, Detect, Respond and Recover. Business impact for the CIA triad is expressed by confidentiality for designs and personal data, integrity for SFM’s bills of materials, sensor readings and machine parameters, and availability for production and customer delivery.</w:t>
      </w:r>
    </w:p>
    <w:p w14:paraId="7B7E6BE4" w14:textId="77777777" w:rsidR="00B90456" w:rsidRPr="00B90456" w:rsidRDefault="00B90456" w:rsidP="00695B47">
      <w:pPr>
        <w:widowControl/>
        <w:spacing w:after="120" w:line="276" w:lineRule="auto"/>
        <w:jc w:val="both"/>
        <w:rPr>
          <w:sz w:val="28"/>
          <w:szCs w:val="28"/>
        </w:rPr>
      </w:pPr>
    </w:p>
    <w:p w14:paraId="7905E75B" w14:textId="22147963" w:rsidR="00B90456" w:rsidRPr="00B90456" w:rsidRDefault="00B90456" w:rsidP="00B90456">
      <w:pPr>
        <w:pStyle w:val="Heading1"/>
        <w:rPr>
          <w:b/>
          <w:bCs/>
          <w:sz w:val="28"/>
          <w:szCs w:val="28"/>
          <w:lang w:val="en-US"/>
        </w:rPr>
      </w:pPr>
      <w:r w:rsidRPr="00B90456">
        <w:rPr>
          <w:b/>
          <w:bCs/>
          <w:sz w:val="28"/>
          <w:szCs w:val="28"/>
          <w:lang w:val="en-US"/>
        </w:rPr>
        <w:t>2</w:t>
      </w:r>
      <w:r w:rsidR="007D41F0">
        <w:rPr>
          <w:b/>
          <w:bCs/>
          <w:sz w:val="28"/>
          <w:szCs w:val="28"/>
        </w:rPr>
        <w:t>.</w:t>
      </w:r>
      <w:r w:rsidRPr="00B90456">
        <w:rPr>
          <w:b/>
          <w:bCs/>
          <w:sz w:val="28"/>
          <w:szCs w:val="28"/>
          <w:lang w:val="en-US"/>
        </w:rPr>
        <w:t xml:space="preserve"> Threat Identification and Risk Evaluation</w:t>
      </w:r>
    </w:p>
    <w:p w14:paraId="2249982D" w14:textId="77777777" w:rsidR="00B90456" w:rsidRPr="00B90456" w:rsidRDefault="00B90456" w:rsidP="00695B47">
      <w:pPr>
        <w:widowControl/>
        <w:spacing w:after="120" w:line="276" w:lineRule="auto"/>
        <w:jc w:val="both"/>
        <w:rPr>
          <w:sz w:val="28"/>
          <w:szCs w:val="28"/>
        </w:rPr>
      </w:pPr>
    </w:p>
    <w:p w14:paraId="03028E2C" w14:textId="1A0D4354" w:rsidR="00695B47" w:rsidRDefault="00695B47" w:rsidP="00241673">
      <w:pPr>
        <w:widowControl/>
        <w:spacing w:after="120" w:line="276" w:lineRule="auto"/>
        <w:jc w:val="both"/>
        <w:rPr>
          <w:sz w:val="28"/>
          <w:szCs w:val="28"/>
          <w:rtl/>
        </w:rPr>
      </w:pPr>
      <w:r w:rsidRPr="00695B47">
        <w:rPr>
          <w:sz w:val="28"/>
          <w:szCs w:val="28"/>
        </w:rPr>
        <w:t xml:space="preserve">Ransomware and other malware delivered via phishing emails, exposed remote services, and unpatched systems that can allow theft of credentials for procurement-related purposes are examples of external threats. These types of threats can cause significant disruption and can cause loss of data and availability, as well as threats to </w:t>
      </w:r>
      <w:r w:rsidRPr="00695B47">
        <w:rPr>
          <w:sz w:val="28"/>
          <w:szCs w:val="28"/>
        </w:rPr>
        <w:lastRenderedPageBreak/>
        <w:t>integrity, safety, and security. Business-email compromise to procurement functions is also a threat. Insecure IoT firmware and default passwords can cause threats such as denial-of-service (DoS) attacks to cloud-based production services. These types of threats can also cause threats of industrial espionage and threats to the supply chain via malicious activities to software and services provided by vendors for remote maintenance. A flat network can allow an infected office endpoint to move laterally into OT. The greatest threat to a company is typically from within. This can be from an individual trying to cause harm or simply making mistakes that can have serious consequences. For example, an employee may copy designs and try to use them for their own gain or an administrator may take advantage of the excessive privileges that they have been granted. There are also threats from using unsafe removable media, using weak passwords, a misconfigured firewall, unauthorized use of unapproved cloud storage, not applying available patches, and contractor accounts that have been left active. The course material pointed out that users are a frequent weakness. While it is easy to blame the individual for the problem, the organization’s governance must make it easy for users to complete secure tasks and also detect and respond to any errors that do occur. To assess risk, the likelihood of a threat occurring is multiplied by the business impact that the threat would have. The business impact is assessed based on the CIA triad as well as safety, legal, contractual and other business needs. The organization’s ability to recover from a threat is also assessed.</w:t>
      </w:r>
    </w:p>
    <w:p w14:paraId="2A660120" w14:textId="4AAE4CB8" w:rsidR="00F710AF" w:rsidRPr="00F710AF" w:rsidRDefault="00F710AF" w:rsidP="00F710AF">
      <w:pPr>
        <w:widowControl/>
        <w:spacing w:after="120" w:line="276" w:lineRule="auto"/>
        <w:jc w:val="both"/>
        <w:rPr>
          <w:sz w:val="28"/>
          <w:szCs w:val="28"/>
          <w:lang w:val="en-US"/>
        </w:rPr>
      </w:pPr>
    </w:p>
    <w:tbl>
      <w:tblPr>
        <w:tblW w:w="10893" w:type="dxa"/>
        <w:jc w:val="center"/>
        <w:tblBorders>
          <w:top w:val="single" w:sz="6" w:space="0" w:color="D5DDE3"/>
          <w:left w:val="single" w:sz="6" w:space="0" w:color="D5DDE3"/>
          <w:bottom w:val="single" w:sz="6" w:space="0" w:color="D5DDE3"/>
          <w:right w:val="single" w:sz="6" w:space="0" w:color="D5DDE3"/>
          <w:insideH w:val="single" w:sz="6" w:space="0" w:color="D5DDE3"/>
          <w:insideV w:val="single" w:sz="6" w:space="0" w:color="D5DDE3"/>
        </w:tblBorders>
        <w:tblLayout w:type="autofit"/>
        <w:tblLook w:val="04A0" w:firstRow="1" w:lastRow="0" w:firstColumn="1" w:lastColumn="0" w:noHBand="0" w:noVBand="1"/>
        <w:tblBorders>
          <w:top w:val="single" w:sz="5" w:color="B8C4CE"/>
          <w:left w:val="single" w:sz="5" w:color="B8C4CE"/>
          <w:bottom w:val="single" w:sz="5" w:color="B8C4CE"/>
          <w:right w:val="single" w:sz="5" w:color="B8C4CE"/>
          <w:insideH w:val="single" w:sz="5" w:color="B8C4CE"/>
          <w:insideV w:val="single" w:sz="5" w:color="B8C4CE"/>
        </w:tblBorders>
      </w:tblPr>
      <w:tblGrid>
        <w:gridCol w:w="1891"/>
        <w:gridCol w:w="1371"/>
        <w:gridCol w:w="2553"/>
        <w:gridCol w:w="945"/>
        <w:gridCol w:w="4133"/>
      </w:tblGrid>
      <w:tr w:rsidR="00F710AF" w:rsidRPr="00166551" w14:paraId="454F7F76" w14:textId="77777777" w:rsidTr="00166551">
        <w:trPr>
          <w:trHeight w:val="653"/>
          <w:jc w:val="center"/>
          <w:tblHeader w:val="true"/>
        </w:trPr>
        <w:tc>
          <w:tcPr>
            <w:tcW w:w="1891" w:type="dxa"/>
            <w:tcBorders>
              <w:top w:val="single" w:sz="6" w:space="0" w:color="D5DDE3"/>
              <w:left w:val="single" w:sz="6" w:space="0" w:color="D5DDE3"/>
              <w:bottom w:val="single" w:sz="6" w:space="0" w:color="D5DDE3"/>
              <w:right w:val="single" w:sz="6" w:space="0" w:color="D5DDE3"/>
            </w:tcBorders>
            <w:shd w:val="clear" w:color="auto" w:fill="101820"/>
            <w:tcMar>
              <w:top w:w="100" w:type="dxa"/>
              <w:left w:w="130" w:type="dxa"/>
              <w:bottom w:w="100" w:type="dxa"/>
              <w:right w:w="130" w:type="dxa"/>
            </w:tcMar>
            <w:vAlign w:val="center"/>
            <w:hideMark/>
            <w:tcMar>
              <w:top w:w="80" w:type="dxa"/>
              <w:start w:w="110" w:type="dxa"/>
              <w:bottom w:w="80" w:type="dxa"/>
              <w:end w:w="110" w:type="dxa"/>
            </w:tcMar>
            <w:shd w:fill="1F4E79"/>
          </w:tcPr>
          <w:p w14:paraId="2645E099" w14:textId="77777777" w:rsidR="00F710AF" w:rsidRPr="00166551" w:rsidRDefault="00F710AF" w:rsidP="00F710AF">
            <w:pPr>
              <w:spacing w:before="0" w:after="0" w:line="252" w:lineRule="auto"/>
              <w:jc w:val="left"/>
              <w:rPr>
                <w:sz w:val="20"/>
                <w:szCs w:val="20"/>
                <w:lang w:val="en-US"/>
              </w:rPr>
            </w:pPr>
            <w:r w:rsidRPr="00166551">
              <w:rPr>
                <w:rFonts w:ascii="Arial" w:hAnsi="Arial"/>
                <w:b/>
                <w:color w:val="FFFFFF"/>
                <w:sz w:val="17"/>
                <w:szCs w:val="20"/>
                <w:lang w:val="en-US"/>
              </w:rPr>
              <w:t>Threat</w:t>
            </w:r>
          </w:p>
        </w:tc>
        <w:tc>
          <w:tcPr>
            <w:tcW w:w="1371" w:type="dxa"/>
            <w:tcBorders>
              <w:top w:val="single" w:sz="6" w:space="0" w:color="D5DDE3"/>
              <w:left w:val="single" w:sz="6" w:space="0" w:color="D5DDE3"/>
              <w:bottom w:val="single" w:sz="6" w:space="0" w:color="D5DDE3"/>
              <w:right w:val="single" w:sz="6" w:space="0" w:color="D5DDE3"/>
            </w:tcBorders>
            <w:shd w:val="clear" w:color="auto" w:fill="101820"/>
            <w:tcMar>
              <w:top w:w="100" w:type="dxa"/>
              <w:left w:w="130" w:type="dxa"/>
              <w:bottom w:w="100" w:type="dxa"/>
              <w:right w:w="130" w:type="dxa"/>
            </w:tcMar>
            <w:vAlign w:val="center"/>
            <w:hideMark/>
            <w:tcMar>
              <w:top w:w="80" w:type="dxa"/>
              <w:start w:w="110" w:type="dxa"/>
              <w:bottom w:w="80" w:type="dxa"/>
              <w:end w:w="110" w:type="dxa"/>
            </w:tcMar>
            <w:shd w:fill="1F4E79"/>
          </w:tcPr>
          <w:p w14:paraId="61C61B5B" w14:textId="77777777" w:rsidR="00F710AF" w:rsidRPr="00166551" w:rsidRDefault="00F710AF" w:rsidP="00F710AF">
            <w:pPr>
              <w:spacing w:before="0" w:after="0" w:line="252" w:lineRule="auto"/>
              <w:rPr>
                <w:sz w:val="20"/>
                <w:szCs w:val="20"/>
                <w:lang w:val="en-US"/>
              </w:rPr>
            </w:pPr>
            <w:r w:rsidRPr="00166551">
              <w:rPr>
                <w:rFonts w:ascii="Arial" w:hAnsi="Arial"/>
                <w:b/>
                <w:color w:val="FFFFFF"/>
                <w:sz w:val="17"/>
                <w:szCs w:val="20"/>
                <w:lang w:val="en-US"/>
              </w:rPr>
              <w:t>Threat Source</w:t>
            </w:r>
          </w:p>
        </w:tc>
        <w:tc>
          <w:tcPr>
            <w:tcW w:w="2553" w:type="dxa"/>
            <w:tcBorders>
              <w:top w:val="single" w:sz="6" w:space="0" w:color="D5DDE3"/>
              <w:left w:val="single" w:sz="6" w:space="0" w:color="D5DDE3"/>
              <w:bottom w:val="single" w:sz="6" w:space="0" w:color="D5DDE3"/>
              <w:right w:val="single" w:sz="6" w:space="0" w:color="D5DDE3"/>
            </w:tcBorders>
            <w:shd w:val="clear" w:color="auto" w:fill="101820"/>
            <w:tcMar>
              <w:top w:w="100" w:type="dxa"/>
              <w:left w:w="130" w:type="dxa"/>
              <w:bottom w:w="100" w:type="dxa"/>
              <w:right w:w="130" w:type="dxa"/>
            </w:tcMar>
            <w:vAlign w:val="center"/>
            <w:hideMark/>
            <w:tcMar>
              <w:top w:w="80" w:type="dxa"/>
              <w:start w:w="110" w:type="dxa"/>
              <w:bottom w:w="80" w:type="dxa"/>
              <w:end w:w="110" w:type="dxa"/>
            </w:tcMar>
            <w:shd w:fill="1F4E79"/>
          </w:tcPr>
          <w:p w14:paraId="081460BB" w14:textId="77777777" w:rsidR="00F710AF" w:rsidRPr="00166551" w:rsidRDefault="00F710AF" w:rsidP="00F710AF">
            <w:pPr>
              <w:spacing w:before="0" w:after="0" w:line="252" w:lineRule="auto"/>
              <w:rPr>
                <w:sz w:val="20"/>
                <w:szCs w:val="20"/>
                <w:lang w:val="en-US"/>
              </w:rPr>
            </w:pPr>
            <w:r w:rsidRPr="00166551">
              <w:rPr>
                <w:rFonts w:ascii="Arial" w:hAnsi="Arial"/>
                <w:b/>
                <w:color w:val="FFFFFF"/>
                <w:sz w:val="17"/>
                <w:szCs w:val="20"/>
                <w:lang w:val="en-US"/>
              </w:rPr>
              <w:t>Main Impact</w:t>
            </w:r>
          </w:p>
        </w:tc>
        <w:tc>
          <w:tcPr>
            <w:tcW w:w="945" w:type="dxa"/>
            <w:tcBorders>
              <w:top w:val="single" w:sz="6" w:space="0" w:color="D5DDE3"/>
              <w:left w:val="single" w:sz="6" w:space="0" w:color="D5DDE3"/>
              <w:bottom w:val="single" w:sz="6" w:space="0" w:color="D5DDE3"/>
              <w:right w:val="single" w:sz="6" w:space="0" w:color="D5DDE3"/>
            </w:tcBorders>
            <w:shd w:val="clear" w:color="auto" w:fill="101820"/>
            <w:tcMar>
              <w:top w:w="100" w:type="dxa"/>
              <w:left w:w="130" w:type="dxa"/>
              <w:bottom w:w="100" w:type="dxa"/>
              <w:right w:w="130" w:type="dxa"/>
            </w:tcMar>
            <w:vAlign w:val="center"/>
            <w:hideMark/>
            <w:tcMar>
              <w:top w:w="80" w:type="dxa"/>
              <w:start w:w="110" w:type="dxa"/>
              <w:bottom w:w="80" w:type="dxa"/>
              <w:end w:w="110" w:type="dxa"/>
            </w:tcMar>
            <w:shd w:fill="1F4E79"/>
          </w:tcPr>
          <w:p w14:paraId="10CFA447" w14:textId="77777777" w:rsidR="00F710AF" w:rsidRPr="00166551" w:rsidRDefault="00F710AF" w:rsidP="00F710AF">
            <w:pPr>
              <w:spacing w:before="0" w:after="0" w:line="252" w:lineRule="auto"/>
              <w:rPr>
                <w:sz w:val="20"/>
                <w:szCs w:val="20"/>
                <w:lang w:val="en-US"/>
              </w:rPr>
            </w:pPr>
            <w:r w:rsidRPr="00166551">
              <w:rPr>
                <w:rFonts w:ascii="Arial" w:hAnsi="Arial"/>
                <w:b/>
                <w:color w:val="FFFFFF"/>
                <w:sz w:val="17"/>
                <w:szCs w:val="20"/>
                <w:lang w:val="en-US"/>
              </w:rPr>
              <w:t>Risk Level</w:t>
            </w:r>
          </w:p>
        </w:tc>
        <w:tc>
          <w:tcPr>
            <w:tcW w:w="4133" w:type="dxa"/>
            <w:tcBorders>
              <w:top w:val="single" w:sz="6" w:space="0" w:color="D5DDE3"/>
              <w:left w:val="single" w:sz="6" w:space="0" w:color="D5DDE3"/>
              <w:bottom w:val="single" w:sz="6" w:space="0" w:color="D5DDE3"/>
              <w:right w:val="single" w:sz="6" w:space="0" w:color="D5DDE3"/>
            </w:tcBorders>
            <w:shd w:val="clear" w:color="auto" w:fill="101820"/>
            <w:tcMar>
              <w:top w:w="100" w:type="dxa"/>
              <w:left w:w="130" w:type="dxa"/>
              <w:bottom w:w="100" w:type="dxa"/>
              <w:right w:w="130" w:type="dxa"/>
            </w:tcMar>
            <w:vAlign w:val="center"/>
            <w:hideMark/>
            <w:tcMar>
              <w:top w:w="80" w:type="dxa"/>
              <w:start w:w="110" w:type="dxa"/>
              <w:bottom w:w="80" w:type="dxa"/>
              <w:end w:w="110" w:type="dxa"/>
            </w:tcMar>
            <w:shd w:fill="1F4E79"/>
          </w:tcPr>
          <w:p w14:paraId="08DDF011" w14:textId="77777777" w:rsidR="00F710AF" w:rsidRPr="00166551" w:rsidRDefault="00F710AF" w:rsidP="00F710AF">
            <w:pPr>
              <w:spacing w:before="0" w:after="0" w:line="252" w:lineRule="auto"/>
              <w:rPr>
                <w:sz w:val="20"/>
                <w:szCs w:val="20"/>
                <w:lang w:val="en-US"/>
              </w:rPr>
            </w:pPr>
            <w:r w:rsidRPr="00166551">
              <w:rPr>
                <w:rFonts w:ascii="Arial" w:hAnsi="Arial"/>
                <w:b/>
                <w:color w:val="FFFFFF"/>
                <w:sz w:val="17"/>
                <w:szCs w:val="20"/>
                <w:lang w:val="en-US"/>
              </w:rPr>
              <w:t>Priority Treatment</w:t>
            </w:r>
          </w:p>
        </w:tc>
      </w:tr>
      <w:tr w:rsidR="00F710AF" w:rsidRPr="00166551" w14:paraId="032A0026" w14:textId="77777777" w:rsidTr="00166551">
        <w:trPr>
          <w:trHeight w:val="1627"/>
          <w:jc w:val="center"/>
        </w:trPr>
        <w:tc>
          <w:tcPr>
            <w:tcW w:w="1891"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15D9B00E" w14:textId="77777777" w:rsidR="00F710AF" w:rsidRPr="00166551" w:rsidRDefault="00F710AF" w:rsidP="00F710AF">
            <w:pPr>
              <w:spacing w:before="0" w:after="0" w:line="252" w:lineRule="auto"/>
              <w:jc w:val="left"/>
              <w:rPr>
                <w:sz w:val="20"/>
                <w:szCs w:val="20"/>
                <w:lang w:val="en-US"/>
              </w:rPr>
            </w:pPr>
            <w:r w:rsidRPr="00166551">
              <w:rPr>
                <w:rFonts w:ascii="Arial" w:hAnsi="Arial"/>
                <w:b w:val="0"/>
                <w:color w:val="202020"/>
                <w:sz w:val="17"/>
                <w:szCs w:val="20"/>
                <w:lang w:val="en-US"/>
              </w:rPr>
              <w:t>Ransomware and malware</w:t>
            </w:r>
          </w:p>
        </w:tc>
        <w:tc>
          <w:tcPr>
            <w:tcW w:w="1371"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5B43C8EC"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External</w:t>
            </w:r>
          </w:p>
        </w:tc>
        <w:tc>
          <w:tcPr>
            <w:tcW w:w="2553"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527FFCA5"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Loss of system availability and exposure of confidential information</w:t>
            </w:r>
          </w:p>
        </w:tc>
        <w:tc>
          <w:tcPr>
            <w:tcW w:w="945"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130C29E6"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Critical</w:t>
            </w:r>
          </w:p>
        </w:tc>
        <w:tc>
          <w:tcPr>
            <w:tcW w:w="4133"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54B01BDE"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Implement MFA, EDR, IT/OT network segmentation, and immutable offline backups.</w:t>
            </w:r>
          </w:p>
        </w:tc>
      </w:tr>
      <w:tr w:rsidR="00F710AF" w:rsidRPr="00166551" w14:paraId="38D12E5D" w14:textId="77777777" w:rsidTr="00166551">
        <w:trPr>
          <w:trHeight w:val="1295"/>
          <w:jc w:val="center"/>
        </w:trPr>
        <w:tc>
          <w:tcPr>
            <w:tcW w:w="1891"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7D5465E0" w14:textId="77777777" w:rsidR="00F710AF" w:rsidRPr="00166551" w:rsidRDefault="00F710AF" w:rsidP="00F710AF">
            <w:pPr>
              <w:spacing w:before="0" w:after="0" w:line="252" w:lineRule="auto"/>
              <w:jc w:val="left"/>
              <w:rPr>
                <w:sz w:val="20"/>
                <w:szCs w:val="20"/>
                <w:lang w:val="en-US"/>
              </w:rPr>
            </w:pPr>
            <w:r w:rsidRPr="00166551">
              <w:rPr>
                <w:rFonts w:ascii="Arial" w:hAnsi="Arial"/>
                <w:b w:val="0"/>
                <w:color w:val="202020"/>
                <w:sz w:val="17"/>
                <w:szCs w:val="20"/>
                <w:lang w:val="en-US"/>
              </w:rPr>
              <w:t>Phishing and invoice fraud</w:t>
            </w:r>
          </w:p>
        </w:tc>
        <w:tc>
          <w:tcPr>
            <w:tcW w:w="1371"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29D54BCC"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External</w:t>
            </w:r>
          </w:p>
        </w:tc>
        <w:tc>
          <w:tcPr>
            <w:tcW w:w="2553"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76C9A09B"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Disclosure of confidential information and financial loss</w:t>
            </w:r>
          </w:p>
        </w:tc>
        <w:tc>
          <w:tcPr>
            <w:tcW w:w="945"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30234FCC"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High</w:t>
            </w:r>
          </w:p>
        </w:tc>
        <w:tc>
          <w:tcPr>
            <w:tcW w:w="4133"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55B917C1"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Apply email security controls, staff training, and independent callback verification.</w:t>
            </w:r>
          </w:p>
        </w:tc>
      </w:tr>
      <w:tr w:rsidR="00F710AF" w:rsidRPr="00166551" w14:paraId="414BDBB9" w14:textId="77777777" w:rsidTr="00166551">
        <w:trPr>
          <w:trHeight w:val="1627"/>
          <w:jc w:val="center"/>
        </w:trPr>
        <w:tc>
          <w:tcPr>
            <w:tcW w:w="1891"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4BEC8B2A" w14:textId="77777777" w:rsidR="00F710AF" w:rsidRPr="00166551" w:rsidRDefault="00F710AF" w:rsidP="00F710AF">
            <w:pPr>
              <w:spacing w:before="0" w:after="0" w:line="252" w:lineRule="auto"/>
              <w:jc w:val="left"/>
              <w:rPr>
                <w:sz w:val="20"/>
                <w:szCs w:val="20"/>
                <w:lang w:val="en-US"/>
              </w:rPr>
            </w:pPr>
            <w:proofErr w:type="spellStart"/>
            <w:r w:rsidRPr="00166551">
              <w:rPr>
                <w:rFonts w:ascii="Arial" w:hAnsi="Arial"/>
                <w:b w:val="0"/>
                <w:color w:val="202020"/>
                <w:sz w:val="17"/>
                <w:szCs w:val="20"/>
                <w:lang w:val="en-US"/>
              </w:rPr>
              <w:t>Unauthorised</w:t>
            </w:r>
            <w:proofErr w:type="spellEnd"/>
            <w:r w:rsidRPr="00166551">
              <w:rPr>
                <w:rFonts w:ascii="Arial" w:hAnsi="Arial"/>
                <w:b w:val="0"/>
                <w:color w:val="202020"/>
                <w:sz w:val="17"/>
                <w:szCs w:val="20"/>
                <w:lang w:val="en-US"/>
              </w:rPr>
              <w:t xml:space="preserve"> OT access</w:t>
            </w:r>
          </w:p>
        </w:tc>
        <w:tc>
          <w:tcPr>
            <w:tcW w:w="1371"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4CA39AE1"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External and internal</w:t>
            </w:r>
          </w:p>
        </w:tc>
        <w:tc>
          <w:tcPr>
            <w:tcW w:w="2553"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3B7994A9"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Loss of system integrity, safety incidents, and production downtime</w:t>
            </w:r>
          </w:p>
        </w:tc>
        <w:tc>
          <w:tcPr>
            <w:tcW w:w="945"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4248F8F4"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Critical</w:t>
            </w:r>
          </w:p>
        </w:tc>
        <w:tc>
          <w:tcPr>
            <w:tcW w:w="4133"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04836F27"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Implement an industrial DMZ, RBAC, a secure jump server, and continuous monitoring.</w:t>
            </w:r>
          </w:p>
        </w:tc>
      </w:tr>
      <w:tr w:rsidR="00F710AF" w:rsidRPr="00166551" w14:paraId="18B19056" w14:textId="77777777" w:rsidTr="00166551">
        <w:trPr>
          <w:trHeight w:val="1295"/>
          <w:jc w:val="center"/>
        </w:trPr>
        <w:tc>
          <w:tcPr>
            <w:tcW w:w="1891"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163916A9" w14:textId="77777777" w:rsidR="00F710AF" w:rsidRPr="00166551" w:rsidRDefault="00F710AF" w:rsidP="00F710AF">
            <w:pPr>
              <w:spacing w:before="0" w:after="0" w:line="252" w:lineRule="auto"/>
              <w:jc w:val="left"/>
              <w:rPr>
                <w:sz w:val="20"/>
                <w:szCs w:val="20"/>
                <w:lang w:val="en-US"/>
              </w:rPr>
            </w:pPr>
            <w:r w:rsidRPr="00166551">
              <w:rPr>
                <w:rFonts w:ascii="Arial" w:hAnsi="Arial"/>
                <w:b w:val="0"/>
                <w:color w:val="202020"/>
                <w:sz w:val="17"/>
                <w:szCs w:val="20"/>
                <w:lang w:val="en-US"/>
              </w:rPr>
              <w:lastRenderedPageBreak/>
              <w:t>Supplier compromise</w:t>
            </w:r>
          </w:p>
        </w:tc>
        <w:tc>
          <w:tcPr>
            <w:tcW w:w="1371"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27270BB1"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Third-party suppliers</w:t>
            </w:r>
          </w:p>
        </w:tc>
        <w:tc>
          <w:tcPr>
            <w:tcW w:w="2553"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1FF844EB"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Compromise of confidentiality, integrity, and availability</w:t>
            </w:r>
          </w:p>
        </w:tc>
        <w:tc>
          <w:tcPr>
            <w:tcW w:w="945"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1278A704"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High</w:t>
            </w:r>
          </w:p>
        </w:tc>
        <w:tc>
          <w:tcPr>
            <w:tcW w:w="4133"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39AC0E68"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Conduct supplier due diligence and apply restricted access, MFA, and activity logging.</w:t>
            </w:r>
          </w:p>
        </w:tc>
      </w:tr>
      <w:tr w:rsidR="00F710AF" w:rsidRPr="00166551" w14:paraId="31F25A9A" w14:textId="77777777" w:rsidTr="00166551">
        <w:trPr>
          <w:trHeight w:val="1295"/>
          <w:jc w:val="center"/>
        </w:trPr>
        <w:tc>
          <w:tcPr>
            <w:tcW w:w="1891"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6EFB03F0" w14:textId="77777777" w:rsidR="00F710AF" w:rsidRPr="00166551" w:rsidRDefault="00F710AF" w:rsidP="00F710AF">
            <w:pPr>
              <w:spacing w:before="0" w:after="0" w:line="252" w:lineRule="auto"/>
              <w:jc w:val="left"/>
              <w:rPr>
                <w:sz w:val="20"/>
                <w:szCs w:val="20"/>
                <w:lang w:val="en-US"/>
              </w:rPr>
            </w:pPr>
            <w:r w:rsidRPr="00166551">
              <w:rPr>
                <w:rFonts w:ascii="Arial" w:hAnsi="Arial"/>
                <w:b w:val="0"/>
                <w:color w:val="202020"/>
                <w:sz w:val="17"/>
                <w:szCs w:val="20"/>
                <w:lang w:val="en-US"/>
              </w:rPr>
              <w:t>Human error or system misconfiguration</w:t>
            </w:r>
          </w:p>
        </w:tc>
        <w:tc>
          <w:tcPr>
            <w:tcW w:w="1371"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2ED30014"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Internal</w:t>
            </w:r>
          </w:p>
        </w:tc>
        <w:tc>
          <w:tcPr>
            <w:tcW w:w="2553"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6FB6DCB3"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Loss of system integrity and service availability</w:t>
            </w:r>
          </w:p>
        </w:tc>
        <w:tc>
          <w:tcPr>
            <w:tcW w:w="945"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553DAC46"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High</w:t>
            </w:r>
          </w:p>
        </w:tc>
        <w:tc>
          <w:tcPr>
            <w:tcW w:w="4133" w:type="dxa"/>
            <w:tcBorders>
              <w:top w:val="single" w:sz="6" w:space="0" w:color="D5DDE3"/>
              <w:left w:val="single" w:sz="6" w:space="0" w:color="D5DDE3"/>
              <w:bottom w:val="single" w:sz="6" w:space="0" w:color="D5DDE3"/>
              <w:right w:val="single" w:sz="6" w:space="0" w:color="D5DDE3"/>
            </w:tcBorders>
            <w:shd w:val="clear" w:color="auto" w:fill="F3F6F8"/>
            <w:tcMar>
              <w:top w:w="90" w:type="dxa"/>
              <w:left w:w="120" w:type="dxa"/>
              <w:bottom w:w="90" w:type="dxa"/>
              <w:right w:w="120" w:type="dxa"/>
            </w:tcMar>
            <w:vAlign w:val="center"/>
            <w:hideMark/>
            <w:tcMar>
              <w:top w:w="80" w:type="dxa"/>
              <w:start w:w="110" w:type="dxa"/>
              <w:bottom w:w="80" w:type="dxa"/>
              <w:end w:w="110" w:type="dxa"/>
            </w:tcMar>
            <w:shd w:fill="EDF2F6"/>
          </w:tcPr>
          <w:p w14:paraId="3A06CCFA"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Apply formal change control, peer review, secure baselines, and staff training.</w:t>
            </w:r>
          </w:p>
        </w:tc>
      </w:tr>
      <w:tr w:rsidR="00F710AF" w:rsidRPr="00166551" w14:paraId="460D0F9A" w14:textId="77777777" w:rsidTr="00166551">
        <w:trPr>
          <w:trHeight w:val="1627"/>
          <w:jc w:val="center"/>
        </w:trPr>
        <w:tc>
          <w:tcPr>
            <w:tcW w:w="1891"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398AA03C" w14:textId="77777777" w:rsidR="00F710AF" w:rsidRPr="00166551" w:rsidRDefault="00F710AF" w:rsidP="00F710AF">
            <w:pPr>
              <w:spacing w:before="0" w:after="0" w:line="252" w:lineRule="auto"/>
              <w:jc w:val="left"/>
              <w:rPr>
                <w:sz w:val="20"/>
                <w:szCs w:val="20"/>
                <w:lang w:val="en-US"/>
              </w:rPr>
            </w:pPr>
            <w:r w:rsidRPr="00166551">
              <w:rPr>
                <w:rFonts w:ascii="Arial" w:hAnsi="Arial"/>
                <w:b w:val="0"/>
                <w:color w:val="202020"/>
                <w:sz w:val="17"/>
                <w:szCs w:val="20"/>
                <w:lang w:val="en-US"/>
              </w:rPr>
              <w:t>Data exfiltration</w:t>
            </w:r>
          </w:p>
        </w:tc>
        <w:tc>
          <w:tcPr>
            <w:tcW w:w="1371"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1631F2EB"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External and internal</w:t>
            </w:r>
          </w:p>
        </w:tc>
        <w:tc>
          <w:tcPr>
            <w:tcW w:w="2553"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1540E20A"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Exposure of intellectual property, contractual violations, and reputational damage</w:t>
            </w:r>
          </w:p>
        </w:tc>
        <w:tc>
          <w:tcPr>
            <w:tcW w:w="945"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752C43BD"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High</w:t>
            </w:r>
          </w:p>
        </w:tc>
        <w:tc>
          <w:tcPr>
            <w:tcW w:w="4133" w:type="dxa"/>
            <w:tcBorders>
              <w:top w:val="single" w:sz="6" w:space="0" w:color="D5DDE3"/>
              <w:left w:val="single" w:sz="6" w:space="0" w:color="D5DDE3"/>
              <w:bottom w:val="single" w:sz="6" w:space="0" w:color="D5DDE3"/>
              <w:right w:val="single" w:sz="6" w:space="0" w:color="D5DDE3"/>
            </w:tcBorders>
            <w:shd w:val="clear" w:color="auto" w:fill="FFFFFF"/>
            <w:tcMar>
              <w:top w:w="90" w:type="dxa"/>
              <w:left w:w="120" w:type="dxa"/>
              <w:bottom w:w="90" w:type="dxa"/>
              <w:right w:w="120" w:type="dxa"/>
            </w:tcMar>
            <w:vAlign w:val="center"/>
            <w:hideMark/>
            <w:tcMar>
              <w:top w:w="80" w:type="dxa"/>
              <w:start w:w="110" w:type="dxa"/>
              <w:bottom w:w="80" w:type="dxa"/>
              <w:end w:w="110" w:type="dxa"/>
            </w:tcMar>
            <w:shd w:fill="FFFFFF"/>
          </w:tcPr>
          <w:p w14:paraId="3E2FAD03" w14:textId="77777777" w:rsidR="00F710AF" w:rsidRPr="00166551" w:rsidRDefault="00F710AF" w:rsidP="00F710AF">
            <w:pPr>
              <w:spacing w:before="0" w:after="0" w:line="252" w:lineRule="auto"/>
              <w:rPr>
                <w:sz w:val="20"/>
                <w:szCs w:val="20"/>
                <w:lang w:val="en-US"/>
              </w:rPr>
            </w:pPr>
            <w:r w:rsidRPr="00166551">
              <w:rPr>
                <w:rFonts w:ascii="Arial" w:hAnsi="Arial"/>
                <w:b w:val="0"/>
                <w:color w:val="202020"/>
                <w:sz w:val="17"/>
                <w:szCs w:val="20"/>
                <w:lang w:val="en-US"/>
              </w:rPr>
              <w:t>Apply data classification, DLP, encryption, least privilege, and access monitoring.</w:t>
            </w:r>
          </w:p>
        </w:tc>
      </w:tr>
    </w:tbl>
    <w:p w14:paraId="243CABE0" w14:textId="25691098" w:rsidR="00F710AF" w:rsidRPr="00F710AF" w:rsidRDefault="00F710AF" w:rsidP="00F710AF">
      <w:pPr>
        <w:widowControl/>
        <w:spacing w:after="120" w:line="276" w:lineRule="auto"/>
        <w:jc w:val="both"/>
        <w:rPr>
          <w:sz w:val="28"/>
          <w:szCs w:val="28"/>
          <w:rtl/>
          <w:lang w:val="en-US"/>
        </w:rPr>
      </w:pPr>
    </w:p>
    <w:p w14:paraId="372D4612" w14:textId="77777777" w:rsidR="00F710AF" w:rsidRPr="00F710AF" w:rsidRDefault="00F710AF" w:rsidP="00F710AF">
      <w:pPr>
        <w:keepNext w:val="0"/>
        <w:widowControl/>
        <w:spacing w:after="160" w:line="276" w:lineRule="auto" w:before="80"/>
        <w:jc w:val="center"/>
        <w:rPr>
          <w:sz w:val="28"/>
          <w:szCs w:val="28"/>
          <w:lang w:val="en-US"/>
        </w:rPr>
      </w:pPr>
      <w:r>
        <w:rPr>
          <w:rFonts w:ascii="Arial" w:hAnsi="Arial"/>
          <w:i/>
          <w:color w:val="555555"/>
          <w:sz w:val="18"/>
          <w:szCs w:val="28"/>
        </w:rPr>
        <w:t xml:space="preserve">      </w:t>
      </w:r>
      <w:r w:rsidRPr="00F710AF">
        <w:rPr>
          <w:rFonts w:ascii="Arial" w:hAnsi="Arial"/>
          <w:i/>
          <w:color w:val="555555"/>
          <w:sz w:val="18"/>
          <w:szCs w:val="28"/>
          <w:lang w:val="en-US"/>
        </w:rPr>
        <w:t>Table 1. SFM qualitative risk register (risk should be reassessed after controls).</w:t>
      </w:r>
    </w:p>
    <w:p w14:paraId="1938C4A9" w14:textId="5EE5E639" w:rsidR="00B90456" w:rsidRPr="00B90456" w:rsidRDefault="00B90456" w:rsidP="00695B47">
      <w:pPr>
        <w:widowControl/>
        <w:spacing w:after="120" w:line="276" w:lineRule="auto"/>
        <w:jc w:val="both"/>
        <w:rPr>
          <w:sz w:val="28"/>
          <w:szCs w:val="28"/>
        </w:rPr>
      </w:pPr>
    </w:p>
    <w:p w14:paraId="1414D985" w14:textId="77777777" w:rsidR="00695B47" w:rsidRPr="00695B47" w:rsidRDefault="00695B47" w:rsidP="00695B47">
      <w:pPr>
        <w:pStyle w:val="Heading1"/>
        <w:rPr>
          <w:b/>
          <w:bCs/>
          <w:sz w:val="28"/>
          <w:szCs w:val="28"/>
          <w:lang w:val="en-US"/>
        </w:rPr>
      </w:pPr>
      <w:r w:rsidRPr="00695B47">
        <w:rPr>
          <w:b/>
          <w:bCs/>
          <w:sz w:val="28"/>
          <w:szCs w:val="28"/>
          <w:lang w:val="en-US"/>
        </w:rPr>
        <w:t>3. Security and Data-Governance Policies</w:t>
      </w:r>
    </w:p>
    <w:p w14:paraId="7EE98B3F" w14:textId="77777777" w:rsidR="00695B47" w:rsidRPr="00695B47" w:rsidRDefault="00695B47" w:rsidP="00695B47">
      <w:pPr>
        <w:widowControl/>
        <w:spacing w:after="120" w:line="276" w:lineRule="auto"/>
        <w:jc w:val="both"/>
        <w:rPr>
          <w:sz w:val="28"/>
          <w:szCs w:val="28"/>
        </w:rPr>
      </w:pPr>
    </w:p>
    <w:p w14:paraId="608FEF1D" w14:textId="7B0E1777" w:rsidR="00695B47" w:rsidRPr="00695B47" w:rsidRDefault="00695B47" w:rsidP="00695B47">
      <w:pPr>
        <w:widowControl/>
        <w:spacing w:after="120" w:line="276" w:lineRule="auto"/>
        <w:jc w:val="both"/>
        <w:rPr>
          <w:sz w:val="28"/>
          <w:szCs w:val="28"/>
        </w:rPr>
      </w:pPr>
      <w:r w:rsidRPr="00695B47">
        <w:rPr>
          <w:sz w:val="28"/>
          <w:szCs w:val="28"/>
        </w:rPr>
        <w:t xml:space="preserve">Governance policy. The Board ‘owns’ cyber risk and sets risk appetite, the IT Security Manager maintains the ISMS and produces a quarterly dashboard, system and data owners ‘accept’ residual risk. Each exception also has an owner and an expiry date. This turns security from an IT only activity into accountable enterprise governance, following ISO/IEC 27001 </w:t>
      </w:r>
      <w:sdt>
        <w:sdtPr>
          <w:rPr>
            <w:color w:val="000000"/>
            <w:sz w:val="28"/>
            <w:szCs w:val="28"/>
            <w:highlight w:val="white"/>
          </w:rPr>
          <w:alias w:val="Citation"/>
          <w:tag w:val="{&quot;referencesIds&quot;:[&quot;doc:6a7cb02204111770dc927ba9&quot;],&quot;referencesOptions&quot;:{&quot;doc:6a7cb02204111770dc927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3595050"/>
          <w:placeholder>
            <w:docPart w:val="5D83C24F1BC142C4B6C05F6CF03AA1FC"/>
          </w:placeholder>
        </w:sdtPr>
        <w:sdtContent>
          <w:r w:rsidR="00947DF0">
            <w:rPr>
              <w:rFonts w:eastAsia="Times New Roman"/>
              <w:color w:val="000000"/>
              <w:sz w:val="28"/>
              <w:szCs w:val="28"/>
            </w:rPr>
            <w:t>[3]</w:t>
          </w:r>
        </w:sdtContent>
      </w:sdt>
      <w:r w:rsidRPr="00695B47">
        <w:rPr>
          <w:sz w:val="28"/>
          <w:szCs w:val="28"/>
        </w:rPr>
        <w:t>.</w:t>
      </w:r>
    </w:p>
    <w:p w14:paraId="0CD515DD" w14:textId="77777777" w:rsidR="00695B47" w:rsidRPr="00695B47" w:rsidRDefault="00695B47" w:rsidP="00695B47">
      <w:pPr>
        <w:widowControl/>
        <w:spacing w:after="120" w:line="276" w:lineRule="auto"/>
        <w:jc w:val="both"/>
        <w:rPr>
          <w:sz w:val="28"/>
          <w:szCs w:val="28"/>
        </w:rPr>
      </w:pPr>
      <w:r w:rsidRPr="00695B47">
        <w:rPr>
          <w:sz w:val="28"/>
          <w:szCs w:val="28"/>
        </w:rPr>
        <w:t>Asset, access and acceptable-use policy. SFM will maintain an inventory of IT, OT, IoT, cloud services, data flows, owners, firmware, criticality and support status. Every user will receive a unique identity, will be granted least privilege and be given role-based access to systems and services. MFA will be mandatory for access to cloud services, email, administration systems, VPNs and suppliers’ systems and services.</w:t>
      </w:r>
    </w:p>
    <w:p w14:paraId="65B46918" w14:textId="2D24F7E2" w:rsidR="00695B47" w:rsidRPr="00695B47" w:rsidRDefault="00695B47" w:rsidP="00695B47">
      <w:pPr>
        <w:widowControl/>
        <w:spacing w:after="120" w:line="276" w:lineRule="auto"/>
        <w:jc w:val="both"/>
        <w:rPr>
          <w:sz w:val="28"/>
          <w:szCs w:val="28"/>
        </w:rPr>
      </w:pPr>
      <w:r w:rsidRPr="00695B47">
        <w:rPr>
          <w:sz w:val="28"/>
          <w:szCs w:val="28"/>
        </w:rPr>
        <w:t>Data-governance policy. SFM will classify all Data as Public, Internal, Confidential or Restricted. Engineering designs and customer technical information (including credentials) are to be classified as Restricted and therefore only stored on approved assets, shared in accordance with approved sharing rules and with approved retention schedules in place. All Confidential and Restricted information is to be encrypted in transit and at rest. Information to be disposed of must be disposed of in a verifiable manner. UK GDPR principles for processing personal information are that such information is processed in a lawful manner, with a specified purpose, and the information minimised to that which is necessary. Such information must be accurate and up to date, and not stored for longer than is necessary.</w:t>
      </w:r>
    </w:p>
    <w:p w14:paraId="5530A532" w14:textId="77777777" w:rsidR="00695B47" w:rsidRDefault="00695B47" w:rsidP="00695B47">
      <w:pPr>
        <w:widowControl/>
        <w:spacing w:after="120" w:line="276" w:lineRule="auto"/>
        <w:jc w:val="both"/>
        <w:rPr>
          <w:sz w:val="28"/>
          <w:szCs w:val="28"/>
        </w:rPr>
      </w:pPr>
      <w:r w:rsidRPr="00695B47">
        <w:rPr>
          <w:sz w:val="28"/>
          <w:szCs w:val="28"/>
        </w:rPr>
        <w:t xml:space="preserve">Technology, supplier and resilience policy. The SFM Technology policy outlines minimum technology controls to support safe working practices. Change policy, secure configuration, vulnerability management, logging and backup policies are all </w:t>
      </w:r>
      <w:r w:rsidRPr="00695B47">
        <w:rPr>
          <w:sz w:val="28"/>
          <w:szCs w:val="28"/>
        </w:rPr>
        <w:lastRenderedPageBreak/>
        <w:t>detailed within the Technology policy. OT systems are patched during approved maintenance windows after testing for any adverse effects. Where patching would create unacceptable risk, compensating controls such as isolation, application allow-listing and monitoring are documented. Supplier policies outline minimum controls to be adopted. Incident notification, audit support, use of named accounts and restricted access to assets during approved working hours are all detailed within the supplier policies. Technology backup policies are outlined within the Technology policy. The 3-2-1 approach of offsite backups (either offline or immutable) are tested by restore from backup on a quarterly basis.</w:t>
      </w:r>
    </w:p>
    <w:p w14:paraId="0FAF689C" w14:textId="77777777" w:rsidR="00B90456" w:rsidRPr="00B90456" w:rsidRDefault="00B90456" w:rsidP="00695B47">
      <w:pPr>
        <w:widowControl/>
        <w:spacing w:after="120" w:line="276" w:lineRule="auto"/>
        <w:jc w:val="both"/>
        <w:rPr>
          <w:sz w:val="28"/>
          <w:szCs w:val="28"/>
          <w:rtl/>
        </w:rPr>
      </w:pPr>
    </w:p>
    <w:p w14:paraId="463E4315" w14:textId="77777777" w:rsidR="00695B47" w:rsidRPr="00695B47" w:rsidRDefault="00695B47" w:rsidP="00695B47">
      <w:pPr>
        <w:pStyle w:val="Heading1"/>
        <w:rPr>
          <w:b/>
          <w:bCs/>
          <w:sz w:val="28"/>
          <w:szCs w:val="28"/>
          <w:lang w:val="en-US"/>
        </w:rPr>
      </w:pPr>
      <w:r w:rsidRPr="00695B47">
        <w:rPr>
          <w:b/>
          <w:bCs/>
          <w:sz w:val="28"/>
          <w:szCs w:val="28"/>
          <w:lang w:val="en-US"/>
        </w:rPr>
        <w:t>4. Mitigation Measures and Implementation</w:t>
      </w:r>
    </w:p>
    <w:p w14:paraId="5DA06740" w14:textId="77777777" w:rsidR="00695B47" w:rsidRPr="00695B47" w:rsidRDefault="00695B47" w:rsidP="00695B47">
      <w:pPr>
        <w:widowControl/>
        <w:spacing w:after="120" w:line="276" w:lineRule="auto"/>
        <w:jc w:val="both"/>
        <w:rPr>
          <w:sz w:val="28"/>
          <w:szCs w:val="28"/>
          <w:lang w:val="en-US"/>
        </w:rPr>
      </w:pPr>
    </w:p>
    <w:p w14:paraId="6DA5EE4B" w14:textId="2C6664BF" w:rsidR="00695B47" w:rsidRPr="00695B47" w:rsidRDefault="00695B47" w:rsidP="00695B47">
      <w:pPr>
        <w:widowControl/>
        <w:spacing w:after="120" w:line="276" w:lineRule="auto"/>
        <w:jc w:val="both"/>
        <w:rPr>
          <w:sz w:val="28"/>
          <w:szCs w:val="28"/>
        </w:rPr>
      </w:pPr>
      <w:r w:rsidRPr="00695B47">
        <w:rPr>
          <w:sz w:val="28"/>
          <w:szCs w:val="28"/>
        </w:rPr>
        <w:t xml:space="preserve">Segregation of the corporate IT network from the guest/IoT network and the industrial OT network is the single most important architectural change. Network segregation for corporate IT, guest/IoT, production support and OT is achieved through firewalls, VLANs and subnets. An industrial DMZ is used for the controlled data exchange with update repositories and a hardened jump server. No direct Internet-to-OT or IT-to-OT routes exist. All rules are of a deny-by-default nature with full source and destination, protocol and owner information along with a documented purpose. NIST guidance for small-manufacturing exists to provide evidence that segregation of this nature is achievable for manufacturers </w:t>
      </w:r>
      <w:sdt>
        <w:sdtPr>
          <w:rPr>
            <w:color w:val="000000"/>
            <w:sz w:val="28"/>
            <w:szCs w:val="28"/>
            <w:highlight w:val="white"/>
          </w:rPr>
          <w:alias w:val="Citation"/>
          <w:tag w:val="{&quot;referencesIds&quot;:[&quot;doc:6a7cb07e04111770dc927bac&quot;],&quot;referencesOptions&quot;:{&quot;doc:6a7cb07e04111770dc927b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7345775"/>
          <w:placeholder>
            <w:docPart w:val="16D903EF6E7B444CBF95799C06275878"/>
          </w:placeholder>
        </w:sdtPr>
        <w:sdtContent>
          <w:r w:rsidR="00947DF0">
            <w:rPr>
              <w:rFonts w:eastAsia="Times New Roman"/>
              <w:color w:val="000000"/>
              <w:sz w:val="28"/>
              <w:szCs w:val="28"/>
            </w:rPr>
            <w:t>[4]</w:t>
          </w:r>
        </w:sdtContent>
      </w:sdt>
      <w:r w:rsidRPr="00695B47">
        <w:rPr>
          <w:sz w:val="28"/>
          <w:szCs w:val="28"/>
        </w:rPr>
        <w:t xml:space="preserve">. NCSC guidance on segregation exists to outline how segregation of this nature is used to control traffic and limit lateral movement </w:t>
      </w:r>
      <w:sdt>
        <w:sdtPr>
          <w:rPr>
            <w:color w:val="000000"/>
            <w:sz w:val="28"/>
            <w:szCs w:val="28"/>
            <w:highlight w:val="white"/>
          </w:rPr>
          <w:alias w:val="Citation"/>
          <w:tag w:val="{&quot;referencesIds&quot;:[&quot;doc:6a7cb096caf3a52ff916cf94&quot;],&quot;referencesOptions&quot;:{&quot;doc:6a7cb096caf3a52ff916cf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4682738"/>
          <w:placeholder>
            <w:docPart w:val="8481A3F750B54DD68882FCEDA07485CF"/>
          </w:placeholder>
        </w:sdtPr>
        <w:sdtContent>
          <w:r w:rsidR="00947DF0">
            <w:rPr>
              <w:rFonts w:eastAsia="Times New Roman"/>
              <w:color w:val="000000"/>
              <w:sz w:val="28"/>
              <w:szCs w:val="28"/>
            </w:rPr>
            <w:t>[5]</w:t>
          </w:r>
        </w:sdtContent>
      </w:sdt>
      <w:r w:rsidRPr="00695B47">
        <w:rPr>
          <w:sz w:val="28"/>
          <w:szCs w:val="28"/>
        </w:rPr>
        <w:t>.</w:t>
      </w:r>
    </w:p>
    <w:p w14:paraId="358AD971" w14:textId="18BF59BF" w:rsidR="00695B47" w:rsidRPr="00695B47" w:rsidRDefault="00695B47" w:rsidP="00241673">
      <w:pPr>
        <w:widowControl/>
        <w:spacing w:after="120" w:line="276" w:lineRule="auto"/>
        <w:jc w:val="both"/>
        <w:rPr>
          <w:sz w:val="28"/>
          <w:szCs w:val="28"/>
        </w:rPr>
      </w:pPr>
      <w:r w:rsidRPr="00695B47">
        <w:rPr>
          <w:sz w:val="28"/>
          <w:szCs w:val="28"/>
        </w:rPr>
        <w:t>MFA, RBAC, Privileged Access Vault, etc. Then for EDR and endpoint/host firewalls, OT application allow-listing, email anti-spoofing, sandboxing of attachments, ‘external sender’ warnings, etc. Scanning for IT applications and servers can be active, for OT systems it can be passive or subject to agreement with relevant vendors. Rapid fixes will be put in place to address critical Internet-facing weaknesses; OT fix can also be subject to constraints / safety checks / impact on production etc. Supplier remote sessions require approval, MFA, use of the jump server, recording and automatic expiration after a defined time. Backups must be created for cloud configurations, servers, engineering workstations, PLCs and machine recipes. Restoration tests must verify the integrity of the data and safe production operation of affected devices. Layered measures are better than one single preventive measure, as a failure of a control measure does not immediately have to turn into a plant-wide incident.</w:t>
      </w:r>
    </w:p>
    <w:p w14:paraId="2AC48132" w14:textId="7FE2AD41" w:rsidR="00695B47" w:rsidRDefault="00695B47" w:rsidP="00695B47">
      <w:pPr>
        <w:widowControl/>
        <w:spacing w:after="120" w:line="276" w:lineRule="auto"/>
        <w:jc w:val="both"/>
        <w:rPr>
          <w:sz w:val="28"/>
          <w:szCs w:val="28"/>
          <w:rtl/>
        </w:rPr>
      </w:pPr>
      <w:r w:rsidRPr="00695B47">
        <w:rPr>
          <w:sz w:val="28"/>
          <w:szCs w:val="28"/>
        </w:rPr>
        <w:t>However, this could invalidate support from vendors and cause problems with OT functions that are currently supported on an engineering basis. Therefore, the ranking of vulnerabilities by exploitability, criticality of affected assets, exposure and current controls determines whether a patch is to be put in place during a maintenance window or a time-limited exception recorded.</w:t>
      </w:r>
    </w:p>
    <w:p w14:paraId="166E9F76" w14:textId="3B105035" w:rsidR="00166551" w:rsidRDefault="00166551" w:rsidP="00695B47">
      <w:pPr>
        <w:widowControl/>
        <w:spacing w:after="120" w:line="276" w:lineRule="auto"/>
        <w:jc w:val="both"/>
        <w:rPr>
          <w:sz w:val="28"/>
          <w:szCs w:val="28"/>
        </w:rPr>
      </w:pPr>
      <w:r>
        <w:rPr>
          <w:sz w:val="28"/>
          <w:szCs w:val="28"/>
        </w:rPr>
        <w:t xml:space="preserve">     </w:t>
      </w:r>
    </w:p>
    <w:p w14:paraId="476BB59F" w14:textId="3D10F801" w:rsidR="00166551" w:rsidRDefault="00166551" w:rsidP="00630BCF">
      <w:pPr>
        <w:widowControl/>
        <w:spacing w:after="120" w:line="276" w:lineRule="auto"/>
        <w:jc w:val="both"/>
        <w:rPr>
          <w:sz w:val="28"/>
          <w:szCs w:val="28"/>
        </w:rPr>
      </w:pPr>
      <w:r>
        <w:rPr>
          <w:sz w:val="28"/>
          <w:szCs w:val="28"/>
        </w:rPr>
        <w:lastRenderedPageBreak/>
        <w:t xml:space="preserve">             </w:t>
      </w:r>
    </w:p>
    <w:p w14:paraId="03A01F6E" w14:textId="77777777" w:rsidR="00166551" w:rsidRPr="00166551" w:rsidRDefault="00166551" w:rsidP="00166551">
      <w:pPr>
        <w:widowControl/>
        <w:spacing w:after="120" w:line="276" w:lineRule="auto"/>
        <w:jc w:val="both"/>
        <w:rPr>
          <w:sz w:val="28"/>
          <w:szCs w:val="28"/>
        </w:rPr>
      </w:pPr>
    </w:p>
    <w:tbl>
      <w:tblPr>
        <w:tblW w:w="11362" w:type="dxa"/>
        <w:jc w:val="center"/>
        <w:tblBorders>
          <w:top w:val="single" w:sz="6" w:space="0" w:color="D4DCE2"/>
          <w:left w:val="single" w:sz="6" w:space="0" w:color="D4DCE2"/>
          <w:bottom w:val="single" w:sz="6" w:space="0" w:color="D4DCE2"/>
          <w:right w:val="single" w:sz="6" w:space="0" w:color="D4DCE2"/>
          <w:insideH w:val="single" w:sz="6" w:space="0" w:color="D4DCE2"/>
          <w:insideV w:val="single" w:sz="6" w:space="0" w:color="D4DCE2"/>
        </w:tblBorders>
        <w:tblLayout w:type="autofit"/>
        <w:tblLook w:val="04A0" w:firstRow="1" w:lastRow="0" w:firstColumn="1" w:lastColumn="0" w:noHBand="0" w:noVBand="1"/>
        <w:tblBorders>
          <w:top w:val="single" w:sz="5" w:color="B8C4CE"/>
          <w:left w:val="single" w:sz="5" w:color="B8C4CE"/>
          <w:bottom w:val="single" w:sz="5" w:color="B8C4CE"/>
          <w:right w:val="single" w:sz="5" w:color="B8C4CE"/>
          <w:insideH w:val="single" w:sz="5" w:color="B8C4CE"/>
          <w:insideV w:val="single" w:sz="5" w:color="B8C4CE"/>
        </w:tblBorders>
      </w:tblPr>
      <w:tblGrid>
        <w:gridCol w:w="1352"/>
        <w:gridCol w:w="5005"/>
        <w:gridCol w:w="1578"/>
        <w:gridCol w:w="3427"/>
      </w:tblGrid>
      <w:tr w:rsidR="00166551" w:rsidRPr="00166551" w14:paraId="4561A85C" w14:textId="77777777" w:rsidTr="00166551">
        <w:trPr>
          <w:trHeight w:val="257"/>
          <w:jc w:val="center"/>
          <w:tblHeader w:val="true"/>
        </w:trPr>
        <w:tc>
          <w:tcPr>
            <w:tcW w:w="1352" w:type="dxa"/>
            <w:tcBorders>
              <w:top w:val="single" w:sz="6" w:space="0" w:color="D4DCE2"/>
              <w:left w:val="single" w:sz="6" w:space="0" w:color="D4DCE2"/>
              <w:bottom w:val="single" w:sz="6" w:space="0" w:color="D4DCE2"/>
              <w:right w:val="single" w:sz="6" w:space="0" w:color="D4DCE2"/>
            </w:tcBorders>
            <w:shd w:val="clear" w:color="auto" w:fill="101820"/>
            <w:tcMar>
              <w:top w:w="110" w:type="dxa"/>
              <w:left w:w="150" w:type="dxa"/>
              <w:bottom w:w="110" w:type="dxa"/>
              <w:right w:w="150" w:type="dxa"/>
            </w:tcMar>
            <w:vAlign w:val="center"/>
            <w:hideMark/>
            <w:tcMar>
              <w:top w:w="80" w:type="dxa"/>
              <w:start w:w="110" w:type="dxa"/>
              <w:bottom w:w="80" w:type="dxa"/>
              <w:end w:w="110" w:type="dxa"/>
            </w:tcMar>
            <w:shd w:fill="1F4E79"/>
          </w:tcPr>
          <w:p w14:paraId="0A236610" w14:textId="77777777" w:rsidR="00166551" w:rsidRPr="00166551" w:rsidRDefault="00166551" w:rsidP="00166551">
            <w:pPr>
              <w:spacing w:before="0" w:after="0" w:line="252" w:lineRule="auto"/>
              <w:jc w:val="left"/>
              <w:rPr>
                <w:lang w:val="en-US"/>
              </w:rPr>
            </w:pPr>
            <w:r w:rsidRPr="00166551">
              <w:rPr>
                <w:rFonts w:ascii="Arial" w:hAnsi="Arial"/>
                <w:b/>
                <w:color w:val="FFFFFF"/>
                <w:sz w:val="17"/>
                <w:lang w:val="en-US"/>
              </w:rPr>
              <w:t>Phase</w:t>
            </w:r>
          </w:p>
        </w:tc>
        <w:tc>
          <w:tcPr>
            <w:tcW w:w="5005" w:type="dxa"/>
            <w:tcBorders>
              <w:top w:val="single" w:sz="6" w:space="0" w:color="D4DCE2"/>
              <w:left w:val="single" w:sz="6" w:space="0" w:color="D4DCE2"/>
              <w:bottom w:val="single" w:sz="6" w:space="0" w:color="D4DCE2"/>
              <w:right w:val="single" w:sz="6" w:space="0" w:color="D4DCE2"/>
            </w:tcBorders>
            <w:shd w:val="clear" w:color="auto" w:fill="101820"/>
            <w:tcMar>
              <w:top w:w="110" w:type="dxa"/>
              <w:left w:w="150" w:type="dxa"/>
              <w:bottom w:w="110" w:type="dxa"/>
              <w:right w:w="150" w:type="dxa"/>
            </w:tcMar>
            <w:vAlign w:val="center"/>
            <w:hideMark/>
            <w:tcMar>
              <w:top w:w="80" w:type="dxa"/>
              <w:start w:w="110" w:type="dxa"/>
              <w:bottom w:w="80" w:type="dxa"/>
              <w:end w:w="110" w:type="dxa"/>
            </w:tcMar>
            <w:shd w:fill="1F4E79"/>
          </w:tcPr>
          <w:p w14:paraId="0B0F2A5D" w14:textId="77777777" w:rsidR="00166551" w:rsidRPr="00166551" w:rsidRDefault="00166551" w:rsidP="00166551">
            <w:pPr>
              <w:spacing w:before="0" w:after="0" w:line="252" w:lineRule="auto"/>
              <w:rPr>
                <w:lang w:val="en-US"/>
              </w:rPr>
            </w:pPr>
            <w:r w:rsidRPr="00166551">
              <w:rPr>
                <w:rFonts w:ascii="Arial" w:hAnsi="Arial"/>
                <w:b/>
                <w:color w:val="FFFFFF"/>
                <w:sz w:val="17"/>
                <w:lang w:val="en-US"/>
              </w:rPr>
              <w:t>Key Actions</w:t>
            </w:r>
          </w:p>
        </w:tc>
        <w:tc>
          <w:tcPr>
            <w:tcW w:w="1578" w:type="dxa"/>
            <w:tcBorders>
              <w:top w:val="single" w:sz="6" w:space="0" w:color="D4DCE2"/>
              <w:left w:val="single" w:sz="6" w:space="0" w:color="D4DCE2"/>
              <w:bottom w:val="single" w:sz="6" w:space="0" w:color="D4DCE2"/>
              <w:right w:val="single" w:sz="6" w:space="0" w:color="D4DCE2"/>
            </w:tcBorders>
            <w:shd w:val="clear" w:color="auto" w:fill="101820"/>
            <w:tcMar>
              <w:top w:w="110" w:type="dxa"/>
              <w:left w:w="150" w:type="dxa"/>
              <w:bottom w:w="110" w:type="dxa"/>
              <w:right w:w="150" w:type="dxa"/>
            </w:tcMar>
            <w:vAlign w:val="center"/>
            <w:hideMark/>
            <w:tcMar>
              <w:top w:w="80" w:type="dxa"/>
              <w:start w:w="110" w:type="dxa"/>
              <w:bottom w:w="80" w:type="dxa"/>
              <w:end w:w="110" w:type="dxa"/>
            </w:tcMar>
            <w:shd w:fill="1F4E79"/>
          </w:tcPr>
          <w:p w14:paraId="5FD8EE40" w14:textId="77777777" w:rsidR="00166551" w:rsidRPr="00166551" w:rsidRDefault="00166551" w:rsidP="00166551">
            <w:pPr>
              <w:spacing w:before="0" w:after="0" w:line="252" w:lineRule="auto"/>
              <w:rPr>
                <w:lang w:val="en-US"/>
              </w:rPr>
            </w:pPr>
            <w:r w:rsidRPr="00166551">
              <w:rPr>
                <w:rFonts w:ascii="Arial" w:hAnsi="Arial"/>
                <w:b/>
                <w:color w:val="FFFFFF"/>
                <w:sz w:val="17"/>
                <w:lang w:val="en-US"/>
              </w:rPr>
              <w:t>Owner</w:t>
            </w:r>
          </w:p>
        </w:tc>
        <w:tc>
          <w:tcPr>
            <w:tcW w:w="3427" w:type="dxa"/>
            <w:tcBorders>
              <w:top w:val="single" w:sz="6" w:space="0" w:color="D4DCE2"/>
              <w:left w:val="single" w:sz="6" w:space="0" w:color="D4DCE2"/>
              <w:bottom w:val="single" w:sz="6" w:space="0" w:color="D4DCE2"/>
              <w:right w:val="single" w:sz="6" w:space="0" w:color="D4DCE2"/>
            </w:tcBorders>
            <w:shd w:val="clear" w:color="auto" w:fill="101820"/>
            <w:tcMar>
              <w:top w:w="110" w:type="dxa"/>
              <w:left w:w="150" w:type="dxa"/>
              <w:bottom w:w="110" w:type="dxa"/>
              <w:right w:w="150" w:type="dxa"/>
            </w:tcMar>
            <w:vAlign w:val="center"/>
            <w:hideMark/>
            <w:tcMar>
              <w:top w:w="80" w:type="dxa"/>
              <w:start w:w="110" w:type="dxa"/>
              <w:bottom w:w="80" w:type="dxa"/>
              <w:end w:w="110" w:type="dxa"/>
            </w:tcMar>
            <w:shd w:fill="1F4E79"/>
          </w:tcPr>
          <w:p w14:paraId="2038FD7F" w14:textId="77777777" w:rsidR="00166551" w:rsidRPr="00166551" w:rsidRDefault="00166551" w:rsidP="00166551">
            <w:pPr>
              <w:spacing w:before="0" w:after="0" w:line="252" w:lineRule="auto"/>
              <w:rPr>
                <w:lang w:val="en-US"/>
              </w:rPr>
            </w:pPr>
            <w:r w:rsidRPr="00166551">
              <w:rPr>
                <w:rFonts w:ascii="Arial" w:hAnsi="Arial"/>
                <w:b/>
                <w:color w:val="FFFFFF"/>
                <w:sz w:val="17"/>
                <w:lang w:val="en-US"/>
              </w:rPr>
              <w:t>Evidence / KPI</w:t>
            </w:r>
          </w:p>
        </w:tc>
      </w:tr>
      <w:tr w:rsidR="00166551" w:rsidRPr="00166551" w14:paraId="3153B7AD" w14:textId="77777777" w:rsidTr="00166551">
        <w:trPr>
          <w:trHeight w:val="502"/>
          <w:jc w:val="center"/>
        </w:trPr>
        <w:tc>
          <w:tcPr>
            <w:tcW w:w="1352" w:type="dxa"/>
            <w:tcBorders>
              <w:top w:val="single" w:sz="6" w:space="0" w:color="D4DCE2"/>
              <w:left w:val="single" w:sz="6" w:space="0" w:color="D4DCE2"/>
              <w:bottom w:val="single" w:sz="6" w:space="0" w:color="D4DCE2"/>
              <w:right w:val="single" w:sz="6" w:space="0" w:color="D4DCE2"/>
            </w:tcBorders>
            <w:shd w:val="clear" w:color="auto" w:fill="F3F6F8"/>
            <w:tcMar>
              <w:top w:w="120" w:type="dxa"/>
              <w:left w:w="140" w:type="dxa"/>
              <w:bottom w:w="120" w:type="dxa"/>
              <w:right w:w="140" w:type="dxa"/>
            </w:tcMar>
            <w:vAlign w:val="center"/>
            <w:hideMark/>
            <w:tcMar>
              <w:top w:w="80" w:type="dxa"/>
              <w:start w:w="110" w:type="dxa"/>
              <w:bottom w:w="80" w:type="dxa"/>
              <w:end w:w="110" w:type="dxa"/>
            </w:tcMar>
            <w:shd w:fill="EDF2F6"/>
          </w:tcPr>
          <w:p w14:paraId="4E84A63D" w14:textId="77777777" w:rsidR="00166551" w:rsidRPr="00166551" w:rsidRDefault="00166551" w:rsidP="00166551">
            <w:pPr>
              <w:spacing w:before="0" w:after="0" w:line="252" w:lineRule="auto"/>
              <w:jc w:val="left"/>
              <w:rPr>
                <w:lang w:val="en-US"/>
              </w:rPr>
            </w:pPr>
            <w:r w:rsidRPr="00166551">
              <w:rPr>
                <w:rFonts w:ascii="Arial" w:hAnsi="Arial"/>
                <w:b w:val="0"/>
                <w:color w:val="202020"/>
                <w:sz w:val="17"/>
                <w:lang w:val="en-US"/>
              </w:rPr>
              <w:t>0–30 days</w:t>
            </w:r>
          </w:p>
        </w:tc>
        <w:tc>
          <w:tcPr>
            <w:tcW w:w="5005" w:type="dxa"/>
            <w:tcBorders>
              <w:top w:val="single" w:sz="6" w:space="0" w:color="D4DCE2"/>
              <w:left w:val="single" w:sz="6" w:space="0" w:color="D4DCE2"/>
              <w:bottom w:val="single" w:sz="6" w:space="0" w:color="D4DCE2"/>
              <w:right w:val="single" w:sz="6" w:space="0" w:color="D4DCE2"/>
            </w:tcBorders>
            <w:shd w:val="clear" w:color="auto" w:fill="F3F6F8"/>
            <w:tcMar>
              <w:top w:w="120" w:type="dxa"/>
              <w:left w:w="140" w:type="dxa"/>
              <w:bottom w:w="120" w:type="dxa"/>
              <w:right w:w="140" w:type="dxa"/>
            </w:tcMar>
            <w:vAlign w:val="center"/>
            <w:hideMark/>
            <w:tcMar>
              <w:top w:w="80" w:type="dxa"/>
              <w:start w:w="110" w:type="dxa"/>
              <w:bottom w:w="80" w:type="dxa"/>
              <w:end w:w="110" w:type="dxa"/>
            </w:tcMar>
            <w:shd w:fill="EDF2F6"/>
          </w:tcPr>
          <w:p w14:paraId="51EA63AD"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Complete the critical asset inventory; implement MFA; isolate backups; confirm incident contacts.</w:t>
            </w:r>
          </w:p>
        </w:tc>
        <w:tc>
          <w:tcPr>
            <w:tcW w:w="1578" w:type="dxa"/>
            <w:tcBorders>
              <w:top w:val="single" w:sz="6" w:space="0" w:color="D4DCE2"/>
              <w:left w:val="single" w:sz="6" w:space="0" w:color="D4DCE2"/>
              <w:bottom w:val="single" w:sz="6" w:space="0" w:color="D4DCE2"/>
              <w:right w:val="single" w:sz="6" w:space="0" w:color="D4DCE2"/>
            </w:tcBorders>
            <w:shd w:val="clear" w:color="auto" w:fill="F3F6F8"/>
            <w:tcMar>
              <w:top w:w="120" w:type="dxa"/>
              <w:left w:w="140" w:type="dxa"/>
              <w:bottom w:w="120" w:type="dxa"/>
              <w:right w:w="140" w:type="dxa"/>
            </w:tcMar>
            <w:vAlign w:val="center"/>
            <w:hideMark/>
            <w:tcMar>
              <w:top w:w="80" w:type="dxa"/>
              <w:start w:w="110" w:type="dxa"/>
              <w:bottom w:w="80" w:type="dxa"/>
              <w:end w:w="110" w:type="dxa"/>
            </w:tcMar>
            <w:shd w:fill="EDF2F6"/>
          </w:tcPr>
          <w:p w14:paraId="27FEC4CF"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IT Security</w:t>
            </w:r>
          </w:p>
        </w:tc>
        <w:tc>
          <w:tcPr>
            <w:tcW w:w="3427" w:type="dxa"/>
            <w:tcBorders>
              <w:top w:val="single" w:sz="6" w:space="0" w:color="D4DCE2"/>
              <w:left w:val="single" w:sz="6" w:space="0" w:color="D4DCE2"/>
              <w:bottom w:val="single" w:sz="6" w:space="0" w:color="D4DCE2"/>
              <w:right w:val="single" w:sz="6" w:space="0" w:color="D4DCE2"/>
            </w:tcBorders>
            <w:shd w:val="clear" w:color="auto" w:fill="F3F6F8"/>
            <w:tcMar>
              <w:top w:w="120" w:type="dxa"/>
              <w:left w:w="140" w:type="dxa"/>
              <w:bottom w:w="120" w:type="dxa"/>
              <w:right w:w="140" w:type="dxa"/>
            </w:tcMar>
            <w:vAlign w:val="center"/>
            <w:hideMark/>
            <w:tcMar>
              <w:top w:w="80" w:type="dxa"/>
              <w:start w:w="110" w:type="dxa"/>
              <w:bottom w:w="80" w:type="dxa"/>
              <w:end w:w="110" w:type="dxa"/>
            </w:tcMar>
            <w:shd w:fill="EDF2F6"/>
          </w:tcPr>
          <w:p w14:paraId="73D0EE52"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Asset coverage; successful restore test; completed contact drill.</w:t>
            </w:r>
          </w:p>
        </w:tc>
      </w:tr>
      <w:tr w:rsidR="00166551" w:rsidRPr="00166551" w14:paraId="7DBD0C77" w14:textId="77777777" w:rsidTr="00166551">
        <w:trPr>
          <w:trHeight w:val="502"/>
          <w:jc w:val="center"/>
        </w:trPr>
        <w:tc>
          <w:tcPr>
            <w:tcW w:w="1352" w:type="dxa"/>
            <w:tcBorders>
              <w:top w:val="single" w:sz="6" w:space="0" w:color="D4DCE2"/>
              <w:left w:val="single" w:sz="6" w:space="0" w:color="D4DCE2"/>
              <w:bottom w:val="single" w:sz="6" w:space="0" w:color="D4DCE2"/>
              <w:right w:val="single" w:sz="6" w:space="0" w:color="D4DCE2"/>
            </w:tcBorders>
            <w:shd w:val="clear" w:color="auto" w:fill="FFFFFF"/>
            <w:tcMar>
              <w:top w:w="120" w:type="dxa"/>
              <w:left w:w="140" w:type="dxa"/>
              <w:bottom w:w="120" w:type="dxa"/>
              <w:right w:w="140" w:type="dxa"/>
            </w:tcMar>
            <w:vAlign w:val="center"/>
            <w:hideMark/>
            <w:tcMar>
              <w:top w:w="80" w:type="dxa"/>
              <w:start w:w="110" w:type="dxa"/>
              <w:bottom w:w="80" w:type="dxa"/>
              <w:end w:w="110" w:type="dxa"/>
            </w:tcMar>
            <w:shd w:fill="FFFFFF"/>
          </w:tcPr>
          <w:p w14:paraId="73BA334C" w14:textId="77777777" w:rsidR="00166551" w:rsidRPr="00166551" w:rsidRDefault="00166551" w:rsidP="00166551">
            <w:pPr>
              <w:spacing w:before="0" w:after="0" w:line="252" w:lineRule="auto"/>
              <w:jc w:val="left"/>
              <w:rPr>
                <w:lang w:val="en-US"/>
              </w:rPr>
            </w:pPr>
            <w:r w:rsidRPr="00166551">
              <w:rPr>
                <w:rFonts w:ascii="Arial" w:hAnsi="Arial"/>
                <w:b w:val="0"/>
                <w:color w:val="202020"/>
                <w:sz w:val="17"/>
                <w:lang w:val="en-US"/>
              </w:rPr>
              <w:t>31–90 days</w:t>
            </w:r>
          </w:p>
        </w:tc>
        <w:tc>
          <w:tcPr>
            <w:tcW w:w="5005" w:type="dxa"/>
            <w:tcBorders>
              <w:top w:val="single" w:sz="6" w:space="0" w:color="D4DCE2"/>
              <w:left w:val="single" w:sz="6" w:space="0" w:color="D4DCE2"/>
              <w:bottom w:val="single" w:sz="6" w:space="0" w:color="D4DCE2"/>
              <w:right w:val="single" w:sz="6" w:space="0" w:color="D4DCE2"/>
            </w:tcBorders>
            <w:shd w:val="clear" w:color="auto" w:fill="FFFFFF"/>
            <w:tcMar>
              <w:top w:w="120" w:type="dxa"/>
              <w:left w:w="140" w:type="dxa"/>
              <w:bottom w:w="120" w:type="dxa"/>
              <w:right w:w="140" w:type="dxa"/>
            </w:tcMar>
            <w:vAlign w:val="center"/>
            <w:hideMark/>
            <w:tcMar>
              <w:top w:w="80" w:type="dxa"/>
              <w:start w:w="110" w:type="dxa"/>
              <w:bottom w:w="80" w:type="dxa"/>
              <w:end w:w="110" w:type="dxa"/>
            </w:tcMar>
            <w:shd w:fill="FFFFFF"/>
          </w:tcPr>
          <w:p w14:paraId="494EE771"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Segment IT and OT; implement EDR and email controls; review privileged access and suppliers.</w:t>
            </w:r>
          </w:p>
        </w:tc>
        <w:tc>
          <w:tcPr>
            <w:tcW w:w="1578" w:type="dxa"/>
            <w:tcBorders>
              <w:top w:val="single" w:sz="6" w:space="0" w:color="D4DCE2"/>
              <w:left w:val="single" w:sz="6" w:space="0" w:color="D4DCE2"/>
              <w:bottom w:val="single" w:sz="6" w:space="0" w:color="D4DCE2"/>
              <w:right w:val="single" w:sz="6" w:space="0" w:color="D4DCE2"/>
            </w:tcBorders>
            <w:shd w:val="clear" w:color="auto" w:fill="FFFFFF"/>
            <w:tcMar>
              <w:top w:w="120" w:type="dxa"/>
              <w:left w:w="140" w:type="dxa"/>
              <w:bottom w:w="120" w:type="dxa"/>
              <w:right w:w="140" w:type="dxa"/>
            </w:tcMar>
            <w:vAlign w:val="center"/>
            <w:hideMark/>
            <w:tcMar>
              <w:top w:w="80" w:type="dxa"/>
              <w:start w:w="110" w:type="dxa"/>
              <w:bottom w:w="80" w:type="dxa"/>
              <w:end w:w="110" w:type="dxa"/>
            </w:tcMar>
            <w:shd w:fill="FFFFFF"/>
          </w:tcPr>
          <w:p w14:paraId="7311A533"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IT / OT</w:t>
            </w:r>
          </w:p>
        </w:tc>
        <w:tc>
          <w:tcPr>
            <w:tcW w:w="3427" w:type="dxa"/>
            <w:tcBorders>
              <w:top w:val="single" w:sz="6" w:space="0" w:color="D4DCE2"/>
              <w:left w:val="single" w:sz="6" w:space="0" w:color="D4DCE2"/>
              <w:bottom w:val="single" w:sz="6" w:space="0" w:color="D4DCE2"/>
              <w:right w:val="single" w:sz="6" w:space="0" w:color="D4DCE2"/>
            </w:tcBorders>
            <w:shd w:val="clear" w:color="auto" w:fill="FFFFFF"/>
            <w:tcMar>
              <w:top w:w="120" w:type="dxa"/>
              <w:left w:w="140" w:type="dxa"/>
              <w:bottom w:w="120" w:type="dxa"/>
              <w:right w:w="140" w:type="dxa"/>
            </w:tcMar>
            <w:vAlign w:val="center"/>
            <w:hideMark/>
            <w:tcMar>
              <w:top w:w="80" w:type="dxa"/>
              <w:start w:w="110" w:type="dxa"/>
              <w:bottom w:w="80" w:type="dxa"/>
              <w:end w:w="110" w:type="dxa"/>
            </w:tcMar>
            <w:shd w:fill="FFFFFF"/>
          </w:tcPr>
          <w:p w14:paraId="06FB9CDA"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MFA and EDR coverage; firewall-rule review completed.</w:t>
            </w:r>
          </w:p>
        </w:tc>
      </w:tr>
      <w:tr w:rsidR="00166551" w:rsidRPr="00166551" w14:paraId="564C0C66" w14:textId="77777777" w:rsidTr="00166551">
        <w:trPr>
          <w:trHeight w:val="502"/>
          <w:jc w:val="center"/>
        </w:trPr>
        <w:tc>
          <w:tcPr>
            <w:tcW w:w="1352" w:type="dxa"/>
            <w:tcBorders>
              <w:top w:val="single" w:sz="6" w:space="0" w:color="D4DCE2"/>
              <w:left w:val="single" w:sz="6" w:space="0" w:color="D4DCE2"/>
              <w:bottom w:val="single" w:sz="6" w:space="0" w:color="D4DCE2"/>
              <w:right w:val="single" w:sz="6" w:space="0" w:color="D4DCE2"/>
            </w:tcBorders>
            <w:shd w:val="clear" w:color="auto" w:fill="F3F6F8"/>
            <w:tcMar>
              <w:top w:w="120" w:type="dxa"/>
              <w:left w:w="140" w:type="dxa"/>
              <w:bottom w:w="120" w:type="dxa"/>
              <w:right w:w="140" w:type="dxa"/>
            </w:tcMar>
            <w:vAlign w:val="center"/>
            <w:hideMark/>
            <w:tcMar>
              <w:top w:w="80" w:type="dxa"/>
              <w:start w:w="110" w:type="dxa"/>
              <w:bottom w:w="80" w:type="dxa"/>
              <w:end w:w="110" w:type="dxa"/>
            </w:tcMar>
            <w:shd w:fill="EDF2F6"/>
          </w:tcPr>
          <w:p w14:paraId="5894370D" w14:textId="77777777" w:rsidR="00166551" w:rsidRPr="00166551" w:rsidRDefault="00166551" w:rsidP="00166551">
            <w:pPr>
              <w:spacing w:before="0" w:after="0" w:line="252" w:lineRule="auto"/>
              <w:jc w:val="left"/>
              <w:rPr>
                <w:lang w:val="en-US"/>
              </w:rPr>
            </w:pPr>
            <w:r w:rsidRPr="00166551">
              <w:rPr>
                <w:rFonts w:ascii="Arial" w:hAnsi="Arial"/>
                <w:b w:val="0"/>
                <w:color w:val="202020"/>
                <w:sz w:val="17"/>
                <w:lang w:val="en-US"/>
              </w:rPr>
              <w:t>3–6 months</w:t>
            </w:r>
          </w:p>
        </w:tc>
        <w:tc>
          <w:tcPr>
            <w:tcW w:w="5005" w:type="dxa"/>
            <w:tcBorders>
              <w:top w:val="single" w:sz="6" w:space="0" w:color="D4DCE2"/>
              <w:left w:val="single" w:sz="6" w:space="0" w:color="D4DCE2"/>
              <w:bottom w:val="single" w:sz="6" w:space="0" w:color="D4DCE2"/>
              <w:right w:val="single" w:sz="6" w:space="0" w:color="D4DCE2"/>
            </w:tcBorders>
            <w:shd w:val="clear" w:color="auto" w:fill="F3F6F8"/>
            <w:tcMar>
              <w:top w:w="120" w:type="dxa"/>
              <w:left w:w="140" w:type="dxa"/>
              <w:bottom w:w="120" w:type="dxa"/>
              <w:right w:w="140" w:type="dxa"/>
            </w:tcMar>
            <w:vAlign w:val="center"/>
            <w:hideMark/>
            <w:tcMar>
              <w:top w:w="80" w:type="dxa"/>
              <w:start w:w="110" w:type="dxa"/>
              <w:bottom w:w="80" w:type="dxa"/>
              <w:end w:w="110" w:type="dxa"/>
            </w:tcMar>
            <w:shd w:fill="EDF2F6"/>
          </w:tcPr>
          <w:p w14:paraId="4910D772"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Deploy OT monitoring; establish the vulnerability-management cycle; deliver role-based training.</w:t>
            </w:r>
          </w:p>
        </w:tc>
        <w:tc>
          <w:tcPr>
            <w:tcW w:w="1578" w:type="dxa"/>
            <w:tcBorders>
              <w:top w:val="single" w:sz="6" w:space="0" w:color="D4DCE2"/>
              <w:left w:val="single" w:sz="6" w:space="0" w:color="D4DCE2"/>
              <w:bottom w:val="single" w:sz="6" w:space="0" w:color="D4DCE2"/>
              <w:right w:val="single" w:sz="6" w:space="0" w:color="D4DCE2"/>
            </w:tcBorders>
            <w:shd w:val="clear" w:color="auto" w:fill="F3F6F8"/>
            <w:tcMar>
              <w:top w:w="120" w:type="dxa"/>
              <w:left w:w="140" w:type="dxa"/>
              <w:bottom w:w="120" w:type="dxa"/>
              <w:right w:w="140" w:type="dxa"/>
            </w:tcMar>
            <w:vAlign w:val="center"/>
            <w:hideMark/>
            <w:tcMar>
              <w:top w:w="80" w:type="dxa"/>
              <w:start w:w="110" w:type="dxa"/>
              <w:bottom w:w="80" w:type="dxa"/>
              <w:end w:w="110" w:type="dxa"/>
            </w:tcMar>
            <w:shd w:fill="EDF2F6"/>
          </w:tcPr>
          <w:p w14:paraId="26261592"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Security + HR</w:t>
            </w:r>
          </w:p>
        </w:tc>
        <w:tc>
          <w:tcPr>
            <w:tcW w:w="3427" w:type="dxa"/>
            <w:tcBorders>
              <w:top w:val="single" w:sz="6" w:space="0" w:color="D4DCE2"/>
              <w:left w:val="single" w:sz="6" w:space="0" w:color="D4DCE2"/>
              <w:bottom w:val="single" w:sz="6" w:space="0" w:color="D4DCE2"/>
              <w:right w:val="single" w:sz="6" w:space="0" w:color="D4DCE2"/>
            </w:tcBorders>
            <w:shd w:val="clear" w:color="auto" w:fill="F3F6F8"/>
            <w:tcMar>
              <w:top w:w="120" w:type="dxa"/>
              <w:left w:w="140" w:type="dxa"/>
              <w:bottom w:w="120" w:type="dxa"/>
              <w:right w:w="140" w:type="dxa"/>
            </w:tcMar>
            <w:vAlign w:val="center"/>
            <w:hideMark/>
            <w:tcMar>
              <w:top w:w="80" w:type="dxa"/>
              <w:start w:w="110" w:type="dxa"/>
              <w:bottom w:w="80" w:type="dxa"/>
              <w:end w:w="110" w:type="dxa"/>
            </w:tcMar>
            <w:shd w:fill="EDF2F6"/>
          </w:tcPr>
          <w:p w14:paraId="1E163DC2"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MTTD; overdue vulnerabilities; training completion and results.</w:t>
            </w:r>
          </w:p>
        </w:tc>
      </w:tr>
      <w:tr w:rsidR="00166551" w:rsidRPr="00166551" w14:paraId="07FAF300" w14:textId="77777777" w:rsidTr="00166551">
        <w:trPr>
          <w:trHeight w:val="502"/>
          <w:jc w:val="center"/>
        </w:trPr>
        <w:tc>
          <w:tcPr>
            <w:tcW w:w="1352" w:type="dxa"/>
            <w:tcBorders>
              <w:top w:val="single" w:sz="6" w:space="0" w:color="D4DCE2"/>
              <w:left w:val="single" w:sz="6" w:space="0" w:color="D4DCE2"/>
              <w:bottom w:val="single" w:sz="6" w:space="0" w:color="D4DCE2"/>
              <w:right w:val="single" w:sz="6" w:space="0" w:color="D4DCE2"/>
            </w:tcBorders>
            <w:shd w:val="clear" w:color="auto" w:fill="FFFFFF"/>
            <w:tcMar>
              <w:top w:w="120" w:type="dxa"/>
              <w:left w:w="140" w:type="dxa"/>
              <w:bottom w:w="120" w:type="dxa"/>
              <w:right w:w="140" w:type="dxa"/>
            </w:tcMar>
            <w:vAlign w:val="center"/>
            <w:hideMark/>
            <w:tcMar>
              <w:top w:w="80" w:type="dxa"/>
              <w:start w:w="110" w:type="dxa"/>
              <w:bottom w:w="80" w:type="dxa"/>
              <w:end w:w="110" w:type="dxa"/>
            </w:tcMar>
            <w:shd w:fill="FFFFFF"/>
          </w:tcPr>
          <w:p w14:paraId="3E84857D" w14:textId="77777777" w:rsidR="00166551" w:rsidRPr="00166551" w:rsidRDefault="00166551" w:rsidP="00166551">
            <w:pPr>
              <w:spacing w:before="0" w:after="0" w:line="252" w:lineRule="auto"/>
              <w:jc w:val="left"/>
              <w:rPr>
                <w:lang w:val="en-US"/>
              </w:rPr>
            </w:pPr>
            <w:r w:rsidRPr="00166551">
              <w:rPr>
                <w:rFonts w:ascii="Arial" w:hAnsi="Arial"/>
                <w:b w:val="0"/>
                <w:color w:val="202020"/>
                <w:sz w:val="17"/>
                <w:lang w:val="en-US"/>
              </w:rPr>
              <w:t>6–12 months</w:t>
            </w:r>
          </w:p>
        </w:tc>
        <w:tc>
          <w:tcPr>
            <w:tcW w:w="5005" w:type="dxa"/>
            <w:tcBorders>
              <w:top w:val="single" w:sz="6" w:space="0" w:color="D4DCE2"/>
              <w:left w:val="single" w:sz="6" w:space="0" w:color="D4DCE2"/>
              <w:bottom w:val="single" w:sz="6" w:space="0" w:color="D4DCE2"/>
              <w:right w:val="single" w:sz="6" w:space="0" w:color="D4DCE2"/>
            </w:tcBorders>
            <w:shd w:val="clear" w:color="auto" w:fill="FFFFFF"/>
            <w:tcMar>
              <w:top w:w="120" w:type="dxa"/>
              <w:left w:w="140" w:type="dxa"/>
              <w:bottom w:w="120" w:type="dxa"/>
              <w:right w:w="140" w:type="dxa"/>
            </w:tcMar>
            <w:vAlign w:val="center"/>
            <w:hideMark/>
            <w:tcMar>
              <w:top w:w="80" w:type="dxa"/>
              <w:start w:w="110" w:type="dxa"/>
              <w:bottom w:w="80" w:type="dxa"/>
              <w:end w:w="110" w:type="dxa"/>
            </w:tcMar>
            <w:shd w:fill="FFFFFF"/>
          </w:tcPr>
          <w:p w14:paraId="7D01DD7B"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 xml:space="preserve">Conduct incident-response exercises; complete an ISMS audit; implement </w:t>
            </w:r>
            <w:proofErr w:type="gramStart"/>
            <w:r w:rsidRPr="00166551">
              <w:rPr>
                <w:rFonts w:ascii="Arial" w:hAnsi="Arial"/>
                <w:b w:val="0"/>
                <w:color w:val="202020"/>
                <w:sz w:val="17"/>
                <w:lang w:val="en-US"/>
              </w:rPr>
              <w:t>the</w:t>
            </w:r>
            <w:proofErr w:type="gramEnd"/>
            <w:r w:rsidRPr="00166551">
              <w:rPr>
                <w:rFonts w:ascii="Arial" w:hAnsi="Arial"/>
                <w:b w:val="0"/>
                <w:color w:val="202020"/>
                <w:sz w:val="17"/>
                <w:lang w:val="en-US"/>
              </w:rPr>
              <w:t xml:space="preserve"> improvement plan.</w:t>
            </w:r>
          </w:p>
        </w:tc>
        <w:tc>
          <w:tcPr>
            <w:tcW w:w="1578" w:type="dxa"/>
            <w:tcBorders>
              <w:top w:val="single" w:sz="6" w:space="0" w:color="D4DCE2"/>
              <w:left w:val="single" w:sz="6" w:space="0" w:color="D4DCE2"/>
              <w:bottom w:val="single" w:sz="6" w:space="0" w:color="D4DCE2"/>
              <w:right w:val="single" w:sz="6" w:space="0" w:color="D4DCE2"/>
            </w:tcBorders>
            <w:shd w:val="clear" w:color="auto" w:fill="FFFFFF"/>
            <w:tcMar>
              <w:top w:w="120" w:type="dxa"/>
              <w:left w:w="140" w:type="dxa"/>
              <w:bottom w:w="120" w:type="dxa"/>
              <w:right w:w="140" w:type="dxa"/>
            </w:tcMar>
            <w:vAlign w:val="center"/>
            <w:hideMark/>
            <w:tcMar>
              <w:top w:w="80" w:type="dxa"/>
              <w:start w:w="110" w:type="dxa"/>
              <w:bottom w:w="80" w:type="dxa"/>
              <w:end w:w="110" w:type="dxa"/>
            </w:tcMar>
            <w:shd w:fill="FFFFFF"/>
          </w:tcPr>
          <w:p w14:paraId="4B9AA60D"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Board Risk Owner</w:t>
            </w:r>
          </w:p>
        </w:tc>
        <w:tc>
          <w:tcPr>
            <w:tcW w:w="3427" w:type="dxa"/>
            <w:tcBorders>
              <w:top w:val="single" w:sz="6" w:space="0" w:color="D4DCE2"/>
              <w:left w:val="single" w:sz="6" w:space="0" w:color="D4DCE2"/>
              <w:bottom w:val="single" w:sz="6" w:space="0" w:color="D4DCE2"/>
              <w:right w:val="single" w:sz="6" w:space="0" w:color="D4DCE2"/>
            </w:tcBorders>
            <w:shd w:val="clear" w:color="auto" w:fill="FFFFFF"/>
            <w:tcMar>
              <w:top w:w="120" w:type="dxa"/>
              <w:left w:w="140" w:type="dxa"/>
              <w:bottom w:w="120" w:type="dxa"/>
              <w:right w:w="140" w:type="dxa"/>
            </w:tcMar>
            <w:vAlign w:val="center"/>
            <w:hideMark/>
            <w:tcMar>
              <w:top w:w="80" w:type="dxa"/>
              <w:start w:w="110" w:type="dxa"/>
              <w:bottom w:w="80" w:type="dxa"/>
              <w:end w:w="110" w:type="dxa"/>
            </w:tcMar>
            <w:shd w:fill="FFFFFF"/>
          </w:tcPr>
          <w:p w14:paraId="06E12FFF" w14:textId="77777777" w:rsidR="00166551" w:rsidRPr="00166551" w:rsidRDefault="00166551" w:rsidP="00166551">
            <w:pPr>
              <w:spacing w:before="0" w:after="0" w:line="252" w:lineRule="auto"/>
              <w:rPr>
                <w:lang w:val="en-US"/>
              </w:rPr>
            </w:pPr>
            <w:r w:rsidRPr="00166551">
              <w:rPr>
                <w:rFonts w:ascii="Arial" w:hAnsi="Arial"/>
                <w:b w:val="0"/>
                <w:color w:val="202020"/>
                <w:sz w:val="17"/>
                <w:lang w:val="en-US"/>
              </w:rPr>
              <w:t>Exercise and audit actions closed; residual risk formally reviewed.</w:t>
            </w:r>
          </w:p>
        </w:tc>
      </w:tr>
    </w:tbl>
    <w:p w14:paraId="3C69E488" w14:textId="21F622CF" w:rsidR="00166551" w:rsidRDefault="00166551" w:rsidP="00166551">
      <w:pPr>
        <w:keepNext w:val="0"/>
        <w:widowControl/>
        <w:spacing w:after="160" w:line="276" w:lineRule="auto" w:before="80"/>
        <w:jc w:val="center"/>
        <w:rPr>
          <w:i/>
          <w:sz w:val="28"/>
          <w:szCs w:val="28"/>
        </w:rPr>
      </w:pPr>
      <w:r w:rsidRPr="00166551">
        <w:rPr>
          <w:rFonts w:ascii="Arial" w:hAnsi="Arial"/>
          <w:i/>
          <w:color w:val="555555"/>
          <w:sz w:val="18"/>
          <w:szCs w:val="28"/>
        </w:rPr>
        <w:t>Table 2. Phased implementation balances rapid risk reduction with operational feasibility</w:t>
      </w:r>
    </w:p>
    <w:p w14:paraId="1D5CF5D2" w14:textId="77777777" w:rsidR="00166551" w:rsidRPr="00166551" w:rsidRDefault="00166551" w:rsidP="00166551">
      <w:pPr>
        <w:widowControl/>
        <w:spacing w:after="120" w:line="276" w:lineRule="auto"/>
        <w:jc w:val="both"/>
        <w:rPr>
          <w:sz w:val="28"/>
          <w:szCs w:val="28"/>
        </w:rPr>
      </w:pPr>
    </w:p>
    <w:p w14:paraId="2944DA68" w14:textId="05E17556" w:rsidR="00166551" w:rsidRPr="00166551" w:rsidRDefault="00166551" w:rsidP="00166551">
      <w:pPr>
        <w:widowControl/>
        <w:spacing w:after="120" w:line="276" w:lineRule="auto"/>
        <w:jc w:val="both"/>
        <w:rPr>
          <w:sz w:val="28"/>
          <w:szCs w:val="28"/>
        </w:rPr>
      </w:pPr>
    </w:p>
    <w:p w14:paraId="2018367E" w14:textId="0B620B90" w:rsidR="00166551" w:rsidRPr="00166551" w:rsidRDefault="00166551" w:rsidP="00695B47">
      <w:pPr>
        <w:widowControl/>
        <w:spacing w:after="120" w:line="276" w:lineRule="auto"/>
        <w:jc w:val="both"/>
        <w:rPr>
          <w:sz w:val="28"/>
          <w:szCs w:val="28"/>
        </w:rPr>
      </w:pPr>
    </w:p>
    <w:p w14:paraId="4F9D1708" w14:textId="77777777" w:rsidR="00695B47" w:rsidRPr="00695B47" w:rsidRDefault="00695B47" w:rsidP="007D41F0">
      <w:pPr>
        <w:pStyle w:val="Heading1"/>
      </w:pPr>
      <w:r w:rsidRPr="00695B47">
        <w:t>5. Continuous Monitoring and Incident Response</w:t>
      </w:r>
    </w:p>
    <w:p w14:paraId="58896CC4" w14:textId="62304DDC" w:rsidR="00695B47" w:rsidRPr="00695B47" w:rsidRDefault="00695B47" w:rsidP="00695B47">
      <w:pPr>
        <w:widowControl/>
        <w:spacing w:after="120" w:line="276" w:lineRule="auto"/>
        <w:jc w:val="both"/>
        <w:rPr>
          <w:sz w:val="28"/>
          <w:szCs w:val="28"/>
        </w:rPr>
      </w:pPr>
      <w:r w:rsidRPr="00695B47">
        <w:rPr>
          <w:sz w:val="28"/>
          <w:szCs w:val="28"/>
        </w:rPr>
        <w:t xml:space="preserve">SIEM Correlation – Identity, Firewall, VPN, Email, Endpoint, Cloud, OT (selected sensors). Passive OT sensors monitor for unusual activity such as new assets, unusual communications, unauthorised changes to logic etc. All without the risk of active probing. Priority alerts are raised for repeated MFA failure, new privileged accounts, protection disabled, mass file modification, unexpected IT-to-OT communication, supplier access outside approved window etc. Retention requirements will vary based on contractual, privacy and investigation requirements etc. The NCSC recommend continuous monitoring between all segments to validate policy and identify any potential compromise or misconfiguration </w:t>
      </w:r>
      <w:sdt>
        <w:sdtPr>
          <w:rPr>
            <w:color w:val="000000"/>
            <w:sz w:val="28"/>
            <w:szCs w:val="28"/>
            <w:highlight w:val="white"/>
          </w:rPr>
          <w:alias w:val="Citation"/>
          <w:tag w:val="{&quot;referencesIds&quot;:[&quot;doc:6a7cb12c0670c4089b236ac2&quot;],&quot;referencesOptions&quot;:{&quot;doc:6a7cb12c0670c4089b236a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0264459"/>
          <w:placeholder>
            <w:docPart w:val="65E26BE10F7742369DC3488D5697FDB0"/>
          </w:placeholder>
        </w:sdtPr>
        <w:sdtContent>
          <w:r w:rsidR="00947DF0">
            <w:rPr>
              <w:rFonts w:eastAsia="Times New Roman"/>
              <w:color w:val="000000"/>
              <w:sz w:val="28"/>
              <w:szCs w:val="28"/>
            </w:rPr>
            <w:t>[6]</w:t>
          </w:r>
        </w:sdtContent>
      </w:sdt>
      <w:r w:rsidRPr="00695B47">
        <w:rPr>
          <w:sz w:val="28"/>
          <w:szCs w:val="28"/>
        </w:rPr>
        <w:t>.</w:t>
      </w:r>
    </w:p>
    <w:p w14:paraId="2B1E7365" w14:textId="3A3B5805" w:rsidR="00695B47" w:rsidRPr="00695B47" w:rsidRDefault="00695B47" w:rsidP="00695B47">
      <w:pPr>
        <w:widowControl/>
        <w:spacing w:after="120" w:line="276" w:lineRule="auto"/>
        <w:jc w:val="both"/>
        <w:rPr>
          <w:sz w:val="28"/>
          <w:szCs w:val="28"/>
        </w:rPr>
      </w:pPr>
      <w:r w:rsidRPr="00695B47">
        <w:rPr>
          <w:sz w:val="28"/>
          <w:szCs w:val="28"/>
        </w:rPr>
        <w:t xml:space="preserve">The incident response process involves preparation, detection and analysis, containment, eradication, recovery and lessons learned. NIST SP 800-61 Rev. 3 provides a good basis for such a process </w:t>
      </w:r>
      <w:sdt>
        <w:sdtPr>
          <w:rPr>
            <w:color w:val="000000"/>
            <w:sz w:val="28"/>
            <w:szCs w:val="28"/>
            <w:highlight w:val="white"/>
          </w:rPr>
          <w:alias w:val="Citation"/>
          <w:tag w:val="{&quot;referencesIds&quot;:[&quot;doc:6a7cb14bd52a4551f0139a2a&quot;],&quot;referencesOptions&quot;:{&quot;doc:6a7cb14bd52a4551f0139a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7570859"/>
          <w:placeholder>
            <w:docPart w:val="57AB7C4A67E54395BBA65DBD8BC9BFDF"/>
          </w:placeholder>
        </w:sdtPr>
        <w:sdtContent>
          <w:r w:rsidR="00947DF0">
            <w:rPr>
              <w:rFonts w:eastAsia="Times New Roman"/>
              <w:color w:val="000000"/>
              <w:sz w:val="28"/>
              <w:szCs w:val="28"/>
            </w:rPr>
            <w:t>[7]</w:t>
          </w:r>
        </w:sdtContent>
      </w:sdt>
      <w:r w:rsidRPr="00695B47">
        <w:rPr>
          <w:sz w:val="28"/>
          <w:szCs w:val="28"/>
        </w:rPr>
        <w:t xml:space="preserve">. The Security Manager will act as the incident commander and ensure that an OT lead is involved to ensure that any actions taken against the OT are appropriateOT systems can then be reconnected to the rest of the plant, once the OT engineering team have validated the plant configuration to ensure that it is still intact and safe to operate. Legal, data-protection, customer and insurer notifications will then need to be made in line with the communications plan for the incident. Personal-data breaches that are reportable under the Data Protection Act 1998 require notification to be given to the affected individuals within 72 hours of becoming aware of the breach where it is reasonably possible to do so </w:t>
      </w:r>
      <w:sdt>
        <w:sdtPr>
          <w:rPr>
            <w:color w:val="000000"/>
            <w:sz w:val="28"/>
            <w:szCs w:val="28"/>
            <w:highlight w:val="white"/>
          </w:rPr>
          <w:alias w:val="Citation"/>
          <w:tag w:val="{&quot;referencesIds&quot;:[&quot;doc:6a7cb17cd52a4551f0139a54&quot;],&quot;referencesOptions&quot;:{&quot;doc:6a7cb17cd52a4551f0139a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4145281"/>
          <w:placeholder>
            <w:docPart w:val="79F1ACAEC6A54764B3709983AF6CDC8A"/>
          </w:placeholder>
        </w:sdtPr>
        <w:sdtContent>
          <w:r w:rsidR="00947DF0">
            <w:rPr>
              <w:rFonts w:eastAsia="Times New Roman"/>
              <w:color w:val="000000"/>
              <w:sz w:val="28"/>
              <w:szCs w:val="28"/>
            </w:rPr>
            <w:t>[8]</w:t>
          </w:r>
        </w:sdtContent>
      </w:sdt>
      <w:r w:rsidRPr="00695B47">
        <w:rPr>
          <w:sz w:val="28"/>
          <w:szCs w:val="28"/>
        </w:rPr>
        <w:t>.</w:t>
      </w:r>
    </w:p>
    <w:p w14:paraId="4A3DBB83" w14:textId="77777777" w:rsidR="00695B47" w:rsidRDefault="00695B47" w:rsidP="00695B47">
      <w:pPr>
        <w:widowControl/>
        <w:spacing w:after="120" w:line="276" w:lineRule="auto"/>
        <w:jc w:val="both"/>
        <w:rPr>
          <w:sz w:val="28"/>
          <w:szCs w:val="28"/>
        </w:rPr>
      </w:pPr>
      <w:r w:rsidRPr="00695B47">
        <w:rPr>
          <w:sz w:val="28"/>
          <w:szCs w:val="28"/>
        </w:rPr>
        <w:lastRenderedPageBreak/>
        <w:t>The severity levels ensure that the response plan is used as intended. Low severity incidents are handled using normal support procedures. Incident of suspected credential compromise / malware infection is investigated by security. OT manipulation, widespread ransomware, safety incidents and large scale data loss incidents are classified as critical and respond using the crisis team. The incident response process targets the following metrics: mean time to detect, mean time to contain, percentage of critical severity alerts that are investigated within the agreed service level, restore-test success and number of overdue corrective actions. These are reported on a quarterly basis to the board, showing trends and any remaining risk.</w:t>
      </w:r>
    </w:p>
    <w:p w14:paraId="3E5C87ED" w14:textId="77777777" w:rsidR="00166551" w:rsidRDefault="00166551" w:rsidP="00695B47">
      <w:pPr>
        <w:widowControl/>
        <w:spacing w:after="120" w:line="276" w:lineRule="auto"/>
        <w:jc w:val="both"/>
        <w:rPr>
          <w:sz w:val="28"/>
          <w:szCs w:val="28"/>
        </w:rPr>
      </w:pPr>
    </w:p>
    <w:p w14:paraId="55175AB6" w14:textId="5FC93851" w:rsidR="00166551" w:rsidRPr="00166551" w:rsidRDefault="00166551" w:rsidP="00166551">
      <w:pPr>
        <w:widowControl/>
        <w:spacing w:after="120" w:line="276" w:lineRule="auto"/>
        <w:jc w:val="both"/>
        <w:rPr>
          <w:sz w:val="28"/>
          <w:szCs w:val="28"/>
        </w:rPr>
      </w:pPr>
    </w:p>
    <w:tbl>
      <w:tblPr>
        <w:tblW w:w="0" w:type="auto"/>
        <w:jc w:val="center"/>
        <w:tblLayout w:type="autofit"/>
        <w:tblLook w:val="04A0" w:firstRow="1" w:lastRow="0" w:firstColumn="1" w:lastColumn="0" w:noHBand="0" w:noVBand="1"/>
        <w:tblBorders>
          <w:top w:val="single" w:sz="5" w:color="B8C4CE"/>
          <w:left w:val="single" w:sz="5" w:color="B8C4CE"/>
          <w:bottom w:val="single" w:sz="5" w:color="B8C4CE"/>
          <w:right w:val="single" w:sz="5" w:color="B8C4CE"/>
          <w:insideH w:val="single" w:sz="5" w:color="B8C4CE"/>
          <w:insideV w:val="single" w:sz="5" w:color="B8C4CE"/>
        </w:tblBorders>
      </w:tblPr>
      <w:tblGrid>
        <w:gridCol w:w="1560"/>
        <w:gridCol w:w="1560"/>
        <w:gridCol w:w="1560"/>
        <w:gridCol w:w="1560"/>
        <w:gridCol w:w="1560"/>
        <w:gridCol w:w="1560"/>
      </w:tblGrid>
      <w:tr w:rsidR="00166551" w:rsidRPr="00166551" w14:paraId="70CF332A" w14:textId="77777777">
        <w:trPr>
          <w:jc w:val="center"/>
          <w:tblHeader w:val="true"/>
        </w:trPr>
        <w:tc>
          <w:tcPr>
            <w:tcW w:w="1560" w:type="dxa"/>
            <w:shd w:val="clear" w:color="auto" w:fill="195E87"/>
            <w:vAlign w:val="center"/>
            <w:hideMark/>
            <w:tcMar>
              <w:top w:w="80" w:type="dxa"/>
              <w:start w:w="110" w:type="dxa"/>
              <w:bottom w:w="80" w:type="dxa"/>
              <w:end w:w="110" w:type="dxa"/>
            </w:tcMar>
            <w:shd w:fill="1F4E79"/>
          </w:tcPr>
          <w:p w14:paraId="7BFFDD58" w14:textId="77777777" w:rsidR="00166551" w:rsidRPr="00166551" w:rsidRDefault="00166551" w:rsidP="00166551">
            <w:pPr>
              <w:spacing w:before="0" w:after="0" w:line="252" w:lineRule="auto"/>
              <w:jc w:val="center"/>
              <w:rPr>
                <w:sz w:val="28"/>
                <w:szCs w:val="28"/>
                <w:lang w:val="en-US"/>
              </w:rPr>
            </w:pPr>
            <w:r w:rsidRPr="00166551">
              <w:rPr>
                <w:rFonts w:ascii="Arial" w:hAnsi="Arial"/>
                <w:b/>
                <w:color w:val="FFFFFF"/>
                <w:sz w:val="17"/>
                <w:szCs w:val="28"/>
                <w:lang w:val="en-US"/>
              </w:rPr>
              <w:t>Detect</w:t>
            </w:r>
          </w:p>
        </w:tc>
        <w:tc>
          <w:tcPr>
            <w:tcW w:w="1560" w:type="dxa"/>
            <w:shd w:val="clear" w:color="auto" w:fill="195E87"/>
            <w:vAlign w:val="center"/>
            <w:hideMark/>
            <w:tcMar>
              <w:top w:w="80" w:type="dxa"/>
              <w:start w:w="110" w:type="dxa"/>
              <w:bottom w:w="80" w:type="dxa"/>
              <w:end w:w="110" w:type="dxa"/>
            </w:tcMar>
            <w:shd w:fill="1F4E79"/>
          </w:tcPr>
          <w:p w14:paraId="21DB6205" w14:textId="77777777" w:rsidR="00166551" w:rsidRPr="00166551" w:rsidRDefault="00166551" w:rsidP="00166551">
            <w:pPr>
              <w:spacing w:before="0" w:after="0" w:line="252" w:lineRule="auto"/>
              <w:jc w:val="center"/>
              <w:rPr>
                <w:sz w:val="28"/>
                <w:szCs w:val="28"/>
                <w:lang w:val="en-US"/>
              </w:rPr>
            </w:pPr>
            <w:r w:rsidRPr="00166551">
              <w:rPr>
                <w:rFonts w:ascii="Arial" w:hAnsi="Arial"/>
                <w:b/>
                <w:color w:val="FFFFFF"/>
                <w:sz w:val="17"/>
                <w:szCs w:val="28"/>
                <w:lang w:val="en-US"/>
              </w:rPr>
              <w:t>Validate</w:t>
            </w:r>
          </w:p>
        </w:tc>
        <w:tc>
          <w:tcPr>
            <w:tcW w:w="1560" w:type="dxa"/>
            <w:shd w:val="clear" w:color="auto" w:fill="B33A3A"/>
            <w:vAlign w:val="center"/>
            <w:hideMark/>
            <w:tcMar>
              <w:top w:w="80" w:type="dxa"/>
              <w:start w:w="110" w:type="dxa"/>
              <w:bottom w:w="80" w:type="dxa"/>
              <w:end w:w="110" w:type="dxa"/>
            </w:tcMar>
            <w:shd w:fill="1F4E79"/>
          </w:tcPr>
          <w:p w14:paraId="784C26C4" w14:textId="77777777" w:rsidR="00166551" w:rsidRPr="00166551" w:rsidRDefault="00166551" w:rsidP="00166551">
            <w:pPr>
              <w:spacing w:before="0" w:after="0" w:line="252" w:lineRule="auto"/>
              <w:jc w:val="center"/>
              <w:rPr>
                <w:sz w:val="28"/>
                <w:szCs w:val="28"/>
                <w:lang w:val="en-US"/>
              </w:rPr>
            </w:pPr>
            <w:r w:rsidRPr="00166551">
              <w:rPr>
                <w:rFonts w:ascii="Arial" w:hAnsi="Arial"/>
                <w:b/>
                <w:color w:val="FFFFFF"/>
                <w:sz w:val="17"/>
                <w:szCs w:val="28"/>
                <w:lang w:val="en-US"/>
              </w:rPr>
              <w:t>Contain</w:t>
            </w:r>
          </w:p>
        </w:tc>
        <w:tc>
          <w:tcPr>
            <w:tcW w:w="1560" w:type="dxa"/>
            <w:shd w:val="clear" w:color="auto" w:fill="195E87"/>
            <w:vAlign w:val="center"/>
            <w:hideMark/>
            <w:tcMar>
              <w:top w:w="80" w:type="dxa"/>
              <w:start w:w="110" w:type="dxa"/>
              <w:bottom w:w="80" w:type="dxa"/>
              <w:end w:w="110" w:type="dxa"/>
            </w:tcMar>
            <w:shd w:fill="1F4E79"/>
          </w:tcPr>
          <w:p w14:paraId="1C781BF3" w14:textId="77777777" w:rsidR="00166551" w:rsidRPr="00166551" w:rsidRDefault="00166551" w:rsidP="00166551">
            <w:pPr>
              <w:spacing w:before="0" w:after="0" w:line="252" w:lineRule="auto"/>
              <w:jc w:val="center"/>
              <w:rPr>
                <w:sz w:val="28"/>
                <w:szCs w:val="28"/>
                <w:lang w:val="en-US"/>
              </w:rPr>
            </w:pPr>
            <w:r w:rsidRPr="00166551">
              <w:rPr>
                <w:rFonts w:ascii="Arial" w:hAnsi="Arial"/>
                <w:b/>
                <w:color w:val="FFFFFF"/>
                <w:sz w:val="17"/>
                <w:szCs w:val="28"/>
                <w:lang w:val="en-US"/>
              </w:rPr>
              <w:t>Eradicate</w:t>
            </w:r>
          </w:p>
        </w:tc>
        <w:tc>
          <w:tcPr>
            <w:tcW w:w="1560" w:type="dxa"/>
            <w:shd w:val="clear" w:color="auto" w:fill="195E87"/>
            <w:vAlign w:val="center"/>
            <w:hideMark/>
            <w:tcMar>
              <w:top w:w="80" w:type="dxa"/>
              <w:start w:w="110" w:type="dxa"/>
              <w:bottom w:w="80" w:type="dxa"/>
              <w:end w:w="110" w:type="dxa"/>
            </w:tcMar>
            <w:shd w:fill="1F4E79"/>
          </w:tcPr>
          <w:p w14:paraId="46D4FEBC" w14:textId="77777777" w:rsidR="00166551" w:rsidRPr="00166551" w:rsidRDefault="00166551" w:rsidP="00166551">
            <w:pPr>
              <w:spacing w:before="0" w:after="0" w:line="252" w:lineRule="auto"/>
              <w:jc w:val="center"/>
              <w:rPr>
                <w:sz w:val="28"/>
                <w:szCs w:val="28"/>
                <w:lang w:val="en-US"/>
              </w:rPr>
            </w:pPr>
            <w:r w:rsidRPr="00166551">
              <w:rPr>
                <w:rFonts w:ascii="Arial" w:hAnsi="Arial"/>
                <w:b/>
                <w:color w:val="FFFFFF"/>
                <w:sz w:val="17"/>
                <w:szCs w:val="28"/>
                <w:lang w:val="en-US"/>
              </w:rPr>
              <w:t>Recover</w:t>
            </w:r>
          </w:p>
        </w:tc>
        <w:tc>
          <w:tcPr>
            <w:tcW w:w="1560" w:type="dxa"/>
            <w:shd w:val="clear" w:color="auto" w:fill="195E87"/>
            <w:vAlign w:val="center"/>
            <w:hideMark/>
            <w:tcMar>
              <w:top w:w="80" w:type="dxa"/>
              <w:start w:w="110" w:type="dxa"/>
              <w:bottom w:w="80" w:type="dxa"/>
              <w:end w:w="110" w:type="dxa"/>
            </w:tcMar>
            <w:shd w:fill="1F4E79"/>
          </w:tcPr>
          <w:p w14:paraId="743D5ABE" w14:textId="77777777" w:rsidR="00166551" w:rsidRPr="00166551" w:rsidRDefault="00166551" w:rsidP="00166551">
            <w:pPr>
              <w:spacing w:before="0" w:after="0" w:line="252" w:lineRule="auto"/>
              <w:jc w:val="center"/>
              <w:rPr>
                <w:sz w:val="28"/>
                <w:szCs w:val="28"/>
                <w:lang w:val="en-US"/>
              </w:rPr>
            </w:pPr>
            <w:r w:rsidRPr="00166551">
              <w:rPr>
                <w:rFonts w:ascii="Arial" w:hAnsi="Arial"/>
                <w:b/>
                <w:color w:val="FFFFFF"/>
                <w:sz w:val="17"/>
                <w:szCs w:val="28"/>
                <w:lang w:val="en-US"/>
              </w:rPr>
              <w:t>Improve</w:t>
            </w:r>
          </w:p>
        </w:tc>
      </w:tr>
    </w:tbl>
    <w:p w14:paraId="57EAD41B" w14:textId="77777777" w:rsidR="00166551" w:rsidRDefault="00166551" w:rsidP="00166551">
      <w:pPr>
        <w:keepNext w:val="0"/>
        <w:widowControl/>
        <w:spacing w:after="160" w:line="276" w:lineRule="auto" w:before="80"/>
        <w:jc w:val="center"/>
        <w:rPr>
          <w:i/>
          <w:sz w:val="28"/>
          <w:szCs w:val="28"/>
        </w:rPr>
      </w:pPr>
      <w:r w:rsidRPr="00166551">
        <w:rPr>
          <w:rFonts w:ascii="Arial" w:hAnsi="Arial"/>
          <w:i/>
          <w:color w:val="555555"/>
          <w:sz w:val="18"/>
          <w:szCs w:val="28"/>
          <w:lang w:val="en-US"/>
        </w:rPr>
        <w:t>Figure 1. SFM incident-response flow; OT safety authority is maintained throughout.</w:t>
      </w:r>
    </w:p>
    <w:p w14:paraId="02C520B6" w14:textId="77777777" w:rsidR="00630BCF" w:rsidRPr="00630BCF" w:rsidRDefault="00630BCF" w:rsidP="00166551">
      <w:pPr>
        <w:widowControl/>
        <w:spacing w:after="120" w:line="276" w:lineRule="auto"/>
        <w:jc w:val="both"/>
        <w:rPr>
          <w:sz w:val="28"/>
          <w:szCs w:val="28"/>
        </w:rPr>
      </w:pPr>
    </w:p>
    <w:p w14:paraId="66D807C4" w14:textId="77777777" w:rsidR="00166551" w:rsidRPr="00166551" w:rsidRDefault="00166551" w:rsidP="00166551">
      <w:pPr>
        <w:pStyle w:val="Heading1"/>
        <w:rPr>
          <w:b/>
          <w:bCs/>
          <w:sz w:val="28"/>
          <w:szCs w:val="28"/>
        </w:rPr>
      </w:pPr>
      <w:r w:rsidRPr="00166551">
        <w:rPr>
          <w:b/>
          <w:bCs/>
          <w:sz w:val="28"/>
          <w:szCs w:val="28"/>
          <w:lang w:val="en-US"/>
        </w:rPr>
        <w:t xml:space="preserve">6. Training and Awareness </w:t>
      </w:r>
      <w:proofErr w:type="spellStart"/>
      <w:r w:rsidRPr="00166551">
        <w:rPr>
          <w:b/>
          <w:bCs/>
          <w:sz w:val="28"/>
          <w:szCs w:val="28"/>
          <w:lang w:val="en-US"/>
        </w:rPr>
        <w:t>Programme</w:t>
      </w:r>
      <w:proofErr w:type="spellEnd"/>
    </w:p>
    <w:p w14:paraId="29E44539" w14:textId="77777777" w:rsidR="00166551" w:rsidRPr="00166551" w:rsidRDefault="00166551" w:rsidP="00695B47">
      <w:pPr>
        <w:widowControl/>
        <w:spacing w:after="120" w:line="276" w:lineRule="auto"/>
        <w:jc w:val="both"/>
        <w:rPr>
          <w:sz w:val="28"/>
          <w:szCs w:val="28"/>
        </w:rPr>
      </w:pPr>
    </w:p>
    <w:p w14:paraId="2CB8385B" w14:textId="6C2F46F5" w:rsidR="00695B47" w:rsidRPr="00695B47" w:rsidRDefault="00695B47" w:rsidP="00630BCF">
      <w:pPr>
        <w:widowControl/>
        <w:spacing w:after="120" w:line="276" w:lineRule="auto"/>
        <w:jc w:val="both"/>
        <w:rPr>
          <w:sz w:val="28"/>
          <w:szCs w:val="28"/>
        </w:rPr>
      </w:pPr>
      <w:r w:rsidRPr="00695B47">
        <w:rPr>
          <w:sz w:val="28"/>
          <w:szCs w:val="28"/>
        </w:rPr>
        <w:t xml:space="preserve">The Training and Awareness Programme covers all security aspects such as passwords and MFA, phishing, data classification, removable media, physical security, secure remote work and immediate incident reporting. For Procurement the quarterly exercises on invoice fraud, supplier impersonation and callback verification are held. IT and OT administrators receive technical training on secure changes, privileged access, logging and evidence preservation. </w:t>
      </w:r>
    </w:p>
    <w:p w14:paraId="3256C790" w14:textId="463274B8" w:rsidR="00695B47" w:rsidRPr="00695B47" w:rsidRDefault="00695B47" w:rsidP="00695B47">
      <w:pPr>
        <w:widowControl/>
        <w:spacing w:after="120" w:line="276" w:lineRule="auto"/>
        <w:jc w:val="both"/>
        <w:rPr>
          <w:sz w:val="28"/>
          <w:szCs w:val="28"/>
        </w:rPr>
      </w:pPr>
      <w:r w:rsidRPr="00695B47">
        <w:rPr>
          <w:sz w:val="28"/>
          <w:szCs w:val="28"/>
        </w:rPr>
        <w:t xml:space="preserve">Phishing simulations are conducted on a quarterly basis. They are progressively more realistic and are always conducted within the scope of realistic scenarios. Immediate feedback is provided to employees regarding their actions during the simulation. The following measures are tracked and analyzed in order to measure the success of the training: 100% mandatory completion of the training, phishing click rate below 5%, reporting rate above 70%, time to report, repeat-failure rate, and closure of exercise actions. CISA’s performance goals for email security can be met through recurring training and email security exercises that reduce common email threats </w:t>
      </w:r>
      <w:sdt>
        <w:sdtPr>
          <w:rPr>
            <w:color w:val="000000"/>
            <w:sz w:val="28"/>
            <w:szCs w:val="28"/>
            <w:highlight w:val="white"/>
          </w:rPr>
          <w:alias w:val="Citation"/>
          <w:tag w:val="{&quot;referencesIds&quot;:[&quot;doc:6a7cb1be9952de4988bb75f9&quot;],&quot;referencesOptions&quot;:{&quot;doc:6a7cb1be9952de4988bb7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0980145"/>
          <w:placeholder>
            <w:docPart w:val="626BFFC13FA94B76A43D1E38191FC39D"/>
          </w:placeholder>
        </w:sdtPr>
        <w:sdtContent>
          <w:r w:rsidR="00947DF0">
            <w:rPr>
              <w:rFonts w:eastAsia="Times New Roman"/>
              <w:color w:val="000000"/>
              <w:sz w:val="28"/>
              <w:szCs w:val="28"/>
            </w:rPr>
            <w:t>[9]</w:t>
          </w:r>
        </w:sdtContent>
      </w:sdt>
      <w:r w:rsidRPr="00695B47">
        <w:rPr>
          <w:sz w:val="28"/>
          <w:szCs w:val="28"/>
        </w:rPr>
        <w:t>.</w:t>
      </w:r>
    </w:p>
    <w:p w14:paraId="4632A43F" w14:textId="4E53FF6F" w:rsidR="00695B47" w:rsidRPr="00695B47" w:rsidRDefault="00695B47" w:rsidP="00695B47">
      <w:pPr>
        <w:widowControl/>
        <w:spacing w:after="120" w:line="276" w:lineRule="auto"/>
        <w:jc w:val="both"/>
        <w:rPr>
          <w:sz w:val="28"/>
          <w:szCs w:val="28"/>
        </w:rPr>
      </w:pPr>
      <w:r w:rsidRPr="00695B47">
        <w:rPr>
          <w:sz w:val="28"/>
          <w:szCs w:val="28"/>
        </w:rPr>
        <w:t>HR will track completion by staff members. Line managers guarantee protected time for learning by their staff members. The Security Manager monitors results of the training. All contractors complete relevant training before access is granted to them. Relevant training is reviewed after incidents and training exercises, to transform emerging threats to email, such as new types of phishing, into new training scenarios. Instead of one long annual session of training, consisting of a presentation to staff members, short training sessions are repeated frequently. Staff members must also be made to believe that reporting of incidents, even those caused by mistakes, is valued and will be dealt with promptly, in order to avoid any fear of possible punishment, which could lead to delays in containment of a possible breach, and could turn a minor phishing incident into a serious security breach.</w:t>
      </w:r>
    </w:p>
    <w:p w14:paraId="1FD3E2ED" w14:textId="77777777" w:rsidR="00695B47" w:rsidRPr="00695B47" w:rsidRDefault="00695B47" w:rsidP="00695B47">
      <w:pPr>
        <w:pStyle w:val="Heading1"/>
        <w:rPr>
          <w:sz w:val="28"/>
          <w:szCs w:val="28"/>
          <w:lang w:val="en-US"/>
        </w:rPr>
      </w:pPr>
      <w:r w:rsidRPr="00695B47">
        <w:rPr>
          <w:sz w:val="28"/>
          <w:szCs w:val="28"/>
          <w:lang w:val="en-US"/>
        </w:rPr>
        <w:lastRenderedPageBreak/>
        <w:t>7. Conclusion</w:t>
      </w:r>
    </w:p>
    <w:p w14:paraId="1EB55001" w14:textId="77777777" w:rsidR="00695B47" w:rsidRPr="00695B47" w:rsidRDefault="00695B47" w:rsidP="00695B47">
      <w:pPr>
        <w:widowControl/>
        <w:spacing w:after="120" w:line="276" w:lineRule="auto"/>
        <w:jc w:val="both"/>
        <w:rPr>
          <w:sz w:val="28"/>
          <w:szCs w:val="28"/>
          <w:lang w:val="en-US"/>
        </w:rPr>
      </w:pPr>
      <w:r w:rsidRPr="00695B47">
        <w:rPr>
          <w:sz w:val="28"/>
          <w:szCs w:val="28"/>
          <w:lang w:val="en-US"/>
        </w:rPr>
        <w:t xml:space="preserve">First and foremost, in connected production (very valuable engineering information) with weak identities or pathways, the biggest risk for SFM is the current </w:t>
      </w:r>
      <w:proofErr w:type="gramStart"/>
      <w:r w:rsidRPr="00695B47">
        <w:rPr>
          <w:sz w:val="28"/>
          <w:szCs w:val="28"/>
          <w:lang w:val="en-US"/>
        </w:rPr>
        <w:t>state of affairs</w:t>
      </w:r>
      <w:proofErr w:type="gramEnd"/>
      <w:r w:rsidRPr="00695B47">
        <w:rPr>
          <w:sz w:val="28"/>
          <w:szCs w:val="28"/>
          <w:lang w:val="en-US"/>
        </w:rPr>
        <w:t xml:space="preserve">. Good governance, based on ISO/IEC 27001, NIST CSF 2.0 and the CIA triad, is a good starting point, but good implementation is key. In the first place, the most critical attack paths must be reduced. Next, attention must be paid to OT safety and availability. This is followed by IT/OT segmentation, endpoint- and email-controls, controlled supplier access and OT-aware monitoring. </w:t>
      </w:r>
      <w:proofErr w:type="gramStart"/>
      <w:r w:rsidRPr="00695B47">
        <w:rPr>
          <w:sz w:val="28"/>
          <w:szCs w:val="28"/>
          <w:lang w:val="en-US"/>
        </w:rPr>
        <w:t>In order to</w:t>
      </w:r>
      <w:proofErr w:type="gramEnd"/>
      <w:r w:rsidRPr="00695B47">
        <w:rPr>
          <w:sz w:val="28"/>
          <w:szCs w:val="28"/>
          <w:lang w:val="en-US"/>
        </w:rPr>
        <w:t xml:space="preserve"> create a security culture, role-based training and measurable exercises are necessary. A phased approach as described above is realistic for a medium-sized manufacturer.</w:t>
      </w:r>
    </w:p>
    <w:p w14:paraId="180DBB3E" w14:textId="38C2DF71" w:rsidR="00AC0EF4" w:rsidRPr="00695B47" w:rsidRDefault="00AC0EF4" w:rsidP="00BC3C2C">
      <w:pPr>
        <w:widowControl/>
        <w:spacing w:after="120" w:line="276" w:lineRule="auto"/>
        <w:jc w:val="both"/>
        <w:rPr>
          <w:sz w:val="28"/>
          <w:szCs w:val="28"/>
          <w:lang w:val="en-US"/>
        </w:rPr>
      </w:pPr>
    </w:p>
    <w:p w14:paraId="4D1236B1" w14:textId="77777777" w:rsidR="00947DF0" w:rsidRDefault="00947DF0">
      <w:pPr>
        <w:pStyle w:val="NormalWeb"/>
        <w:widowControl/>
        <w:spacing w:after="120" w:line="276" w:lineRule="auto"/>
        <w:jc w:val="both"/>
        <w:rPr>
          <w:sz w:val="28"/>
          <w:szCs w:val="28"/>
          <w:lang w:val="en-US"/>
        </w:rPr>
      </w:pPr>
      <w:r w:rsidRPr="00947DF0">
        <w:rPr>
          <w:sz w:val="28"/>
          <w:szCs w:val="28"/>
          <w:lang w:val="en-US"/>
        </w:rPr>
        <w:br/>
      </w:r>
    </w:p>
    <w:sdt>
      <w:sdtPr>
        <w:rPr>
          <w:sz w:val="28"/>
          <w:szCs w:val="28"/>
          <w:lang w:val="en-US"/>
        </w:rPr>
        <w:tag w:val="rw.bWnCOutputStyleIdiblio"/>
        <w:id w:val="1405184828"/>
        <w:placeholder>
          <w:docPart w:val="705C42F8356A4CBE8280B9386E31447D"/>
        </w:placeholder>
      </w:sdtPr>
      <w:sdtEndPr>
        <w:rPr>
          <w:rFonts w:ascii="Calibri" w:hAnsi="Calibri" w:cs="Calibri"/>
        </w:rPr>
      </w:sdtEndPr>
      <w:sdtContent>
        <w:p w14:paraId="050E2A87" w14:textId="77777777" w:rsidR="00947DF0" w:rsidRDefault="00947DF0">
          <w:pPr>
            <w:pStyle w:val="NormalWeb"/>
            <w:jc w:val="center"/>
            <w:rPr>
              <w:rFonts w:ascii="Calibri" w:hAnsi="Calibri" w:cs="Calibri"/>
              <w:color w:val="000000"/>
              <w:sz w:val="28"/>
              <w:szCs w:val="28"/>
            </w:rPr>
          </w:pPr>
          <w:r>
            <w:rPr>
              <w:rFonts w:ascii="Calibri" w:hAnsi="Calibri" w:cs="Calibri"/>
              <w:color w:val="000000"/>
              <w:sz w:val="28"/>
              <w:szCs w:val="28"/>
            </w:rPr>
            <w:t>References</w:t>
          </w:r>
        </w:p>
        <w:p w14:paraId="0B823983"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[1] S. Kapoor, S. Kumar, H. Vardhan, D. Balasubramanian and S. Neema, "Cyber security of OT networks: A tutorial, survey of attacks and overview of current state of defense tools, protocols, &amp; challenges," 2025, </w:t>
          </w:r>
        </w:p>
        <w:p w14:paraId="1DE52079"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[2] V. Shewale, "IT/OT Convergence: A Zero Trust Reference Architecture for the Energy Sector," vol. 5, no. 5, pp.8494–8502, 2022, </w:t>
          </w:r>
        </w:p>
        <w:p w14:paraId="7A1B792D"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[3] F. C. Aguboshim, I. N. Obiokafor and A. O. Emenike, "Sustainable data governance in the era of global data security challenges in Nigeria: A narrative review," vol. 17, no. 2, pp.378–385, 2023, </w:t>
          </w:r>
        </w:p>
        <w:p w14:paraId="0B04AE89"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[4] A. Vogt-Schilb and S. Hallegatte, "Marginal abatement cost curves and the optimal timing of mitigation measures," vol. 66, pp.645–653, 2014, </w:t>
          </w:r>
        </w:p>
        <w:p w14:paraId="4DA8628F"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[5] L. E. Sánchez and A. L. C. F. Gallardo, "On the successful implementation of mitigation measures," vol. 23, no. 3, pp.182–190, 2005, </w:t>
          </w:r>
        </w:p>
        <w:p w14:paraId="4FD9E8E8"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[6] M. O’Connel, M. Lark and K. Hollis, "Continuous Monitoring and Incident Response for Financial Applications: A Framework for Enhanced Resilience and Security," 2025, </w:t>
          </w:r>
        </w:p>
        <w:p w14:paraId="75C8E7C4"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[7] K. A. Scarfone, T. Grance and K. Masone, "Sp 800-61 rev. 1. computer security incident handling guide," 2008, </w:t>
          </w:r>
        </w:p>
        <w:p w14:paraId="37704217"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[8] J. Nield, J. Scanlan and E. Roehrer, "Exploring consumer information-security awareness and preparedness of data-breach events," vol. 68, no. 4, pp.611–635, 2020, </w:t>
          </w:r>
        </w:p>
        <w:p w14:paraId="68A437CE" w14:textId="77777777" w:rsidR="00947DF0" w:rsidRDefault="00947DF0">
          <w:pPr>
            <w:pStyle w:val="NormalWeb"/>
            <w:ind w:left="450" w:hanging="450"/>
            <w:rPr>
              <w:rFonts w:ascii="Calibri" w:hAnsi="Calibri" w:cs="Calibri"/>
              <w:color w:val="000000"/>
              <w:sz w:val="28"/>
              <w:szCs w:val="28"/>
            </w:rPr>
          </w:pPr>
          <w:r>
            <w:rPr>
              <w:rFonts w:ascii="Calibri" w:hAnsi="Calibri" w:cs="Calibri"/>
              <w:color w:val="000000"/>
              <w:sz w:val="28"/>
              <w:szCs w:val="28"/>
            </w:rPr>
            <w:t xml:space="preserve">[9] M. Eminağaoğlu, E. Uçar and Ş Eren, "The positive outcomes of information security awareness training in companies–A case study," vol. 14, no. 4, pp.223–229, 2009, </w:t>
          </w:r>
        </w:p>
        <w:p w14:paraId="358DEB16" w14:textId="7EFDD6AA" w:rsidR="00947DF0" w:rsidRPr="00947DF0" w:rsidRDefault="00947DF0" w:rsidP="00BC3C2C">
          <w:pPr>
            <w:rPr>
              <w:sz w:val="28"/>
              <w:szCs w:val="28"/>
              <w:lang w:val="en-US"/>
            </w:rPr>
          </w:pPr>
        </w:p>
      </w:sdtContent>
    </w:sdt>
    <w:p w14:paraId="5BE2BE67" w14:textId="67013CFF" w:rsidR="005A2059" w:rsidRPr="00695B47" w:rsidRDefault="005A2059" w:rsidP="00BC3C2C">
      <w:pPr>
        <w:widowControl/>
        <w:spacing w:after="120" w:line="276" w:lineRule="auto"/>
        <w:jc w:val="both"/>
        <w:rPr>
          <w:sz w:val="28"/>
          <w:szCs w:val="28"/>
        </w:rPr>
      </w:pPr>
    </w:p>
    <w:sectPr w:rsidR="005A2059" w:rsidRPr="00695B47" w:rsidSect="00BC3C2C">
      <w:headerReference w:type="default" r:id="rId9"/>
      <w:footerReference w:type="default" r:id="rId10"/>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0AAD7" w14:textId="77777777" w:rsidR="00EA1A7D" w:rsidRDefault="00EA1A7D" w:rsidP="00BC3C2C">
      <w:r>
        <w:separator/>
      </w:r>
    </w:p>
  </w:endnote>
  <w:endnote w:type="continuationSeparator" w:id="0">
    <w:p w14:paraId="2277D156" w14:textId="77777777" w:rsidR="00EA1A7D" w:rsidRDefault="00EA1A7D" w:rsidP="00BC3C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17003" w14:textId="77777777" w:rsidR="00BC3C2C" w:rsidRDefault="00BC3C2C">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ACA05" w14:textId="77777777" w:rsidR="00EA1A7D" w:rsidRDefault="00EA1A7D" w:rsidP="00BC3C2C">
      <w:r>
        <w:separator/>
      </w:r>
    </w:p>
  </w:footnote>
  <w:footnote w:type="continuationSeparator" w:id="0">
    <w:p w14:paraId="290B9784" w14:textId="77777777" w:rsidR="00EA1A7D" w:rsidRDefault="00EA1A7D" w:rsidP="00BC3C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C8F477" w14:textId="0125D302" w:rsidR="00BC3C2C" w:rsidRPr="00BC3C2C" w:rsidRDefault="00BC3C2C" w:rsidP="00BC3C2C">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5FEA"/>
    <w:multiLevelType w:val="hybridMultilevel"/>
    <w:tmpl w:val="40AA05F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31FA0A66"/>
    <w:multiLevelType w:val="hybridMultilevel"/>
    <w:tmpl w:val="70D05838"/>
    <w:lvl w:ilvl="0" w:tplc="F0208B3A">
      <w:start w:val="1"/>
      <w:numFmt w:val="bullet"/>
      <w:lvlText w:val="●"/>
      <w:lvlJc w:val="left"/>
      <w:pPr>
        <w:ind w:left="720" w:hanging="360"/>
      </w:pPr>
    </w:lvl>
    <w:lvl w:ilvl="1" w:tplc="D49CE792">
      <w:start w:val="1"/>
      <w:numFmt w:val="bullet"/>
      <w:lvlText w:val="○"/>
      <w:lvlJc w:val="left"/>
      <w:pPr>
        <w:ind w:left="1440" w:hanging="360"/>
      </w:pPr>
    </w:lvl>
    <w:lvl w:ilvl="2" w:tplc="5F629736">
      <w:start w:val="1"/>
      <w:numFmt w:val="bullet"/>
      <w:lvlText w:val="■"/>
      <w:lvlJc w:val="left"/>
      <w:pPr>
        <w:ind w:left="2160" w:hanging="360"/>
      </w:pPr>
    </w:lvl>
    <w:lvl w:ilvl="3" w:tplc="A09ACEFE">
      <w:start w:val="1"/>
      <w:numFmt w:val="bullet"/>
      <w:lvlText w:val="●"/>
      <w:lvlJc w:val="left"/>
      <w:pPr>
        <w:ind w:left="2880" w:hanging="360"/>
      </w:pPr>
    </w:lvl>
    <w:lvl w:ilvl="4" w:tplc="5B32F260">
      <w:start w:val="1"/>
      <w:numFmt w:val="bullet"/>
      <w:lvlText w:val="○"/>
      <w:lvlJc w:val="left"/>
      <w:pPr>
        <w:ind w:left="3600" w:hanging="360"/>
      </w:pPr>
    </w:lvl>
    <w:lvl w:ilvl="5" w:tplc="F230A6A2">
      <w:start w:val="1"/>
      <w:numFmt w:val="bullet"/>
      <w:lvlText w:val="■"/>
      <w:lvlJc w:val="left"/>
      <w:pPr>
        <w:ind w:left="4320" w:hanging="360"/>
      </w:pPr>
    </w:lvl>
    <w:lvl w:ilvl="6" w:tplc="4058ED84">
      <w:start w:val="1"/>
      <w:numFmt w:val="bullet"/>
      <w:lvlText w:val="●"/>
      <w:lvlJc w:val="left"/>
      <w:pPr>
        <w:ind w:left="5040" w:hanging="360"/>
      </w:pPr>
    </w:lvl>
    <w:lvl w:ilvl="7" w:tplc="731C775E">
      <w:start w:val="1"/>
      <w:numFmt w:val="bullet"/>
      <w:lvlText w:val="●"/>
      <w:lvlJc w:val="left"/>
      <w:pPr>
        <w:ind w:left="5760" w:hanging="360"/>
      </w:pPr>
    </w:lvl>
    <w:lvl w:ilvl="8" w:tplc="EDEE4B82">
      <w:start w:val="1"/>
      <w:numFmt w:val="bullet"/>
      <w:lvlText w:val="●"/>
      <w:lvlJc w:val="left"/>
      <w:pPr>
        <w:ind w:left="6480" w:hanging="360"/>
      </w:pPr>
    </w:lvl>
  </w:abstractNum>
  <w:abstractNum w:abstractNumId="2" w15:restartNumberingAfterBreak="0">
    <w:nsid w:val="3EF33D45"/>
    <w:multiLevelType w:val="hybridMultilevel"/>
    <w:tmpl w:val="38489B70"/>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296230964">
    <w:abstractNumId w:val="0"/>
  </w:num>
  <w:num w:numId="2" w16cid:durableId="844440472">
    <w:abstractNumId w:val="1"/>
    <w:lvlOverride w:ilvl="0">
      <w:startOverride w:val="1"/>
    </w:lvlOverride>
  </w:num>
  <w:num w:numId="3" w16cid:durableId="15885358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936"/>
    <w:rsid w:val="000215B5"/>
    <w:rsid w:val="000B308A"/>
    <w:rsid w:val="000C1244"/>
    <w:rsid w:val="00166551"/>
    <w:rsid w:val="00172F8E"/>
    <w:rsid w:val="001C7DCF"/>
    <w:rsid w:val="001E40FC"/>
    <w:rsid w:val="00217046"/>
    <w:rsid w:val="002179F3"/>
    <w:rsid w:val="00241673"/>
    <w:rsid w:val="002C0014"/>
    <w:rsid w:val="0035503B"/>
    <w:rsid w:val="00381770"/>
    <w:rsid w:val="00395F0E"/>
    <w:rsid w:val="00395F85"/>
    <w:rsid w:val="003F0B17"/>
    <w:rsid w:val="00457777"/>
    <w:rsid w:val="00467DEE"/>
    <w:rsid w:val="00480786"/>
    <w:rsid w:val="0059677C"/>
    <w:rsid w:val="005A2059"/>
    <w:rsid w:val="00630BCF"/>
    <w:rsid w:val="006729D2"/>
    <w:rsid w:val="00695B47"/>
    <w:rsid w:val="006E0D7E"/>
    <w:rsid w:val="006E2003"/>
    <w:rsid w:val="00703B9C"/>
    <w:rsid w:val="007943C5"/>
    <w:rsid w:val="007D41F0"/>
    <w:rsid w:val="00837150"/>
    <w:rsid w:val="00842CF9"/>
    <w:rsid w:val="00883E8A"/>
    <w:rsid w:val="00895930"/>
    <w:rsid w:val="008A437D"/>
    <w:rsid w:val="00947DF0"/>
    <w:rsid w:val="009A79D2"/>
    <w:rsid w:val="00A06094"/>
    <w:rsid w:val="00A14DD0"/>
    <w:rsid w:val="00A775B1"/>
    <w:rsid w:val="00AC0EF4"/>
    <w:rsid w:val="00B90456"/>
    <w:rsid w:val="00B95123"/>
    <w:rsid w:val="00B9622A"/>
    <w:rsid w:val="00BC3C2C"/>
    <w:rsid w:val="00CB3DE7"/>
    <w:rsid w:val="00CD146D"/>
    <w:rsid w:val="00DD38F9"/>
    <w:rsid w:val="00E965C3"/>
    <w:rsid w:val="00EA1A7D"/>
    <w:rsid w:val="00ED092C"/>
    <w:rsid w:val="00EE43A4"/>
    <w:rsid w:val="00EF7936"/>
    <w:rsid w:val="00F2246A"/>
    <w:rsid w:val="00F50CB7"/>
    <w:rsid w:val="00F710AF"/>
    <w:rsid w:val="00FF0E7B"/>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3E008"/>
  <w15:chartTrackingRefBased/>
  <w15:docId w15:val="{56581AB3-E427-4133-B204-721BA474DAF6}"/>
  <w:updateFields w:val="tru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C2C"/>
    <w:pPr>
      <w:spacing w:after="120" w:line="276" w:lineRule="auto" w:before="0"/>
    </w:pPr>
    <w:rPr>
      <w:rFonts w:ascii="Arial" w:eastAsia="Calibri" w:hAnsi="Arial" w:cs="Calibri"/>
      <w:color w:val="202020"/>
      <w:kern w:val="0"/>
      <w:sz w:val="21"/>
      <w:szCs w:val="22"/>
      <w14:ligatures w14:val="none"/>
    </w:rPr>
  </w:style>
  <w:style w:type="paragraph" w:styleId="Heading1">
    <w:name w:val="heading 1"/>
    <w:basedOn w:val="Normal"/>
    <w:next w:val="Normal"/>
    <w:link w:val="Heading1Char"/>
    <w:uiPriority w:val="9"/>
    <w:qFormat/>
    <w:rsid w:val="00EF7936"/>
    <w:pPr>
      <w:keepNext/>
      <w:keepLines/>
      <w:spacing w:before="280" w:after="140"/>
      <w:outlineLvl w:val="0"/>
    </w:pPr>
    <w:rPr>
      <w:rFonts w:asciiTheme="majorHAnsi" w:eastAsiaTheme="majorEastAsia" w:hAnsiTheme="majorHAnsi" w:cstheme="majorBidi" w:ascii="Arial" w:hAnsi="Arial"/>
      <w:b/>
      <w:color w:val="1F4E79"/>
      <w:sz w:val="30"/>
      <w:szCs w:val="40"/>
    </w:rPr>
  </w:style>
  <w:style w:type="paragraph" w:styleId="Heading2">
    <w:name w:val="heading 2"/>
    <w:basedOn w:val="Normal"/>
    <w:next w:val="Normal"/>
    <w:link w:val="Heading2Char"/>
    <w:uiPriority w:val="9"/>
    <w:unhideWhenUsed/>
    <w:qFormat/>
    <w:rsid w:val="00EF7936"/>
    <w:pPr>
      <w:keepNext/>
      <w:keepLines/>
      <w:spacing w:before="220" w:after="100"/>
      <w:outlineLvl w:val="1"/>
    </w:pPr>
    <w:rPr>
      <w:rFonts w:asciiTheme="majorHAnsi" w:eastAsiaTheme="majorEastAsia" w:hAnsiTheme="majorHAnsi" w:cstheme="majorBidi" w:ascii="Arial" w:hAnsi="Arial"/>
      <w:b/>
      <w:color w:val="2F5597"/>
      <w:sz w:val="25"/>
      <w:szCs w:val="32"/>
    </w:rPr>
  </w:style>
  <w:style w:type="paragraph" w:styleId="Heading3">
    <w:name w:val="heading 3"/>
    <w:basedOn w:val="Normal"/>
    <w:next w:val="Normal"/>
    <w:link w:val="Heading3Char"/>
    <w:uiPriority w:val="9"/>
    <w:unhideWhenUsed/>
    <w:qFormat/>
    <w:rsid w:val="00EF7936"/>
    <w:pPr>
      <w:keepNext/>
      <w:keepLines/>
      <w:spacing w:before="160" w:after="80"/>
      <w:outlineLvl w:val="2"/>
    </w:pPr>
    <w:rPr>
      <w:rFonts w:eastAsiaTheme="majorEastAsia" w:cstheme="majorBidi" w:ascii="Arial" w:hAnsi="Arial"/>
      <w:b/>
      <w:color w:val="365F91"/>
      <w:sz w:val="22"/>
      <w:szCs w:val="28"/>
    </w:rPr>
  </w:style>
  <w:style w:type="paragraph" w:styleId="Heading4">
    <w:name w:val="heading 4"/>
    <w:basedOn w:val="Normal"/>
    <w:next w:val="Normal"/>
    <w:link w:val="Heading4Char"/>
    <w:uiPriority w:val="9"/>
    <w:semiHidden/>
    <w:unhideWhenUsed/>
    <w:qFormat/>
    <w:rsid w:val="00EF79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79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93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93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93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93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9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79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79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79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79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9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9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9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936"/>
    <w:rPr>
      <w:rFonts w:eastAsiaTheme="majorEastAsia" w:cstheme="majorBidi"/>
      <w:color w:val="272727" w:themeColor="text1" w:themeTint="D8"/>
    </w:rPr>
  </w:style>
  <w:style w:type="paragraph" w:styleId="Title">
    <w:name w:val="Title"/>
    <w:basedOn w:val="Normal"/>
    <w:next w:val="Normal"/>
    <w:link w:val="TitleChar"/>
    <w:uiPriority w:val="10"/>
    <w:qFormat/>
    <w:rsid w:val="00EF793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9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9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9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936"/>
    <w:pPr>
      <w:spacing w:before="160"/>
      <w:jc w:val="center"/>
    </w:pPr>
    <w:rPr>
      <w:i/>
      <w:iCs/>
      <w:color w:val="404040" w:themeColor="text1" w:themeTint="BF"/>
    </w:rPr>
  </w:style>
  <w:style w:type="character" w:customStyle="1" w:styleId="QuoteChar">
    <w:name w:val="Quote Char"/>
    <w:basedOn w:val="DefaultParagraphFont"/>
    <w:link w:val="Quote"/>
    <w:uiPriority w:val="29"/>
    <w:rsid w:val="00EF7936"/>
    <w:rPr>
      <w:i/>
      <w:iCs/>
      <w:color w:val="404040" w:themeColor="text1" w:themeTint="BF"/>
    </w:rPr>
  </w:style>
  <w:style w:type="paragraph" w:styleId="ListParagraph">
    <w:name w:val="List Paragraph"/>
    <w:basedOn w:val="Normal"/>
    <w:qFormat/>
    <w:rsid w:val="00EF7936"/>
    <w:pPr>
      <w:ind w:left="720"/>
      <w:contextualSpacing/>
    </w:pPr>
  </w:style>
  <w:style w:type="character" w:styleId="IntenseEmphasis">
    <w:name w:val="Intense Emphasis"/>
    <w:basedOn w:val="DefaultParagraphFont"/>
    <w:uiPriority w:val="21"/>
    <w:qFormat/>
    <w:rsid w:val="00EF7936"/>
    <w:rPr>
      <w:i/>
      <w:iCs/>
      <w:color w:val="0F4761" w:themeColor="accent1" w:themeShade="BF"/>
    </w:rPr>
  </w:style>
  <w:style w:type="paragraph" w:styleId="IntenseQuote">
    <w:name w:val="Intense Quote"/>
    <w:basedOn w:val="Normal"/>
    <w:next w:val="Normal"/>
    <w:link w:val="IntenseQuoteChar"/>
    <w:uiPriority w:val="30"/>
    <w:qFormat/>
    <w:rsid w:val="00EF79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936"/>
    <w:rPr>
      <w:i/>
      <w:iCs/>
      <w:color w:val="0F4761" w:themeColor="accent1" w:themeShade="BF"/>
    </w:rPr>
  </w:style>
  <w:style w:type="character" w:styleId="IntenseReference">
    <w:name w:val="Intense Reference"/>
    <w:basedOn w:val="DefaultParagraphFont"/>
    <w:uiPriority w:val="32"/>
    <w:qFormat/>
    <w:rsid w:val="00EF7936"/>
    <w:rPr>
      <w:b/>
      <w:bCs/>
      <w:smallCaps/>
      <w:color w:val="0F4761" w:themeColor="accent1" w:themeShade="BF"/>
      <w:spacing w:val="5"/>
    </w:rPr>
  </w:style>
  <w:style w:type="table" w:styleId="TableGrid">
    <w:name w:val="Table Grid"/>
    <w:basedOn w:val="TableNormal"/>
    <w:uiPriority w:val="39"/>
    <w:rsid w:val="00F224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57777"/>
    <w:rPr>
      <w:rFonts w:ascii="Times New Roman" w:hAnsi="Times New Roman" w:cs="Times New Roman"/>
    </w:rPr>
  </w:style>
  <w:style w:type="paragraph" w:customStyle="1" w:styleId="Strong1">
    <w:name w:val="Strong1"/>
    <w:qFormat/>
    <w:rsid w:val="00BC3C2C"/>
    <w:pPr>
      <w:spacing w:after="0" w:line="240" w:lineRule="auto"/>
    </w:pPr>
    <w:rPr>
      <w:rFonts w:ascii="Calibri" w:eastAsia="Calibri" w:hAnsi="Calibri" w:cs="Calibri"/>
      <w:b/>
      <w:bCs/>
      <w:kern w:val="0"/>
      <w:sz w:val="22"/>
      <w:szCs w:val="22"/>
      <w14:ligatures w14:val="none"/>
    </w:rPr>
  </w:style>
  <w:style w:type="character" w:styleId="Hyperlink">
    <w:name w:val="Hyperlink"/>
    <w:uiPriority w:val="99"/>
    <w:unhideWhenUsed/>
    <w:rsid w:val="00BC3C2C"/>
    <w:rPr>
      <w:color w:val="0563C1"/>
      <w:u w:val="single"/>
    </w:rPr>
  </w:style>
  <w:style w:type="character" w:styleId="FootnoteReference">
    <w:name w:val="footnote reference"/>
    <w:uiPriority w:val="99"/>
    <w:semiHidden/>
    <w:unhideWhenUsed/>
    <w:rsid w:val="00BC3C2C"/>
    <w:rPr>
      <w:vertAlign w:val="superscript"/>
    </w:rPr>
  </w:style>
  <w:style w:type="paragraph" w:styleId="FootnoteText">
    <w:name w:val="footnote text"/>
    <w:link w:val="FootnoteTextChar"/>
    <w:uiPriority w:val="99"/>
    <w:semiHidden/>
    <w:unhideWhenUsed/>
    <w:rsid w:val="00BC3C2C"/>
    <w:pPr>
      <w:spacing w:after="0" w:line="240" w:lineRule="auto"/>
    </w:pPr>
    <w:rPr>
      <w:rFonts w:ascii="Calibri" w:eastAsia="Calibri" w:hAnsi="Calibri" w:cs="Calibri"/>
      <w:kern w:val="0"/>
      <w:sz w:val="20"/>
      <w:szCs w:val="20"/>
      <w14:ligatures w14:val="none"/>
    </w:rPr>
  </w:style>
  <w:style w:type="character" w:customStyle="1" w:styleId="FootnoteTextChar">
    <w:name w:val="Footnote Text Char"/>
    <w:basedOn w:val="DefaultParagraphFont"/>
    <w:link w:val="FootnoteText"/>
    <w:uiPriority w:val="99"/>
    <w:semiHidden/>
    <w:rsid w:val="00BC3C2C"/>
    <w:rPr>
      <w:rFonts w:ascii="Calibri" w:eastAsia="Calibri" w:hAnsi="Calibri" w:cs="Calibri"/>
      <w:kern w:val="0"/>
      <w:sz w:val="20"/>
      <w:szCs w:val="20"/>
      <w14:ligatures w14:val="none"/>
    </w:rPr>
  </w:style>
  <w:style w:type="character" w:styleId="EndnoteReference">
    <w:name w:val="endnote reference"/>
    <w:uiPriority w:val="99"/>
    <w:semiHidden/>
    <w:unhideWhenUsed/>
    <w:rsid w:val="00BC3C2C"/>
    <w:rPr>
      <w:vertAlign w:val="superscript"/>
    </w:rPr>
  </w:style>
  <w:style w:type="paragraph" w:styleId="EndnoteText">
    <w:name w:val="endnote text"/>
    <w:link w:val="EndnoteTextChar"/>
    <w:uiPriority w:val="99"/>
    <w:semiHidden/>
    <w:unhideWhenUsed/>
    <w:rsid w:val="00BC3C2C"/>
    <w:pPr>
      <w:spacing w:after="0" w:line="240" w:lineRule="auto"/>
    </w:pPr>
    <w:rPr>
      <w:rFonts w:ascii="Calibri" w:eastAsia="Calibri" w:hAnsi="Calibri" w:cs="Calibri"/>
      <w:kern w:val="0"/>
      <w:sz w:val="20"/>
      <w:szCs w:val="20"/>
      <w14:ligatures w14:val="none"/>
    </w:rPr>
  </w:style>
  <w:style w:type="character" w:customStyle="1" w:styleId="EndnoteTextChar">
    <w:name w:val="Endnote Text Char"/>
    <w:basedOn w:val="DefaultParagraphFont"/>
    <w:link w:val="EndnoteText"/>
    <w:uiPriority w:val="99"/>
    <w:semiHidden/>
    <w:rsid w:val="00BC3C2C"/>
    <w:rPr>
      <w:rFonts w:ascii="Calibri" w:eastAsia="Calibri" w:hAnsi="Calibri" w:cs="Calibri"/>
      <w:kern w:val="0"/>
      <w:sz w:val="20"/>
      <w:szCs w:val="20"/>
      <w14:ligatures w14:val="none"/>
    </w:rPr>
  </w:style>
  <w:style w:type="paragraph" w:styleId="TOC1">
    <w:name w:val="toc 1"/>
    <w:basedOn w:val="Normal"/>
    <w:next w:val="Normal"/>
    <w:autoRedefine/>
    <w:uiPriority w:val="39"/>
    <w:unhideWhenUsed/>
    <w:rsid w:val="00BC3C2C"/>
    <w:pPr>
      <w:spacing w:after="100"/>
    </w:pPr>
  </w:style>
  <w:style w:type="paragraph" w:styleId="TOC2">
    <w:name w:val="toc 2"/>
    <w:basedOn w:val="Normal"/>
    <w:next w:val="Normal"/>
    <w:autoRedefine/>
    <w:uiPriority w:val="39"/>
    <w:unhideWhenUsed/>
    <w:rsid w:val="00BC3C2C"/>
    <w:pPr>
      <w:spacing w:after="100"/>
      <w:ind w:left="220"/>
    </w:pPr>
  </w:style>
  <w:style w:type="paragraph" w:styleId="TOC3">
    <w:name w:val="toc 3"/>
    <w:basedOn w:val="Normal"/>
    <w:next w:val="Normal"/>
    <w:autoRedefine/>
    <w:uiPriority w:val="39"/>
    <w:unhideWhenUsed/>
    <w:rsid w:val="00BC3C2C"/>
    <w:pPr>
      <w:spacing w:after="100"/>
      <w:ind w:left="440"/>
    </w:pPr>
  </w:style>
  <w:style w:type="paragraph" w:styleId="Header">
    <w:name w:val="header"/>
    <w:basedOn w:val="Normal"/>
    <w:link w:val="HeaderChar"/>
    <w:uiPriority w:val="99"/>
    <w:unhideWhenUsed/>
    <w:rsid w:val="00BC3C2C"/>
    <w:pPr>
      <w:tabs>
        <w:tab w:val="center" w:pos="4153"/>
        <w:tab w:val="right" w:pos="8306"/>
      </w:tabs>
    </w:pPr>
  </w:style>
  <w:style w:type="character" w:customStyle="1" w:styleId="HeaderChar">
    <w:name w:val="Header Char"/>
    <w:basedOn w:val="DefaultParagraphFont"/>
    <w:link w:val="Header"/>
    <w:uiPriority w:val="99"/>
    <w:rsid w:val="00BC3C2C"/>
    <w:rPr>
      <w:rFonts w:ascii="Calibri" w:eastAsia="Calibri" w:hAnsi="Calibri" w:cs="Calibri"/>
      <w:kern w:val="0"/>
      <w:sz w:val="22"/>
      <w:szCs w:val="22"/>
      <w14:ligatures w14:val="none"/>
    </w:rPr>
  </w:style>
  <w:style w:type="paragraph" w:styleId="Footer">
    <w:name w:val="footer"/>
    <w:basedOn w:val="Normal"/>
    <w:link w:val="FooterChar"/>
    <w:uiPriority w:val="99"/>
    <w:unhideWhenUsed/>
    <w:rsid w:val="00BC3C2C"/>
    <w:pPr>
      <w:tabs>
        <w:tab w:val="center" w:pos="4153"/>
        <w:tab w:val="right" w:pos="8306"/>
      </w:tabs>
    </w:pPr>
  </w:style>
  <w:style w:type="character" w:customStyle="1" w:styleId="FooterChar">
    <w:name w:val="Footer Char"/>
    <w:basedOn w:val="DefaultParagraphFont"/>
    <w:link w:val="Footer"/>
    <w:uiPriority w:val="99"/>
    <w:rsid w:val="00BC3C2C"/>
    <w:rPr>
      <w:rFonts w:ascii="Calibri" w:eastAsia="Calibri" w:hAnsi="Calibri" w:cs="Calibri"/>
      <w:kern w:val="0"/>
      <w:sz w:val="22"/>
      <w:szCs w:val="22"/>
      <w14:ligatures w14:val="none"/>
    </w:rPr>
  </w:style>
  <w:style w:type="paragraph" w:styleId="NoSpacing">
    <w:name w:val="No Spacing"/>
    <w:link w:val="NoSpacingChar"/>
    <w:uiPriority w:val="1"/>
    <w:qFormat/>
    <w:rsid w:val="00BC3C2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C3C2C"/>
    <w:rPr>
      <w:rFonts w:eastAsiaTheme="minorEastAsia"/>
      <w:kern w:val="0"/>
      <w:sz w:val="22"/>
      <w:szCs w:val="22"/>
      <w:lang w:val="en-US"/>
      <w14:ligatures w14:val="none"/>
    </w:rPr>
  </w:style>
  <w:style w:type="character" w:styleId="PlaceholderText">
    <w:name w:val="Placeholder Text"/>
    <w:basedOn w:val="DefaultParagraphFont"/>
    <w:uiPriority w:val="99"/>
    <w:semiHidden/>
    <w:rsid w:val="00AC0EF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146FC0F1CF64E2C9FF47B843B50CCEC"/>
        <w:category>
          <w:name w:val="General"/>
          <w:gallery w:val="placeholder"/>
        </w:category>
        <w:types>
          <w:type w:val="bbPlcHdr"/>
        </w:types>
        <w:behaviors>
          <w:behavior w:val="content"/>
        </w:behaviors>
        <w:guid w:val="{CB07A123-38CE-4F5A-BAA4-7E0BC0FBFE95}"/>
      </w:docPartPr>
      <w:docPartBody>
        <w:p w:rsidR="00000000" w:rsidRDefault="007D7D03">
          <w:r w:rsidRPr="007039DA">
            <w:rPr>
              <w:rStyle w:val="PlaceholderText"/>
            </w:rPr>
            <w:t>Formatting...</w:t>
          </w:r>
        </w:p>
      </w:docPartBody>
    </w:docPart>
    <w:docPart>
      <w:docPartPr>
        <w:name w:val="705C42F8356A4CBE8280B9386E31447D"/>
        <w:category>
          <w:name w:val="General"/>
          <w:gallery w:val="placeholder"/>
        </w:category>
        <w:types>
          <w:type w:val="bbPlcHdr"/>
        </w:types>
        <w:behaviors>
          <w:behavior w:val="content"/>
        </w:behaviors>
        <w:guid w:val="{AA8FE788-9FCC-4685-808B-AD08F1C1CE06}"/>
      </w:docPartPr>
      <w:docPartBody>
        <w:p w:rsidR="00000000" w:rsidRDefault="007D7D03">
          <w:r w:rsidRPr="007039DA">
            <w:rPr>
              <w:rStyle w:val="PlaceholderText"/>
            </w:rPr>
            <w:t>Formatting Bibliography...</w:t>
          </w:r>
        </w:p>
      </w:docPartBody>
    </w:docPart>
    <w:docPart>
      <w:docPartPr>
        <w:name w:val="D68F3572FAD34D54BC865018B8480B14"/>
        <w:category>
          <w:name w:val="General"/>
          <w:gallery w:val="placeholder"/>
        </w:category>
        <w:types>
          <w:type w:val="bbPlcHdr"/>
        </w:types>
        <w:behaviors>
          <w:behavior w:val="content"/>
        </w:behaviors>
        <w:guid w:val="{EE02AE33-DF73-4F44-A32E-2DBF053CB6A5}"/>
      </w:docPartPr>
      <w:docPartBody>
        <w:p w:rsidR="00000000" w:rsidRDefault="007D7D03">
          <w:r w:rsidRPr="007039DA">
            <w:rPr>
              <w:rStyle w:val="PlaceholderText"/>
            </w:rPr>
            <w:t>Formatting...</w:t>
          </w:r>
        </w:p>
      </w:docPartBody>
    </w:docPart>
    <w:docPart>
      <w:docPartPr>
        <w:name w:val="5D83C24F1BC142C4B6C05F6CF03AA1FC"/>
        <w:category>
          <w:name w:val="General"/>
          <w:gallery w:val="placeholder"/>
        </w:category>
        <w:types>
          <w:type w:val="bbPlcHdr"/>
        </w:types>
        <w:behaviors>
          <w:behavior w:val="content"/>
        </w:behaviors>
        <w:guid w:val="{C25B63EB-A929-4C43-B26F-37FD9DF751F4}"/>
      </w:docPartPr>
      <w:docPartBody>
        <w:p w:rsidR="00000000" w:rsidRDefault="007D7D03">
          <w:r w:rsidRPr="007039DA">
            <w:rPr>
              <w:rStyle w:val="PlaceholderText"/>
            </w:rPr>
            <w:t>Formatting...</w:t>
          </w:r>
        </w:p>
      </w:docPartBody>
    </w:docPart>
    <w:docPart>
      <w:docPartPr>
        <w:name w:val="16D903EF6E7B444CBF95799C06275878"/>
        <w:category>
          <w:name w:val="General"/>
          <w:gallery w:val="placeholder"/>
        </w:category>
        <w:types>
          <w:type w:val="bbPlcHdr"/>
        </w:types>
        <w:behaviors>
          <w:behavior w:val="content"/>
        </w:behaviors>
        <w:guid w:val="{981B9080-9EF9-4B30-9BD0-6BB3B3840AFC}"/>
      </w:docPartPr>
      <w:docPartBody>
        <w:p w:rsidR="00000000" w:rsidRDefault="007D7D03">
          <w:r w:rsidRPr="007039DA">
            <w:rPr>
              <w:rStyle w:val="PlaceholderText"/>
            </w:rPr>
            <w:t>Formatting...</w:t>
          </w:r>
        </w:p>
      </w:docPartBody>
    </w:docPart>
    <w:docPart>
      <w:docPartPr>
        <w:name w:val="8481A3F750B54DD68882FCEDA07485CF"/>
        <w:category>
          <w:name w:val="General"/>
          <w:gallery w:val="placeholder"/>
        </w:category>
        <w:types>
          <w:type w:val="bbPlcHdr"/>
        </w:types>
        <w:behaviors>
          <w:behavior w:val="content"/>
        </w:behaviors>
        <w:guid w:val="{34E47863-91E7-47D6-8991-55F7BE1F0EB5}"/>
      </w:docPartPr>
      <w:docPartBody>
        <w:p w:rsidR="00000000" w:rsidRDefault="007D7D03">
          <w:r w:rsidRPr="007039DA">
            <w:rPr>
              <w:rStyle w:val="PlaceholderText"/>
            </w:rPr>
            <w:t>Formatting...</w:t>
          </w:r>
        </w:p>
      </w:docPartBody>
    </w:docPart>
    <w:docPart>
      <w:docPartPr>
        <w:name w:val="65E26BE10F7742369DC3488D5697FDB0"/>
        <w:category>
          <w:name w:val="General"/>
          <w:gallery w:val="placeholder"/>
        </w:category>
        <w:types>
          <w:type w:val="bbPlcHdr"/>
        </w:types>
        <w:behaviors>
          <w:behavior w:val="content"/>
        </w:behaviors>
        <w:guid w:val="{17BCF6B3-AE35-42F4-8D7E-9924AEB79306}"/>
      </w:docPartPr>
      <w:docPartBody>
        <w:p w:rsidR="00000000" w:rsidRDefault="007D7D03">
          <w:r w:rsidRPr="007039DA">
            <w:rPr>
              <w:rStyle w:val="PlaceholderText"/>
            </w:rPr>
            <w:t>Formatting...</w:t>
          </w:r>
        </w:p>
      </w:docPartBody>
    </w:docPart>
    <w:docPart>
      <w:docPartPr>
        <w:name w:val="57AB7C4A67E54395BBA65DBD8BC9BFDF"/>
        <w:category>
          <w:name w:val="General"/>
          <w:gallery w:val="placeholder"/>
        </w:category>
        <w:types>
          <w:type w:val="bbPlcHdr"/>
        </w:types>
        <w:behaviors>
          <w:behavior w:val="content"/>
        </w:behaviors>
        <w:guid w:val="{DE689822-4E20-457F-AF1C-EEFF191A400C}"/>
      </w:docPartPr>
      <w:docPartBody>
        <w:p w:rsidR="00000000" w:rsidRDefault="007D7D03">
          <w:r w:rsidRPr="007039DA">
            <w:rPr>
              <w:rStyle w:val="PlaceholderText"/>
            </w:rPr>
            <w:t>Formatting...</w:t>
          </w:r>
        </w:p>
      </w:docPartBody>
    </w:docPart>
    <w:docPart>
      <w:docPartPr>
        <w:name w:val="79F1ACAEC6A54764B3709983AF6CDC8A"/>
        <w:category>
          <w:name w:val="General"/>
          <w:gallery w:val="placeholder"/>
        </w:category>
        <w:types>
          <w:type w:val="bbPlcHdr"/>
        </w:types>
        <w:behaviors>
          <w:behavior w:val="content"/>
        </w:behaviors>
        <w:guid w:val="{5D0B31F7-8DD5-4AFA-A41E-BCE39BCF79F5}"/>
      </w:docPartPr>
      <w:docPartBody>
        <w:p w:rsidR="00000000" w:rsidRDefault="007D7D03">
          <w:r w:rsidRPr="007039DA">
            <w:rPr>
              <w:rStyle w:val="PlaceholderText"/>
            </w:rPr>
            <w:t>Formatting...</w:t>
          </w:r>
        </w:p>
      </w:docPartBody>
    </w:docPart>
    <w:docPart>
      <w:docPartPr>
        <w:name w:val="626BFFC13FA94B76A43D1E38191FC39D"/>
        <w:category>
          <w:name w:val="General"/>
          <w:gallery w:val="placeholder"/>
        </w:category>
        <w:types>
          <w:type w:val="bbPlcHdr"/>
        </w:types>
        <w:behaviors>
          <w:behavior w:val="content"/>
        </w:behaviors>
        <w:guid w:val="{4C74BE48-C92A-4514-81AC-4D92F166A21A}"/>
      </w:docPartPr>
      <w:docPartBody>
        <w:p w:rsidR="00000000" w:rsidRDefault="007D7D03">
          <w:r w:rsidRPr="007039D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D03"/>
    <w:rsid w:val="00217046"/>
    <w:rsid w:val="00746BBC"/>
    <w:rsid w:val="007D7D03"/>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D7D0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559994-FE9E-4102-8DD0-89F410A47946}">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384145281&quot;:{&quot;referencesIds&quot;:[&quot;doc:6a7cb17cd52a4551f0139a54&quot;],&quot;referencesOptions&quot;:{&quot;doc:6a7cb17cd52a4551f0139a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145281,&quot;citationText&quot;:&quot;&lt;span style=\&quot;font-family:Calibri;font-size:18.666666666666664px;color:#000000\&quot;&gt;[8]&lt;/span&gt;&quot;},&quot;1120264459&quot;:{&quot;referencesIds&quot;:[&quot;doc:6a7cb12c0670c4089b236ac2&quot;],&quot;referencesOptions&quot;:{&quot;doc:6a7cb12c0670c4089b236a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0264459,&quot;citationText&quot;:&quot;&lt;span style=\&quot;font-family:Calibri;font-size:18.666666666666664px;color:#000000\&quot;&gt;[6]&lt;/span&gt;&quot;},&quot;1221093647&quot;:{&quot;referencesIds&quot;:[&quot;doc:6a7caf91cf042f25e9d28c51&quot;],&quot;referencesOptions&quot;:{&quot;doc:6a7caf91cf042f25e9d28c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1093647,&quot;citationText&quot;:&quot;&lt;span style=\&quot;font-family:Calibri;font-size:18.666666666666664px;color:#000000\&quot;&gt;[2]&lt;/span&gt;&quot;},&quot;1354682738&quot;:{&quot;referencesIds&quot;:[&quot;doc:6a7cb096caf3a52ff916cf94&quot;],&quot;referencesOptions&quot;:{&quot;doc:6a7cb096caf3a52ff916cf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4682738,&quot;citationText&quot;:&quot;&lt;span style=\&quot;font-family:Calibri;font-size:18.666666666666664px;color:#000000\&quot;&gt;[5]&lt;/span&gt;&quot;},&quot;2127345775&quot;:{&quot;referencesIds&quot;:[&quot;doc:6a7cb07e04111770dc927bac&quot;],&quot;referencesOptions&quot;:{&quot;doc:6a7cb07e04111770dc927b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345775,&quot;citationText&quot;:&quot;&lt;span style=\&quot;font-family:Calibri;font-size:18.666666666666664px;color:#000000\&quot;&gt;[4]&lt;/span&gt;&quot;},&quot;-1510518312&quot;:{&quot;referencesIds&quot;:[&quot;doc:6a7caf544f126f734de275aa&quot;],&quot;referencesOptions&quot;:{&quot;doc:6a7caf544f126f734de275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0518312,&quot;citationText&quot;:&quot;&lt;span style=\&quot;font-family:Calibri;font-size:18.666666666666664px;color:#000000\&quot;&gt;[1]&lt;/span&gt;&quot;},&quot;-863595050&quot;:{&quot;referencesIds&quot;:[&quot;doc:6a7cb02204111770dc927ba9&quot;],&quot;referencesOptions&quot;:{&quot;doc:6a7cb02204111770dc927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595050,&quot;citationText&quot;:&quot;&lt;span style=\&quot;font-family:Calibri;font-size:18.666666666666664px;color:#000000\&quot;&gt;[3]&lt;/span&gt;&quot;},&quot;-1287570859&quot;:{&quot;referencesIds&quot;:[&quot;doc:6a7cb14bd52a4551f0139a2a&quot;],&quot;referencesOptions&quot;:{&quot;doc:6a7cb14bd52a4551f0139a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7570859,&quot;citationText&quot;:&quot;&lt;span style=\&quot;font-family:Calibri;font-size:18.666666666666664px;color:#000000\&quot;&gt;[7]&lt;/span&gt;&quot;},&quot;-540980145&quot;:{&quot;referencesIds&quot;:[&quot;doc:6a7cb1be9952de4988bb75f9&quot;],&quot;referencesOptions&quot;:{&quot;doc:6a7cb1be9952de4988bb75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980145,&quot;citationText&quot;:&quot;&lt;span style=\&quot;font-family:Calibri;font-size:18.666666666666664px;color:#000000\&quot;&gt;[9]&lt;/span&gt;&quot;}}"/>
    <we:property name="currentFolder" value="{&quot;id&quot;:&quot;project:6a7caea11ae7e316c9c83d4c&quot;,&quot;userId&quot;:&quot;user:68ff85d31133dc61f344d6a2&quot;,&quot;projectId&quot;:&quot;ap:68ff85d31133dc61f344d6a3&quot;,&quot;name&quot;:&quot;CSE final&quot;,&quot;created&quot;:1786556065606,&quot;lastModified&quot;:1786556065606,&quot;position&quot;:13,&quot;isShared&quot;:false,&quot;isExampleCollection&quot;:false,&quot;isMyPublicationsCollection&quot;:false,&quot;notInFolder&quot;:false,&quot;isFavorite&quot;:tru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58191C9-8CF0-4B1D-8A9C-2EC526EE5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9</Pages>
  <Words>2827</Words>
  <Characters>16117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Alaamri (2516572)</dc:creator>
  <cp:keywords/>
  <dc:description/>
  <cp:lastModifiedBy>Mohamed Alaamri (2516572)</cp:lastModifiedBy>
  <cp:revision>20</cp:revision>
  <dcterms:created xsi:type="dcterms:W3CDTF">2026-07-16T00:31:00Z</dcterms:created>
  <dcterms:modified xsi:type="dcterms:W3CDTF">2026-08-12T18:09:00Z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0cdd1c03-0c01-453f-82c3-91baf558c03c</vt:lpwstr>
  </property>
</Properties>
</file>