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C34A19" wp14:paraId="3E2E71B3" wp14:textId="7972A43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Name: Saba </w:t>
      </w:r>
      <w:r w:rsidRPr="10C34A19" w:rsidR="330CE5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nsar </w:t>
      </w:r>
    </w:p>
    <w:p xmlns:wp14="http://schemas.microsoft.com/office/word/2010/wordml" w:rsidP="10C34A19" wp14:paraId="5CD52778" wp14:textId="138B44A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code: BMHP5016</w:t>
      </w:r>
    </w:p>
    <w:p xmlns:wp14="http://schemas.microsoft.com/office/word/2010/wordml" w:rsidP="10C34A19" wp14:paraId="2DDA7905" wp14:textId="2B7141FA">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Assignment title: </w:t>
      </w: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component</w:t>
      </w: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 reflective report </w:t>
      </w:r>
    </w:p>
    <w:p xmlns:wp14="http://schemas.microsoft.com/office/word/2010/wordml" w:rsidP="10C34A19" wp14:paraId="5E5787A5" wp14:textId="37FF7CB6">
      <w:pPr>
        <w:pStyle w:val="Normal"/>
        <w:spacing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C3DE1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Lecturer Name:</w:t>
      </w:r>
      <w:r w:rsidRPr="10C34A19" w:rsidR="675E5F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Aishat Bakre</w:t>
      </w:r>
    </w:p>
    <w:p w:rsidR="10C34A19" w:rsidP="10C34A19" w:rsidRDefault="10C34A19" w14:paraId="7AF7994E" w14:textId="7D4CA45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DE83137" w14:textId="337ED1E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63C974E1" w14:textId="0EEAF9D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2B54906C" w14:textId="29593BF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4A5D061C" w14:textId="7DB2A06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354DD685" w14:textId="4EFCFBE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6CC64B54" w14:textId="47B4EB0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DEF73CD" w14:textId="7CC2DC4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214F47D0" w14:textId="10BEFC3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0079D85B" w14:textId="2CEE8A5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6FF062C0" w14:textId="044A591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0281D2E0" w14:textId="1958BA6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2C67BA01" w14:textId="5F29ECC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27F343D0" w14:textId="47F7098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751DD9D" w14:textId="2E2BDE3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074ED3E8" w14:textId="6B89CB3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314DA64C" w14:textId="126B01B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2374BD4" w14:textId="5C975D9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78BC1F59" w14:textId="3644B79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297050AA" w14:textId="4AAB5E0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dt>
      <w:sdtPr>
        <w:id w:val="78903365"/>
        <w:docPartObj>
          <w:docPartGallery w:val="Table of Contents"/>
          <w:docPartUnique/>
        </w:docPartObj>
      </w:sdtPr>
      <w:sdtContent>
        <w:p w:rsidR="10C34A19" w:rsidP="10C34A19" w:rsidRDefault="10C34A19" w14:paraId="37AE3527" w14:textId="0D05557B">
          <w:pPr>
            <w:pStyle w:val="TOC2"/>
            <w:tabs>
              <w:tab w:val="right" w:leader="dot" w:pos="9015"/>
            </w:tabs>
            <w:bidi w:val="0"/>
            <w:rPr>
              <w:rStyle w:val="Hyperlink"/>
            </w:rPr>
          </w:pPr>
          <w:r>
            <w:fldChar w:fldCharType="begin"/>
          </w:r>
          <w:r>
            <w:instrText xml:space="preserve">TOC \o \z \u \h</w:instrText>
          </w:r>
          <w:r>
            <w:fldChar w:fldCharType="separate"/>
          </w:r>
          <w:hyperlink w:anchor="_Toc1376376414">
            <w:r w:rsidRPr="10C34A19" w:rsidR="10C34A19">
              <w:rPr>
                <w:rStyle w:val="Hyperlink"/>
              </w:rPr>
              <w:t>Introduction</w:t>
            </w:r>
            <w:r>
              <w:tab/>
            </w:r>
            <w:r>
              <w:fldChar w:fldCharType="begin"/>
            </w:r>
            <w:r>
              <w:instrText xml:space="preserve">PAGEREF _Toc1376376414 \h</w:instrText>
            </w:r>
            <w:r>
              <w:fldChar w:fldCharType="separate"/>
            </w:r>
            <w:r w:rsidRPr="10C34A19" w:rsidR="10C34A19">
              <w:rPr>
                <w:rStyle w:val="Hyperlink"/>
              </w:rPr>
              <w:t>2</w:t>
            </w:r>
            <w:r>
              <w:fldChar w:fldCharType="end"/>
            </w:r>
          </w:hyperlink>
        </w:p>
        <w:p w:rsidR="10C34A19" w:rsidP="10C34A19" w:rsidRDefault="10C34A19" w14:paraId="7C4779E6" w14:textId="3415495D">
          <w:pPr>
            <w:pStyle w:val="TOC2"/>
            <w:tabs>
              <w:tab w:val="right" w:leader="dot" w:pos="9015"/>
            </w:tabs>
            <w:bidi w:val="0"/>
            <w:rPr>
              <w:rStyle w:val="Hyperlink"/>
            </w:rPr>
          </w:pPr>
          <w:hyperlink w:anchor="_Toc1870891896">
            <w:r w:rsidRPr="10C34A19" w:rsidR="10C34A19">
              <w:rPr>
                <w:rStyle w:val="Hyperlink"/>
              </w:rPr>
              <w:t>Task 1: Reflection on the Importance of Principles in Health and Social Care</w:t>
            </w:r>
            <w:r>
              <w:tab/>
            </w:r>
            <w:r>
              <w:fldChar w:fldCharType="begin"/>
            </w:r>
            <w:r>
              <w:instrText xml:space="preserve">PAGEREF _Toc1870891896 \h</w:instrText>
            </w:r>
            <w:r>
              <w:fldChar w:fldCharType="separate"/>
            </w:r>
            <w:r w:rsidRPr="10C34A19" w:rsidR="10C34A19">
              <w:rPr>
                <w:rStyle w:val="Hyperlink"/>
              </w:rPr>
              <w:t>3</w:t>
            </w:r>
            <w:r>
              <w:fldChar w:fldCharType="end"/>
            </w:r>
          </w:hyperlink>
        </w:p>
        <w:p w:rsidR="10C34A19" w:rsidP="10C34A19" w:rsidRDefault="10C34A19" w14:paraId="3EC62FC4" w14:textId="00D0D573">
          <w:pPr>
            <w:pStyle w:val="TOC2"/>
            <w:tabs>
              <w:tab w:val="right" w:leader="dot" w:pos="9015"/>
            </w:tabs>
            <w:bidi w:val="0"/>
            <w:rPr>
              <w:rStyle w:val="Hyperlink"/>
            </w:rPr>
          </w:pPr>
          <w:hyperlink w:anchor="_Toc1322185423">
            <w:r w:rsidRPr="10C34A19" w:rsidR="10C34A19">
              <w:rPr>
                <w:rStyle w:val="Hyperlink"/>
              </w:rPr>
              <w:t>Task 2: Practical Example in Practice – Robyn’s Story</w:t>
            </w:r>
            <w:r>
              <w:tab/>
            </w:r>
            <w:r>
              <w:fldChar w:fldCharType="begin"/>
            </w:r>
            <w:r>
              <w:instrText xml:space="preserve">PAGEREF _Toc1322185423 \h</w:instrText>
            </w:r>
            <w:r>
              <w:fldChar w:fldCharType="separate"/>
            </w:r>
            <w:r w:rsidRPr="10C34A19" w:rsidR="10C34A19">
              <w:rPr>
                <w:rStyle w:val="Hyperlink"/>
              </w:rPr>
              <w:t>5</w:t>
            </w:r>
            <w:r>
              <w:fldChar w:fldCharType="end"/>
            </w:r>
          </w:hyperlink>
        </w:p>
        <w:p w:rsidR="10C34A19" w:rsidP="10C34A19" w:rsidRDefault="10C34A19" w14:paraId="70AB618D" w14:textId="50466D81">
          <w:pPr>
            <w:pStyle w:val="TOC1"/>
            <w:tabs>
              <w:tab w:val="right" w:leader="dot" w:pos="9015"/>
            </w:tabs>
            <w:bidi w:val="0"/>
            <w:rPr>
              <w:rStyle w:val="Hyperlink"/>
            </w:rPr>
          </w:pPr>
          <w:hyperlink w:anchor="_Toc729938768">
            <w:r w:rsidRPr="10C34A19" w:rsidR="10C34A19">
              <w:rPr>
                <w:rStyle w:val="Hyperlink"/>
              </w:rPr>
              <w:t>Task 3: Self-Reflection Using Gibbs’ Reflective Cycle</w:t>
            </w:r>
            <w:r>
              <w:tab/>
            </w:r>
            <w:r>
              <w:fldChar w:fldCharType="begin"/>
            </w:r>
            <w:r>
              <w:instrText xml:space="preserve">PAGEREF _Toc729938768 \h</w:instrText>
            </w:r>
            <w:r>
              <w:fldChar w:fldCharType="separate"/>
            </w:r>
            <w:r w:rsidRPr="10C34A19" w:rsidR="10C34A19">
              <w:rPr>
                <w:rStyle w:val="Hyperlink"/>
              </w:rPr>
              <w:t>6</w:t>
            </w:r>
            <w:r>
              <w:fldChar w:fldCharType="end"/>
            </w:r>
          </w:hyperlink>
        </w:p>
        <w:p w:rsidR="10C34A19" w:rsidP="10C34A19" w:rsidRDefault="10C34A19" w14:paraId="3FA183B2" w14:textId="40013081">
          <w:pPr>
            <w:pStyle w:val="TOC3"/>
            <w:tabs>
              <w:tab w:val="right" w:leader="dot" w:pos="9015"/>
            </w:tabs>
            <w:bidi w:val="0"/>
            <w:rPr>
              <w:rStyle w:val="Hyperlink"/>
            </w:rPr>
          </w:pPr>
          <w:hyperlink w:anchor="_Toc394960681">
            <w:r w:rsidRPr="10C34A19" w:rsidR="10C34A19">
              <w:rPr>
                <w:rStyle w:val="Hyperlink"/>
              </w:rPr>
              <w:t>Description</w:t>
            </w:r>
            <w:r>
              <w:tab/>
            </w:r>
            <w:r>
              <w:fldChar w:fldCharType="begin"/>
            </w:r>
            <w:r>
              <w:instrText xml:space="preserve">PAGEREF _Toc394960681 \h</w:instrText>
            </w:r>
            <w:r>
              <w:fldChar w:fldCharType="separate"/>
            </w:r>
            <w:r w:rsidRPr="10C34A19" w:rsidR="10C34A19">
              <w:rPr>
                <w:rStyle w:val="Hyperlink"/>
              </w:rPr>
              <w:t>7</w:t>
            </w:r>
            <w:r>
              <w:fldChar w:fldCharType="end"/>
            </w:r>
          </w:hyperlink>
        </w:p>
        <w:p w:rsidR="10C34A19" w:rsidP="10C34A19" w:rsidRDefault="10C34A19" w14:paraId="75331D20" w14:textId="3416311B">
          <w:pPr>
            <w:pStyle w:val="TOC3"/>
            <w:tabs>
              <w:tab w:val="right" w:leader="dot" w:pos="9015"/>
            </w:tabs>
            <w:bidi w:val="0"/>
            <w:rPr>
              <w:rStyle w:val="Hyperlink"/>
            </w:rPr>
          </w:pPr>
          <w:hyperlink w:anchor="_Toc1995370036">
            <w:r w:rsidRPr="10C34A19" w:rsidR="10C34A19">
              <w:rPr>
                <w:rStyle w:val="Hyperlink"/>
              </w:rPr>
              <w:t>Feelings</w:t>
            </w:r>
            <w:r>
              <w:tab/>
            </w:r>
            <w:r>
              <w:fldChar w:fldCharType="begin"/>
            </w:r>
            <w:r>
              <w:instrText xml:space="preserve">PAGEREF _Toc1995370036 \h</w:instrText>
            </w:r>
            <w:r>
              <w:fldChar w:fldCharType="separate"/>
            </w:r>
            <w:r w:rsidRPr="10C34A19" w:rsidR="10C34A19">
              <w:rPr>
                <w:rStyle w:val="Hyperlink"/>
              </w:rPr>
              <w:t>7</w:t>
            </w:r>
            <w:r>
              <w:fldChar w:fldCharType="end"/>
            </w:r>
          </w:hyperlink>
        </w:p>
        <w:p w:rsidR="10C34A19" w:rsidP="10C34A19" w:rsidRDefault="10C34A19" w14:paraId="4970AA12" w14:textId="472CC0B5">
          <w:pPr>
            <w:pStyle w:val="TOC3"/>
            <w:tabs>
              <w:tab w:val="right" w:leader="dot" w:pos="9015"/>
            </w:tabs>
            <w:bidi w:val="0"/>
            <w:rPr>
              <w:rStyle w:val="Hyperlink"/>
            </w:rPr>
          </w:pPr>
          <w:hyperlink w:anchor="_Toc1915796352">
            <w:r w:rsidRPr="10C34A19" w:rsidR="10C34A19">
              <w:rPr>
                <w:rStyle w:val="Hyperlink"/>
              </w:rPr>
              <w:t>Evaluation</w:t>
            </w:r>
            <w:r>
              <w:tab/>
            </w:r>
            <w:r>
              <w:fldChar w:fldCharType="begin"/>
            </w:r>
            <w:r>
              <w:instrText xml:space="preserve">PAGEREF _Toc1915796352 \h</w:instrText>
            </w:r>
            <w:r>
              <w:fldChar w:fldCharType="separate"/>
            </w:r>
            <w:r w:rsidRPr="10C34A19" w:rsidR="10C34A19">
              <w:rPr>
                <w:rStyle w:val="Hyperlink"/>
              </w:rPr>
              <w:t>7</w:t>
            </w:r>
            <w:r>
              <w:fldChar w:fldCharType="end"/>
            </w:r>
          </w:hyperlink>
        </w:p>
        <w:p w:rsidR="10C34A19" w:rsidP="10C34A19" w:rsidRDefault="10C34A19" w14:paraId="75E6FD78" w14:textId="03309120">
          <w:pPr>
            <w:pStyle w:val="TOC3"/>
            <w:tabs>
              <w:tab w:val="right" w:leader="dot" w:pos="9015"/>
            </w:tabs>
            <w:bidi w:val="0"/>
            <w:rPr>
              <w:rStyle w:val="Hyperlink"/>
            </w:rPr>
          </w:pPr>
          <w:hyperlink w:anchor="_Toc1047966970">
            <w:r w:rsidRPr="10C34A19" w:rsidR="10C34A19">
              <w:rPr>
                <w:rStyle w:val="Hyperlink"/>
              </w:rPr>
              <w:t>Analysis</w:t>
            </w:r>
            <w:r>
              <w:tab/>
            </w:r>
            <w:r>
              <w:fldChar w:fldCharType="begin"/>
            </w:r>
            <w:r>
              <w:instrText xml:space="preserve">PAGEREF _Toc1047966970 \h</w:instrText>
            </w:r>
            <w:r>
              <w:fldChar w:fldCharType="separate"/>
            </w:r>
            <w:r w:rsidRPr="10C34A19" w:rsidR="10C34A19">
              <w:rPr>
                <w:rStyle w:val="Hyperlink"/>
              </w:rPr>
              <w:t>8</w:t>
            </w:r>
            <w:r>
              <w:fldChar w:fldCharType="end"/>
            </w:r>
          </w:hyperlink>
        </w:p>
        <w:p w:rsidR="10C34A19" w:rsidP="10C34A19" w:rsidRDefault="10C34A19" w14:paraId="63DF0DE5" w14:textId="61E79A40">
          <w:pPr>
            <w:pStyle w:val="TOC3"/>
            <w:tabs>
              <w:tab w:val="right" w:leader="dot" w:pos="9015"/>
            </w:tabs>
            <w:bidi w:val="0"/>
            <w:rPr>
              <w:rStyle w:val="Hyperlink"/>
            </w:rPr>
          </w:pPr>
          <w:hyperlink w:anchor="_Toc1908810933">
            <w:r w:rsidRPr="10C34A19" w:rsidR="10C34A19">
              <w:rPr>
                <w:rStyle w:val="Hyperlink"/>
              </w:rPr>
              <w:t>Conclusion</w:t>
            </w:r>
            <w:r>
              <w:tab/>
            </w:r>
            <w:r>
              <w:fldChar w:fldCharType="begin"/>
            </w:r>
            <w:r>
              <w:instrText xml:space="preserve">PAGEREF _Toc1908810933 \h</w:instrText>
            </w:r>
            <w:r>
              <w:fldChar w:fldCharType="separate"/>
            </w:r>
            <w:r w:rsidRPr="10C34A19" w:rsidR="10C34A19">
              <w:rPr>
                <w:rStyle w:val="Hyperlink"/>
              </w:rPr>
              <w:t>8</w:t>
            </w:r>
            <w:r>
              <w:fldChar w:fldCharType="end"/>
            </w:r>
          </w:hyperlink>
        </w:p>
        <w:p w:rsidR="10C34A19" w:rsidP="10C34A19" w:rsidRDefault="10C34A19" w14:paraId="6CB9C967" w14:textId="17C52A8A">
          <w:pPr>
            <w:pStyle w:val="TOC3"/>
            <w:tabs>
              <w:tab w:val="right" w:leader="dot" w:pos="9015"/>
            </w:tabs>
            <w:bidi w:val="0"/>
            <w:rPr>
              <w:rStyle w:val="Hyperlink"/>
            </w:rPr>
          </w:pPr>
          <w:hyperlink w:anchor="_Toc1851775232">
            <w:r w:rsidRPr="10C34A19" w:rsidR="10C34A19">
              <w:rPr>
                <w:rStyle w:val="Hyperlink"/>
              </w:rPr>
              <w:t>Action Plan</w:t>
            </w:r>
            <w:r>
              <w:tab/>
            </w:r>
            <w:r>
              <w:fldChar w:fldCharType="begin"/>
            </w:r>
            <w:r>
              <w:instrText xml:space="preserve">PAGEREF _Toc1851775232 \h</w:instrText>
            </w:r>
            <w:r>
              <w:fldChar w:fldCharType="separate"/>
            </w:r>
            <w:r w:rsidRPr="10C34A19" w:rsidR="10C34A19">
              <w:rPr>
                <w:rStyle w:val="Hyperlink"/>
              </w:rPr>
              <w:t>8</w:t>
            </w:r>
            <w:r>
              <w:fldChar w:fldCharType="end"/>
            </w:r>
          </w:hyperlink>
        </w:p>
        <w:p w:rsidR="10C34A19" w:rsidP="10C34A19" w:rsidRDefault="10C34A19" w14:paraId="4D4B4490" w14:textId="49199302">
          <w:pPr>
            <w:pStyle w:val="TOC2"/>
            <w:tabs>
              <w:tab w:val="right" w:leader="dot" w:pos="9015"/>
            </w:tabs>
            <w:bidi w:val="0"/>
            <w:rPr>
              <w:rStyle w:val="Hyperlink"/>
            </w:rPr>
          </w:pPr>
          <w:hyperlink w:anchor="_Toc26990035">
            <w:r w:rsidRPr="10C34A19" w:rsidR="10C34A19">
              <w:rPr>
                <w:rStyle w:val="Hyperlink"/>
              </w:rPr>
              <w:t>Conclusion</w:t>
            </w:r>
            <w:r>
              <w:tab/>
            </w:r>
            <w:r>
              <w:fldChar w:fldCharType="begin"/>
            </w:r>
            <w:r>
              <w:instrText xml:space="preserve">PAGEREF _Toc26990035 \h</w:instrText>
            </w:r>
            <w:r>
              <w:fldChar w:fldCharType="separate"/>
            </w:r>
            <w:r w:rsidRPr="10C34A19" w:rsidR="10C34A19">
              <w:rPr>
                <w:rStyle w:val="Hyperlink"/>
              </w:rPr>
              <w:t>9</w:t>
            </w:r>
            <w:r>
              <w:fldChar w:fldCharType="end"/>
            </w:r>
          </w:hyperlink>
        </w:p>
        <w:p w:rsidR="10C34A19" w:rsidP="10C34A19" w:rsidRDefault="10C34A19" w14:paraId="358EA856" w14:textId="042D5BFD">
          <w:pPr>
            <w:pStyle w:val="TOC1"/>
            <w:tabs>
              <w:tab w:val="right" w:leader="dot" w:pos="9015"/>
            </w:tabs>
            <w:bidi w:val="0"/>
            <w:rPr>
              <w:rStyle w:val="Hyperlink"/>
            </w:rPr>
          </w:pPr>
          <w:hyperlink w:anchor="_Toc887019335">
            <w:r w:rsidRPr="10C34A19" w:rsidR="10C34A19">
              <w:rPr>
                <w:rStyle w:val="Hyperlink"/>
              </w:rPr>
              <w:t>Reference List:</w:t>
            </w:r>
            <w:r>
              <w:tab/>
            </w:r>
            <w:r>
              <w:fldChar w:fldCharType="begin"/>
            </w:r>
            <w:r>
              <w:instrText xml:space="preserve">PAGEREF _Toc887019335 \h</w:instrText>
            </w:r>
            <w:r>
              <w:fldChar w:fldCharType="separate"/>
            </w:r>
            <w:r w:rsidRPr="10C34A19" w:rsidR="10C34A19">
              <w:rPr>
                <w:rStyle w:val="Hyperlink"/>
              </w:rPr>
              <w:t>10</w:t>
            </w:r>
            <w:r>
              <w:fldChar w:fldCharType="end"/>
            </w:r>
          </w:hyperlink>
          <w:r>
            <w:fldChar w:fldCharType="end"/>
          </w:r>
        </w:p>
      </w:sdtContent>
    </w:sdt>
    <w:p w:rsidR="10C34A19" w:rsidP="10C34A19" w:rsidRDefault="10C34A19" w14:paraId="47DF7F95" w14:textId="05A561E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A3EF0B9" w14:textId="783F8E3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4EC4DCA7" w14:textId="2B38108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D0CCE8E" w14:textId="1F2DB76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001119DE" w14:textId="31C6D06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38D0790F" w14:textId="377E745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3C23DD06" w14:textId="53BB87C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520D2B17" w14:textId="2309A5D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0914C173" w14:textId="177080F0">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504BBB62" w14:textId="13936FE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71D2A271" w14:textId="7B709F6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8DAE887" w14:textId="753FCF3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7F28CE9A" w14:textId="59D14D2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ABCFF9A" w14:textId="699BF31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19FBF628" w14:textId="5510A5F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C34A19" w:rsidP="10C34A19" w:rsidRDefault="10C34A19" w14:paraId="2699EBE8" w14:textId="2AD302D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12C47DE" w:rsidP="10C34A19" w:rsidRDefault="112C47DE" w14:paraId="01ACB327" w14:textId="47ADCE13">
      <w:pPr>
        <w:pStyle w:val="Heading2"/>
        <w:spacing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376376414" w:id="2102302029"/>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Introduction</w:t>
      </w:r>
      <w:bookmarkEnd w:id="2102302029"/>
    </w:p>
    <w:p w:rsidR="112C47DE" w:rsidP="10C34A19" w:rsidRDefault="112C47DE" w14:paraId="1C57C64D" w14:textId="53D5800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Health and social care practice is guided by principles that ensure individuals receive high-quality, safe, and compassionate care. These principles help professionals deliver services that respect the dignity, values, and prefere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nces of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service users while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maintaining</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professional standards</w:t>
      </w:r>
      <w:r w:rsidRPr="10C34A19" w:rsidR="76B17F91">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(Bassul </w:t>
      </w:r>
      <w:r w:rsidRPr="10C34A19" w:rsidR="76B17F91">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et al</w:t>
      </w:r>
      <w:r w:rsidRPr="10C34A19" w:rsidR="76B17F91">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GB"/>
        </w:rPr>
        <w:t>.,</w:t>
      </w:r>
      <w:r w:rsidRPr="10C34A19" w:rsidR="76B17F91">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 xml:space="preserve"> 2025).</w:t>
      </w:r>
      <w:r w:rsidRPr="10C34A19" w:rsidR="76B17F91">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Among the most important principles in health and social care are person-centred care, partnership working, and ethical practice. These principles aim to ensure that individuals are actively involved in decisions about their care, that professionals collaborate effectively, and that care is delivered in a fair and respectful manner</w:t>
      </w:r>
      <w:r w:rsidRPr="10C34A19" w:rsidR="7DFCD6A2">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7DFCD6A2">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(Gyllensten </w:t>
      </w:r>
      <w:r w:rsidRPr="10C34A19" w:rsidR="7DFCD6A2">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GB"/>
        </w:rPr>
        <w:t>et al</w:t>
      </w:r>
      <w:r w:rsidRPr="10C34A19" w:rsidR="7DFCD6A2">
        <w:rPr>
          <w:rFonts w:ascii="Arial" w:hAnsi="Arial" w:eastAsia="Arial" w:cs="Arial" w:asciiTheme="minorAscii" w:hAnsiTheme="minorAscii" w:eastAsiaTheme="minorAscii" w:cstheme="minorAscii"/>
          <w:i w:val="0"/>
          <w:iCs w:val="0"/>
          <w:noProof w:val="0"/>
          <w:color w:val="000000" w:themeColor="text1" w:themeTint="FF" w:themeShade="FF"/>
          <w:sz w:val="24"/>
          <w:szCs w:val="24"/>
          <w:lang w:val="en-GB"/>
        </w:rPr>
        <w:t>., 2025)</w:t>
      </w:r>
      <w:r w:rsidRPr="10C34A19" w:rsidR="423339C0">
        <w:rPr>
          <w:rFonts w:ascii="Arial" w:hAnsi="Arial" w:eastAsia="Arial" w:cs="Arial" w:asciiTheme="minorAscii" w:hAnsiTheme="minorAscii" w:eastAsiaTheme="minorAscii" w:cstheme="minorAscii"/>
          <w:i w:val="0"/>
          <w:iCs w:val="0"/>
          <w:noProof w:val="0"/>
          <w:color w:val="000000" w:themeColor="text1" w:themeTint="FF" w:themeShade="FF"/>
          <w:sz w:val="24"/>
          <w:szCs w:val="24"/>
          <w:lang w:val="en-GB"/>
        </w:rPr>
        <w:t>.</w:t>
      </w:r>
    </w:p>
    <w:p w:rsidR="112C47DE" w:rsidP="10C34A19" w:rsidRDefault="112C47DE" w14:paraId="18B95628" w14:textId="171C717C">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The purpose of this report is to explore the importance of these principles in health and social care practice. The report will examine how person-centred care, partnership working, and ethical practice contribute to improving outcomes for service users and professionals. The discussion will also consider how these principles align with theories and policies relevant to the UK health and social care system. A real-life case study from </w:t>
      </w:r>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NHS England</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known as Robyn’s Story, will be used to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demonstrate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how these principles can be applied in practice. Finally, the report will include a personal reflection using </w:t>
      </w:r>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Gibbs' Reflective Cycle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to evaluate my own strengths, weaknesses, and plans for future professional development.</w:t>
      </w:r>
    </w:p>
    <w:p w:rsidR="10C34A19" w:rsidP="10C34A19" w:rsidRDefault="10C34A19" w14:paraId="35E0432C" w14:textId="18FEE715">
      <w:pPr>
        <w:spacing w:line="360" w:lineRule="auto"/>
        <w:rPr>
          <w:rFonts w:ascii="Arial" w:hAnsi="Arial" w:eastAsia="Arial" w:cs="Arial" w:asciiTheme="minorAscii" w:hAnsiTheme="minorAscii" w:eastAsiaTheme="minorAscii" w:cstheme="minorAscii"/>
          <w:color w:val="000000" w:themeColor="text1" w:themeTint="FF" w:themeShade="FF"/>
          <w:sz w:val="24"/>
          <w:szCs w:val="24"/>
        </w:rPr>
      </w:pPr>
    </w:p>
    <w:p w:rsidR="76D02EAB" w:rsidP="10C34A19" w:rsidRDefault="76D02EAB" w14:paraId="79B122BD" w14:textId="757DF2BD">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870891896" w:id="1455070965"/>
      <w:r w:rsidRPr="10C34A19" w:rsidR="76D02EAB">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Task 1: Reflection on the Importance of Principles in Health and Social Care</w:t>
      </w:r>
      <w:bookmarkEnd w:id="1455070965"/>
    </w:p>
    <w:p w:rsidR="76D02EAB" w:rsidP="10C34A19" w:rsidRDefault="76D02EAB" w14:paraId="11B7CD0F" w14:textId="64ED7A7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Person-centred care is widely regarded as a central principle in health and social care. This approach emphasises recognising </w:t>
      </w:r>
      <w:r w:rsidRPr="10C34A19" w:rsidR="657EDAE3">
        <w:rPr>
          <w:rFonts w:ascii="Arial" w:hAnsi="Arial" w:eastAsia="Arial" w:cs="Arial" w:asciiTheme="minorAscii" w:hAnsiTheme="minorAscii" w:eastAsiaTheme="minorAscii" w:cstheme="minorAscii"/>
          <w:noProof w:val="0"/>
          <w:color w:val="000000" w:themeColor="text1" w:themeTint="FF" w:themeShade="FF"/>
          <w:sz w:val="24"/>
          <w:szCs w:val="24"/>
          <w:lang w:val="en-GB"/>
        </w:rPr>
        <w:t>everyone</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as unique, with their own values, preferences, and life experiences, rather than focusing solely on their medical or physical needs</w:t>
      </w:r>
      <w:r w:rsidRPr="10C34A19" w:rsidR="7AC8B796">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7AC8B796">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(Švab and </w:t>
      </w:r>
      <w:r w:rsidRPr="10C34A19" w:rsidR="7AC8B796">
        <w:rPr>
          <w:rFonts w:ascii="Arial" w:hAnsi="Arial" w:eastAsia="Arial" w:cs="Arial" w:asciiTheme="minorAscii" w:hAnsiTheme="minorAscii" w:eastAsiaTheme="minorAscii" w:cstheme="minorAscii"/>
          <w:noProof w:val="0"/>
          <w:color w:val="000000" w:themeColor="text1" w:themeTint="FF" w:themeShade="FF"/>
          <w:sz w:val="24"/>
          <w:szCs w:val="24"/>
          <w:lang w:val="en-GB"/>
        </w:rPr>
        <w:t>Cerovečki</w:t>
      </w:r>
      <w:r w:rsidRPr="10C34A19" w:rsidR="7AC8B796">
        <w:rPr>
          <w:rFonts w:ascii="Arial" w:hAnsi="Arial" w:eastAsia="Arial" w:cs="Arial" w:asciiTheme="minorAscii" w:hAnsiTheme="minorAscii" w:eastAsiaTheme="minorAscii" w:cstheme="minorAscii"/>
          <w:noProof w:val="0"/>
          <w:color w:val="000000" w:themeColor="text1" w:themeTint="FF" w:themeShade="FF"/>
          <w:sz w:val="24"/>
          <w:szCs w:val="24"/>
          <w:lang w:val="en-GB"/>
        </w:rPr>
        <w:t>, 2024).</w:t>
      </w:r>
      <w:r w:rsidRPr="10C34A19" w:rsidR="7AC8B796">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According to the </w:t>
      </w:r>
      <w:r w:rsidRPr="10C34A19" w:rsidR="76D02EAB">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Care Quality Commission</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person-centred care involves actively involving individuals in decisions about their treatment and support, ensuring that services are tailored to their specific circumstances (CQC, 2024). By adopting this approach, service users feel respected, valued, and empowered to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participate</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in their own care.</w:t>
      </w:r>
    </w:p>
    <w:p w:rsidR="76D02EAB" w:rsidP="10C34A19" w:rsidRDefault="76D02EAB" w14:paraId="132F9E2E" w14:textId="7ECF6A56">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 key benefit of person-centred care is its ability to improve both patient satisfaction and overall health outcomes. Individuals engaged in the planning and delivery of their care are more likely to adhere to treatment plans and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maintain</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a positive relationship with healthcare providers. The </w:t>
      </w:r>
      <w:r w:rsidRPr="10C34A19" w:rsidR="76D02EAB">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National Institute for Health and Care Excellence</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highlights that care should reflect the personal goals and priorities of service users rather than standardised protocols (NICE, 2015). Person-centred care also strengthens communication and trust between professionals and service users, enhancing engagement and wellbeing.</w:t>
      </w:r>
    </w:p>
    <w:p w:rsidR="76D02EAB" w:rsidP="10C34A19" w:rsidRDefault="76D02EAB" w14:paraId="4E3D86ED" w14:textId="551FF74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Partnership working is another essential principle. It involves collaboration between professionals, organisations, service users, and their families to ensure coordinated care. Multidisciplinary teams, including doctors, nurses, social workers, therapists, and support staff, work together to address all aspects of care. By sharing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expertise</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and responsibilities, professionals can provide more holistic support to individuals with complex needs</w:t>
      </w:r>
      <w:r w:rsidRPr="10C34A19" w:rsidR="62AC6EF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62AC6EF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(Gobat </w:t>
      </w:r>
      <w:r w:rsidRPr="10C34A19" w:rsidR="62AC6EFB">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GB"/>
        </w:rPr>
        <w:t>et al</w:t>
      </w:r>
      <w:r w:rsidRPr="10C34A19" w:rsidR="62AC6EFB">
        <w:rPr>
          <w:rFonts w:ascii="Arial" w:hAnsi="Arial" w:eastAsia="Arial" w:cs="Arial" w:asciiTheme="minorAscii" w:hAnsiTheme="minorAscii" w:eastAsiaTheme="minorAscii" w:cstheme="minorAscii"/>
          <w:noProof w:val="0"/>
          <w:color w:val="000000" w:themeColor="text1" w:themeTint="FF" w:themeShade="FF"/>
          <w:sz w:val="24"/>
          <w:szCs w:val="24"/>
          <w:lang w:val="en-GB"/>
        </w:rPr>
        <w:t>., 2025).</w:t>
      </w:r>
    </w:p>
    <w:p w:rsidR="76D02EAB" w:rsidP="10C34A19" w:rsidRDefault="76D02EAB" w14:paraId="60838B70" w14:textId="072C8FC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Legislation such as the </w:t>
      </w:r>
      <w:r w:rsidRPr="10C34A19" w:rsidR="76D02EAB">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Care Act 2014</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reinforces the importance of partnership working, promoting cooperation between health and social care providers. Integrated working reduces service duplication, minimises miscommunication, and ensures continuity of care. Effective collaboration enables professionals to deliver consistent, high-quality support to service users</w:t>
      </w:r>
      <w:r w:rsidRPr="10C34A19" w:rsidR="5E32CE77">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5E32CE77">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(Nyatuka </w:t>
      </w:r>
      <w:r w:rsidRPr="10C34A19" w:rsidR="5E32CE77">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GB"/>
        </w:rPr>
        <w:t>et al.</w:t>
      </w:r>
      <w:r w:rsidRPr="10C34A19" w:rsidR="5E32CE77">
        <w:rPr>
          <w:rFonts w:ascii="Arial" w:hAnsi="Arial" w:eastAsia="Arial" w:cs="Arial" w:asciiTheme="minorAscii" w:hAnsiTheme="minorAscii" w:eastAsiaTheme="minorAscii" w:cstheme="minorAscii"/>
          <w:noProof w:val="0"/>
          <w:color w:val="000000" w:themeColor="text1" w:themeTint="FF" w:themeShade="FF"/>
          <w:sz w:val="24"/>
          <w:szCs w:val="24"/>
          <w:lang w:val="en-GB"/>
        </w:rPr>
        <w:t>, 2026).</w:t>
      </w:r>
    </w:p>
    <w:p w:rsidR="76D02EAB" w:rsidP="10C34A19" w:rsidRDefault="76D02EAB" w14:paraId="6C1E6C0B" w14:textId="153825A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Ethical practice is equally fundamental. Ethical decision-making requires professionals to respect the dignity, rights, and wellbeing of individuals</w:t>
      </w:r>
      <w:r w:rsidRPr="10C34A19" w:rsidR="3ADC7580">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3ADC7580">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(Kerr </w:t>
      </w:r>
      <w:r w:rsidRPr="10C34A19" w:rsidR="3ADC7580">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GB"/>
        </w:rPr>
        <w:t>et al.</w:t>
      </w:r>
      <w:r w:rsidRPr="10C34A19" w:rsidR="3ADC7580">
        <w:rPr>
          <w:rFonts w:ascii="Arial" w:hAnsi="Arial" w:eastAsia="Arial" w:cs="Arial" w:asciiTheme="minorAscii" w:hAnsiTheme="minorAscii" w:eastAsiaTheme="minorAscii" w:cstheme="minorAscii"/>
          <w:noProof w:val="0"/>
          <w:color w:val="000000" w:themeColor="text1" w:themeTint="FF" w:themeShade="FF"/>
          <w:sz w:val="24"/>
          <w:szCs w:val="24"/>
          <w:lang w:val="en-GB"/>
        </w:rPr>
        <w:t>, 2026)</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Core principles include autonomy, beneficence, non-maleficence, and justice. Autonomy involves respecting an individual’s rig</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ht to mak</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e choices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regarding</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their care, beneficence refers to acting in their best interests, non-maleficence focuses on avoiding harm, and justice ensures fairness and equality in healthcare provision (Beauchamp and Childress, 2019). Ethical principles guid</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e profes</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s</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ionals to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main</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tain</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high standards</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of care and promote trust.</w:t>
      </w:r>
    </w:p>
    <w:p w:rsidR="76D02EAB" w:rsidP="10C34A19" w:rsidRDefault="76D02EAB" w14:paraId="62C65121" w14:textId="7B60F578">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Theoretical perspectives, such as </w:t>
      </w:r>
      <w:r w:rsidRPr="10C34A19" w:rsidR="76D02EAB">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Abraham Maslow</w:t>
      </w: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’s hierarchy of needs, support these principles. Maslow highlights that both physical and psychological needs must be met for overall wellbeing. By applying person-centred and ethical approaches, professionals can meet basic health needs while supporting emotional wellbeing, self-esteem, and social belonging.</w:t>
      </w:r>
    </w:p>
    <w:p w:rsidR="76D02EAB" w:rsidP="10C34A19" w:rsidRDefault="76D02EAB" w14:paraId="59F7027F" w14:textId="346F33BE">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6D02EAB">
        <w:rPr>
          <w:rFonts w:ascii="Arial" w:hAnsi="Arial" w:eastAsia="Arial" w:cs="Arial" w:asciiTheme="minorAscii" w:hAnsiTheme="minorAscii" w:eastAsiaTheme="minorAscii" w:cstheme="minorAscii"/>
          <w:noProof w:val="0"/>
          <w:color w:val="000000" w:themeColor="text1" w:themeTint="FF" w:themeShade="FF"/>
          <w:sz w:val="24"/>
          <w:szCs w:val="24"/>
          <w:lang w:val="en-GB"/>
        </w:rPr>
        <w:t>Although these principles are essential, implementing them can be challenging. High workloads, limited resources, and time pressures can restrict the ability to provide fully personalised care. Communication barriers may also hinder partnership working. Nevertheless, when effectively applied, these principles significantly enhance service user experiences, promote positive outcomes, and improve the overall quality of health and social care services.</w:t>
      </w:r>
    </w:p>
    <w:p w:rsidR="746D74AC" w:rsidP="10C34A19" w:rsidRDefault="746D74AC" w14:paraId="4D4E9E25" w14:textId="35FB027E">
      <w:pPr>
        <w:pStyle w:val="Heading2"/>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322185423" w:id="1646362604"/>
      <w:r w:rsidRPr="10C34A19" w:rsidR="746D74AC">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Task 2: Practical Example in Practice – Robyn’s Story</w:t>
      </w:r>
      <w:bookmarkEnd w:id="1646362604"/>
    </w:p>
    <w:p w:rsidR="746D74AC" w:rsidP="10C34A19" w:rsidRDefault="746D74AC" w14:paraId="4E0B1CC9" w14:textId="59B9D9FC">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 real-life example that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demonstrates</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the importance of person-centred care, partnership working, and ethical practice is Robyn’s story published by </w:t>
      </w:r>
      <w:r w:rsidRPr="10C34A19" w:rsidR="746D74AC">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NHS England</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Robyn suffered a spinal injury at the age of twenty-one which resulted in tetraplegia, meaning she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required</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continuous twenty-four-hour support. After leaving hospital, her care was initially arranged through a home care agency funded by continuing healthcare services.</w:t>
      </w:r>
    </w:p>
    <w:p w:rsidR="746D74AC" w:rsidP="10C34A19" w:rsidRDefault="746D74AC" w14:paraId="3BC24895" w14:textId="0BA45B79">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At the beginning, the arrangement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appeared to meet</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her care needs. However, over time significant challenges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emerged</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due to a lack of stability among care staff. The agency experienced difficulties recruiting and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retaining</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carers, which resulted in Robyn receiving support from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a large number of</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different personal assistants. In one year alone, she had thirty-six different carers supporting her. This constant change made it difficult for Robyn to develop trust and familiarity with those providing her care, which negatively affected her independence and sense of stability. Consistency of care is an essential aspect of person-centred practice because building strong relationships between carers and service users helps improve communication and understanding.</w:t>
      </w:r>
    </w:p>
    <w:p w:rsidR="746D74AC" w:rsidP="10C34A19" w:rsidRDefault="746D74AC" w14:paraId="49004E3B" w14:textId="783F77E2">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Another challenge was that some carers were unable to support activities that were important to Robyn’s lifestyle. She had a strong passion for animals and horse riding, but some carers were unable to drive or felt uncomfortable working around animals. As a result, Robyn was unable to take part in activities that were meaningful to her. This highlights how care that does not fully consider an individual’s preferences and interests can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impact</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their wellbeing and quality of life.</w:t>
      </w:r>
    </w:p>
    <w:p w:rsidR="746D74AC" w:rsidP="10C34A19" w:rsidRDefault="746D74AC" w14:paraId="744EE4A0" w14:textId="6FCCD56F">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To improve her situation, Robyn worked with healthcare professionals and social care teams to explore alternative care arrangements. Through discussions and collaboration with professionals, she was offered a personal health budget. A personal health budget allows individuals to have more control over how their healthcare funding is used and enables them to make decisions about the type of care they receive. With this support, Robyn was able to recruit and manage her own personal assistants, allowing her to create a care plan that better reflected her personal needs and lifestyle.</w:t>
      </w:r>
    </w:p>
    <w:p w:rsidR="746D74AC" w:rsidP="10C34A19" w:rsidRDefault="746D74AC" w14:paraId="61A099AA" w14:textId="3B9D32DA">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This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new approach</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clearly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demonstrates</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the principles of person-centred care. By giving Robyn greater choice and control, she was able to select carers who understood her interests and were able to support her daily activities. This helped her regain a sense of independence and improved her overall wellbeing.</w:t>
      </w:r>
    </w:p>
    <w:p w:rsidR="746D74AC" w:rsidP="10C34A19" w:rsidRDefault="746D74AC" w14:paraId="22BD8A71" w14:textId="40F1B7F1">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Partnership working also played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an important role</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in this process. Healthcare professionals, social workers, and support organisations worked together to help Robyn manage her personal health budget and ensure she received the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appropriate support</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This collaborative approach allowed different professionals to contribute their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expertise</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and provide coordinated care.</w:t>
      </w:r>
    </w:p>
    <w:p w:rsidR="746D74AC" w:rsidP="10C34A19" w:rsidRDefault="746D74AC" w14:paraId="0063FA0F" w14:textId="5AD477ED">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Ethical practice was also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evident</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throughout this case. Professionals respected Robyn’s autonomy by supporting her right to make decisions about her own care. According to </w:t>
      </w:r>
      <w:r w:rsidRPr="10C34A19" w:rsidR="746D74AC">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NHS England</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gaining control over her care allowed Robyn to rebuild confidence and improve her quality of life.</w:t>
      </w:r>
    </w:p>
    <w:p w:rsidR="746D74AC" w:rsidP="10C34A19" w:rsidRDefault="746D74AC" w14:paraId="7AD17557" w14:textId="256A0E14">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Although the process of implementing the personal health budget took around eighteen months and involved some challenges, the </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final outcome</w:t>
      </w:r>
      <w:r w:rsidRPr="10C34A19" w:rsidR="746D74AC">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highlights how person-centred care, partnership working, and ethical practice can significantly improve the lives of service users.</w:t>
      </w:r>
    </w:p>
    <w:p w:rsidR="112C47DE" w:rsidP="10C34A19" w:rsidRDefault="112C47DE" w14:paraId="42BC1671" w14:textId="689C048B">
      <w:pPr>
        <w:pStyle w:val="Heading1"/>
        <w:spacing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729938768" w:id="783648185"/>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Task 3: Self-Reflection Using Gibbs’ Reflective Cycle</w:t>
      </w:r>
      <w:bookmarkEnd w:id="783648185"/>
    </w:p>
    <w:p w:rsidR="112C47DE" w:rsidP="10C34A19" w:rsidRDefault="112C47DE" w14:paraId="7B7DA1C7" w14:textId="5286D29C">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Reflection is an essential part of professional development within health and social care. Reflective practice allows individuals to analyse their experiences, recognise strengths and weaknesses, and improve their skills. This reflection will use </w:t>
      </w:r>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Gibbs' Reflective Cycle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w:t>
      </w:r>
    </w:p>
    <w:p w:rsidR="112C47DE" w:rsidP="10C34A19" w:rsidRDefault="112C47DE" w14:paraId="0479BE2D" w14:textId="4758DF04">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394960681" w:id="663571301"/>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Description</w:t>
      </w:r>
      <w:bookmarkEnd w:id="663571301"/>
    </w:p>
    <w:p w:rsidR="112C47DE" w:rsidP="10C34A19" w:rsidRDefault="112C47DE" w14:paraId="63F2DFB3" w14:textId="43339661">
      <w:pPr>
        <w:pStyle w:val="Heading3"/>
        <w:spacing w:before="281" w:beforeAutospacing="off" w:after="281"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During my studies in health and social care, I have gained knowledge about key principles such as person-centred care, partnership working, and ethical practice. Learning about these principles has helped me understand how professionals should treat service users with dignity, respect, and compassion. It has also helped me recognise the importance of effective communication and teamwork within healthcare environments.</w:t>
      </w:r>
    </w:p>
    <w:p w:rsidR="112C47DE" w:rsidP="10C34A19" w:rsidRDefault="112C47DE" w14:paraId="2854BD16" w14:textId="741602A4">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995370036" w:id="688464692"/>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Feelings</w:t>
      </w:r>
      <w:bookmarkEnd w:id="688464692"/>
    </w:p>
    <w:p w:rsidR="112C47DE" w:rsidP="10C34A19" w:rsidRDefault="112C47DE" w14:paraId="0836356A" w14:textId="0BC5F905">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Studying these principles has increased my interest in working within the health and social care sector. I feel motivated to contribute to improving the lives of individuals who require care and support. However, I am also aware that healthcare environments can be demanding and may involve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high levels</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of responsibility and pressure.</w:t>
      </w:r>
    </w:p>
    <w:p w:rsidR="112C47DE" w:rsidP="10C34A19" w:rsidRDefault="112C47DE" w14:paraId="07189CB9" w14:textId="191C1AAB">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915796352" w:id="881521367"/>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Evaluation</w:t>
      </w:r>
      <w:bookmarkEnd w:id="881521367"/>
    </w:p>
    <w:p w:rsidR="112C47DE" w:rsidP="10C34A19" w:rsidRDefault="112C47DE" w14:paraId="11930456" w14:textId="4CEF994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One of my key strengths is empathy. </w:t>
      </w:r>
      <w:r w:rsidRPr="10C34A19" w:rsidR="592F777E">
        <w:rPr>
          <w:rFonts w:ascii="Arial" w:hAnsi="Arial" w:eastAsia="Arial" w:cs="Arial" w:asciiTheme="minorAscii" w:hAnsiTheme="minorAscii" w:eastAsiaTheme="minorAscii" w:cstheme="minorAscii"/>
          <w:noProof w:val="0"/>
          <w:color w:val="000000" w:themeColor="text1" w:themeTint="FF" w:themeShade="FF"/>
          <w:sz w:val="24"/>
          <w:szCs w:val="24"/>
          <w:lang w:val="en-GB"/>
        </w:rPr>
        <w:t>Empathy</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allows professionals to understand the feelings and experiences of service users, which helps build trust and strong relationships. Another strength I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possess</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is good listening skills</w:t>
      </w:r>
      <w:r w:rsidRPr="10C34A19" w:rsidR="33E42B80">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33E42B80">
        <w:rPr>
          <w:rFonts w:ascii="Arial" w:hAnsi="Arial" w:eastAsia="Arial" w:cs="Arial" w:asciiTheme="minorAscii" w:hAnsiTheme="minorAscii" w:eastAsiaTheme="minorAscii" w:cstheme="minorAscii"/>
          <w:noProof w:val="0"/>
          <w:color w:val="000000" w:themeColor="text1" w:themeTint="FF" w:themeShade="FF"/>
          <w:sz w:val="24"/>
          <w:szCs w:val="24"/>
          <w:lang w:val="en-GB"/>
        </w:rPr>
        <w:t>(Piñar‐Rodríguez</w:t>
      </w:r>
      <w:r w:rsidRPr="10C34A19" w:rsidR="33E42B80">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GB"/>
        </w:rPr>
        <w:t xml:space="preserve"> et al</w:t>
      </w:r>
      <w:r w:rsidRPr="10C34A19" w:rsidR="33E42B80">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2025).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Being able to listen carefully to individuals helps professionals understand their concerns, needs, and preferences</w:t>
      </w:r>
    </w:p>
    <w:p w:rsidR="52AD3D0D" w:rsidP="10C34A19" w:rsidRDefault="52AD3D0D" w14:paraId="5442C234" w14:textId="74808BF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52AD3D0D">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Alongside my academic studies, my </w:t>
      </w:r>
      <w:bookmarkStart w:name="_Int_UOmeOiFf" w:id="293364822"/>
      <w:r w:rsidRPr="10C34A19" w:rsidR="52AD3D0D">
        <w:rPr>
          <w:rFonts w:ascii="Arial" w:hAnsi="Arial" w:eastAsia="Arial" w:cs="Arial" w:asciiTheme="minorAscii" w:hAnsiTheme="minorAscii" w:eastAsiaTheme="minorAscii" w:cstheme="minorAscii"/>
          <w:noProof w:val="0"/>
          <w:color w:val="000000" w:themeColor="text1" w:themeTint="FF" w:themeShade="FF"/>
          <w:sz w:val="24"/>
          <w:szCs w:val="24"/>
          <w:lang w:val="en-GB"/>
        </w:rPr>
        <w:t>personal experiences</w:t>
      </w:r>
      <w:bookmarkEnd w:id="293364822"/>
      <w:r w:rsidRPr="10C34A19" w:rsidR="52AD3D0D">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have also shaped my understanding of healthcare.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I have experienced mental health challenges in the past and received therapy from healthcare professionals. This experience allowed me to see healthcare from the perspective of a service user. Receiving therapy helped me understand how important it is for professionals to create a safe and supportive environment where individuals feel comfortable expressing their thoughts and emotions.</w:t>
      </w:r>
    </w:p>
    <w:p w:rsidR="112C47DE" w:rsidP="10C34A19" w:rsidRDefault="112C47DE" w14:paraId="145149BF" w14:textId="172D4D6B">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047966970" w:id="1397803091"/>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Analysis</w:t>
      </w:r>
      <w:bookmarkEnd w:id="1397803091"/>
    </w:p>
    <w:p w:rsidR="112C47DE" w:rsidP="10C34A19" w:rsidRDefault="112C47DE" w14:paraId="7192DBBC" w14:textId="0892DB37">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My personal experience has provided me with valuable insight into the needs and expectations of service users. Experiencing therapy allowed me to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observe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how professionals communicate with patients and provide emotional support. When professionals </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demonstrated</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empathy and active listening, it made it easier for me to trust them and engage in the therapeutic process.</w:t>
      </w:r>
    </w:p>
    <w:p w:rsidR="112C47DE" w:rsidP="10C34A19" w:rsidRDefault="112C47DE" w14:paraId="4FFB1F65" w14:textId="1CF23614">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This experience helped me understand the importance of person-centred care. Service users often want to feel heard, respected, and understood rather than feeling like they are simply another patient within a system. Understanding this perspective will help me communicate more effectively with individuals in the future.</w:t>
      </w:r>
    </w:p>
    <w:p w:rsidR="112C47DE" w:rsidP="10C34A19" w:rsidRDefault="112C47DE" w14:paraId="05E58B4D" w14:textId="777EBCFB">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My experience also highlighted the importance of collaboration between professionals. In many healthcare settings, different professionals work together to provide holistic support. Within systems such as the </w:t>
      </w:r>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National Health Service</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teamwork helps ensure that individuals receive comprehensive care that addresses both physical and mental health needs</w:t>
      </w:r>
      <w:r w:rsidRPr="10C34A19" w:rsidR="2EEF7C03">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2EEF7C03">
        <w:rPr>
          <w:rFonts w:ascii="Arial" w:hAnsi="Arial" w:eastAsia="Arial" w:cs="Arial" w:asciiTheme="minorAscii" w:hAnsiTheme="minorAscii" w:eastAsiaTheme="minorAscii" w:cstheme="minorAscii"/>
          <w:noProof w:val="0"/>
          <w:color w:val="000000" w:themeColor="text1" w:themeTint="FF" w:themeShade="FF"/>
          <w:sz w:val="24"/>
          <w:szCs w:val="24"/>
          <w:lang w:val="en-GB"/>
        </w:rPr>
        <w:t>(</w:t>
      </w:r>
      <w:r w:rsidRPr="10C34A19" w:rsidR="2EEF7C03">
        <w:rPr>
          <w:rFonts w:ascii="Arial" w:hAnsi="Arial" w:eastAsia="Arial" w:cs="Arial" w:asciiTheme="minorAscii" w:hAnsiTheme="minorAscii" w:eastAsiaTheme="minorAscii" w:cstheme="minorAscii"/>
          <w:noProof w:val="0"/>
          <w:color w:val="000000" w:themeColor="text1" w:themeTint="FF" w:themeShade="FF"/>
          <w:sz w:val="24"/>
          <w:szCs w:val="24"/>
          <w:lang w:val="en-GB"/>
        </w:rPr>
        <w:t>Zabelski</w:t>
      </w:r>
      <w:r w:rsidRPr="10C34A19" w:rsidR="2EEF7C03">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r w:rsidRPr="10C34A19" w:rsidR="2EEF7C03">
        <w:rPr>
          <w:rFonts w:ascii="Arial" w:hAnsi="Arial" w:eastAsia="Arial" w:cs="Arial" w:asciiTheme="minorAscii" w:hAnsiTheme="minorAscii" w:eastAsiaTheme="minorAscii" w:cstheme="minorAscii"/>
          <w:i w:val="1"/>
          <w:iCs w:val="1"/>
          <w:noProof w:val="0"/>
          <w:color w:val="000000" w:themeColor="text1" w:themeTint="FF" w:themeShade="FF"/>
          <w:sz w:val="24"/>
          <w:szCs w:val="24"/>
          <w:lang w:val="en-GB"/>
        </w:rPr>
        <w:t>et al</w:t>
      </w:r>
      <w:r w:rsidRPr="10C34A19" w:rsidR="2EEF7C03">
        <w:rPr>
          <w:rFonts w:ascii="Arial" w:hAnsi="Arial" w:eastAsia="Arial" w:cs="Arial" w:asciiTheme="minorAscii" w:hAnsiTheme="minorAscii" w:eastAsiaTheme="minorAscii" w:cstheme="minorAscii"/>
          <w:noProof w:val="0"/>
          <w:color w:val="000000" w:themeColor="text1" w:themeTint="FF" w:themeShade="FF"/>
          <w:sz w:val="24"/>
          <w:szCs w:val="24"/>
          <w:lang w:val="en-GB"/>
        </w:rPr>
        <w:t>., 2025).</w:t>
      </w:r>
    </w:p>
    <w:p w:rsidR="112C47DE" w:rsidP="10C34A19" w:rsidRDefault="112C47DE" w14:paraId="1F46E6AB" w14:textId="029CDE75">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908810933" w:id="1636037703"/>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Conclusion</w:t>
      </w:r>
      <w:bookmarkEnd w:id="1636037703"/>
    </w:p>
    <w:p w:rsidR="112C47DE" w:rsidP="10C34A19" w:rsidRDefault="112C47DE" w14:paraId="19FEB501" w14:textId="7C10E3F7">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Reflecting on my experiences has helped me recognise the importance of empathy, communication, and collaboration in healthcare. My strengths in empathy and listening support the principles of person-centred care, but I also recognise areas for improvement.</w:t>
      </w:r>
    </w:p>
    <w:p w:rsidR="112C47DE" w:rsidP="10C34A19" w:rsidRDefault="112C47DE" w14:paraId="3C03955C" w14:textId="2B44166B">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1851775232" w:id="695029193"/>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Action Plan</w:t>
      </w:r>
      <w:bookmarkEnd w:id="695029193"/>
    </w:p>
    <w:p w:rsidR="112C47DE" w:rsidP="10C34A19" w:rsidRDefault="112C47DE" w14:paraId="59B88405" w14:textId="528C130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One of my weaknesses is managing stress and pressure when workloads are high. When I feel overwhelmed, I may become tired or exhausted, which could affect my performance. </w:t>
      </w:r>
      <w:r w:rsidRPr="10C34A19" w:rsidR="30A694B1">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To overcome this challenge, I will focus on improving how I manage my time and handle stress in demanding situations.</w:t>
      </w:r>
    </w:p>
    <w:p w:rsidR="112C47DE" w:rsidP="10C34A19" w:rsidRDefault="112C47DE" w14:paraId="17EE6FD8" w14:textId="65EC723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I also plan to gain practical experience by volunteering in healthcare environments such as </w:t>
      </w:r>
      <w:r w:rsidRPr="10C34A19" w:rsidR="112C47DE">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Acres Care Homes</w:t>
      </w:r>
      <w:r w:rsidRPr="10C34A19" w:rsidR="112C47DE">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or other healthcare settings. Volunteering will provide hands-on experience and help me understand how professionals apply person-centred care and partnership working in real practice. This experience will also allow me to develop practical skills and build confidence within healthcare environments.</w:t>
      </w:r>
    </w:p>
    <w:p w:rsidR="358194F2" w:rsidP="10C34A19" w:rsidRDefault="358194F2" w14:paraId="4B8CCAF2" w14:textId="5766FF6C">
      <w:pPr>
        <w:pStyle w:val="Heading2"/>
        <w:spacing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bookmarkStart w:name="_Toc26990035" w:id="435075462"/>
      <w:r w:rsidRPr="10C34A19" w:rsidR="358194F2">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Conclusion</w:t>
      </w:r>
      <w:bookmarkEnd w:id="435075462"/>
    </w:p>
    <w:p w:rsidR="358194F2" w:rsidP="10C34A19" w:rsidRDefault="358194F2" w14:paraId="485AB54C" w14:textId="2BAFEC02">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In conclusion, person-centred care, partnership working, and ethical practice are fundamental principles within health and social care, as they ensure individuals receive support that is tailored to their unique needs, values, and preferences. These principles promote dignity, autonomy, and independence, while also encouraging collaboration between professionals, service users, and families. The case study of Robyn </w:t>
      </w: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demonstrates</w:t>
      </w: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how effectively applying these principles can significantly enhance the quality of life of service users, enabling them to </w:t>
      </w: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maintain</w:t>
      </w: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control over their care and engage in meaningful activities. Furthermore, reflective practice is a vital tool in professional development, allowing health and social care practitioners to evaluate their strengths, recognise areas for improvement, and adapt their practice accordingly. By combining continuous learning, hands-on experience, and critical reflection, future professionals are better equipped to deliver safe, ethical, and compassionate care, </w:t>
      </w: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ultimately improving</w:t>
      </w:r>
      <w:r w:rsidRPr="10C34A19" w:rsidR="358194F2">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outcomes for both individuals and the wider healthcare system.</w:t>
      </w:r>
    </w:p>
    <w:p w:rsidR="10C34A19" w:rsidP="10C34A19" w:rsidRDefault="10C34A19" w14:paraId="71D5FA45" w14:textId="68945E97">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4"/>
          <w:szCs w:val="24"/>
          <w:lang w:val="en-GB"/>
        </w:rPr>
      </w:pPr>
    </w:p>
    <w:p w:rsidR="10C34A19" w:rsidP="10C34A19" w:rsidRDefault="10C34A19" w14:paraId="66D5AEB5" w14:textId="03CF6D6A">
      <w:pPr>
        <w:spacing w:line="360" w:lineRule="auto"/>
        <w:rPr>
          <w:rFonts w:ascii="Arial" w:hAnsi="Arial" w:eastAsia="Arial" w:cs="Arial" w:asciiTheme="minorAscii" w:hAnsiTheme="minorAscii" w:eastAsiaTheme="minorAscii" w:cstheme="minorAscii"/>
          <w:color w:val="000000" w:themeColor="text1" w:themeTint="FF" w:themeShade="FF"/>
          <w:sz w:val="24"/>
          <w:szCs w:val="24"/>
        </w:rPr>
      </w:pPr>
    </w:p>
    <w:p w:rsidR="10C34A19" w:rsidP="10C34A19" w:rsidRDefault="10C34A19" w14:paraId="30759E0F" w14:textId="57694E15">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w:rsidR="10C34A19" w:rsidP="10C34A19" w:rsidRDefault="10C34A19" w14:paraId="58F00E8B" w14:textId="606731EE">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w:rsidR="10C34A19" w:rsidP="10C34A19" w:rsidRDefault="10C34A19" w14:paraId="0F773F4A" w14:textId="5CD5E134">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w:rsidR="10C34A19" w:rsidP="10C34A19" w:rsidRDefault="10C34A19" w14:paraId="65A709EA" w14:textId="2247EBF5">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w:rsidR="10C34A19" w:rsidP="10C34A19" w:rsidRDefault="10C34A19" w14:paraId="37F4B54D" w14:textId="67AE785E">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p>
    <w:p w:rsidR="05A3A2CB" w:rsidP="10C34A19" w:rsidRDefault="05A3A2CB" w14:paraId="5A0B0EDA" w14:textId="2DA5E665">
      <w:pPr>
        <w:pStyle w:val="Heading2"/>
        <w:spacing w:before="299" w:beforeAutospacing="off" w:after="299" w:afterAutospacing="off" w:line="360" w:lineRule="auto"/>
        <w:rPr>
          <w:rFonts w:ascii="Arial" w:hAnsi="Arial" w:eastAsia="Arial" w:cs="Arial"/>
          <w:b w:val="1"/>
          <w:bCs w:val="1"/>
          <w:noProof w:val="0"/>
          <w:sz w:val="24"/>
          <w:szCs w:val="24"/>
          <w:lang w:val="en-GB"/>
        </w:rPr>
      </w:pPr>
      <w:r w:rsidRPr="10C34A19" w:rsidR="05A3A2CB">
        <w:rPr>
          <w:rFonts w:ascii="Arial" w:hAnsi="Arial" w:eastAsia="Arial" w:cs="Arial"/>
          <w:b w:val="1"/>
          <w:bCs w:val="1"/>
          <w:noProof w:val="0"/>
          <w:sz w:val="24"/>
          <w:szCs w:val="24"/>
          <w:lang w:val="en-GB"/>
        </w:rPr>
        <w:t>Reference List</w:t>
      </w:r>
    </w:p>
    <w:p w:rsidR="05A3A2CB" w:rsidP="10C34A19" w:rsidRDefault="05A3A2CB" w14:paraId="7E18C504" w14:textId="3F09ABEB">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Bassul, C., Gannon, J., Kelly, Y., Williams, M., Morrissey, D., McKee, J., O’Rourke, N. and Flynn, R. (2025) ‘How to achieve person-</w:t>
      </w:r>
      <w:r w:rsidRPr="10C34A19" w:rsidR="05A3A2CB">
        <w:rPr>
          <w:rFonts w:ascii="Arial" w:hAnsi="Arial" w:eastAsia="Arial" w:cs="Arial"/>
          <w:noProof w:val="0"/>
          <w:sz w:val="24"/>
          <w:szCs w:val="24"/>
          <w:lang w:val="en-GB"/>
        </w:rPr>
        <w:t>centered</w:t>
      </w:r>
      <w:r w:rsidRPr="10C34A19" w:rsidR="05A3A2CB">
        <w:rPr>
          <w:rFonts w:ascii="Arial" w:hAnsi="Arial" w:eastAsia="Arial" w:cs="Arial"/>
          <w:noProof w:val="0"/>
          <w:sz w:val="24"/>
          <w:szCs w:val="24"/>
          <w:lang w:val="en-GB"/>
        </w:rPr>
        <w:t xml:space="preserve"> care for people using homecare services: a narrative review’, </w:t>
      </w:r>
      <w:r w:rsidRPr="10C34A19" w:rsidR="05A3A2CB">
        <w:rPr>
          <w:rFonts w:ascii="Arial" w:hAnsi="Arial" w:eastAsia="Arial" w:cs="Arial"/>
          <w:i w:val="1"/>
          <w:iCs w:val="1"/>
          <w:noProof w:val="0"/>
          <w:sz w:val="24"/>
          <w:szCs w:val="24"/>
          <w:lang w:val="en-GB"/>
        </w:rPr>
        <w:t>Home Health Care Management &amp; Practice</w:t>
      </w:r>
      <w:r w:rsidRPr="10C34A19" w:rsidR="05A3A2CB">
        <w:rPr>
          <w:rFonts w:ascii="Arial" w:hAnsi="Arial" w:eastAsia="Arial" w:cs="Arial"/>
          <w:noProof w:val="0"/>
          <w:sz w:val="24"/>
          <w:szCs w:val="24"/>
          <w:lang w:val="en-GB"/>
        </w:rPr>
        <w:t>, 37(2), pp.129–139.</w:t>
      </w:r>
    </w:p>
    <w:p w:rsidR="05A3A2CB" w:rsidP="10C34A19" w:rsidRDefault="05A3A2CB" w14:paraId="5623EBCD" w14:textId="25633632">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Beauchamp, </w:t>
      </w:r>
      <w:r w:rsidRPr="10C34A19" w:rsidR="05A3A2CB">
        <w:rPr>
          <w:rFonts w:ascii="Arial" w:hAnsi="Arial" w:eastAsia="Arial" w:cs="Arial"/>
          <w:noProof w:val="0"/>
          <w:sz w:val="24"/>
          <w:szCs w:val="24"/>
          <w:lang w:val="en-GB"/>
        </w:rPr>
        <w:t>T.</w:t>
      </w:r>
      <w:r w:rsidRPr="10C34A19" w:rsidR="05A3A2CB">
        <w:rPr>
          <w:rFonts w:ascii="Arial" w:hAnsi="Arial" w:eastAsia="Arial" w:cs="Arial"/>
          <w:noProof w:val="0"/>
          <w:sz w:val="24"/>
          <w:szCs w:val="24"/>
          <w:lang w:val="en-GB"/>
        </w:rPr>
        <w:t xml:space="preserve"> and Childress, J. (2019) </w:t>
      </w:r>
      <w:r w:rsidRPr="10C34A19" w:rsidR="05A3A2CB">
        <w:rPr>
          <w:rFonts w:ascii="Arial" w:hAnsi="Arial" w:eastAsia="Arial" w:cs="Arial"/>
          <w:i w:val="1"/>
          <w:iCs w:val="1"/>
          <w:noProof w:val="0"/>
          <w:sz w:val="24"/>
          <w:szCs w:val="24"/>
          <w:lang w:val="en-GB"/>
        </w:rPr>
        <w:t>Principles of Biomedical Ethics</w:t>
      </w:r>
      <w:r w:rsidRPr="10C34A19" w:rsidR="05A3A2CB">
        <w:rPr>
          <w:rFonts w:ascii="Arial" w:hAnsi="Arial" w:eastAsia="Arial" w:cs="Arial"/>
          <w:noProof w:val="0"/>
          <w:sz w:val="24"/>
          <w:szCs w:val="24"/>
          <w:lang w:val="en-GB"/>
        </w:rPr>
        <w:t>. Oxford: Oxford University Press.</w:t>
      </w:r>
    </w:p>
    <w:p w:rsidR="05A3A2CB" w:rsidP="10C34A19" w:rsidRDefault="05A3A2CB" w14:paraId="3D2AE876" w14:textId="76DBBEEC">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Care Quality Commission (2024) </w:t>
      </w:r>
      <w:r w:rsidRPr="10C34A19" w:rsidR="05A3A2CB">
        <w:rPr>
          <w:rFonts w:ascii="Arial" w:hAnsi="Arial" w:eastAsia="Arial" w:cs="Arial"/>
          <w:i w:val="1"/>
          <w:iCs w:val="1"/>
          <w:noProof w:val="0"/>
          <w:sz w:val="24"/>
          <w:szCs w:val="24"/>
          <w:lang w:val="en-GB"/>
        </w:rPr>
        <w:t>Person-centred care</w:t>
      </w:r>
      <w:r w:rsidRPr="10C34A19" w:rsidR="05A3A2CB">
        <w:rPr>
          <w:rFonts w:ascii="Arial" w:hAnsi="Arial" w:eastAsia="Arial" w:cs="Arial"/>
          <w:noProof w:val="0"/>
          <w:sz w:val="24"/>
          <w:szCs w:val="24"/>
          <w:lang w:val="en-GB"/>
        </w:rPr>
        <w:t xml:space="preserve">. Available at: </w:t>
      </w:r>
      <w:hyperlink r:id="Re5f3524f8dc64dda">
        <w:r w:rsidRPr="10C34A19" w:rsidR="05A3A2CB">
          <w:rPr>
            <w:rStyle w:val="Hyperlink"/>
            <w:rFonts w:ascii="Arial" w:hAnsi="Arial" w:eastAsia="Arial" w:cs="Arial"/>
            <w:noProof w:val="0"/>
            <w:sz w:val="24"/>
            <w:szCs w:val="24"/>
            <w:lang w:val="en-GB"/>
          </w:rPr>
          <w:t>https://www.cqc.org.uk</w:t>
        </w:r>
      </w:hyperlink>
      <w:r w:rsidRPr="10C34A19" w:rsidR="05A3A2CB">
        <w:rPr>
          <w:rFonts w:ascii="Arial" w:hAnsi="Arial" w:eastAsia="Arial" w:cs="Arial"/>
          <w:noProof w:val="0"/>
          <w:sz w:val="24"/>
          <w:szCs w:val="24"/>
          <w:lang w:val="en-GB"/>
        </w:rPr>
        <w:t xml:space="preserve"> (Accessed: 3 March 2026).</w:t>
      </w:r>
    </w:p>
    <w:p w:rsidR="05A3A2CB" w:rsidP="10C34A19" w:rsidRDefault="05A3A2CB" w14:paraId="37A747CF" w14:textId="11ED6321">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Department of Health (2014) </w:t>
      </w:r>
      <w:r w:rsidRPr="10C34A19" w:rsidR="05A3A2CB">
        <w:rPr>
          <w:rFonts w:ascii="Arial" w:hAnsi="Arial" w:eastAsia="Arial" w:cs="Arial"/>
          <w:i w:val="1"/>
          <w:iCs w:val="1"/>
          <w:noProof w:val="0"/>
          <w:sz w:val="24"/>
          <w:szCs w:val="24"/>
          <w:lang w:val="en-GB"/>
        </w:rPr>
        <w:t>Care Act 2014</w:t>
      </w:r>
      <w:r w:rsidRPr="10C34A19" w:rsidR="05A3A2CB">
        <w:rPr>
          <w:rFonts w:ascii="Arial" w:hAnsi="Arial" w:eastAsia="Arial" w:cs="Arial"/>
          <w:noProof w:val="0"/>
          <w:sz w:val="24"/>
          <w:szCs w:val="24"/>
          <w:lang w:val="en-GB"/>
        </w:rPr>
        <w:t>. London: UK Government.</w:t>
      </w:r>
    </w:p>
    <w:p w:rsidR="05A3A2CB" w:rsidP="10C34A19" w:rsidRDefault="05A3A2CB" w14:paraId="45DEBEB9" w14:textId="665A209F">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Gibbs, G. (1988) </w:t>
      </w:r>
      <w:r w:rsidRPr="10C34A19" w:rsidR="05A3A2CB">
        <w:rPr>
          <w:rFonts w:ascii="Arial" w:hAnsi="Arial" w:eastAsia="Arial" w:cs="Arial"/>
          <w:i w:val="1"/>
          <w:iCs w:val="1"/>
          <w:noProof w:val="0"/>
          <w:sz w:val="24"/>
          <w:szCs w:val="24"/>
          <w:lang w:val="en-GB"/>
        </w:rPr>
        <w:t>Learning by Doing: A Guide to Teaching and Learning Methods</w:t>
      </w:r>
      <w:r w:rsidRPr="10C34A19" w:rsidR="05A3A2CB">
        <w:rPr>
          <w:rFonts w:ascii="Arial" w:hAnsi="Arial" w:eastAsia="Arial" w:cs="Arial"/>
          <w:noProof w:val="0"/>
          <w:sz w:val="24"/>
          <w:szCs w:val="24"/>
          <w:lang w:val="en-GB"/>
        </w:rPr>
        <w:t>. Oxford: Oxford Polytechnic.</w:t>
      </w:r>
    </w:p>
    <w:p w:rsidR="05A3A2CB" w:rsidP="10C34A19" w:rsidRDefault="05A3A2CB" w14:paraId="5972F268" w14:textId="7640ADE8">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Glasby, J. and Dickinson, H. (2014) </w:t>
      </w:r>
      <w:r w:rsidRPr="10C34A19" w:rsidR="05A3A2CB">
        <w:rPr>
          <w:rFonts w:ascii="Arial" w:hAnsi="Arial" w:eastAsia="Arial" w:cs="Arial"/>
          <w:i w:val="1"/>
          <w:iCs w:val="1"/>
          <w:noProof w:val="0"/>
          <w:sz w:val="24"/>
          <w:szCs w:val="24"/>
          <w:lang w:val="en-GB"/>
        </w:rPr>
        <w:t>Partnership Working in Health and Social Care</w:t>
      </w:r>
      <w:r w:rsidRPr="10C34A19" w:rsidR="05A3A2CB">
        <w:rPr>
          <w:rFonts w:ascii="Arial" w:hAnsi="Arial" w:eastAsia="Arial" w:cs="Arial"/>
          <w:noProof w:val="0"/>
          <w:sz w:val="24"/>
          <w:szCs w:val="24"/>
          <w:lang w:val="en-GB"/>
        </w:rPr>
        <w:t>. Bristol: Policy Press.</w:t>
      </w:r>
    </w:p>
    <w:p w:rsidR="05A3A2CB" w:rsidP="10C34A19" w:rsidRDefault="05A3A2CB" w14:paraId="58BAE037" w14:textId="09E17D69">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Gobat, N., Slack, C., Hannah, S., Salzwedel, J., Bladon, G., Burgos, J.G., Purvis, B., Molony-Oates, B., Siegfried, N., Cheah, P.Y. and Conway, M. (2025) ‘Better engagement, better evidence: working in partnership with patients, the public, and communities in clinical trials with involvement and good participatory practice’, </w:t>
      </w:r>
      <w:r w:rsidRPr="10C34A19" w:rsidR="05A3A2CB">
        <w:rPr>
          <w:rFonts w:ascii="Arial" w:hAnsi="Arial" w:eastAsia="Arial" w:cs="Arial"/>
          <w:i w:val="1"/>
          <w:iCs w:val="1"/>
          <w:noProof w:val="0"/>
          <w:sz w:val="24"/>
          <w:szCs w:val="24"/>
          <w:lang w:val="en-GB"/>
        </w:rPr>
        <w:t>The Lancet Global Health</w:t>
      </w:r>
      <w:r w:rsidRPr="10C34A19" w:rsidR="05A3A2CB">
        <w:rPr>
          <w:rFonts w:ascii="Arial" w:hAnsi="Arial" w:eastAsia="Arial" w:cs="Arial"/>
          <w:noProof w:val="0"/>
          <w:sz w:val="24"/>
          <w:szCs w:val="24"/>
          <w:lang w:val="en-GB"/>
        </w:rPr>
        <w:t>, 13(4), pp.e716–e731.</w:t>
      </w:r>
    </w:p>
    <w:p w:rsidR="05A3A2CB" w:rsidP="10C34A19" w:rsidRDefault="05A3A2CB" w14:paraId="6C9F69DF" w14:textId="274EE3ED">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Gyllensten, H., Cederberg, M., </w:t>
      </w:r>
      <w:r w:rsidRPr="10C34A19" w:rsidR="05A3A2CB">
        <w:rPr>
          <w:rFonts w:ascii="Arial" w:hAnsi="Arial" w:eastAsia="Arial" w:cs="Arial"/>
          <w:noProof w:val="0"/>
          <w:sz w:val="24"/>
          <w:szCs w:val="24"/>
          <w:lang w:val="en-GB"/>
        </w:rPr>
        <w:t>Alsén</w:t>
      </w:r>
      <w:r w:rsidRPr="10C34A19" w:rsidR="05A3A2CB">
        <w:rPr>
          <w:rFonts w:ascii="Arial" w:hAnsi="Arial" w:eastAsia="Arial" w:cs="Arial"/>
          <w:noProof w:val="0"/>
          <w:sz w:val="24"/>
          <w:szCs w:val="24"/>
          <w:lang w:val="en-GB"/>
        </w:rPr>
        <w:t xml:space="preserve">, S., Blanck, E., Ali, L., Fors, A., Hedman, H., Nørmark, L.P., Swedberg, K. and Ekman, I. (2025) ‘Person-centred care: </w:t>
      </w:r>
      <w:r w:rsidRPr="10C34A19" w:rsidR="05A3A2CB">
        <w:rPr>
          <w:rFonts w:ascii="Arial" w:hAnsi="Arial" w:eastAsia="Arial" w:cs="Arial"/>
          <w:noProof w:val="0"/>
          <w:sz w:val="24"/>
          <w:szCs w:val="24"/>
          <w:lang w:val="en-GB"/>
        </w:rPr>
        <w:t>state-of-the-art</w:t>
      </w:r>
      <w:r w:rsidRPr="10C34A19" w:rsidR="05A3A2CB">
        <w:rPr>
          <w:rFonts w:ascii="Arial" w:hAnsi="Arial" w:eastAsia="Arial" w:cs="Arial"/>
          <w:noProof w:val="0"/>
          <w:sz w:val="24"/>
          <w:szCs w:val="24"/>
          <w:lang w:val="en-GB"/>
        </w:rPr>
        <w:t xml:space="preserve"> and future perspectives’, </w:t>
      </w:r>
      <w:r w:rsidRPr="10C34A19" w:rsidR="05A3A2CB">
        <w:rPr>
          <w:rFonts w:ascii="Arial" w:hAnsi="Arial" w:eastAsia="Arial" w:cs="Arial"/>
          <w:i w:val="1"/>
          <w:iCs w:val="1"/>
          <w:noProof w:val="0"/>
          <w:sz w:val="24"/>
          <w:szCs w:val="24"/>
          <w:lang w:val="en-GB"/>
        </w:rPr>
        <w:t>Current Heart Failure Reports</w:t>
      </w:r>
      <w:r w:rsidRPr="10C34A19" w:rsidR="05A3A2CB">
        <w:rPr>
          <w:rFonts w:ascii="Arial" w:hAnsi="Arial" w:eastAsia="Arial" w:cs="Arial"/>
          <w:noProof w:val="0"/>
          <w:sz w:val="24"/>
          <w:szCs w:val="24"/>
          <w:lang w:val="en-GB"/>
        </w:rPr>
        <w:t>, 22(1), p.15.</w:t>
      </w:r>
    </w:p>
    <w:p w:rsidR="05A3A2CB" w:rsidP="10C34A19" w:rsidRDefault="05A3A2CB" w14:paraId="6710204C" w14:textId="15767319">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NHS England (2023) </w:t>
      </w:r>
      <w:r w:rsidRPr="10C34A19" w:rsidR="05A3A2CB">
        <w:rPr>
          <w:rFonts w:ascii="Arial" w:hAnsi="Arial" w:eastAsia="Arial" w:cs="Arial"/>
          <w:i w:val="1"/>
          <w:iCs w:val="1"/>
          <w:noProof w:val="0"/>
          <w:sz w:val="24"/>
          <w:szCs w:val="24"/>
          <w:lang w:val="en-GB"/>
        </w:rPr>
        <w:t>Robyn’s Story</w:t>
      </w:r>
      <w:r w:rsidRPr="10C34A19" w:rsidR="05A3A2CB">
        <w:rPr>
          <w:rFonts w:ascii="Arial" w:hAnsi="Arial" w:eastAsia="Arial" w:cs="Arial"/>
          <w:noProof w:val="0"/>
          <w:sz w:val="24"/>
          <w:szCs w:val="24"/>
          <w:lang w:val="en-GB"/>
        </w:rPr>
        <w:t xml:space="preserve">. Available at: </w:t>
      </w:r>
      <w:hyperlink r:id="R8d2183736bac4d33">
        <w:r w:rsidRPr="10C34A19" w:rsidR="05A3A2CB">
          <w:rPr>
            <w:rStyle w:val="Hyperlink"/>
            <w:rFonts w:ascii="Arial" w:hAnsi="Arial" w:eastAsia="Arial" w:cs="Arial"/>
            <w:noProof w:val="0"/>
            <w:sz w:val="24"/>
            <w:szCs w:val="24"/>
            <w:lang w:val="en-GB"/>
          </w:rPr>
          <w:t>https://www.england.nhs.uk</w:t>
        </w:r>
      </w:hyperlink>
      <w:r w:rsidRPr="10C34A19" w:rsidR="05A3A2CB">
        <w:rPr>
          <w:rFonts w:ascii="Arial" w:hAnsi="Arial" w:eastAsia="Arial" w:cs="Arial"/>
          <w:noProof w:val="0"/>
          <w:sz w:val="24"/>
          <w:szCs w:val="24"/>
          <w:lang w:val="en-GB"/>
        </w:rPr>
        <w:t xml:space="preserve"> (Accessed: 26 February 2026).</w:t>
      </w:r>
    </w:p>
    <w:p w:rsidR="05A3A2CB" w:rsidP="10C34A19" w:rsidRDefault="05A3A2CB" w14:paraId="65B72F7F" w14:textId="236F1271">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NICE (2015) </w:t>
      </w:r>
      <w:r w:rsidRPr="10C34A19" w:rsidR="05A3A2CB">
        <w:rPr>
          <w:rFonts w:ascii="Arial" w:hAnsi="Arial" w:eastAsia="Arial" w:cs="Arial"/>
          <w:i w:val="1"/>
          <w:iCs w:val="1"/>
          <w:noProof w:val="0"/>
          <w:sz w:val="24"/>
          <w:szCs w:val="24"/>
          <w:lang w:val="en-GB"/>
        </w:rPr>
        <w:t>Home Care: Delivering personal care and practical support</w:t>
      </w:r>
      <w:r w:rsidRPr="10C34A19" w:rsidR="05A3A2CB">
        <w:rPr>
          <w:rFonts w:ascii="Arial" w:hAnsi="Arial" w:eastAsia="Arial" w:cs="Arial"/>
          <w:noProof w:val="0"/>
          <w:sz w:val="24"/>
          <w:szCs w:val="24"/>
          <w:lang w:val="en-GB"/>
        </w:rPr>
        <w:t>. London: NICE.</w:t>
      </w:r>
    </w:p>
    <w:p w:rsidR="05A3A2CB" w:rsidP="10C34A19" w:rsidRDefault="05A3A2CB" w14:paraId="14A581C5" w14:textId="61967926">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Nyatuka, D.R., Siva, F., Murugu, D.K. and Morris, L.D. (2026) ‘A framework for people-centred digital health and social protection information systems for maternal and child health in underserved Kenya’, </w:t>
      </w:r>
      <w:r w:rsidRPr="10C34A19" w:rsidR="05A3A2CB">
        <w:rPr>
          <w:rFonts w:ascii="Arial" w:hAnsi="Arial" w:eastAsia="Arial" w:cs="Arial"/>
          <w:i w:val="1"/>
          <w:iCs w:val="1"/>
          <w:noProof w:val="0"/>
          <w:sz w:val="24"/>
          <w:szCs w:val="24"/>
          <w:lang w:val="en-GB"/>
        </w:rPr>
        <w:t>The Electronic Journal of Information Systems in Developing Countries</w:t>
      </w:r>
      <w:r w:rsidRPr="10C34A19" w:rsidR="05A3A2CB">
        <w:rPr>
          <w:rFonts w:ascii="Arial" w:hAnsi="Arial" w:eastAsia="Arial" w:cs="Arial"/>
          <w:noProof w:val="0"/>
          <w:sz w:val="24"/>
          <w:szCs w:val="24"/>
          <w:lang w:val="en-GB"/>
        </w:rPr>
        <w:t>, 92(2), p.e70052.</w:t>
      </w:r>
    </w:p>
    <w:p w:rsidR="05A3A2CB" w:rsidP="10C34A19" w:rsidRDefault="05A3A2CB" w14:paraId="7D67D228" w14:textId="0479E4C0">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Piñar‐Rodríguez, S., Puig‐Llobet, M., Corcoles‐Martínez, D., Tolosa‐Merlos, D., </w:t>
      </w:r>
      <w:r w:rsidRPr="10C34A19" w:rsidR="05A3A2CB">
        <w:rPr>
          <w:rFonts w:ascii="Arial" w:hAnsi="Arial" w:eastAsia="Arial" w:cs="Arial"/>
          <w:noProof w:val="0"/>
          <w:sz w:val="24"/>
          <w:szCs w:val="24"/>
          <w:lang w:val="en-GB"/>
        </w:rPr>
        <w:t>Leñero‐Cirujano</w:t>
      </w:r>
      <w:r w:rsidRPr="10C34A19" w:rsidR="05A3A2CB">
        <w:rPr>
          <w:rFonts w:ascii="Arial" w:hAnsi="Arial" w:eastAsia="Arial" w:cs="Arial"/>
          <w:noProof w:val="0"/>
          <w:sz w:val="24"/>
          <w:szCs w:val="24"/>
          <w:lang w:val="en-GB"/>
        </w:rPr>
        <w:t xml:space="preserve">, M. and Rodríguez‐Martin, D. (2025) ‘Perception of mental health professionals on using humour in therapeutic relationships in acute mental health units’, </w:t>
      </w:r>
      <w:r w:rsidRPr="10C34A19" w:rsidR="05A3A2CB">
        <w:rPr>
          <w:rFonts w:ascii="Arial" w:hAnsi="Arial" w:eastAsia="Arial" w:cs="Arial"/>
          <w:i w:val="1"/>
          <w:iCs w:val="1"/>
          <w:noProof w:val="0"/>
          <w:sz w:val="24"/>
          <w:szCs w:val="24"/>
          <w:lang w:val="en-GB"/>
        </w:rPr>
        <w:t>International Journal of Mental Health Nursing</w:t>
      </w:r>
      <w:r w:rsidRPr="10C34A19" w:rsidR="05A3A2CB">
        <w:rPr>
          <w:rFonts w:ascii="Arial" w:hAnsi="Arial" w:eastAsia="Arial" w:cs="Arial"/>
          <w:noProof w:val="0"/>
          <w:sz w:val="24"/>
          <w:szCs w:val="24"/>
          <w:lang w:val="en-GB"/>
        </w:rPr>
        <w:t>, 34(2), p.e70028.</w:t>
      </w:r>
    </w:p>
    <w:p w:rsidR="05A3A2CB" w:rsidP="10C34A19" w:rsidRDefault="05A3A2CB" w14:paraId="3D597D0E" w14:textId="2427C259">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SCIE (2022) </w:t>
      </w:r>
      <w:r w:rsidRPr="10C34A19" w:rsidR="05A3A2CB">
        <w:rPr>
          <w:rFonts w:ascii="Arial" w:hAnsi="Arial" w:eastAsia="Arial" w:cs="Arial"/>
          <w:i w:val="1"/>
          <w:iCs w:val="1"/>
          <w:noProof w:val="0"/>
          <w:sz w:val="24"/>
          <w:szCs w:val="24"/>
          <w:lang w:val="en-GB"/>
        </w:rPr>
        <w:t>Person-centred care in practice</w:t>
      </w:r>
      <w:r w:rsidRPr="10C34A19" w:rsidR="05A3A2CB">
        <w:rPr>
          <w:rFonts w:ascii="Arial" w:hAnsi="Arial" w:eastAsia="Arial" w:cs="Arial"/>
          <w:noProof w:val="0"/>
          <w:sz w:val="24"/>
          <w:szCs w:val="24"/>
          <w:lang w:val="en-GB"/>
        </w:rPr>
        <w:t xml:space="preserve">. London: Social Care Institute for Excellence. Available at: </w:t>
      </w:r>
      <w:hyperlink r:id="R8d8a050a1e894b21">
        <w:r w:rsidRPr="10C34A19" w:rsidR="05A3A2CB">
          <w:rPr>
            <w:rStyle w:val="Hyperlink"/>
            <w:rFonts w:ascii="Arial" w:hAnsi="Arial" w:eastAsia="Arial" w:cs="Arial"/>
            <w:noProof w:val="0"/>
            <w:sz w:val="24"/>
            <w:szCs w:val="24"/>
            <w:lang w:val="en-GB"/>
          </w:rPr>
          <w:t>https://www.scie.org.uk</w:t>
        </w:r>
      </w:hyperlink>
      <w:r w:rsidRPr="10C34A19" w:rsidR="05A3A2CB">
        <w:rPr>
          <w:rFonts w:ascii="Arial" w:hAnsi="Arial" w:eastAsia="Arial" w:cs="Arial"/>
          <w:noProof w:val="0"/>
          <w:sz w:val="24"/>
          <w:szCs w:val="24"/>
          <w:lang w:val="en-GB"/>
        </w:rPr>
        <w:t xml:space="preserve"> (Accessed: 21 February 2026).</w:t>
      </w:r>
    </w:p>
    <w:p w:rsidR="05A3A2CB" w:rsidP="10C34A19" w:rsidRDefault="05A3A2CB" w14:paraId="74ACF9BD" w14:textId="3B2225BE">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Švab, I. and </w:t>
      </w:r>
      <w:r w:rsidRPr="10C34A19" w:rsidR="05A3A2CB">
        <w:rPr>
          <w:rFonts w:ascii="Arial" w:hAnsi="Arial" w:eastAsia="Arial" w:cs="Arial"/>
          <w:noProof w:val="0"/>
          <w:sz w:val="24"/>
          <w:szCs w:val="24"/>
          <w:lang w:val="en-GB"/>
        </w:rPr>
        <w:t>Cerovečki</w:t>
      </w:r>
      <w:r w:rsidRPr="10C34A19" w:rsidR="05A3A2CB">
        <w:rPr>
          <w:rFonts w:ascii="Arial" w:hAnsi="Arial" w:eastAsia="Arial" w:cs="Arial"/>
          <w:noProof w:val="0"/>
          <w:sz w:val="24"/>
          <w:szCs w:val="24"/>
          <w:lang w:val="en-GB"/>
        </w:rPr>
        <w:t xml:space="preserve">, V. (2024) ‘Person-centred care, a core concept of family medicine’, </w:t>
      </w:r>
      <w:r w:rsidRPr="10C34A19" w:rsidR="05A3A2CB">
        <w:rPr>
          <w:rFonts w:ascii="Arial" w:hAnsi="Arial" w:eastAsia="Arial" w:cs="Arial"/>
          <w:i w:val="1"/>
          <w:iCs w:val="1"/>
          <w:noProof w:val="0"/>
          <w:sz w:val="24"/>
          <w:szCs w:val="24"/>
          <w:lang w:val="en-GB"/>
        </w:rPr>
        <w:t>European Journal of General Practice</w:t>
      </w:r>
      <w:r w:rsidRPr="10C34A19" w:rsidR="05A3A2CB">
        <w:rPr>
          <w:rFonts w:ascii="Arial" w:hAnsi="Arial" w:eastAsia="Arial" w:cs="Arial"/>
          <w:noProof w:val="0"/>
          <w:sz w:val="24"/>
          <w:szCs w:val="24"/>
          <w:lang w:val="en-GB"/>
        </w:rPr>
        <w:t>, 30(1), p.2393860.</w:t>
      </w:r>
    </w:p>
    <w:p w:rsidR="05A3A2CB" w:rsidP="10C34A19" w:rsidRDefault="05A3A2CB" w14:paraId="4447DE93" w14:textId="039ABEF5">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 xml:space="preserve">Wijesekara, N., Priyashantha, K.R.W., </w:t>
      </w:r>
      <w:r w:rsidRPr="10C34A19" w:rsidR="05A3A2CB">
        <w:rPr>
          <w:rFonts w:ascii="Arial" w:hAnsi="Arial" w:eastAsia="Arial" w:cs="Arial"/>
          <w:noProof w:val="0"/>
          <w:sz w:val="24"/>
          <w:szCs w:val="24"/>
          <w:lang w:val="en-GB"/>
        </w:rPr>
        <w:t>Kodituwakku</w:t>
      </w:r>
      <w:r w:rsidRPr="10C34A19" w:rsidR="05A3A2CB">
        <w:rPr>
          <w:rFonts w:ascii="Arial" w:hAnsi="Arial" w:eastAsia="Arial" w:cs="Arial"/>
          <w:noProof w:val="0"/>
          <w:sz w:val="24"/>
          <w:szCs w:val="24"/>
          <w:lang w:val="en-GB"/>
        </w:rPr>
        <w:t xml:space="preserve">, L., </w:t>
      </w:r>
      <w:r w:rsidRPr="10C34A19" w:rsidR="05A3A2CB">
        <w:rPr>
          <w:rFonts w:ascii="Arial" w:hAnsi="Arial" w:eastAsia="Arial" w:cs="Arial"/>
          <w:noProof w:val="0"/>
          <w:sz w:val="24"/>
          <w:szCs w:val="24"/>
          <w:lang w:val="en-GB"/>
        </w:rPr>
        <w:t>Wedamulla</w:t>
      </w:r>
      <w:r w:rsidRPr="10C34A19" w:rsidR="05A3A2CB">
        <w:rPr>
          <w:rFonts w:ascii="Arial" w:hAnsi="Arial" w:eastAsia="Arial" w:cs="Arial"/>
          <w:noProof w:val="0"/>
          <w:sz w:val="24"/>
          <w:szCs w:val="24"/>
          <w:lang w:val="en-GB"/>
        </w:rPr>
        <w:t xml:space="preserve">, A. and Samarakoon, S. (2026) ‘Compassion in health emergency management in Sri Lanka’, </w:t>
      </w:r>
      <w:r w:rsidRPr="10C34A19" w:rsidR="05A3A2CB">
        <w:rPr>
          <w:rFonts w:ascii="Arial" w:hAnsi="Arial" w:eastAsia="Arial" w:cs="Arial"/>
          <w:i w:val="1"/>
          <w:iCs w:val="1"/>
          <w:noProof w:val="0"/>
          <w:sz w:val="24"/>
          <w:szCs w:val="24"/>
          <w:lang w:val="en-GB"/>
        </w:rPr>
        <w:t>International Journal of Wellbeing</w:t>
      </w:r>
      <w:r w:rsidRPr="10C34A19" w:rsidR="05A3A2CB">
        <w:rPr>
          <w:rFonts w:ascii="Arial" w:hAnsi="Arial" w:eastAsia="Arial" w:cs="Arial"/>
          <w:noProof w:val="0"/>
          <w:sz w:val="24"/>
          <w:szCs w:val="24"/>
          <w:lang w:val="en-GB"/>
        </w:rPr>
        <w:t>, 16(2).</w:t>
      </w:r>
    </w:p>
    <w:p w:rsidR="05A3A2CB" w:rsidP="10C34A19" w:rsidRDefault="05A3A2CB" w14:paraId="2442B559" w14:textId="317551AB">
      <w:pPr>
        <w:spacing w:before="240" w:beforeAutospacing="off" w:after="240" w:afterAutospacing="off" w:line="360" w:lineRule="auto"/>
        <w:rPr>
          <w:rFonts w:ascii="Arial" w:hAnsi="Arial" w:eastAsia="Arial" w:cs="Arial"/>
          <w:noProof w:val="0"/>
          <w:sz w:val="24"/>
          <w:szCs w:val="24"/>
          <w:lang w:val="en-GB"/>
        </w:rPr>
      </w:pPr>
      <w:r w:rsidRPr="10C34A19" w:rsidR="05A3A2CB">
        <w:rPr>
          <w:rFonts w:ascii="Arial" w:hAnsi="Arial" w:eastAsia="Arial" w:cs="Arial"/>
          <w:noProof w:val="0"/>
          <w:sz w:val="24"/>
          <w:szCs w:val="24"/>
          <w:lang w:val="en-GB"/>
        </w:rPr>
        <w:t>Zabelski</w:t>
      </w:r>
      <w:r w:rsidRPr="10C34A19" w:rsidR="05A3A2CB">
        <w:rPr>
          <w:rFonts w:ascii="Arial" w:hAnsi="Arial" w:eastAsia="Arial" w:cs="Arial"/>
          <w:noProof w:val="0"/>
          <w:sz w:val="24"/>
          <w:szCs w:val="24"/>
          <w:lang w:val="en-GB"/>
        </w:rPr>
        <w:t xml:space="preserve">, S., Hopper, L.N., Alexander, A.A., Cramer, </w:t>
      </w:r>
      <w:r w:rsidRPr="10C34A19" w:rsidR="05A3A2CB">
        <w:rPr>
          <w:rFonts w:ascii="Arial" w:hAnsi="Arial" w:eastAsia="Arial" w:cs="Arial"/>
          <w:noProof w:val="0"/>
          <w:sz w:val="24"/>
          <w:szCs w:val="24"/>
          <w:lang w:val="en-GB"/>
        </w:rPr>
        <w:t>R.J.</w:t>
      </w:r>
      <w:r w:rsidRPr="10C34A19" w:rsidR="05A3A2CB">
        <w:rPr>
          <w:rFonts w:ascii="Arial" w:hAnsi="Arial" w:eastAsia="Arial" w:cs="Arial"/>
          <w:noProof w:val="0"/>
          <w:sz w:val="24"/>
          <w:szCs w:val="24"/>
          <w:lang w:val="en-GB"/>
        </w:rPr>
        <w:t xml:space="preserve"> and Reid, S.E. (2026) ‘“We get stuck in our own little bubbles”: How community mental healthcare professionals acknowledge their role in interorganizational collaboration’, </w:t>
      </w:r>
      <w:r w:rsidRPr="10C34A19" w:rsidR="05A3A2CB">
        <w:rPr>
          <w:rFonts w:ascii="Arial" w:hAnsi="Arial" w:eastAsia="Arial" w:cs="Arial"/>
          <w:i w:val="1"/>
          <w:iCs w:val="1"/>
          <w:noProof w:val="0"/>
          <w:sz w:val="24"/>
          <w:szCs w:val="24"/>
          <w:lang w:val="en-GB"/>
        </w:rPr>
        <w:t>Community Mental Health Journal</w:t>
      </w:r>
      <w:r w:rsidRPr="10C34A19" w:rsidR="05A3A2CB">
        <w:rPr>
          <w:rFonts w:ascii="Arial" w:hAnsi="Arial" w:eastAsia="Arial" w:cs="Arial"/>
          <w:noProof w:val="0"/>
          <w:sz w:val="24"/>
          <w:szCs w:val="24"/>
          <w:lang w:val="en-GB"/>
        </w:rPr>
        <w:t>, 62(2), pp.301–315.</w:t>
      </w:r>
    </w:p>
    <w:p w:rsidR="10C34A19" w:rsidP="10C34A19" w:rsidRDefault="10C34A19" w14:paraId="466AC9BC" w14:textId="0936DFF3">
      <w:pPr>
        <w:pStyle w:val="Normal"/>
        <w:spacing w:line="360" w:lineRule="auto"/>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b447c31ad04b46d5"/>
      <w:footerReference w:type="default" r:id="R6c7a22bdfa3744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C34A19" w:rsidTr="10C34A19" w14:paraId="274B5B0A">
      <w:trPr>
        <w:trHeight w:val="300"/>
      </w:trPr>
      <w:tc>
        <w:tcPr>
          <w:tcW w:w="3005" w:type="dxa"/>
          <w:tcMar/>
        </w:tcPr>
        <w:p w:rsidR="10C34A19" w:rsidP="10C34A19" w:rsidRDefault="10C34A19" w14:paraId="4CF19F40" w14:textId="615E4778">
          <w:pPr>
            <w:pStyle w:val="Header"/>
            <w:bidi w:val="0"/>
            <w:ind w:left="-115"/>
            <w:jc w:val="left"/>
          </w:pPr>
        </w:p>
      </w:tc>
      <w:tc>
        <w:tcPr>
          <w:tcW w:w="3005" w:type="dxa"/>
          <w:tcMar/>
        </w:tcPr>
        <w:p w:rsidR="10C34A19" w:rsidP="10C34A19" w:rsidRDefault="10C34A19" w14:paraId="53489C34" w14:textId="1CD7124D">
          <w:pPr>
            <w:pStyle w:val="Header"/>
            <w:bidi w:val="0"/>
            <w:jc w:val="center"/>
          </w:pPr>
          <w:r>
            <w:fldChar w:fldCharType="begin"/>
          </w:r>
          <w:r>
            <w:instrText xml:space="preserve">PAGE</w:instrText>
          </w:r>
          <w:r>
            <w:fldChar w:fldCharType="separate"/>
          </w:r>
          <w:r>
            <w:fldChar w:fldCharType="end"/>
          </w:r>
        </w:p>
      </w:tc>
      <w:tc>
        <w:tcPr>
          <w:tcW w:w="3005" w:type="dxa"/>
          <w:tcMar/>
        </w:tcPr>
        <w:p w:rsidR="10C34A19" w:rsidP="10C34A19" w:rsidRDefault="10C34A19" w14:paraId="64C9DA57" w14:textId="50D39BDC">
          <w:pPr>
            <w:pStyle w:val="Header"/>
            <w:bidi w:val="0"/>
            <w:ind w:right="-115"/>
            <w:jc w:val="right"/>
          </w:pPr>
        </w:p>
      </w:tc>
    </w:tr>
  </w:tbl>
  <w:p w:rsidR="10C34A19" w:rsidP="10C34A19" w:rsidRDefault="10C34A19" w14:paraId="716B86CC" w14:textId="617D0C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C34A19" w:rsidTr="10C34A19" w14:paraId="78B2E6C4">
      <w:trPr>
        <w:trHeight w:val="300"/>
      </w:trPr>
      <w:tc>
        <w:tcPr>
          <w:tcW w:w="3005" w:type="dxa"/>
          <w:tcMar/>
        </w:tcPr>
        <w:p w:rsidR="10C34A19" w:rsidP="10C34A19" w:rsidRDefault="10C34A19" w14:paraId="0C4767C2" w14:textId="610BA4BC">
          <w:pPr>
            <w:pStyle w:val="Header"/>
            <w:bidi w:val="0"/>
            <w:ind w:left="-115"/>
            <w:jc w:val="left"/>
          </w:pPr>
        </w:p>
      </w:tc>
      <w:tc>
        <w:tcPr>
          <w:tcW w:w="3005" w:type="dxa"/>
          <w:tcMar/>
        </w:tcPr>
        <w:p w:rsidR="10C34A19" w:rsidP="10C34A19" w:rsidRDefault="10C34A19" w14:paraId="3D18224C" w14:textId="18C51AB0">
          <w:pPr>
            <w:pStyle w:val="Header"/>
            <w:bidi w:val="0"/>
            <w:jc w:val="center"/>
          </w:pPr>
        </w:p>
      </w:tc>
      <w:tc>
        <w:tcPr>
          <w:tcW w:w="3005" w:type="dxa"/>
          <w:tcMar/>
        </w:tcPr>
        <w:p w:rsidR="10C34A19" w:rsidP="10C34A19" w:rsidRDefault="10C34A19" w14:paraId="23BDD97D" w14:textId="6968AB85">
          <w:pPr>
            <w:pStyle w:val="Header"/>
            <w:bidi w:val="0"/>
            <w:ind w:right="-115"/>
            <w:jc w:val="right"/>
          </w:pPr>
        </w:p>
      </w:tc>
    </w:tr>
  </w:tbl>
  <w:p w:rsidR="10C34A19" w:rsidP="10C34A19" w:rsidRDefault="10C34A19" w14:paraId="64A742E1" w14:textId="521B665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QY+UlCq5mrEMFy" int2:id="6P50pWMs">
      <int2:state int2:type="spell" int2:value="Rejected"/>
    </int2:textHash>
    <int2:textHash int2:hashCode="UUkOM1hWCRtsDs" int2:id="LHQyOBqd">
      <int2:state int2:type="spell" int2:value="Rejected"/>
    </int2:textHash>
    <int2:textHash int2:hashCode="//+9Qx9MDn8rbu" int2:id="OHWqhFLQ">
      <int2:state int2:type="spell" int2:value="Rejected"/>
    </int2:textHash>
    <int2:textHash int2:hashCode="bp3fbtCknKL6GN" int2:id="Dp34O9Dc">
      <int2:state int2:type="spell" int2:value="Rejected"/>
    </int2:textHash>
    <int2:textHash int2:hashCode="BtK/luVh6boOH2" int2:id="nQgJDeOJ">
      <int2:state int2:type="spell" int2:value="Rejected"/>
    </int2:textHash>
    <int2:textHash int2:hashCode="rH4hC3gljzgtFY" int2:id="2oq0ywfi">
      <int2:state int2:type="spell" int2:value="Rejected"/>
    </int2:textHash>
    <int2:textHash int2:hashCode="hTQRzmgtayluID" int2:id="LvfNCAay">
      <int2:state int2:type="spell" int2:value="Rejected"/>
    </int2:textHash>
    <int2:textHash int2:hashCode="Ef53+qmgAlV5pi" int2:id="zAKjVgDC">
      <int2:state int2:type="spell" int2:value="Rejected"/>
    </int2:textHash>
    <int2:textHash int2:hashCode="UEualW6S1ICse7" int2:id="2BSwPovb">
      <int2:state int2:type="spell" int2:value="Rejected"/>
    </int2:textHash>
    <int2:bookmark int2:bookmarkName="_Int_WiLKnhda" int2:invalidationBookmarkName="" int2:hashCode="XdMv/Pe+TfOTFH" int2:id="hpUdZWUR">
      <int2:state int2:type="style" int2:value="Rejected"/>
    </int2:bookmark>
    <int2:bookmark int2:bookmarkName="_Int_KPhV3VKL" int2:invalidationBookmarkName="" int2:hashCode="nxAdZHLxi0Tc8m" int2:id="YhN1t6Vg">
      <int2:state int2:type="gram" int2:value="Rejected"/>
    </int2:bookmark>
    <int2:bookmark int2:bookmarkName="_Int_UOmeOiFf" int2:invalidationBookmarkName="" int2:hashCode="Vf2c0lvQPB1WkD" int2:id="IBX2ZSTb">
      <int2:state int2:type="style" int2:value="Rejected"/>
    </int2:bookmark>
    <int2:bookmark int2:bookmarkName="_Int_hfFwni6u" int2:invalidationBookmarkName="" int2:hashCode="Mp1bZnFndLlbJ2" int2:id="96gqHjCi">
      <int2:extLst>
        <oel:ext uri="426473B9-03D8-482F-96C9-C2C85392BACA">
          <int2:similarityCritique int2:version="1" int2:context="Gyllensten, H., Cederberg, M., Alsén, S., Blanck, E., Ali, L., Fors, A., Hedman, H., Nørmark, L.P., Swedberg, K. and Ekman, I., 2025.">
            <int2:source int2:sourceType="Online" int2:sourceTitle="Inger Ekman – Wikipedia" int2:sourceUrl="https://sv.wikipedia.org/wiki/Inger_Ekman" int2:sourceSnippet="Gyllensten H, Cederberg M, Alsén S, Blanck E, Ali L, Fors A, Hedman H, Nørmark LP, Swedberg K, Ekman I. Person-Centred Care: State-of-the-Art and Future Perspectives.">
              <int2:suggestions int2:citationType="Inline">
                <int2:suggestion int2:citationStyle="Mla" int2:isIdentical="0">
                  <int2:citationText>(“Inger Ekman – Wikipedia”)</int2:citationText>
                </int2:suggestion>
                <int2:suggestion int2:citationStyle="Apa" int2:isIdentical="0">
                  <int2:citationText>(“Inger Ekman – Wikipedia”)</int2:citationText>
                </int2:suggestion>
                <int2:suggestion int2:citationStyle="Chicago" int2:isIdentical="0">
                  <int2:citationText>(“Inger Ekman – Wikipedia”)</int2:citationText>
                </int2:suggestion>
              </int2:suggestions>
              <int2:suggestions int2:citationType="Full">
                <int2:suggestion int2:citationStyle="Mla" int2:isIdentical="0">
                  <int2:citationText>&lt;i&gt;Inger Ekman – Wikipedia&lt;/i&gt;, https://sv.wikipedia.org/wiki/Inger_Ekman.</int2:citationText>
                </int2:suggestion>
                <int2:suggestion int2:citationStyle="Apa" int2:isIdentical="0">
                  <int2:citationText>&lt;i&gt;Inger Ekman – Wikipedia&lt;/i&gt;. (n.d.). Retrieved from https://sv.wikipedia.org/wiki/Inger_Ekman</int2:citationText>
                </int2:suggestion>
                <int2:suggestion int2:citationStyle="Chicago" int2:isIdentical="0">
                  <int2:citationText>“Inger Ekman – Wikipedia” n.d., https://sv.wikipedia.org/wiki/Inger_Ekman.</int2:citationText>
                </int2:suggestion>
              </int2:suggestions>
            </int2:source>
            <int2:source int2:sourceType="Online" int2:sourceTitle="Laura Elina Pirhonen Nørmark - Københavns Universitets Forskningsportal" int2:sourceUrl="https://researchprofiles.ku.dk/da/persons/laura-elina-pirhonen-n%C3%B8rmark/" int2:sourceSnippet="Gyllensten, H., Cederberg, M., Alsén, S., Blanck, E., Ali, L., Fors, A., Hedman, H., Nørmark, L. P., Swedberg, K. &amp; Ekman, I., 2025, I: Current Heart Failure Reports. 22, 1, 10 s., 15.">
              <int2:suggestions int2:citationType="Inline">
                <int2:suggestion int2:citationStyle="Mla" int2:isIdentical="0">
                  <int2:citationText>(“Laura Elina Pirhonen Nørmark - Københavns Universitets Forskningsportal”)</int2:citationText>
                </int2:suggestion>
                <int2:suggestion int2:citationStyle="Apa" int2:isIdentical="0">
                  <int2:citationText>(“Laura Elina Pirhonen Nørmark - Københavns Universitets Forskningsportal”)</int2:citationText>
                </int2:suggestion>
                <int2:suggestion int2:citationStyle="Chicago" int2:isIdentical="0">
                  <int2:citationText>(“Laura Elina Pirhonen Nørmark - Københavns Universitets Forskningsportal”)</int2:citationText>
                </int2:suggestion>
              </int2:suggestions>
              <int2:suggestions int2:citationType="Full">
                <int2:suggestion int2:citationStyle="Mla" int2:isIdentical="0">
                  <int2:citationText>&lt;i&gt;Laura Elina Pirhonen Nørmark - Københavns Universitets Forskningsportal&lt;/i&gt;, https://researchprofiles.ku.dk/da/persons/laura-elina-pirhonen-n%C3%B8rmark/.</int2:citationText>
                </int2:suggestion>
                <int2:suggestion int2:citationStyle="Apa" int2:isIdentical="0">
                  <int2:citationText>&lt;i&gt;Laura Elina Pirhonen Nørmark - Københavns Universitets Forskningsportal&lt;/i&gt;. (n.d.). Retrieved from https://researchprofiles.ku.dk/da/persons/laura-elina-pirhonen-n%C3%B8rmark/</int2:citationText>
                </int2:suggestion>
                <int2:suggestion int2:citationStyle="Chicago" int2:isIdentical="0">
                  <int2:citationText>“Laura Elina Pirhonen Nørmark - Københavns Universitets Forskningsportal” n.d., https://researchprofiles.ku.dk/da/persons/laura-elina-pirhonen-n%C3%B8rmark/.</int2:citationText>
                </int2:suggestion>
              </int2:suggestions>
            </int2:source>
            <int2:source int2:sourceType="Online" int2:sourceTitle="Laura Elina Pirhonen Nørmark - University of Copenhagen Research Portal" int2:sourceUrl="https://researchprofiles.ku.dk/en/persons/laura-elina-pirhonen-n%C3%B8rmark/" int2:sourceSnippet="Gyllensten, H., Cederberg, M., Alsén, S., Blanck, E., Ali, L., Fors, A., Hedman, H., Nørmark, L. P., Swedberg, K. &amp; Ekman, I., 2025, In: Current Heart Failure Reports. 22, 1, 10 p., 15.">
              <int2:suggestions int2:citationType="Inline">
                <int2:suggestion int2:citationStyle="Mla" int2:isIdentical="0">
                  <int2:citationText>(“Laura Elina Pirhonen Nørmark - University of Copenhagen Research Portal”)</int2:citationText>
                </int2:suggestion>
                <int2:suggestion int2:citationStyle="Apa" int2:isIdentical="0">
                  <int2:citationText>(“Laura Elina Pirhonen Nørmark - University of Copenhagen Research Portal”)</int2:citationText>
                </int2:suggestion>
                <int2:suggestion int2:citationStyle="Chicago" int2:isIdentical="0">
                  <int2:citationText>(“Laura Elina Pirhonen Nørmark - University of Copenhagen Research Portal”)</int2:citationText>
                </int2:suggestion>
              </int2:suggestions>
              <int2:suggestions int2:citationType="Full">
                <int2:suggestion int2:citationStyle="Mla" int2:isIdentical="0">
                  <int2:citationText>&lt;i&gt;Laura Elina Pirhonen Nørmark - University of Copenhagen Research Portal&lt;/i&gt;, https://researchprofiles.ku.dk/en/persons/laura-elina-pirhonen-n%C3%B8rmark/.</int2:citationText>
                </int2:suggestion>
                <int2:suggestion int2:citationStyle="Apa" int2:isIdentical="0">
                  <int2:citationText>&lt;i&gt;Laura Elina Pirhonen Nørmark - University of Copenhagen Research Portal&lt;/i&gt;. (n.d.). Retrieved from https://researchprofiles.ku.dk/en/persons/laura-elina-pirhonen-n%C3%B8rmark/</int2:citationText>
                </int2:suggestion>
                <int2:suggestion int2:citationStyle="Chicago" int2:isIdentical="0">
                  <int2:citationText>“Laura Elina Pirhonen Nørmark - University of Copenhagen Research Portal” n.d., https://researchprofiles.ku.dk/en/persons/laura-elina-pirhonen-n%C3%B8rmark/.</int2:citationText>
                </int2:suggestion>
              </int2:suggestions>
            </int2:source>
          </int2:similarityCritique>
        </oel:ext>
      </int2:extLst>
    </int2:bookmark>
    <int2:bookmark int2:bookmarkName="_Int_Ek0HiyTd" int2:invalidationBookmarkName="" int2:hashCode="lRUjFrl4m6sCuh" int2:id="XQhcvs2E">
      <int2:extLst>
        <oel:ext uri="426473B9-03D8-482F-96C9-C2C85392BACA">
          <int2:similarityCritique int2:version="1" int2:context="NICE (2015) Home Care: delivering personal care and practical support.">
            <int2:source int2:sourceType="Online" int2:sourceTitle="Home care: delivering personal care and practical support to older ..." int2:sourceUrl="https://irp.cdn-website.com/b0af8e6c/files/uploaded/Delivering_Personal_Care.pdf" int2:sourceSnippet="Home care: delivering personal care and practical support to older people living in their own homes NICE guideline Published: 17 September 2015">
              <int2:suggestions int2:citationType="Inline">
                <int2:suggestion int2:citationStyle="Mla" int2:isIdentical="0">
                  <int2:citationText>(“Home care: delivering personal care and practical support to older ...”)</int2:citationText>
                </int2:suggestion>
                <int2:suggestion int2:citationStyle="Apa" int2:isIdentical="0">
                  <int2:citationText>(“Home care: delivering personal care and practical support to older ...”)</int2:citationText>
                </int2:suggestion>
                <int2:suggestion int2:citationStyle="Chicago" int2:isIdentical="0">
                  <int2:citationText>(“Home care: delivering personal care and practical support to older ...”)</int2:citationText>
                </int2:suggestion>
              </int2:suggestions>
              <int2:suggestions int2:citationType="Full">
                <int2:suggestion int2:citationStyle="Mla" int2:isIdentical="0">
                  <int2:citationText>&lt;i&gt;Home care: delivering personal care and practical support to older ...&lt;/i&gt;, https://irp.cdn-website.com/b0af8e6c/files/uploaded/Delivering_Personal_Care.pdf.</int2:citationText>
                </int2:suggestion>
                <int2:suggestion int2:citationStyle="Apa" int2:isIdentical="0">
                  <int2:citationText>&lt;i&gt;Home care: delivering personal care and practical support to older ...&lt;/i&gt;. (n.d.). Retrieved from https://irp.cdn-website.com/b0af8e6c/files/uploaded/Delivering_Personal_Care.pdf</int2:citationText>
                </int2:suggestion>
                <int2:suggestion int2:citationStyle="Chicago" int2:isIdentical="0">
                  <int2:citationText>“Home care: delivering personal care and practical support to older ...” n.d., https://irp.cdn-website.com/b0af8e6c/files/uploaded/Delivering_Personal_Care.pdf.</int2:citationText>
                </int2:suggestion>
              </int2:suggestions>
            </int2:source>
            <int2:source int2:sourceType="Online" int2:sourceTitle="Home care: delivering personal care and practical support to older ..." int2:sourceUrl="https://essenceproject.uk/evidence/home-care-delivering-personal-care-and-practical-support-to-older-people-living-in-their-own-homes-ng21/" int2:sourceSnippet="Home Care: Delivering Personal Care and Practical Support to Older People Living in their Own Homes [NG21] Home Care: Delivering Personal Care and Practical Support to Older People Living in their Own Homes [NG21] The National Institute for Health and Care Excellence (NICE) National Institute for Health and Care Excellence, London. 2015">
              <int2:suggestions int2:citationType="Inline">
                <int2:suggestion int2:citationStyle="Mla" int2:isIdentical="0">
                  <int2:citationText>(“Home care: delivering personal care and practical support to older ...”)</int2:citationText>
                </int2:suggestion>
                <int2:suggestion int2:citationStyle="Apa" int2:isIdentical="0">
                  <int2:citationText>(“Home care: delivering personal care and practical support to older ...”)</int2:citationText>
                </int2:suggestion>
                <int2:suggestion int2:citationStyle="Chicago" int2:isIdentical="0">
                  <int2:citationText>(“Home care: delivering personal care and practical support to older ...”)</int2:citationText>
                </int2:suggestion>
              </int2:suggestions>
              <int2:suggestions int2:citationType="Full">
                <int2:suggestion int2:citationStyle="Mla" int2:isIdentical="0">
                  <int2:citationText>&lt;i&gt;Home care: delivering personal care and practical support to older ...&lt;/i&gt;, https://essenceproject.uk/evidence/home-care-delivering-personal-care-and-practical-support-to-older-people-living-in-their-own-homes-ng21/.</int2:citationText>
                </int2:suggestion>
                <int2:suggestion int2:citationStyle="Apa" int2:isIdentical="0">
                  <int2:citationText>&lt;i&gt;Home care: delivering personal care and practical support to older ...&lt;/i&gt;. (n.d.). Retrieved from https://essenceproject.uk/evidence/home-care-delivering-personal-care-and-practical-support-to-older-people-living-in-their-own-homes-ng21/</int2:citationText>
                </int2:suggestion>
                <int2:suggestion int2:citationStyle="Chicago" int2:isIdentical="0">
                  <int2:citationText>“Home care: delivering personal care and practical support to older ...” n.d., https://essenceproject.uk/evidence/home-care-delivering-personal-care-and-practical-support-to-older-people-living-in-their-own-homes-ng21/.</int2:citationText>
                </int2:suggestion>
              </int2:suggestions>
            </int2:source>
          </int2:similarityCritique>
        </oel:ext>
      </int2:extLst>
    </int2:bookmark>
    <int2:entireDocument int2:id="bcbo5FAK">
      <int2:extLst>
        <oel:ext uri="E302BA01-7950-474C-9AD3-286E660C40A8">
          <int2:similaritySummary int2:version="1" int2:runId="1773003481862" int2:tilesCheckedInThisRun="23" int2:totalNumOfTiles="23" int2:similarityAnnotationCount="3" int2:numWords="1053" int2:numFlaggedWords="46"/>
        </oel:ext>
      </int2:extLst>
    </int2:entireDocument>
  </int2:observations>
  <int2:intelligenceSettings/>
  <int2:onDemandWorkflows>
    <int2:onDemandWorkflow int2:type="SimilarityCheck" int2:paragraphVersions="3E2E71B3-7972A436 5CD52778-138B44A3 2DDA7905-2B7141FA 5E5787A5-37FF7CB6 7AF7994E-7D4CA456 1DE83137-337ED1EC 63C974E1-0EEAF9DE 2B54906C-29593BFC 4A5D061C-7DB2A063 354DD685-4EFCFBEE 6CC64B54-47B4EB03 1DEF73CD-7CC2DC4E 214F47D0-10BEFC3A 0079D85B-2CEE8A5E 6FF062C0-044A591A 0281D2E0-1958BA62 2C67BA01-5F29ECC5 27F343D0-47F70987 1751DD9D-2E2BDE36 074ED3E8-6B89CB36 314DA64C-126B01BD 12374BD4-5C975D9B 78BC1F59-3644B79B 297050AA-4AAB5E04 47DF7F95-05A561EB 1A3EF0B9-783F8E3F 4EC4DCA7-2B381081 1D0CCE8E-1F2DB76F 001119DE-31C6D068 38D0790F-377E7457 3C23DD06-53BB87CF 520D2B17-2309A5D7 0914C173-177080F0 504BBB62-13936FEF 71D2A271-7B709F6E 18DAE887-753FCF39 7F28CE9A-59D14D2F 1ABCFF9A-699BF31E 19FBF628-5510A5F7 2699EBE8-2AD302D5 36B36C1E-541BDA9E 0DE68C7B-6B60B8CB 14B9C820-2ED8CA61 4AEDCB45-3F0DE3E3 290B28D9-2DDDF8DB 4C5B7B43-368C245B 4C1F5454-214C646A 7ABF6ABB-21E70FF7 01ACB327-79FC6E2F 1C57C64D-53D58002 18B95628-171C717C 35E0432C-18FEE715 79B122BD-757DF2BD 11B7CD0F-64ED7A72 132F9E2E-7ECF6A56 4E3D86ED-4F08C807 60838B70-0A0748C0 6C1E6C0B-20D35DFE 62C65121-7B60F578 59F7027F-346F33BE 76FEC021-1EA48AFC 747E1A99-080F2301 4D4E9E25-68AC7E05 4E0B1CC9-59B9D9FC 3BC24895-0BA45B79 49004E3B-783F77E2 744EE4A0-6FCCD56F 61A099AA-3B9D32DA 22BD8A71-40F1B7F1 0063FA0F-5AD477ED 7AD17557-256A0E14 129C0A96-343F1D86 42BC1671-10D4CC61 7B7DA1C7-5286D29C 176A58D4-61F77F1C 63F2DFB3-1139E641 2854BD16-741602A4 0836356A-0BC5F905 07189CB9-191C1AAB 11930456-4CEF9942 5442C234-74808BF9 145149BF-172D4D6B 7192DBBC-0892DB37 4FFB1F65-1CF23614 05E58B4D-4060DD8C 1F46E6AB-029CDE75 19FEB501-7C10E3F7 3C03955C-2B44166B 59B88405-528C1301 557FDCF0-57E6F25D 17EE6FD8-787D12A9 0782D9A9-7A666EE7 4B8CCAF2-287D28A2 485AB54C-2BAFEC02 71D5FA45-68945E97 66D5AEB5-03CF6D6A 52550E0C-41B4C25C 39F5A0D8-6E6664D3 04ACB5AD-04E298A6 30E4AC88-23F7957E 108AF985-4B04A5A7 7BED8790-082496FB 0F015F99-4BE75C43 54831ED4-5E39549B 77E35A7D-249F47D3 3DE4BCF3-0B2086BE 5765DA76-0B2D48B0 569303C0-64E381C7 55ED1354-6FA5B115 69B33A81-014FD5FE 257E642B-4918DE3E 285C0BF3-1490513D 5963AA3F-589E9D92 7DB32417-57653BAE 0C7A33ED-11555F42 5035AFA6-4A3A0DE3 5DF6E12B-5F1D60B4 4774A1B6-5DD31A77 24EF2B96-1196958A 0C4767C2-610BA4BC 3D18224C-18C51AB0 23BDD97D-6968AB85 64A742E1-521B6658 4CF19F40-615E4778 53489C34-1CD7124D 64C9DA57-50D39BDC 716B86CC-617D0CB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71F056"/>
    <w:rsid w:val="00B80972"/>
    <w:rsid w:val="04F09320"/>
    <w:rsid w:val="05A3A2CB"/>
    <w:rsid w:val="05C5B3A7"/>
    <w:rsid w:val="0DA474D2"/>
    <w:rsid w:val="0EA165A9"/>
    <w:rsid w:val="0EE9A109"/>
    <w:rsid w:val="10C34A19"/>
    <w:rsid w:val="112C47DE"/>
    <w:rsid w:val="11EEB33B"/>
    <w:rsid w:val="167D9FDF"/>
    <w:rsid w:val="1687E38A"/>
    <w:rsid w:val="16B59B36"/>
    <w:rsid w:val="1821A3AD"/>
    <w:rsid w:val="1A59B625"/>
    <w:rsid w:val="1BB51FF1"/>
    <w:rsid w:val="1C2CC18B"/>
    <w:rsid w:val="1C3DE1C9"/>
    <w:rsid w:val="1D18400C"/>
    <w:rsid w:val="1DB67579"/>
    <w:rsid w:val="20573E13"/>
    <w:rsid w:val="22C35E92"/>
    <w:rsid w:val="25045874"/>
    <w:rsid w:val="27D19078"/>
    <w:rsid w:val="29622B8C"/>
    <w:rsid w:val="2A507AF9"/>
    <w:rsid w:val="2AC74DD9"/>
    <w:rsid w:val="2C098392"/>
    <w:rsid w:val="2CB7B6C7"/>
    <w:rsid w:val="2EEF7C03"/>
    <w:rsid w:val="2F0FFC0A"/>
    <w:rsid w:val="2F49F57D"/>
    <w:rsid w:val="30A694B1"/>
    <w:rsid w:val="30C2B8D4"/>
    <w:rsid w:val="31690B23"/>
    <w:rsid w:val="330CE571"/>
    <w:rsid w:val="33E42B80"/>
    <w:rsid w:val="358194F2"/>
    <w:rsid w:val="37DCCA12"/>
    <w:rsid w:val="3ADC7580"/>
    <w:rsid w:val="3B1FE48B"/>
    <w:rsid w:val="3FB7C523"/>
    <w:rsid w:val="41CD3E1A"/>
    <w:rsid w:val="423339C0"/>
    <w:rsid w:val="430B3D85"/>
    <w:rsid w:val="4371F056"/>
    <w:rsid w:val="43A7BE07"/>
    <w:rsid w:val="47B5F28E"/>
    <w:rsid w:val="486C84A2"/>
    <w:rsid w:val="4A7F23BF"/>
    <w:rsid w:val="4C888027"/>
    <w:rsid w:val="4D005E4D"/>
    <w:rsid w:val="50260D6F"/>
    <w:rsid w:val="52AD3D0D"/>
    <w:rsid w:val="52CA62C7"/>
    <w:rsid w:val="53BCF011"/>
    <w:rsid w:val="53E37971"/>
    <w:rsid w:val="559AF516"/>
    <w:rsid w:val="5738539D"/>
    <w:rsid w:val="582BD6BD"/>
    <w:rsid w:val="592F777E"/>
    <w:rsid w:val="59569442"/>
    <w:rsid w:val="5D67C500"/>
    <w:rsid w:val="5E32CE77"/>
    <w:rsid w:val="5E77838A"/>
    <w:rsid w:val="6039141F"/>
    <w:rsid w:val="60BA262C"/>
    <w:rsid w:val="619FF740"/>
    <w:rsid w:val="62AC6EFB"/>
    <w:rsid w:val="62DC73DC"/>
    <w:rsid w:val="657EDAE3"/>
    <w:rsid w:val="675E5F1E"/>
    <w:rsid w:val="697F273F"/>
    <w:rsid w:val="6B7604C7"/>
    <w:rsid w:val="6BE1EC29"/>
    <w:rsid w:val="6F6BCCA2"/>
    <w:rsid w:val="746D74AC"/>
    <w:rsid w:val="75E72653"/>
    <w:rsid w:val="76B17F91"/>
    <w:rsid w:val="76C0F9B9"/>
    <w:rsid w:val="76D02EAB"/>
    <w:rsid w:val="77841818"/>
    <w:rsid w:val="7AC8B796"/>
    <w:rsid w:val="7B1DFDD1"/>
    <w:rsid w:val="7BB76614"/>
    <w:rsid w:val="7BEDD555"/>
    <w:rsid w:val="7DFCD6A2"/>
    <w:rsid w:val="7FD02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1F056"/>
  <w15:chartTrackingRefBased/>
  <w15:docId w15:val="{5CC4F239-231A-438B-8734-9A26D99C6E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0C34A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0C34A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0C34A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0C34A19"/>
    <w:rPr>
      <w:color w:val="467886"/>
      <w:u w:val="single"/>
    </w:rPr>
  </w:style>
  <w:style w:type="paragraph" w:styleId="Header">
    <w:uiPriority w:val="99"/>
    <w:name w:val="header"/>
    <w:basedOn w:val="Normal"/>
    <w:unhideWhenUsed/>
    <w:rsid w:val="10C34A19"/>
    <w:pPr>
      <w:tabs>
        <w:tab w:val="center" w:leader="none" w:pos="4680"/>
        <w:tab w:val="right" w:leader="none" w:pos="9360"/>
      </w:tabs>
      <w:spacing w:after="0" w:line="240" w:lineRule="auto"/>
    </w:pPr>
  </w:style>
  <w:style w:type="paragraph" w:styleId="Footer">
    <w:uiPriority w:val="99"/>
    <w:name w:val="footer"/>
    <w:basedOn w:val="Normal"/>
    <w:unhideWhenUsed/>
    <w:rsid w:val="10C34A19"/>
    <w:pPr>
      <w:tabs>
        <w:tab w:val="center" w:leader="none" w:pos="4680"/>
        <w:tab w:val="right" w:leader="none" w:pos="9360"/>
      </w:tabs>
      <w:spacing w:after="0" w:line="240" w:lineRule="auto"/>
    </w:pPr>
  </w:style>
  <w:style w:type="paragraph" w:styleId="TOC1">
    <w:uiPriority w:val="39"/>
    <w:name w:val="toc 1"/>
    <w:basedOn w:val="Normal"/>
    <w:next w:val="Normal"/>
    <w:unhideWhenUsed/>
    <w:rsid w:val="10C34A19"/>
    <w:pPr>
      <w:spacing w:after="100"/>
    </w:pPr>
  </w:style>
  <w:style w:type="paragraph" w:styleId="TOC2">
    <w:uiPriority w:val="39"/>
    <w:name w:val="toc 2"/>
    <w:basedOn w:val="Normal"/>
    <w:next w:val="Normal"/>
    <w:unhideWhenUsed/>
    <w:rsid w:val="10C34A19"/>
    <w:pPr>
      <w:spacing w:after="100"/>
      <w:ind w:left="220"/>
    </w:pPr>
  </w:style>
  <w:style w:type="paragraph" w:styleId="TOC3">
    <w:uiPriority w:val="39"/>
    <w:name w:val="toc 3"/>
    <w:basedOn w:val="Normal"/>
    <w:next w:val="Normal"/>
    <w:unhideWhenUsed/>
    <w:rsid w:val="10C34A19"/>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 TargetMode="External" Id="Re5f3524f8dc64dda" /><Relationship Type="http://schemas.openxmlformats.org/officeDocument/2006/relationships/hyperlink" Target="https://www.england.nhs.uk/" TargetMode="External" Id="R8d2183736bac4d33" /><Relationship Type="http://schemas.openxmlformats.org/officeDocument/2006/relationships/hyperlink" Target="https://www.scie.org.uk/" TargetMode="External" Id="R8d8a050a1e894b21" /><Relationship Type="http://schemas.openxmlformats.org/officeDocument/2006/relationships/header" Target="/word/header.xml" Id="Rb447c31ad04b46d5" /><Relationship Type="http://schemas.openxmlformats.org/officeDocument/2006/relationships/footer" Target="/word/footer.xml" Id="R6c7a22bdfa374462" /><Relationship Type="http://schemas.microsoft.com/office/2020/10/relationships/intelligence" Target="/word/intelligence2.xml" Id="R1737d3a96b0547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Ansar (2426467)</dc:creator>
  <keywords/>
  <dc:description/>
  <lastModifiedBy>Saba Ansar (2426467)</lastModifiedBy>
  <revision>2</revision>
  <dcterms:created xsi:type="dcterms:W3CDTF">2026-03-08T17:08:12.6127032Z</dcterms:created>
  <dcterms:modified xsi:type="dcterms:W3CDTF">2026-03-09T02:25:08.2392802Z</dcterms:modified>
</coreProperties>
</file>