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6FC7E" w14:textId="77777777" w:rsidR="00FA52D0" w:rsidRDefault="00FA52D0">
      <w:pPr>
        <w:spacing w:before="240" w:after="240"/>
        <w:rPr>
          <w:rFonts w:asciiTheme="majorHAnsi" w:hAnsiTheme="majorHAnsi" w:cstheme="majorHAnsi"/>
          <w:b/>
          <w:color w:val="000000" w:themeColor="text1"/>
          <w:sz w:val="24"/>
          <w:szCs w:val="24"/>
        </w:rPr>
      </w:pPr>
    </w:p>
    <w:p w14:paraId="27BA6D39" w14:textId="77777777" w:rsidR="00FA52D0" w:rsidRDefault="00FA52D0">
      <w:pPr>
        <w:spacing w:before="240" w:after="240"/>
        <w:rPr>
          <w:rFonts w:asciiTheme="majorHAnsi" w:hAnsiTheme="majorHAnsi" w:cstheme="majorHAnsi"/>
          <w:b/>
          <w:color w:val="000000" w:themeColor="text1"/>
          <w:sz w:val="24"/>
          <w:szCs w:val="24"/>
        </w:rPr>
      </w:pPr>
    </w:p>
    <w:p w14:paraId="428CB894" w14:textId="77777777" w:rsidR="00FA52D0" w:rsidRDefault="00FA52D0">
      <w:pPr>
        <w:spacing w:before="240" w:after="240"/>
        <w:rPr>
          <w:rFonts w:asciiTheme="majorHAnsi" w:hAnsiTheme="majorHAnsi" w:cstheme="majorHAnsi"/>
          <w:b/>
          <w:color w:val="000000" w:themeColor="text1"/>
          <w:sz w:val="24"/>
          <w:szCs w:val="24"/>
        </w:rPr>
      </w:pPr>
    </w:p>
    <w:p w14:paraId="31FE35E8" w14:textId="77777777" w:rsidR="00FA52D0" w:rsidRPr="00FA52D0" w:rsidRDefault="00FA52D0" w:rsidP="00FA52D0">
      <w:pPr>
        <w:pStyle w:val="Heading1"/>
        <w:shd w:val="clear" w:color="auto" w:fill="FFFFFF"/>
        <w:spacing w:before="0"/>
        <w:jc w:val="center"/>
        <w:rPr>
          <w:rFonts w:asciiTheme="majorHAnsi" w:hAnsiTheme="majorHAnsi" w:cstheme="majorHAnsi"/>
          <w:color w:val="1D2125"/>
        </w:rPr>
      </w:pPr>
      <w:r w:rsidRPr="00FA52D0">
        <w:rPr>
          <w:rFonts w:asciiTheme="majorHAnsi" w:hAnsiTheme="majorHAnsi" w:cstheme="majorHAnsi"/>
          <w:color w:val="1D2125"/>
        </w:rPr>
        <w:t>Cohort 1/23 PCDA assignment 1</w:t>
      </w:r>
    </w:p>
    <w:p w14:paraId="5FACABF8" w14:textId="66CB6AFA" w:rsidR="00FA52D0" w:rsidRPr="00FA52D0" w:rsidRDefault="00FA52D0" w:rsidP="00FA52D0">
      <w:pPr>
        <w:pStyle w:val="Heading1"/>
        <w:jc w:val="center"/>
        <w:rPr>
          <w:rFonts w:asciiTheme="majorHAnsi" w:hAnsiTheme="majorHAnsi" w:cstheme="majorHAnsi"/>
        </w:rPr>
      </w:pPr>
      <w:r w:rsidRPr="00FA52D0">
        <w:rPr>
          <w:rFonts w:asciiTheme="majorHAnsi" w:hAnsiTheme="majorHAnsi" w:cstheme="majorHAnsi"/>
        </w:rPr>
        <w:t>Christie Curran</w:t>
      </w:r>
    </w:p>
    <w:p w14:paraId="58B9FC8D" w14:textId="219F12BC" w:rsidR="00FA52D0" w:rsidRPr="00FA52D0" w:rsidRDefault="00FA52D0" w:rsidP="00FA52D0">
      <w:pPr>
        <w:pStyle w:val="Heading1"/>
        <w:jc w:val="center"/>
        <w:rPr>
          <w:rFonts w:asciiTheme="majorHAnsi" w:hAnsiTheme="majorHAnsi" w:cstheme="majorHAnsi"/>
        </w:rPr>
      </w:pPr>
      <w:r w:rsidRPr="00FA52D0">
        <w:rPr>
          <w:rFonts w:asciiTheme="majorHAnsi" w:hAnsiTheme="majorHAnsi" w:cstheme="majorHAnsi"/>
        </w:rPr>
        <w:t>Student ID - 2236900</w:t>
      </w:r>
    </w:p>
    <w:p w14:paraId="6ECC5D7A" w14:textId="77777777" w:rsidR="00FA52D0" w:rsidRPr="00FA52D0" w:rsidRDefault="00FA52D0" w:rsidP="00FA52D0"/>
    <w:p w14:paraId="16571FBB" w14:textId="77777777" w:rsidR="00FA52D0" w:rsidRDefault="00FA52D0">
      <w:pPr>
        <w:spacing w:before="240" w:after="240"/>
        <w:rPr>
          <w:rFonts w:asciiTheme="majorHAnsi" w:hAnsiTheme="majorHAnsi" w:cstheme="majorHAnsi"/>
          <w:b/>
          <w:color w:val="000000" w:themeColor="text1"/>
          <w:sz w:val="24"/>
          <w:szCs w:val="24"/>
        </w:rPr>
      </w:pPr>
    </w:p>
    <w:p w14:paraId="058AAD13" w14:textId="77777777" w:rsidR="00FA52D0" w:rsidRDefault="00FA52D0">
      <w:pPr>
        <w:spacing w:before="240" w:after="240"/>
        <w:rPr>
          <w:rFonts w:asciiTheme="majorHAnsi" w:hAnsiTheme="majorHAnsi" w:cstheme="majorHAnsi"/>
          <w:b/>
          <w:color w:val="000000" w:themeColor="text1"/>
          <w:sz w:val="24"/>
          <w:szCs w:val="24"/>
        </w:rPr>
      </w:pPr>
    </w:p>
    <w:p w14:paraId="0C1B97D0" w14:textId="77777777" w:rsidR="00FA52D0" w:rsidRDefault="00FA52D0">
      <w:pPr>
        <w:spacing w:before="240" w:after="240"/>
        <w:rPr>
          <w:rFonts w:asciiTheme="majorHAnsi" w:hAnsiTheme="majorHAnsi" w:cstheme="majorHAnsi"/>
          <w:b/>
          <w:color w:val="000000" w:themeColor="text1"/>
          <w:sz w:val="24"/>
          <w:szCs w:val="24"/>
        </w:rPr>
      </w:pPr>
    </w:p>
    <w:p w14:paraId="057F2BD8" w14:textId="77777777" w:rsidR="00FA52D0" w:rsidRDefault="00FA52D0">
      <w:pPr>
        <w:spacing w:before="240" w:after="240"/>
        <w:rPr>
          <w:rFonts w:asciiTheme="majorHAnsi" w:hAnsiTheme="majorHAnsi" w:cstheme="majorHAnsi"/>
          <w:b/>
          <w:color w:val="000000" w:themeColor="text1"/>
          <w:sz w:val="24"/>
          <w:szCs w:val="24"/>
        </w:rPr>
      </w:pPr>
    </w:p>
    <w:p w14:paraId="74210069" w14:textId="77777777" w:rsidR="00FA52D0" w:rsidRDefault="00FA52D0">
      <w:pPr>
        <w:spacing w:before="240" w:after="240"/>
        <w:rPr>
          <w:rFonts w:asciiTheme="majorHAnsi" w:hAnsiTheme="majorHAnsi" w:cstheme="majorHAnsi"/>
          <w:b/>
          <w:color w:val="000000" w:themeColor="text1"/>
          <w:sz w:val="24"/>
          <w:szCs w:val="24"/>
        </w:rPr>
      </w:pPr>
    </w:p>
    <w:p w14:paraId="419B0841" w14:textId="77777777" w:rsidR="00FA52D0" w:rsidRDefault="00FA52D0">
      <w:pPr>
        <w:spacing w:before="240" w:after="240"/>
        <w:rPr>
          <w:rFonts w:asciiTheme="majorHAnsi" w:hAnsiTheme="majorHAnsi" w:cstheme="majorHAnsi"/>
          <w:b/>
          <w:color w:val="000000" w:themeColor="text1"/>
          <w:sz w:val="24"/>
          <w:szCs w:val="24"/>
        </w:rPr>
      </w:pPr>
    </w:p>
    <w:p w14:paraId="3BF3FB99" w14:textId="77777777" w:rsidR="00FA52D0" w:rsidRDefault="00FA52D0">
      <w:pPr>
        <w:spacing w:before="240" w:after="240"/>
        <w:rPr>
          <w:rFonts w:asciiTheme="majorHAnsi" w:hAnsiTheme="majorHAnsi" w:cstheme="majorHAnsi"/>
          <w:b/>
          <w:color w:val="000000" w:themeColor="text1"/>
          <w:sz w:val="24"/>
          <w:szCs w:val="24"/>
        </w:rPr>
      </w:pPr>
    </w:p>
    <w:p w14:paraId="3E51A13C" w14:textId="77777777" w:rsidR="00FA52D0" w:rsidRDefault="00FA52D0">
      <w:pPr>
        <w:spacing w:before="240" w:after="240"/>
        <w:rPr>
          <w:rFonts w:asciiTheme="majorHAnsi" w:hAnsiTheme="majorHAnsi" w:cstheme="majorHAnsi"/>
          <w:b/>
          <w:color w:val="000000" w:themeColor="text1"/>
          <w:sz w:val="24"/>
          <w:szCs w:val="24"/>
        </w:rPr>
      </w:pPr>
    </w:p>
    <w:p w14:paraId="007FC810" w14:textId="77777777" w:rsidR="00FA52D0" w:rsidRDefault="00FA52D0">
      <w:pPr>
        <w:spacing w:before="240" w:after="240"/>
        <w:rPr>
          <w:rFonts w:asciiTheme="majorHAnsi" w:hAnsiTheme="majorHAnsi" w:cstheme="majorHAnsi"/>
          <w:b/>
          <w:color w:val="000000" w:themeColor="text1"/>
          <w:sz w:val="24"/>
          <w:szCs w:val="24"/>
        </w:rPr>
      </w:pPr>
    </w:p>
    <w:p w14:paraId="21E9B2AD" w14:textId="77777777" w:rsidR="00FA52D0" w:rsidRDefault="00FA52D0">
      <w:pPr>
        <w:spacing w:before="240" w:after="240"/>
        <w:rPr>
          <w:rFonts w:asciiTheme="majorHAnsi" w:hAnsiTheme="majorHAnsi" w:cstheme="majorHAnsi"/>
          <w:b/>
          <w:color w:val="000000" w:themeColor="text1"/>
          <w:sz w:val="24"/>
          <w:szCs w:val="24"/>
        </w:rPr>
      </w:pPr>
    </w:p>
    <w:p w14:paraId="2E405BDD" w14:textId="77777777" w:rsidR="00FA52D0" w:rsidRDefault="00FA52D0">
      <w:pPr>
        <w:spacing w:before="240" w:after="240"/>
        <w:rPr>
          <w:rFonts w:asciiTheme="majorHAnsi" w:hAnsiTheme="majorHAnsi" w:cstheme="majorHAnsi"/>
          <w:b/>
          <w:color w:val="000000" w:themeColor="text1"/>
          <w:sz w:val="24"/>
          <w:szCs w:val="24"/>
        </w:rPr>
      </w:pPr>
    </w:p>
    <w:p w14:paraId="051D55E1" w14:textId="77777777" w:rsidR="00FA52D0" w:rsidRDefault="00FA52D0">
      <w:pPr>
        <w:spacing w:before="240" w:after="240"/>
        <w:rPr>
          <w:rFonts w:asciiTheme="majorHAnsi" w:hAnsiTheme="majorHAnsi" w:cstheme="majorHAnsi"/>
          <w:b/>
          <w:color w:val="000000" w:themeColor="text1"/>
          <w:sz w:val="24"/>
          <w:szCs w:val="24"/>
        </w:rPr>
      </w:pPr>
    </w:p>
    <w:p w14:paraId="772959CD" w14:textId="77777777" w:rsidR="00FA52D0" w:rsidRDefault="00FA52D0">
      <w:pPr>
        <w:spacing w:before="240" w:after="240"/>
        <w:rPr>
          <w:rFonts w:asciiTheme="majorHAnsi" w:hAnsiTheme="majorHAnsi" w:cstheme="majorHAnsi"/>
          <w:b/>
          <w:color w:val="000000" w:themeColor="text1"/>
          <w:sz w:val="24"/>
          <w:szCs w:val="24"/>
        </w:rPr>
      </w:pPr>
    </w:p>
    <w:p w14:paraId="7575ECBA" w14:textId="77777777" w:rsidR="00FA52D0" w:rsidRDefault="00FA52D0">
      <w:pPr>
        <w:spacing w:before="240" w:after="240"/>
        <w:rPr>
          <w:rFonts w:asciiTheme="majorHAnsi" w:hAnsiTheme="majorHAnsi" w:cstheme="majorHAnsi"/>
          <w:b/>
          <w:color w:val="000000" w:themeColor="text1"/>
          <w:sz w:val="24"/>
          <w:szCs w:val="24"/>
        </w:rPr>
      </w:pPr>
    </w:p>
    <w:p w14:paraId="5807E35A" w14:textId="77777777" w:rsidR="00FA52D0" w:rsidRDefault="00FA52D0">
      <w:pPr>
        <w:spacing w:before="240" w:after="240"/>
        <w:rPr>
          <w:rFonts w:asciiTheme="majorHAnsi" w:hAnsiTheme="majorHAnsi" w:cstheme="majorHAnsi"/>
          <w:b/>
          <w:color w:val="000000" w:themeColor="text1"/>
          <w:sz w:val="24"/>
          <w:szCs w:val="24"/>
        </w:rPr>
      </w:pPr>
    </w:p>
    <w:p w14:paraId="00000001" w14:textId="016F78A3"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Essay one – Maintaining Professional Standards</w:t>
      </w:r>
    </w:p>
    <w:p w14:paraId="0000000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b/>
          <w:color w:val="000000" w:themeColor="text1"/>
          <w:sz w:val="24"/>
          <w:szCs w:val="24"/>
        </w:rPr>
        <w:t>Critically examine policing policies and procedures (</w:t>
      </w:r>
      <w:proofErr w:type="gramStart"/>
      <w:r w:rsidRPr="00FA52D0">
        <w:rPr>
          <w:rFonts w:asciiTheme="majorHAnsi" w:hAnsiTheme="majorHAnsi" w:cstheme="majorHAnsi"/>
          <w:b/>
          <w:color w:val="000000" w:themeColor="text1"/>
          <w:sz w:val="24"/>
          <w:szCs w:val="24"/>
        </w:rPr>
        <w:t>e.g.</w:t>
      </w:r>
      <w:proofErr w:type="gramEnd"/>
      <w:r w:rsidRPr="00FA52D0">
        <w:rPr>
          <w:rFonts w:asciiTheme="majorHAnsi" w:hAnsiTheme="majorHAnsi" w:cstheme="majorHAnsi"/>
          <w:b/>
          <w:color w:val="000000" w:themeColor="text1"/>
          <w:sz w:val="24"/>
          <w:szCs w:val="24"/>
        </w:rPr>
        <w:t xml:space="preserve"> PACE, Code of Ethics, NDM, use of BWV) aimed at reducing misconduct and malpractice by police officers. How might these increase public confidence in police?</w:t>
      </w:r>
    </w:p>
    <w:p w14:paraId="0000000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There can be no doubt that misconduct and malpractice by police officers undermines the trust and confidence that the public have in the police service. A number of recent inquiries and </w:t>
      </w:r>
      <w:proofErr w:type="gramStart"/>
      <w:r w:rsidRPr="00FA52D0">
        <w:rPr>
          <w:rFonts w:asciiTheme="majorHAnsi" w:hAnsiTheme="majorHAnsi" w:cstheme="majorHAnsi"/>
          <w:color w:val="000000" w:themeColor="text1"/>
          <w:sz w:val="24"/>
          <w:szCs w:val="24"/>
        </w:rPr>
        <w:t>high profile</w:t>
      </w:r>
      <w:proofErr w:type="gramEnd"/>
      <w:r w:rsidRPr="00FA52D0">
        <w:rPr>
          <w:rFonts w:asciiTheme="majorHAnsi" w:hAnsiTheme="majorHAnsi" w:cstheme="majorHAnsi"/>
          <w:color w:val="000000" w:themeColor="text1"/>
          <w:sz w:val="24"/>
          <w:szCs w:val="24"/>
        </w:rPr>
        <w:t xml:space="preserve"> convictions of Metropolitan police officers has seen a great deal of public discussion on this topic. Notably, the conviction of a former Police officer, David Carrick, for 49 crimes, including rape and sexual assault. Followed by the independent review into the standards of behaviour and internal culture of the Metropolitan Police Service by Baroness Casey (2023). Many of the themes in the Casey Review are also reflected in the recent publication of Part 1 of the </w:t>
      </w:r>
      <w:proofErr w:type="spellStart"/>
      <w:r w:rsidRPr="00FA52D0">
        <w:rPr>
          <w:rFonts w:asciiTheme="majorHAnsi" w:hAnsiTheme="majorHAnsi" w:cstheme="majorHAnsi"/>
          <w:color w:val="000000" w:themeColor="text1"/>
          <w:sz w:val="24"/>
          <w:szCs w:val="24"/>
        </w:rPr>
        <w:t>Angiolini</w:t>
      </w:r>
      <w:proofErr w:type="spellEnd"/>
      <w:r w:rsidRPr="00FA52D0">
        <w:rPr>
          <w:rFonts w:asciiTheme="majorHAnsi" w:hAnsiTheme="majorHAnsi" w:cstheme="majorHAnsi"/>
          <w:color w:val="000000" w:themeColor="text1"/>
          <w:sz w:val="24"/>
          <w:szCs w:val="24"/>
        </w:rPr>
        <w:t xml:space="preserve"> Inquiry (2024) following the conviction of Police Officer Wayne </w:t>
      </w:r>
      <w:proofErr w:type="spellStart"/>
      <w:r w:rsidRPr="00FA52D0">
        <w:rPr>
          <w:rFonts w:asciiTheme="majorHAnsi" w:hAnsiTheme="majorHAnsi" w:cstheme="majorHAnsi"/>
          <w:color w:val="000000" w:themeColor="text1"/>
          <w:sz w:val="24"/>
          <w:szCs w:val="24"/>
        </w:rPr>
        <w:t>Couzens</w:t>
      </w:r>
      <w:proofErr w:type="spellEnd"/>
      <w:r w:rsidRPr="00FA52D0">
        <w:rPr>
          <w:rFonts w:asciiTheme="majorHAnsi" w:hAnsiTheme="majorHAnsi" w:cstheme="majorHAnsi"/>
          <w:color w:val="000000" w:themeColor="text1"/>
          <w:sz w:val="24"/>
          <w:szCs w:val="24"/>
        </w:rPr>
        <w:t xml:space="preserve"> for the murder of Sarah Everard in 2021. </w:t>
      </w:r>
      <w:proofErr w:type="gramStart"/>
      <w:r w:rsidRPr="00FA52D0">
        <w:rPr>
          <w:rFonts w:asciiTheme="majorHAnsi" w:hAnsiTheme="majorHAnsi" w:cstheme="majorHAnsi"/>
          <w:color w:val="000000" w:themeColor="text1"/>
          <w:sz w:val="24"/>
          <w:szCs w:val="24"/>
        </w:rPr>
        <w:t>Both of these</w:t>
      </w:r>
      <w:proofErr w:type="gramEnd"/>
      <w:r w:rsidRPr="00FA52D0">
        <w:rPr>
          <w:rFonts w:asciiTheme="majorHAnsi" w:hAnsiTheme="majorHAnsi" w:cstheme="majorHAnsi"/>
          <w:color w:val="000000" w:themeColor="text1"/>
          <w:sz w:val="24"/>
          <w:szCs w:val="24"/>
        </w:rPr>
        <w:t xml:space="preserve"> reports indicated that many of the issues identified were likely to be applicable to other constabularies across the UK. Without the public having confidence that the police service is trustworthy, then fully effective policing of the United Kingdom (UK) is not possible. This is critical to the aspiration of ‘policing by consent’ (Brain 2013). This overall philosophy is reflected in both parts of the Police Code of Ethics: ‘Ethical Policing Principles’ and ‘Guidance for Ethical and Professional Behaviour in Policing’ (College of Policing 2024). These are further underpinned and supported by the statutory Code of Practice (College of Policing 2023). This includes explicit expectations for chief officers requiring that the leadership and organisation of their forces supports the positive reinforcement and development of ethical and professional behaviour in policing.</w:t>
      </w:r>
    </w:p>
    <w:p w14:paraId="0000000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It is imperative that there are effective policies and procedures in place aimed at reducing misconduct by police officers, therefore, instilling public confidence. Arguably a landmark moment was the introduction of the Police and Criminal Evidence Act (1984) which seeks to provide a core framework of powers and safeguards around arrest, detention, investigation, identification and interviewing of suspects (</w:t>
      </w:r>
      <w:proofErr w:type="spellStart"/>
      <w:r w:rsidRPr="00FA52D0">
        <w:rPr>
          <w:rFonts w:asciiTheme="majorHAnsi" w:hAnsiTheme="majorHAnsi" w:cstheme="majorHAnsi"/>
          <w:color w:val="000000" w:themeColor="text1"/>
          <w:sz w:val="24"/>
          <w:szCs w:val="24"/>
        </w:rPr>
        <w:t>Ozin</w:t>
      </w:r>
      <w:proofErr w:type="spellEnd"/>
      <w:r w:rsidRPr="00FA52D0">
        <w:rPr>
          <w:rFonts w:asciiTheme="majorHAnsi" w:hAnsiTheme="majorHAnsi" w:cstheme="majorHAnsi"/>
          <w:color w:val="000000" w:themeColor="text1"/>
          <w:sz w:val="24"/>
          <w:szCs w:val="24"/>
        </w:rPr>
        <w:t xml:space="preserve"> 2019). There have been criticisms over the years that it has elements that are overly bureaucratic and cumbersome. Therefore, since its introduction it has required </w:t>
      </w:r>
      <w:proofErr w:type="gramStart"/>
      <w:r w:rsidRPr="00FA52D0">
        <w:rPr>
          <w:rFonts w:asciiTheme="majorHAnsi" w:hAnsiTheme="majorHAnsi" w:cstheme="majorHAnsi"/>
          <w:color w:val="000000" w:themeColor="text1"/>
          <w:sz w:val="24"/>
          <w:szCs w:val="24"/>
        </w:rPr>
        <w:t>a number of</w:t>
      </w:r>
      <w:proofErr w:type="gramEnd"/>
      <w:r w:rsidRPr="00FA52D0">
        <w:rPr>
          <w:rFonts w:asciiTheme="majorHAnsi" w:hAnsiTheme="majorHAnsi" w:cstheme="majorHAnsi"/>
          <w:color w:val="000000" w:themeColor="text1"/>
          <w:sz w:val="24"/>
          <w:szCs w:val="24"/>
        </w:rPr>
        <w:t xml:space="preserve"> reviews in order to help ensure it remains fit for purpose (Zander 2012). Keane &amp; McKeown (2022) suggest that PACE has undoubtedly helped to increase public confidence in the Police Service, however, it is an inevitable weakness that in a world that is constantly changing it will inevitably fall behind and require further reviews and updating.</w:t>
      </w:r>
    </w:p>
    <w:p w14:paraId="00000005" w14:textId="7E7617C0"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Another example of a policy that aims to increase public confidence is operational police officers wearing Body Worn Video (BWV). It is suggested that this has a vital role in building trust with communities as it can offer a ‘true and unbiased version of events’ (NPCC College of Policing 2023). Thus, enabling the police to be transparent and accountable in their </w:t>
      </w:r>
      <w:r w:rsidRPr="00FA52D0">
        <w:rPr>
          <w:rFonts w:asciiTheme="majorHAnsi" w:hAnsiTheme="majorHAnsi" w:cstheme="majorHAnsi"/>
          <w:color w:val="000000" w:themeColor="text1"/>
          <w:sz w:val="24"/>
          <w:szCs w:val="24"/>
        </w:rPr>
        <w:lastRenderedPageBreak/>
        <w:t xml:space="preserve">actions. Those that are critical of their use cite concerns around the potential for the invasion of their privacy and contravention of their human rights, in particular article 8 ‘the right to private and family life’. It indeed must be acknowledged that BWV footage when being used within a person’s home may pick up evidence of the environment that would not be possible through written notes alone, such as family photographs. Similarly, when BWV is used in a public place, whilst it records those who are made aware of the recording, inevitably those who are unaware may also be recorded in the background. To provide reassurance that the use of BWV is done legally and proportionately it is underpinned by a raft of legislation and guidance including the Data Protection Act (2018) and the </w:t>
      </w:r>
      <w:proofErr w:type="gramStart"/>
      <w:r w:rsidRPr="00FA52D0">
        <w:rPr>
          <w:rFonts w:asciiTheme="majorHAnsi" w:hAnsiTheme="majorHAnsi" w:cstheme="majorHAnsi"/>
          <w:color w:val="000000" w:themeColor="text1"/>
          <w:sz w:val="24"/>
          <w:szCs w:val="24"/>
        </w:rPr>
        <w:t>Technical</w:t>
      </w:r>
      <w:proofErr w:type="gramEnd"/>
      <w:r w:rsidRPr="00FA52D0">
        <w:rPr>
          <w:rFonts w:asciiTheme="majorHAnsi" w:hAnsiTheme="majorHAnsi" w:cstheme="majorHAnsi"/>
          <w:color w:val="000000" w:themeColor="text1"/>
          <w:sz w:val="24"/>
          <w:szCs w:val="24"/>
        </w:rPr>
        <w:t xml:space="preserve"> guidance for Body Worn Video Devices: CAST, UK Gov (2018). Interestingly, the Human Rights Act (2000) Article 6: the right to a fair trial supports in principle the use of BWV providing it is used lawfully for the justifiable prevention and detection of crime. Other legal safeguards include the Regulation of Investigatory Powers Act RIPA (2000). </w:t>
      </w:r>
      <w:proofErr w:type="gramStart"/>
      <w:r w:rsidRPr="00FA52D0">
        <w:rPr>
          <w:rFonts w:asciiTheme="majorHAnsi" w:hAnsiTheme="majorHAnsi" w:cstheme="majorHAnsi"/>
          <w:color w:val="000000" w:themeColor="text1"/>
          <w:sz w:val="24"/>
          <w:szCs w:val="24"/>
        </w:rPr>
        <w:t>It is clear that if</w:t>
      </w:r>
      <w:proofErr w:type="gramEnd"/>
      <w:r w:rsidRPr="00FA52D0">
        <w:rPr>
          <w:rFonts w:asciiTheme="majorHAnsi" w:hAnsiTheme="majorHAnsi" w:cstheme="majorHAnsi"/>
          <w:color w:val="000000" w:themeColor="text1"/>
          <w:sz w:val="24"/>
          <w:szCs w:val="24"/>
        </w:rPr>
        <w:t xml:space="preserve"> the recording, retention, review, and disposal of body-worn footage is to maintain public trust and confidence then it must be in line with all relevant legislation and current guidance. Arguably, it is this that is the crux of the matter, the public must feel assured that when they believe their trust and confidence has been </w:t>
      </w:r>
      <w:r w:rsidR="00FA52D0" w:rsidRPr="00FA52D0">
        <w:rPr>
          <w:rFonts w:asciiTheme="majorHAnsi" w:hAnsiTheme="majorHAnsi" w:cstheme="majorHAnsi"/>
          <w:color w:val="000000" w:themeColor="text1"/>
          <w:sz w:val="24"/>
          <w:szCs w:val="24"/>
        </w:rPr>
        <w:t>undermined,</w:t>
      </w:r>
      <w:r w:rsidRPr="00FA52D0">
        <w:rPr>
          <w:rFonts w:asciiTheme="majorHAnsi" w:hAnsiTheme="majorHAnsi" w:cstheme="majorHAnsi"/>
          <w:color w:val="000000" w:themeColor="text1"/>
          <w:sz w:val="24"/>
          <w:szCs w:val="24"/>
        </w:rPr>
        <w:t xml:space="preserve"> they have the right to legitimate complaint and appropriate action. Overall, Davies (2023) found that the impact of the use of BWCs is positive, with the literature suggesting that there is evidence of improved behaviour of those being filmed due to their awareness of being recorded.</w:t>
      </w:r>
    </w:p>
    <w:p w14:paraId="0000000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In addition to the policies already mentioned, the introduction of the National Decision Model (College of Policing 2024) serves as a useful framework for making any policing decision and uses six key elements. A criticism of the tool is that in operational policing a situation is rapidly unfolding, and decisions may have to be made quickly, it is not reasonable or practical to work through each element of the model </w:t>
      </w:r>
      <w:proofErr w:type="gramStart"/>
      <w:r w:rsidRPr="00FA52D0">
        <w:rPr>
          <w:rFonts w:asciiTheme="majorHAnsi" w:hAnsiTheme="majorHAnsi" w:cstheme="majorHAnsi"/>
          <w:color w:val="000000" w:themeColor="text1"/>
          <w:sz w:val="24"/>
          <w:szCs w:val="24"/>
        </w:rPr>
        <w:t>in order to</w:t>
      </w:r>
      <w:proofErr w:type="gramEnd"/>
      <w:r w:rsidRPr="00FA52D0">
        <w:rPr>
          <w:rFonts w:asciiTheme="majorHAnsi" w:hAnsiTheme="majorHAnsi" w:cstheme="majorHAnsi"/>
          <w:color w:val="000000" w:themeColor="text1"/>
          <w:sz w:val="24"/>
          <w:szCs w:val="24"/>
        </w:rPr>
        <w:t xml:space="preserve"> make a decision. Notably, however, in the context of this assignment it is emphasised that the overarching consideration must be to always act within the ethical policing principles and display the behaviour expected of a professional police officer of integrity who is there to protect and serve the public.</w:t>
      </w:r>
    </w:p>
    <w:p w14:paraId="0000000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Overall, it can be suggested that although policies and procedures aimed at reducing misconduct are important, evidence from the Policing Priorities Inquiry (2023) suggests that they risk being undermined and compromised if the organisational culture is not right:</w:t>
      </w:r>
    </w:p>
    <w:p w14:paraId="0000000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Current mechanisms for rooting out bad behaviour, </w:t>
      </w:r>
      <w:proofErr w:type="gramStart"/>
      <w:r w:rsidRPr="00FA52D0">
        <w:rPr>
          <w:rFonts w:asciiTheme="majorHAnsi" w:hAnsiTheme="majorHAnsi" w:cstheme="majorHAnsi"/>
          <w:color w:val="000000" w:themeColor="text1"/>
          <w:sz w:val="24"/>
          <w:szCs w:val="24"/>
        </w:rPr>
        <w:t>unprofessionalism</w:t>
      </w:r>
      <w:proofErr w:type="gramEnd"/>
      <w:r w:rsidRPr="00FA52D0">
        <w:rPr>
          <w:rFonts w:asciiTheme="majorHAnsi" w:hAnsiTheme="majorHAnsi" w:cstheme="majorHAnsi"/>
          <w:color w:val="000000" w:themeColor="text1"/>
          <w:sz w:val="24"/>
          <w:szCs w:val="24"/>
        </w:rPr>
        <w:t xml:space="preserve"> and even serious criminality among serving officers are simply not good enough.” House of Commons Home Affairs Committee (2023)</w:t>
      </w:r>
    </w:p>
    <w:p w14:paraId="0000000E" w14:textId="0D0A7D4F"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Clearly, there remains more work to do if public trust and confidence is to be restored and maintained.</w:t>
      </w:r>
    </w:p>
    <w:p w14:paraId="0000000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Bibliography</w:t>
      </w:r>
    </w:p>
    <w:p w14:paraId="0000001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(2019) Accessed April 12th, </w:t>
      </w:r>
      <w:proofErr w:type="gramStart"/>
      <w:r w:rsidRPr="00FA52D0">
        <w:rPr>
          <w:rFonts w:asciiTheme="majorHAnsi" w:hAnsiTheme="majorHAnsi" w:cstheme="majorHAnsi"/>
          <w:color w:val="000000" w:themeColor="text1"/>
          <w:sz w:val="24"/>
          <w:szCs w:val="24"/>
        </w:rPr>
        <w:t>2024</w:t>
      </w:r>
      <w:proofErr w:type="gramEnd"/>
    </w:p>
    <w:p w14:paraId="00000011"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Angiolini</w:t>
      </w:r>
      <w:proofErr w:type="spellEnd"/>
      <w:r w:rsidRPr="00FA52D0">
        <w:rPr>
          <w:rFonts w:asciiTheme="majorHAnsi" w:hAnsiTheme="majorHAnsi" w:cstheme="majorHAnsi"/>
          <w:color w:val="000000" w:themeColor="text1"/>
          <w:sz w:val="24"/>
          <w:szCs w:val="24"/>
        </w:rPr>
        <w:t xml:space="preserve"> E (2024) The </w:t>
      </w:r>
      <w:proofErr w:type="spellStart"/>
      <w:r w:rsidRPr="00FA52D0">
        <w:rPr>
          <w:rFonts w:asciiTheme="majorHAnsi" w:hAnsiTheme="majorHAnsi" w:cstheme="majorHAnsi"/>
          <w:color w:val="000000" w:themeColor="text1"/>
          <w:sz w:val="24"/>
          <w:szCs w:val="24"/>
        </w:rPr>
        <w:t>Angiolini</w:t>
      </w:r>
      <w:proofErr w:type="spellEnd"/>
      <w:r w:rsidRPr="00FA52D0">
        <w:rPr>
          <w:rFonts w:asciiTheme="majorHAnsi" w:hAnsiTheme="majorHAnsi" w:cstheme="majorHAnsi"/>
          <w:color w:val="000000" w:themeColor="text1"/>
          <w:sz w:val="24"/>
          <w:szCs w:val="24"/>
        </w:rPr>
        <w:t xml:space="preserve"> Inquiry: Part 1 Report Ordered by the House of Common, published under the terms of the Open Government Licence v3.0. accessed April 13th, </w:t>
      </w:r>
      <w:proofErr w:type="gramStart"/>
      <w:r w:rsidRPr="00FA52D0">
        <w:rPr>
          <w:rFonts w:asciiTheme="majorHAnsi" w:hAnsiTheme="majorHAnsi" w:cstheme="majorHAnsi"/>
          <w:color w:val="000000" w:themeColor="text1"/>
          <w:sz w:val="24"/>
          <w:szCs w:val="24"/>
        </w:rPr>
        <w:t>2024</w:t>
      </w:r>
      <w:proofErr w:type="gramEnd"/>
    </w:p>
    <w:p w14:paraId="0000001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Brain, Timothy, A Future for Policing in England and Wales (Oxford, 2013; online edition, Oxford Academic, 20 Apr. 2015)</w:t>
      </w:r>
      <w:proofErr w:type="gramStart"/>
      <w:r w:rsidRPr="00FA52D0">
        <w:rPr>
          <w:rFonts w:asciiTheme="majorHAnsi" w:hAnsiTheme="majorHAnsi" w:cstheme="majorHAnsi"/>
          <w:color w:val="000000" w:themeColor="text1"/>
          <w:sz w:val="24"/>
          <w:szCs w:val="24"/>
        </w:rPr>
        <w:t>, ,</w:t>
      </w:r>
      <w:proofErr w:type="gramEnd"/>
      <w:r w:rsidRPr="00FA52D0">
        <w:rPr>
          <w:rFonts w:asciiTheme="majorHAnsi" w:hAnsiTheme="majorHAnsi" w:cstheme="majorHAnsi"/>
          <w:color w:val="000000" w:themeColor="text1"/>
          <w:sz w:val="24"/>
          <w:szCs w:val="24"/>
        </w:rPr>
        <w:t xml:space="preserve"> accessed 12 Apr. 2024.</w:t>
      </w:r>
    </w:p>
    <w:p w14:paraId="0000001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Casey L (2023) Final Report: An independent review into the standards of behaviour and internal culture of the Metropolitan Police Service accessed April </w:t>
      </w:r>
      <w:proofErr w:type="gramStart"/>
      <w:r w:rsidRPr="00FA52D0">
        <w:rPr>
          <w:rFonts w:asciiTheme="majorHAnsi" w:hAnsiTheme="majorHAnsi" w:cstheme="majorHAnsi"/>
          <w:color w:val="000000" w:themeColor="text1"/>
          <w:sz w:val="24"/>
          <w:szCs w:val="24"/>
        </w:rPr>
        <w:t>13th</w:t>
      </w:r>
      <w:proofErr w:type="gramEnd"/>
    </w:p>
    <w:p w14:paraId="0000001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College of Policing (2023) accessed March 15th, </w:t>
      </w:r>
      <w:proofErr w:type="gramStart"/>
      <w:r w:rsidRPr="00FA52D0">
        <w:rPr>
          <w:rFonts w:asciiTheme="majorHAnsi" w:hAnsiTheme="majorHAnsi" w:cstheme="majorHAnsi"/>
          <w:color w:val="000000" w:themeColor="text1"/>
          <w:sz w:val="24"/>
          <w:szCs w:val="24"/>
        </w:rPr>
        <w:t>2024</w:t>
      </w:r>
      <w:proofErr w:type="gramEnd"/>
    </w:p>
    <w:p w14:paraId="0000001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College of Policing (2024) First published 23 October 2013 Updated 24 January 2024 Accessed April 9th, </w:t>
      </w:r>
      <w:proofErr w:type="gramStart"/>
      <w:r w:rsidRPr="00FA52D0">
        <w:rPr>
          <w:rFonts w:asciiTheme="majorHAnsi" w:hAnsiTheme="majorHAnsi" w:cstheme="majorHAnsi"/>
          <w:color w:val="000000" w:themeColor="text1"/>
          <w:sz w:val="24"/>
          <w:szCs w:val="24"/>
        </w:rPr>
        <w:t>2024</w:t>
      </w:r>
      <w:proofErr w:type="gramEnd"/>
    </w:p>
    <w:p w14:paraId="0000001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Davies A (202) Through an Australian Lens: Exploring the Impact of Body-Worn Cameras on Police–Community Relations, Policing: A Journal of Policy and Practice, Volume 17, 2023, paac065, Accessed April 14th, </w:t>
      </w:r>
      <w:proofErr w:type="gramStart"/>
      <w:r w:rsidRPr="00FA52D0">
        <w:rPr>
          <w:rFonts w:asciiTheme="majorHAnsi" w:hAnsiTheme="majorHAnsi" w:cstheme="majorHAnsi"/>
          <w:color w:val="000000" w:themeColor="text1"/>
          <w:sz w:val="24"/>
          <w:szCs w:val="24"/>
        </w:rPr>
        <w:t>2024</w:t>
      </w:r>
      <w:proofErr w:type="gramEnd"/>
    </w:p>
    <w:p w14:paraId="0000001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Data Protection Act 2018 (legislation.gov.uk) Data Protection Act 2018 (legislation.gov.uk) Accessed April 8th, </w:t>
      </w:r>
      <w:proofErr w:type="gramStart"/>
      <w:r w:rsidRPr="00FA52D0">
        <w:rPr>
          <w:rFonts w:asciiTheme="majorHAnsi" w:hAnsiTheme="majorHAnsi" w:cstheme="majorHAnsi"/>
          <w:color w:val="000000" w:themeColor="text1"/>
          <w:sz w:val="24"/>
          <w:szCs w:val="24"/>
        </w:rPr>
        <w:t>2024</w:t>
      </w:r>
      <w:proofErr w:type="gramEnd"/>
    </w:p>
    <w:p w14:paraId="0000001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Equality and Human Rights Commission (2018) The Human Rights Act 1998 Accessed April 15th</w:t>
      </w:r>
      <w:proofErr w:type="gramStart"/>
      <w:r w:rsidRPr="00FA52D0">
        <w:rPr>
          <w:rFonts w:asciiTheme="majorHAnsi" w:hAnsiTheme="majorHAnsi" w:cstheme="majorHAnsi"/>
          <w:color w:val="000000" w:themeColor="text1"/>
          <w:sz w:val="24"/>
          <w:szCs w:val="24"/>
        </w:rPr>
        <w:t xml:space="preserve"> 2024</w:t>
      </w:r>
      <w:proofErr w:type="gramEnd"/>
    </w:p>
    <w:p w14:paraId="0000001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Glynn R, (2022) "Lights, (Body) Camera, </w:t>
      </w:r>
      <w:proofErr w:type="gramStart"/>
      <w:r w:rsidRPr="00FA52D0">
        <w:rPr>
          <w:rFonts w:asciiTheme="majorHAnsi" w:hAnsiTheme="majorHAnsi" w:cstheme="majorHAnsi"/>
          <w:color w:val="000000" w:themeColor="text1"/>
          <w:sz w:val="24"/>
          <w:szCs w:val="24"/>
        </w:rPr>
        <w:t>Action!:</w:t>
      </w:r>
      <w:proofErr w:type="gramEnd"/>
      <w:r w:rsidRPr="00FA52D0">
        <w:rPr>
          <w:rFonts w:asciiTheme="majorHAnsi" w:hAnsiTheme="majorHAnsi" w:cstheme="majorHAnsi"/>
          <w:color w:val="000000" w:themeColor="text1"/>
          <w:sz w:val="24"/>
          <w:szCs w:val="24"/>
        </w:rPr>
        <w:t xml:space="preserve"> Reviewing Empirical Research on Body-Worn Cameras" (2022). Criminology Student Work. 46.</w:t>
      </w:r>
    </w:p>
    <w:p w14:paraId="0000001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Accessed April 8th</w:t>
      </w:r>
      <w:proofErr w:type="gramStart"/>
      <w:r w:rsidRPr="00FA52D0">
        <w:rPr>
          <w:rFonts w:asciiTheme="majorHAnsi" w:hAnsiTheme="majorHAnsi" w:cstheme="majorHAnsi"/>
          <w:color w:val="000000" w:themeColor="text1"/>
          <w:sz w:val="24"/>
          <w:szCs w:val="24"/>
        </w:rPr>
        <w:t xml:space="preserve"> 2024</w:t>
      </w:r>
      <w:proofErr w:type="gramEnd"/>
    </w:p>
    <w:p w14:paraId="0000001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Home Office Gov.UK (2024)</w:t>
      </w:r>
    </w:p>
    <w:p w14:paraId="0000001C"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Home Office (2018) Technical guidance for Body Worn Video (BWV) devices: CAST, 2018 Technical guidance for Body Worn Video (BWV) devices: CAST, 2018 - GOV.UK (www.gov.uk) Accessed April 8th</w:t>
      </w:r>
      <w:proofErr w:type="gramStart"/>
      <w:r w:rsidRPr="00FA52D0">
        <w:rPr>
          <w:rFonts w:asciiTheme="majorHAnsi" w:hAnsiTheme="majorHAnsi" w:cstheme="majorHAnsi"/>
          <w:color w:val="000000" w:themeColor="text1"/>
          <w:sz w:val="24"/>
          <w:szCs w:val="24"/>
        </w:rPr>
        <w:t xml:space="preserve"> 2024</w:t>
      </w:r>
      <w:proofErr w:type="gramEnd"/>
    </w:p>
    <w:p w14:paraId="0000001D"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Heaton R &amp; Tong S (2023) More lesson learning, less risk aversion in England and Wales? Prospects for the police (conduct) regulations 2020 The Police Journal 2023 96:4, 535-552 Accessed April 8th, 2024</w:t>
      </w:r>
    </w:p>
    <w:p w14:paraId="0000001E"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House of Commons. Home Affairs Committee: Policing Priorities, Fifth Report of Session 2022–23 Accessed April 15th, </w:t>
      </w:r>
      <w:proofErr w:type="gramStart"/>
      <w:r w:rsidRPr="00FA52D0">
        <w:rPr>
          <w:rFonts w:asciiTheme="majorHAnsi" w:hAnsiTheme="majorHAnsi" w:cstheme="majorHAnsi"/>
          <w:color w:val="000000" w:themeColor="text1"/>
          <w:sz w:val="24"/>
          <w:szCs w:val="24"/>
        </w:rPr>
        <w:t>2024</w:t>
      </w:r>
      <w:proofErr w:type="gramEnd"/>
    </w:p>
    <w:p w14:paraId="0000001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 xml:space="preserve">House of Commons. Home Affairs Committee. The Macpherson Report: Twenty-two years on. Third Report of Session 2021–22 Accessed April 8th, </w:t>
      </w:r>
      <w:proofErr w:type="gramStart"/>
      <w:r w:rsidRPr="00FA52D0">
        <w:rPr>
          <w:rFonts w:asciiTheme="majorHAnsi" w:hAnsiTheme="majorHAnsi" w:cstheme="majorHAnsi"/>
          <w:color w:val="000000" w:themeColor="text1"/>
          <w:sz w:val="24"/>
          <w:szCs w:val="24"/>
        </w:rPr>
        <w:t>2024</w:t>
      </w:r>
      <w:proofErr w:type="gramEnd"/>
    </w:p>
    <w:p w14:paraId="0000002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House of Lords Library (2023) Police standards and culture: Restoring public trust. In Focus Accessed April 7th, </w:t>
      </w:r>
      <w:proofErr w:type="gramStart"/>
      <w:r w:rsidRPr="00FA52D0">
        <w:rPr>
          <w:rFonts w:asciiTheme="majorHAnsi" w:hAnsiTheme="majorHAnsi" w:cstheme="majorHAnsi"/>
          <w:color w:val="000000" w:themeColor="text1"/>
          <w:sz w:val="24"/>
          <w:szCs w:val="24"/>
        </w:rPr>
        <w:t>2024</w:t>
      </w:r>
      <w:proofErr w:type="gramEnd"/>
    </w:p>
    <w:p w14:paraId="00000021"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Keane A, McKeown P (2022) The Modern Law of Evidence (2022) By Adrian Keane, Paul McKeown Oxford University Press, Oxford UK</w:t>
      </w:r>
    </w:p>
    <w:p w14:paraId="0000002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Legislation.gov.uk (2020) The Police (Conduct) Regulations 2020 Accessed April 14th, </w:t>
      </w:r>
      <w:proofErr w:type="gramStart"/>
      <w:r w:rsidRPr="00FA52D0">
        <w:rPr>
          <w:rFonts w:asciiTheme="majorHAnsi" w:hAnsiTheme="majorHAnsi" w:cstheme="majorHAnsi"/>
          <w:color w:val="000000" w:themeColor="text1"/>
          <w:sz w:val="24"/>
          <w:szCs w:val="24"/>
        </w:rPr>
        <w:t>2024</w:t>
      </w:r>
      <w:proofErr w:type="gramEnd"/>
    </w:p>
    <w:p w14:paraId="0000002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Legislation.gov.uk (2000) Regulation of Investigatory Powers Act 2000 (RIPA)</w:t>
      </w:r>
    </w:p>
    <w:p w14:paraId="0000002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NPCC College of Policing (2023) Body Worn Video Guidance</w:t>
      </w:r>
      <w:hyperlink r:id="rId4">
        <w:r w:rsidRPr="00FA52D0">
          <w:rPr>
            <w:rFonts w:asciiTheme="majorHAnsi" w:hAnsiTheme="majorHAnsi" w:cstheme="majorHAnsi"/>
            <w:color w:val="000000" w:themeColor="text1"/>
            <w:sz w:val="24"/>
            <w:szCs w:val="24"/>
          </w:rPr>
          <w:t xml:space="preserve"> </w:t>
        </w:r>
      </w:hyperlink>
      <w:hyperlink r:id="rId5">
        <w:r w:rsidRPr="00FA52D0">
          <w:rPr>
            <w:rFonts w:asciiTheme="majorHAnsi" w:hAnsiTheme="majorHAnsi" w:cstheme="majorHAnsi"/>
            <w:color w:val="000000" w:themeColor="text1"/>
            <w:sz w:val="24"/>
            <w:szCs w:val="24"/>
            <w:u w:val="single"/>
          </w:rPr>
          <w:t>OFFICIAL (npcc.police.uk)</w:t>
        </w:r>
      </w:hyperlink>
      <w:r w:rsidRPr="00FA52D0">
        <w:rPr>
          <w:rFonts w:asciiTheme="majorHAnsi" w:hAnsiTheme="majorHAnsi" w:cstheme="majorHAnsi"/>
          <w:color w:val="000000" w:themeColor="text1"/>
          <w:sz w:val="24"/>
          <w:szCs w:val="24"/>
        </w:rPr>
        <w:t xml:space="preserve"> accessed April 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2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Ministry of Justice (2020) Code of Practice For Victims of Crime in England and Wales available at</w:t>
      </w:r>
      <w:hyperlink r:id="rId6">
        <w:r w:rsidRPr="00FA52D0">
          <w:rPr>
            <w:rFonts w:asciiTheme="majorHAnsi" w:hAnsiTheme="majorHAnsi" w:cstheme="majorHAnsi"/>
            <w:color w:val="000000" w:themeColor="text1"/>
            <w:sz w:val="24"/>
            <w:szCs w:val="24"/>
          </w:rPr>
          <w:t xml:space="preserve"> </w:t>
        </w:r>
      </w:hyperlink>
      <w:hyperlink r:id="rId7">
        <w:r w:rsidRPr="00FA52D0">
          <w:rPr>
            <w:rFonts w:asciiTheme="majorHAnsi" w:hAnsiTheme="majorHAnsi" w:cstheme="majorHAnsi"/>
            <w:color w:val="000000" w:themeColor="text1"/>
            <w:sz w:val="24"/>
            <w:szCs w:val="24"/>
            <w:u w:val="single"/>
          </w:rPr>
          <w:t>Code of Practice for Victims of Crime in England and Wales 2020 (pdf) 9.13 MB</w:t>
        </w:r>
      </w:hyperlink>
      <w:r w:rsidRPr="00FA52D0">
        <w:rPr>
          <w:rFonts w:asciiTheme="majorHAnsi" w:hAnsiTheme="majorHAnsi" w:cstheme="majorHAnsi"/>
          <w:color w:val="000000" w:themeColor="text1"/>
          <w:sz w:val="24"/>
          <w:szCs w:val="24"/>
          <w:u w:val="single"/>
        </w:rPr>
        <w:t xml:space="preserve"> </w:t>
      </w:r>
      <w:r w:rsidRPr="00FA52D0">
        <w:rPr>
          <w:rFonts w:asciiTheme="majorHAnsi" w:hAnsiTheme="majorHAnsi" w:cstheme="majorHAnsi"/>
          <w:color w:val="000000" w:themeColor="text1"/>
          <w:sz w:val="24"/>
          <w:szCs w:val="24"/>
        </w:rPr>
        <w:t>Accessed April 9</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26"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Ozin</w:t>
      </w:r>
      <w:proofErr w:type="spellEnd"/>
      <w:r w:rsidRPr="00FA52D0">
        <w:rPr>
          <w:rFonts w:asciiTheme="majorHAnsi" w:hAnsiTheme="majorHAnsi" w:cstheme="majorHAnsi"/>
          <w:color w:val="000000" w:themeColor="text1"/>
          <w:sz w:val="24"/>
          <w:szCs w:val="24"/>
        </w:rPr>
        <w:t xml:space="preserve"> P, Norton H (2019) PACE: A Practical Guide to the Police and Criminal Evidence Act 1984 Fifth Edition Oxford University Press, Oxford UK</w:t>
      </w:r>
    </w:p>
    <w:p w14:paraId="00000027"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 xml:space="preserve">Zander, Michael, PACE (The Police and Criminal Evidence Act 1984): Past, Present, and Future (January 2, 2012). (2011) 23 National Law School of India </w:t>
      </w:r>
      <w:proofErr w:type="gramStart"/>
      <w:r w:rsidRPr="00FA52D0">
        <w:rPr>
          <w:rFonts w:asciiTheme="majorHAnsi" w:hAnsiTheme="majorHAnsi" w:cstheme="majorHAnsi"/>
          <w:color w:val="000000" w:themeColor="text1"/>
          <w:sz w:val="24"/>
          <w:szCs w:val="24"/>
        </w:rPr>
        <w:t>Review ,</w:t>
      </w:r>
      <w:proofErr w:type="gramEnd"/>
      <w:r w:rsidRPr="00FA52D0">
        <w:rPr>
          <w:rFonts w:asciiTheme="majorHAnsi" w:hAnsiTheme="majorHAnsi" w:cstheme="majorHAnsi"/>
          <w:color w:val="000000" w:themeColor="text1"/>
          <w:sz w:val="24"/>
          <w:szCs w:val="24"/>
        </w:rPr>
        <w:t xml:space="preserve"> LSE Legal Studies Working Paper 1/2012, Available at SSRN: </w:t>
      </w:r>
      <w:hyperlink r:id="rId8">
        <w:r w:rsidRPr="00FA52D0">
          <w:rPr>
            <w:rFonts w:asciiTheme="majorHAnsi" w:hAnsiTheme="majorHAnsi" w:cstheme="majorHAnsi"/>
            <w:color w:val="000000" w:themeColor="text1"/>
            <w:sz w:val="24"/>
            <w:szCs w:val="24"/>
            <w:u w:val="single"/>
          </w:rPr>
          <w:t>https://ssrn.com/abstract=1978372</w:t>
        </w:r>
      </w:hyperlink>
    </w:p>
    <w:p w14:paraId="00000028"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9"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A"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B"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C"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D"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E"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2F"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00000030" w14:textId="77777777" w:rsidR="00D67561" w:rsidRPr="00FA52D0" w:rsidRDefault="00D67561">
      <w:pPr>
        <w:spacing w:before="240" w:after="240"/>
        <w:rPr>
          <w:rFonts w:asciiTheme="majorHAnsi" w:hAnsiTheme="majorHAnsi" w:cstheme="majorHAnsi"/>
          <w:color w:val="000000" w:themeColor="text1"/>
          <w:sz w:val="24"/>
          <w:szCs w:val="24"/>
          <w:u w:val="single"/>
        </w:rPr>
      </w:pPr>
    </w:p>
    <w:p w14:paraId="561E7599" w14:textId="77777777" w:rsidR="00FA52D0" w:rsidRDefault="00FA52D0">
      <w:pPr>
        <w:spacing w:before="240" w:after="240"/>
        <w:rPr>
          <w:rFonts w:asciiTheme="majorHAnsi" w:hAnsiTheme="majorHAnsi" w:cstheme="majorHAnsi"/>
          <w:color w:val="000000" w:themeColor="text1"/>
          <w:sz w:val="24"/>
          <w:szCs w:val="24"/>
          <w:u w:val="single"/>
        </w:rPr>
      </w:pPr>
    </w:p>
    <w:p w14:paraId="00000035" w14:textId="6675F3FF"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Essay two – Public Protection</w:t>
      </w:r>
    </w:p>
    <w:p w14:paraId="0000003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What characteristics (socio-economic, psychological etc.) can make a person vulnerable to exploitation to criminal gangs?</w:t>
      </w:r>
    </w:p>
    <w:p w14:paraId="0000003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Your answer must be based on academic research.</w:t>
      </w:r>
    </w:p>
    <w:p w14:paraId="0000003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The exploitation of vulnerable people by criminal gangs can have a terrible impact not only on the victims of exploitation, but it also affects their families and the local community (HM Government 2018). It is recognised that the criminals involved in these groups often use coercion, intimidation, violence, sexual violence, and weapons to target children, young people, and vulnerable adults. People are targeted because of their vulnerability or even multiple vulnerabilities, including for </w:t>
      </w:r>
      <w:proofErr w:type="gramStart"/>
      <w:r w:rsidRPr="00FA52D0">
        <w:rPr>
          <w:rFonts w:asciiTheme="majorHAnsi" w:hAnsiTheme="majorHAnsi" w:cstheme="majorHAnsi"/>
          <w:color w:val="000000" w:themeColor="text1"/>
          <w:sz w:val="24"/>
          <w:szCs w:val="24"/>
        </w:rPr>
        <w:t>example;</w:t>
      </w:r>
      <w:proofErr w:type="gramEnd"/>
      <w:r w:rsidRPr="00FA52D0">
        <w:rPr>
          <w:rFonts w:asciiTheme="majorHAnsi" w:hAnsiTheme="majorHAnsi" w:cstheme="majorHAnsi"/>
          <w:color w:val="000000" w:themeColor="text1"/>
          <w:sz w:val="24"/>
          <w:szCs w:val="24"/>
        </w:rPr>
        <w:t xml:space="preserve"> children, young persons, elderly persons, ‘looked after children’ in the care system, physically disabled persons, drug users or those with mental health problems or learning disabilities (Home Office 2023).</w:t>
      </w:r>
    </w:p>
    <w:p w14:paraId="0000003A"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Viuhko</w:t>
      </w:r>
      <w:proofErr w:type="spellEnd"/>
      <w:r w:rsidRPr="00FA52D0">
        <w:rPr>
          <w:rFonts w:asciiTheme="majorHAnsi" w:hAnsiTheme="majorHAnsi" w:cstheme="majorHAnsi"/>
          <w:color w:val="000000" w:themeColor="text1"/>
          <w:sz w:val="24"/>
          <w:szCs w:val="24"/>
        </w:rPr>
        <w:t xml:space="preserve"> (2019) states that the characteristics that make individuals susceptible to the exploitation of criminal gangs are multi factorial and often intersectional. The NSPCC (2019) identifies that these characteristics may </w:t>
      </w:r>
      <w:proofErr w:type="gramStart"/>
      <w:r w:rsidRPr="00FA52D0">
        <w:rPr>
          <w:rFonts w:asciiTheme="majorHAnsi" w:hAnsiTheme="majorHAnsi" w:cstheme="majorHAnsi"/>
          <w:color w:val="000000" w:themeColor="text1"/>
          <w:sz w:val="24"/>
          <w:szCs w:val="24"/>
        </w:rPr>
        <w:t>include;</w:t>
      </w:r>
      <w:proofErr w:type="gramEnd"/>
      <w:r w:rsidRPr="00FA52D0">
        <w:rPr>
          <w:rFonts w:asciiTheme="majorHAnsi" w:hAnsiTheme="majorHAnsi" w:cstheme="majorHAnsi"/>
          <w:color w:val="000000" w:themeColor="text1"/>
          <w:sz w:val="24"/>
          <w:szCs w:val="24"/>
        </w:rPr>
        <w:t xml:space="preserve"> being excluded from school, having special educational needs, experiencing neglect, domestic abuse or sexual abuse, insecure accommodation or homelessness, insecure immigration status, problems with mental health and if the child or young person lives in an area where there are already gangs. This is further supported following work by the UK Government Home Office (2023); however, it is also recognised that there are cases of people being exploited who have no known risk factors. These are referred to by the criminal gangs as ‘clean skins’ and may be targeted precisely because they have no known connection with any formal authorities. Additionally, Adverse childhood experiences (ACEs) are also thought to play a part. Aces are described as a set of traumatic events or circumstances occurring before the age of 18 (</w:t>
      </w:r>
      <w:proofErr w:type="spellStart"/>
      <w:r w:rsidRPr="00FA52D0">
        <w:rPr>
          <w:rFonts w:asciiTheme="majorHAnsi" w:hAnsiTheme="majorHAnsi" w:cstheme="majorHAnsi"/>
          <w:color w:val="000000" w:themeColor="text1"/>
          <w:sz w:val="24"/>
          <w:szCs w:val="24"/>
        </w:rPr>
        <w:t>Asmussen</w:t>
      </w:r>
      <w:proofErr w:type="spellEnd"/>
      <w:r w:rsidRPr="00FA52D0">
        <w:rPr>
          <w:rFonts w:asciiTheme="majorHAnsi" w:hAnsiTheme="majorHAnsi" w:cstheme="majorHAnsi"/>
          <w:color w:val="000000" w:themeColor="text1"/>
          <w:sz w:val="24"/>
          <w:szCs w:val="24"/>
        </w:rPr>
        <w:t xml:space="preserve"> 2020). If a person has one ACE, the risk of poor adult outcomes is relatively small; if someone has four or more, the risk is comparatively much greater. Among other impacts such as poor health, it is notable that ACEs are associated with a higher likelihood of unemployment and are more likely to be involved in crime, both as victims and perpetrators and are potentially more vulnerable to exploitation by criminal gangs (Di Lemma et al 2019).</w:t>
      </w:r>
    </w:p>
    <w:p w14:paraId="0000003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A report published by England’s Childrens Commissioner (2019) highlights the extreme vulnerability of those children involved with criminal gangs. Noting that:</w:t>
      </w:r>
    </w:p>
    <w:p w14:paraId="0000003C" w14:textId="77777777" w:rsidR="00D67561" w:rsidRPr="00FA52D0" w:rsidRDefault="00000000">
      <w:pPr>
        <w:spacing w:before="240" w:after="240"/>
        <w:ind w:left="720"/>
        <w:rPr>
          <w:rFonts w:asciiTheme="majorHAnsi" w:hAnsiTheme="majorHAnsi" w:cstheme="majorHAnsi"/>
          <w:i/>
          <w:color w:val="000000" w:themeColor="text1"/>
          <w:sz w:val="24"/>
          <w:szCs w:val="24"/>
        </w:rPr>
      </w:pPr>
      <w:r w:rsidRPr="00FA52D0">
        <w:rPr>
          <w:rFonts w:asciiTheme="majorHAnsi" w:hAnsiTheme="majorHAnsi" w:cstheme="majorHAnsi"/>
          <w:i/>
          <w:color w:val="000000" w:themeColor="text1"/>
          <w:sz w:val="24"/>
          <w:szCs w:val="24"/>
        </w:rPr>
        <w:t xml:space="preserve">‘The criminal gangs that are exploiting children are large, complex, and ruthless </w:t>
      </w:r>
      <w:proofErr w:type="gramStart"/>
      <w:r w:rsidRPr="00FA52D0">
        <w:rPr>
          <w:rFonts w:asciiTheme="majorHAnsi" w:hAnsiTheme="majorHAnsi" w:cstheme="majorHAnsi"/>
          <w:i/>
          <w:color w:val="000000" w:themeColor="text1"/>
          <w:sz w:val="24"/>
          <w:szCs w:val="24"/>
        </w:rPr>
        <w:t>organisations .</w:t>
      </w:r>
      <w:proofErr w:type="gramEnd"/>
      <w:r w:rsidRPr="00FA52D0">
        <w:rPr>
          <w:rFonts w:asciiTheme="majorHAnsi" w:hAnsiTheme="majorHAnsi" w:cstheme="majorHAnsi"/>
          <w:i/>
          <w:color w:val="000000" w:themeColor="text1"/>
          <w:sz w:val="24"/>
          <w:szCs w:val="24"/>
        </w:rPr>
        <w:t xml:space="preserve"> For the vast majority, vulnerable children who can be used and, if necessary, discarded, are an integral part of their business model’.</w:t>
      </w:r>
    </w:p>
    <w:p w14:paraId="0000003D"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The research evidence from the Childrens Commissioner (2019) report suggests that children associated with criminal gangs are the most vulnerable in the country. This is the </w:t>
      </w:r>
      <w:r w:rsidRPr="00FA52D0">
        <w:rPr>
          <w:rFonts w:asciiTheme="majorHAnsi" w:hAnsiTheme="majorHAnsi" w:cstheme="majorHAnsi"/>
          <w:color w:val="000000" w:themeColor="text1"/>
          <w:sz w:val="24"/>
          <w:szCs w:val="24"/>
        </w:rPr>
        <w:lastRenderedPageBreak/>
        <w:t>case even when compared with other children known to statutory children’s services, they are shown to be at greater risk, for example, they are more likely to have experienced neglect at home with as many as 76% cited as not having their basic care needs met. They are also 95% more likely to have social, emotional, and mental health issues identified as a primary Statement of Educational Need (SEN) in comparison with other children assessed by children’s services.</w:t>
      </w:r>
    </w:p>
    <w:p w14:paraId="0000003E"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A particular phenomenon that is now prevalent is the development of the exploitation of people via county lines. The UK Government defines county lines as:</w:t>
      </w:r>
    </w:p>
    <w:p w14:paraId="0000003F" w14:textId="77777777" w:rsidR="00D67561" w:rsidRPr="00FA52D0" w:rsidRDefault="00000000">
      <w:pPr>
        <w:spacing w:before="240" w:after="240"/>
        <w:ind w:left="720"/>
        <w:rPr>
          <w:rFonts w:asciiTheme="majorHAnsi" w:hAnsiTheme="majorHAnsi" w:cstheme="majorHAnsi"/>
          <w:i/>
          <w:color w:val="000000" w:themeColor="text1"/>
          <w:sz w:val="24"/>
          <w:szCs w:val="24"/>
        </w:rPr>
      </w:pPr>
      <w:r w:rsidRPr="00FA52D0">
        <w:rPr>
          <w:rFonts w:asciiTheme="majorHAnsi" w:hAnsiTheme="majorHAnsi" w:cstheme="majorHAnsi"/>
          <w:color w:val="000000" w:themeColor="text1"/>
          <w:sz w:val="24"/>
          <w:szCs w:val="24"/>
        </w:rPr>
        <w:t>“</w:t>
      </w:r>
      <w:r w:rsidRPr="00FA52D0">
        <w:rPr>
          <w:rFonts w:asciiTheme="majorHAnsi" w:hAnsiTheme="majorHAnsi" w:cstheme="majorHAnsi"/>
          <w:i/>
          <w:color w:val="000000" w:themeColor="text1"/>
          <w:sz w:val="24"/>
          <w:szCs w:val="24"/>
        </w:rPr>
        <w:t>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14:paraId="00000040" w14:textId="77777777" w:rsidR="00D67561" w:rsidRPr="00FA52D0" w:rsidRDefault="00000000">
      <w:pPr>
        <w:spacing w:before="240" w:after="240"/>
        <w:ind w:left="432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(HM Government Serious Violence Strategy 2018)</w:t>
      </w:r>
    </w:p>
    <w:p w14:paraId="00000041"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Robinson et al (2019) see County lines as more than just a policing problem. This is due to the harm that they create for vulnerable populations through the proactive targeting by criminal gangs of children and other vulnerable adults within the community. It is this element, they suggest, that not only distinguishes county lines from more traditional models of drug dealing but also makes it a public health problem. Their qualitative research study focussed on the two areas of Glasgow and Merseyside and aimed to ‘hear the voices’ of the children involved in County lines, thus shedding more light on the experiences and motivations of those involved. Notably, the normalised use of cannabis was seen to be a key factor in ‘hooking’ young people into initially selling drugs on behalf of the gangs. The gangs provide ‘free’ cannabis in return for the children’s services. This often leads to the accumulation of a ‘drug debt’ that requires the exploited person to continue ‘working’ in order pay off their debt. The Children’s Society (2022) describe this as debt bondage. A real or perceived debt is often used as a method by criminal groups to exert power and control over the individuals they are exploiting. McDonald et al (2024) researched the impact on disabled people as a particular group susceptible to being ‘groomed’ or coerced into criminal activity through being ‘cuckooed’. They describe this phenomenon as when a vulnerable person’s home is occupied by local perpetrators or organised criminal gangs such as is the case with county lines. The findings of their qualitative research based on the experience of those who had been subjected to cuckooing identified that social isolation, loneliness and a lack of community or family support mechanisms </w:t>
      </w:r>
      <w:proofErr w:type="gramStart"/>
      <w:r w:rsidRPr="00FA52D0">
        <w:rPr>
          <w:rFonts w:asciiTheme="majorHAnsi" w:hAnsiTheme="majorHAnsi" w:cstheme="majorHAnsi"/>
          <w:color w:val="000000" w:themeColor="text1"/>
          <w:sz w:val="24"/>
          <w:szCs w:val="24"/>
        </w:rPr>
        <w:t>were</w:t>
      </w:r>
      <w:proofErr w:type="gramEnd"/>
    </w:p>
    <w:p w14:paraId="0000004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all characteristics that made their exploitation easier. McDonald et al (2024) goes on to suggest that </w:t>
      </w:r>
      <w:proofErr w:type="spellStart"/>
      <w:proofErr w:type="gramStart"/>
      <w:r w:rsidRPr="00FA52D0">
        <w:rPr>
          <w:rFonts w:asciiTheme="majorHAnsi" w:hAnsiTheme="majorHAnsi" w:cstheme="majorHAnsi"/>
          <w:color w:val="000000" w:themeColor="text1"/>
          <w:sz w:val="24"/>
          <w:szCs w:val="24"/>
        </w:rPr>
        <w:t>there</w:t>
      </w:r>
      <w:proofErr w:type="gramEnd"/>
      <w:r w:rsidRPr="00FA52D0">
        <w:rPr>
          <w:rFonts w:asciiTheme="majorHAnsi" w:hAnsiTheme="majorHAnsi" w:cstheme="majorHAnsi"/>
          <w:color w:val="000000" w:themeColor="text1"/>
          <w:sz w:val="24"/>
          <w:szCs w:val="24"/>
        </w:rPr>
        <w:t xml:space="preserve"> s</w:t>
      </w:r>
      <w:proofErr w:type="spellEnd"/>
      <w:r w:rsidRPr="00FA52D0">
        <w:rPr>
          <w:rFonts w:asciiTheme="majorHAnsi" w:hAnsiTheme="majorHAnsi" w:cstheme="majorHAnsi"/>
          <w:color w:val="000000" w:themeColor="text1"/>
          <w:sz w:val="24"/>
          <w:szCs w:val="24"/>
        </w:rPr>
        <w:t xml:space="preserve"> evidence that the current climate of austerity with lack of adult services </w:t>
      </w:r>
      <w:r w:rsidRPr="00FA52D0">
        <w:rPr>
          <w:rFonts w:asciiTheme="majorHAnsi" w:hAnsiTheme="majorHAnsi" w:cstheme="majorHAnsi"/>
          <w:color w:val="000000" w:themeColor="text1"/>
          <w:sz w:val="24"/>
          <w:szCs w:val="24"/>
        </w:rPr>
        <w:lastRenderedPageBreak/>
        <w:t>has seen disabled people become easy targets. Their homes and financial benefits are identified by the exploiters as resources that can easily be used. There is a cross over identified in this context between cuckooing and ‘mate crime’, whereby someone has initially pretended to offer the disabled person friendship and company with the intent of winning their trust and then subsequently making their exploitative demands. The situation is difficult as the disabled person may not realise at first that they are being exploited and sees the exploiter as their ’friend’ (Forester &amp; Pearson 2020).</w:t>
      </w:r>
    </w:p>
    <w:p w14:paraId="0000004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Considering the characteristics that may make someone vulnerable to exploitation in a wider context, research by </w:t>
      </w:r>
      <w:proofErr w:type="spellStart"/>
      <w:r w:rsidRPr="00FA52D0">
        <w:rPr>
          <w:rFonts w:asciiTheme="majorHAnsi" w:hAnsiTheme="majorHAnsi" w:cstheme="majorHAnsi"/>
          <w:color w:val="000000" w:themeColor="text1"/>
          <w:sz w:val="24"/>
          <w:szCs w:val="24"/>
        </w:rPr>
        <w:t>Viuhko</w:t>
      </w:r>
      <w:proofErr w:type="spellEnd"/>
      <w:r w:rsidRPr="00FA52D0">
        <w:rPr>
          <w:rFonts w:asciiTheme="majorHAnsi" w:hAnsiTheme="majorHAnsi" w:cstheme="majorHAnsi"/>
          <w:color w:val="000000" w:themeColor="text1"/>
          <w:sz w:val="24"/>
          <w:szCs w:val="24"/>
        </w:rPr>
        <w:t xml:space="preserve"> (2019) explores the concept of intersectionality and in particular the relationship between trafficked persons and the traffickers. </w:t>
      </w:r>
      <w:proofErr w:type="spellStart"/>
      <w:r w:rsidRPr="00FA52D0">
        <w:rPr>
          <w:rFonts w:asciiTheme="majorHAnsi" w:hAnsiTheme="majorHAnsi" w:cstheme="majorHAnsi"/>
          <w:color w:val="000000" w:themeColor="text1"/>
          <w:sz w:val="24"/>
          <w:szCs w:val="24"/>
        </w:rPr>
        <w:t>Viuhko’s</w:t>
      </w:r>
      <w:proofErr w:type="spellEnd"/>
      <w:r w:rsidRPr="00FA52D0">
        <w:rPr>
          <w:rFonts w:asciiTheme="majorHAnsi" w:hAnsiTheme="majorHAnsi" w:cstheme="majorHAnsi"/>
          <w:color w:val="000000" w:themeColor="text1"/>
          <w:sz w:val="24"/>
          <w:szCs w:val="24"/>
        </w:rPr>
        <w:t xml:space="preserve"> research concludes that the perpetrators use several ways to deceive, persuade or threaten the victim into being trafficked. Often poverty and structural inequality are characteristics that make the victim more prone to exploitation. Once the victim is in the situation their lack of power makes it difficult to escape. Intersectional characteristics of gender, race, age, their financial situation, and lack of knowledge of the language or local customs may all be barriers to seeking and obtaining freedom.</w:t>
      </w:r>
    </w:p>
    <w:p w14:paraId="0000004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Overall, </w:t>
      </w:r>
      <w:proofErr w:type="gramStart"/>
      <w:r w:rsidRPr="00FA52D0">
        <w:rPr>
          <w:rFonts w:asciiTheme="majorHAnsi" w:hAnsiTheme="majorHAnsi" w:cstheme="majorHAnsi"/>
          <w:color w:val="000000" w:themeColor="text1"/>
          <w:sz w:val="24"/>
          <w:szCs w:val="24"/>
        </w:rPr>
        <w:t>it can be seen that the</w:t>
      </w:r>
      <w:proofErr w:type="gramEnd"/>
      <w:r w:rsidRPr="00FA52D0">
        <w:rPr>
          <w:rFonts w:asciiTheme="majorHAnsi" w:hAnsiTheme="majorHAnsi" w:cstheme="majorHAnsi"/>
          <w:color w:val="000000" w:themeColor="text1"/>
          <w:sz w:val="24"/>
          <w:szCs w:val="24"/>
        </w:rPr>
        <w:t xml:space="preserve"> evidence base suggests that the characteristics that can make a person vulnerable to exploitation by criminal gangs are complex and often overlapping. Clearly it requires a combination of approaches, with early and consistent intervention to tackle it. Research by Ford et al (2017) suggests that operational police officers’ benefit from training in ACE’s and a trauma informed approach, including positive effects on staff wellbeing and the response to vulnerable persons by the police. </w:t>
      </w:r>
    </w:p>
    <w:p w14:paraId="00000045" w14:textId="77777777" w:rsidR="00D67561" w:rsidRPr="00FA52D0" w:rsidRDefault="00D67561">
      <w:pPr>
        <w:spacing w:before="240" w:after="240"/>
        <w:rPr>
          <w:rFonts w:asciiTheme="majorHAnsi" w:hAnsiTheme="majorHAnsi" w:cstheme="majorHAnsi"/>
          <w:color w:val="000000" w:themeColor="text1"/>
          <w:sz w:val="24"/>
          <w:szCs w:val="24"/>
        </w:rPr>
      </w:pPr>
    </w:p>
    <w:p w14:paraId="00000046" w14:textId="77777777" w:rsidR="00D67561" w:rsidRPr="00FA52D0" w:rsidRDefault="00D67561">
      <w:pPr>
        <w:rPr>
          <w:rFonts w:asciiTheme="majorHAnsi" w:hAnsiTheme="majorHAnsi" w:cstheme="majorHAnsi"/>
          <w:color w:val="000000" w:themeColor="text1"/>
          <w:sz w:val="24"/>
          <w:szCs w:val="24"/>
        </w:rPr>
      </w:pPr>
    </w:p>
    <w:p w14:paraId="00000047" w14:textId="77777777" w:rsidR="00D67561" w:rsidRPr="00FA52D0" w:rsidRDefault="00D67561">
      <w:pPr>
        <w:rPr>
          <w:rFonts w:asciiTheme="majorHAnsi" w:hAnsiTheme="majorHAnsi" w:cstheme="majorHAnsi"/>
          <w:color w:val="000000" w:themeColor="text1"/>
          <w:sz w:val="24"/>
          <w:szCs w:val="24"/>
        </w:rPr>
      </w:pPr>
    </w:p>
    <w:p w14:paraId="00000048" w14:textId="77777777" w:rsidR="00D67561" w:rsidRPr="00FA52D0" w:rsidRDefault="00D67561">
      <w:pPr>
        <w:rPr>
          <w:rFonts w:asciiTheme="majorHAnsi" w:hAnsiTheme="majorHAnsi" w:cstheme="majorHAnsi"/>
          <w:color w:val="000000" w:themeColor="text1"/>
          <w:sz w:val="24"/>
          <w:szCs w:val="24"/>
        </w:rPr>
      </w:pPr>
    </w:p>
    <w:p w14:paraId="00000049" w14:textId="77777777" w:rsidR="00D67561" w:rsidRPr="00FA52D0" w:rsidRDefault="00D67561">
      <w:pPr>
        <w:rPr>
          <w:rFonts w:asciiTheme="majorHAnsi" w:hAnsiTheme="majorHAnsi" w:cstheme="majorHAnsi"/>
          <w:color w:val="000000" w:themeColor="text1"/>
          <w:sz w:val="24"/>
          <w:szCs w:val="24"/>
        </w:rPr>
      </w:pPr>
    </w:p>
    <w:p w14:paraId="0000004A" w14:textId="77777777" w:rsidR="00D67561" w:rsidRPr="00FA52D0" w:rsidRDefault="00D67561">
      <w:pPr>
        <w:rPr>
          <w:rFonts w:asciiTheme="majorHAnsi" w:hAnsiTheme="majorHAnsi" w:cstheme="majorHAnsi"/>
          <w:color w:val="000000" w:themeColor="text1"/>
          <w:sz w:val="24"/>
          <w:szCs w:val="24"/>
        </w:rPr>
      </w:pPr>
    </w:p>
    <w:p w14:paraId="0000004B" w14:textId="77777777" w:rsidR="00D67561" w:rsidRPr="00FA52D0" w:rsidRDefault="00D67561">
      <w:pPr>
        <w:rPr>
          <w:rFonts w:asciiTheme="majorHAnsi" w:hAnsiTheme="majorHAnsi" w:cstheme="majorHAnsi"/>
          <w:color w:val="000000" w:themeColor="text1"/>
          <w:sz w:val="24"/>
          <w:szCs w:val="24"/>
        </w:rPr>
      </w:pPr>
    </w:p>
    <w:p w14:paraId="0000004C" w14:textId="77777777" w:rsidR="00D67561" w:rsidRPr="00FA52D0" w:rsidRDefault="00D67561">
      <w:pPr>
        <w:rPr>
          <w:rFonts w:asciiTheme="majorHAnsi" w:hAnsiTheme="majorHAnsi" w:cstheme="majorHAnsi"/>
          <w:color w:val="000000" w:themeColor="text1"/>
          <w:sz w:val="24"/>
          <w:szCs w:val="24"/>
        </w:rPr>
      </w:pPr>
    </w:p>
    <w:p w14:paraId="0000004D" w14:textId="77777777" w:rsidR="00D67561" w:rsidRPr="00FA52D0" w:rsidRDefault="00D67561">
      <w:pPr>
        <w:rPr>
          <w:rFonts w:asciiTheme="majorHAnsi" w:hAnsiTheme="majorHAnsi" w:cstheme="majorHAnsi"/>
          <w:color w:val="000000" w:themeColor="text1"/>
          <w:sz w:val="24"/>
          <w:szCs w:val="24"/>
        </w:rPr>
      </w:pPr>
    </w:p>
    <w:p w14:paraId="0000004E" w14:textId="77777777" w:rsidR="00D67561" w:rsidRPr="00FA52D0" w:rsidRDefault="00D67561">
      <w:pPr>
        <w:rPr>
          <w:rFonts w:asciiTheme="majorHAnsi" w:hAnsiTheme="majorHAnsi" w:cstheme="majorHAnsi"/>
          <w:color w:val="000000" w:themeColor="text1"/>
          <w:sz w:val="24"/>
          <w:szCs w:val="24"/>
        </w:rPr>
      </w:pPr>
    </w:p>
    <w:p w14:paraId="0000004F" w14:textId="77777777" w:rsidR="00D67561" w:rsidRPr="00FA52D0" w:rsidRDefault="00D67561">
      <w:pPr>
        <w:rPr>
          <w:rFonts w:asciiTheme="majorHAnsi" w:hAnsiTheme="majorHAnsi" w:cstheme="majorHAnsi"/>
          <w:color w:val="000000" w:themeColor="text1"/>
          <w:sz w:val="24"/>
          <w:szCs w:val="24"/>
        </w:rPr>
      </w:pPr>
    </w:p>
    <w:p w14:paraId="00000050" w14:textId="77777777" w:rsidR="00D67561" w:rsidRPr="00FA52D0" w:rsidRDefault="00D67561">
      <w:pPr>
        <w:rPr>
          <w:rFonts w:asciiTheme="majorHAnsi" w:hAnsiTheme="majorHAnsi" w:cstheme="majorHAnsi"/>
          <w:color w:val="000000" w:themeColor="text1"/>
          <w:sz w:val="24"/>
          <w:szCs w:val="24"/>
        </w:rPr>
      </w:pPr>
    </w:p>
    <w:p w14:paraId="0427D9D6" w14:textId="77777777" w:rsidR="00FA52D0" w:rsidRDefault="00FA52D0">
      <w:pPr>
        <w:spacing w:before="240" w:after="240"/>
        <w:rPr>
          <w:rFonts w:asciiTheme="majorHAnsi" w:hAnsiTheme="majorHAnsi" w:cstheme="majorHAnsi"/>
          <w:b/>
          <w:color w:val="000000" w:themeColor="text1"/>
          <w:sz w:val="24"/>
          <w:szCs w:val="24"/>
        </w:rPr>
      </w:pPr>
    </w:p>
    <w:p w14:paraId="2AD495B6" w14:textId="77777777" w:rsidR="00FA52D0" w:rsidRPr="00FA52D0" w:rsidRDefault="00FA52D0">
      <w:pPr>
        <w:spacing w:before="240" w:after="240"/>
        <w:rPr>
          <w:rFonts w:asciiTheme="majorHAnsi" w:hAnsiTheme="majorHAnsi" w:cstheme="majorHAnsi"/>
          <w:b/>
          <w:color w:val="000000" w:themeColor="text1"/>
          <w:sz w:val="24"/>
          <w:szCs w:val="24"/>
        </w:rPr>
      </w:pPr>
    </w:p>
    <w:p w14:paraId="00000051" w14:textId="4C16076E"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Bibliography</w:t>
      </w:r>
    </w:p>
    <w:p w14:paraId="00000052"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Asmussen</w:t>
      </w:r>
      <w:proofErr w:type="spellEnd"/>
      <w:r w:rsidRPr="00FA52D0">
        <w:rPr>
          <w:rFonts w:asciiTheme="majorHAnsi" w:hAnsiTheme="majorHAnsi" w:cstheme="majorHAnsi"/>
          <w:color w:val="000000" w:themeColor="text1"/>
          <w:sz w:val="24"/>
          <w:szCs w:val="24"/>
        </w:rPr>
        <w:t xml:space="preserve"> K, Fischer F, Drayton E &amp; McBride T (2020) Adverse childhood experiences What we know, what we don’t know, and what should happen </w:t>
      </w:r>
      <w:proofErr w:type="gramStart"/>
      <w:r w:rsidRPr="00FA52D0">
        <w:rPr>
          <w:rFonts w:asciiTheme="majorHAnsi" w:hAnsiTheme="majorHAnsi" w:cstheme="majorHAnsi"/>
          <w:color w:val="000000" w:themeColor="text1"/>
          <w:sz w:val="24"/>
          <w:szCs w:val="24"/>
        </w:rPr>
        <w:t>next .</w:t>
      </w:r>
      <w:proofErr w:type="gramEnd"/>
      <w:r w:rsidRPr="00FA52D0">
        <w:rPr>
          <w:rFonts w:asciiTheme="majorHAnsi" w:hAnsiTheme="majorHAnsi" w:cstheme="majorHAnsi"/>
          <w:color w:val="000000" w:themeColor="text1"/>
          <w:sz w:val="24"/>
          <w:szCs w:val="24"/>
        </w:rPr>
        <w:t xml:space="preserve"> Early Intervention Foundation adverse-childhood-experiences-report.pdf 2018.pdf Accessed April 18</w:t>
      </w:r>
      <w:r w:rsidRPr="00FA52D0">
        <w:rPr>
          <w:rFonts w:asciiTheme="majorHAnsi" w:hAnsiTheme="majorHAnsi" w:cstheme="majorHAnsi"/>
          <w:color w:val="000000" w:themeColor="text1"/>
          <w:sz w:val="24"/>
          <w:szCs w:val="24"/>
          <w:vertAlign w:val="superscript"/>
        </w:rPr>
        <w:t>th</w:t>
      </w:r>
      <w:proofErr w:type="gramStart"/>
      <w:r w:rsidRPr="00FA52D0">
        <w:rPr>
          <w:rFonts w:asciiTheme="majorHAnsi" w:hAnsiTheme="majorHAnsi" w:cstheme="majorHAnsi"/>
          <w:color w:val="000000" w:themeColor="text1"/>
          <w:sz w:val="24"/>
          <w:szCs w:val="24"/>
        </w:rPr>
        <w:t xml:space="preserve"> 2024</w:t>
      </w:r>
      <w:proofErr w:type="gramEnd"/>
    </w:p>
    <w:p w14:paraId="0000005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Barlow C, Kidd A, Green S and </w:t>
      </w:r>
      <w:proofErr w:type="spellStart"/>
      <w:r w:rsidRPr="00FA52D0">
        <w:rPr>
          <w:rFonts w:asciiTheme="majorHAnsi" w:hAnsiTheme="majorHAnsi" w:cstheme="majorHAnsi"/>
          <w:color w:val="000000" w:themeColor="text1"/>
          <w:sz w:val="24"/>
          <w:szCs w:val="24"/>
        </w:rPr>
        <w:t>Darb</w:t>
      </w:r>
      <w:proofErr w:type="spellEnd"/>
      <w:r w:rsidRPr="00FA52D0">
        <w:rPr>
          <w:rFonts w:asciiTheme="majorHAnsi" w:hAnsiTheme="majorHAnsi" w:cstheme="majorHAnsi"/>
          <w:color w:val="000000" w:themeColor="text1"/>
          <w:sz w:val="24"/>
          <w:szCs w:val="24"/>
        </w:rPr>
        <w:t xml:space="preserve"> B (2021) Circles of analysis: a systemic model of child criminal exploitation. Journal of Childrens Services Emerald Publishing Limited.</w:t>
      </w:r>
      <w:hyperlink r:id="rId9">
        <w:r w:rsidRPr="00FA52D0">
          <w:rPr>
            <w:rFonts w:asciiTheme="majorHAnsi" w:hAnsiTheme="majorHAnsi" w:cstheme="majorHAnsi"/>
            <w:color w:val="000000" w:themeColor="text1"/>
            <w:sz w:val="24"/>
            <w:szCs w:val="24"/>
          </w:rPr>
          <w:t xml:space="preserve"> </w:t>
        </w:r>
      </w:hyperlink>
      <w:hyperlink r:id="rId10">
        <w:r w:rsidRPr="00FA52D0">
          <w:rPr>
            <w:rFonts w:asciiTheme="majorHAnsi" w:hAnsiTheme="majorHAnsi" w:cstheme="majorHAnsi"/>
            <w:color w:val="000000" w:themeColor="text1"/>
            <w:sz w:val="24"/>
            <w:szCs w:val="24"/>
            <w:u w:val="single"/>
          </w:rPr>
          <w:t>EM-JCSJ210034 1..17 (craigbarlow.co.uk)</w:t>
        </w:r>
      </w:hyperlink>
      <w:r w:rsidRPr="00FA52D0">
        <w:rPr>
          <w:rFonts w:asciiTheme="majorHAnsi" w:hAnsiTheme="majorHAnsi" w:cstheme="majorHAnsi"/>
          <w:color w:val="000000" w:themeColor="text1"/>
          <w:sz w:val="24"/>
          <w:szCs w:val="24"/>
        </w:rPr>
        <w:t xml:space="preserve"> Accessed April 15</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5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Butera J (2013) Cuckooing: home takeovers of vulnerable tenants. Available from:</w:t>
      </w:r>
      <w:hyperlink r:id="rId11">
        <w:r w:rsidRPr="00FA52D0">
          <w:rPr>
            <w:rFonts w:asciiTheme="majorHAnsi" w:hAnsiTheme="majorHAnsi" w:cstheme="majorHAnsi"/>
            <w:color w:val="000000" w:themeColor="text1"/>
            <w:sz w:val="24"/>
            <w:szCs w:val="24"/>
          </w:rPr>
          <w:t xml:space="preserve"> </w:t>
        </w:r>
      </w:hyperlink>
      <w:hyperlink r:id="rId12">
        <w:r w:rsidRPr="00FA52D0">
          <w:rPr>
            <w:rFonts w:asciiTheme="majorHAnsi" w:hAnsiTheme="majorHAnsi" w:cstheme="majorHAnsi"/>
            <w:color w:val="000000" w:themeColor="text1"/>
            <w:sz w:val="24"/>
            <w:szCs w:val="24"/>
            <w:u w:val="single"/>
          </w:rPr>
          <w:t>Cuckooing-Home takeovers of vulnerable tenants.pdf (homelesshub.ca)</w:t>
        </w:r>
      </w:hyperlink>
      <w:r w:rsidRPr="00FA52D0">
        <w:rPr>
          <w:rFonts w:asciiTheme="majorHAnsi" w:hAnsiTheme="majorHAnsi" w:cstheme="majorHAnsi"/>
          <w:color w:val="000000" w:themeColor="text1"/>
          <w:sz w:val="24"/>
          <w:szCs w:val="24"/>
        </w:rPr>
        <w:t xml:space="preserve"> Accessed April 15</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5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Childrens Commissioner Report (2019) </w:t>
      </w:r>
      <w:hyperlink r:id="rId13">
        <w:r w:rsidRPr="00FA52D0">
          <w:rPr>
            <w:rFonts w:asciiTheme="majorHAnsi" w:hAnsiTheme="majorHAnsi" w:cstheme="majorHAnsi"/>
            <w:color w:val="000000" w:themeColor="text1"/>
            <w:sz w:val="24"/>
            <w:szCs w:val="24"/>
            <w:u w:val="single"/>
          </w:rPr>
          <w:t>'Keeping Children Safe: Improving safeguarding responses to gang violence and criminal exploitation'</w:t>
        </w:r>
      </w:hyperlink>
      <w:r w:rsidRPr="00FA52D0">
        <w:rPr>
          <w:rFonts w:asciiTheme="majorHAnsi" w:hAnsiTheme="majorHAnsi" w:cstheme="majorHAnsi"/>
          <w:color w:val="000000" w:themeColor="text1"/>
          <w:sz w:val="24"/>
          <w:szCs w:val="24"/>
        </w:rPr>
        <w:t xml:space="preserve"> adapted from </w:t>
      </w:r>
      <w:proofErr w:type="spellStart"/>
      <w:r w:rsidRPr="00FA52D0">
        <w:rPr>
          <w:rFonts w:asciiTheme="majorHAnsi" w:hAnsiTheme="majorHAnsi" w:cstheme="majorHAnsi"/>
          <w:color w:val="000000" w:themeColor="text1"/>
          <w:sz w:val="24"/>
          <w:szCs w:val="24"/>
        </w:rPr>
        <w:t>Hallsworth</w:t>
      </w:r>
      <w:proofErr w:type="spellEnd"/>
      <w:r w:rsidRPr="00FA52D0">
        <w:rPr>
          <w:rFonts w:asciiTheme="majorHAnsi" w:hAnsiTheme="majorHAnsi" w:cstheme="majorHAnsi"/>
          <w:color w:val="000000" w:themeColor="text1"/>
          <w:sz w:val="24"/>
          <w:szCs w:val="24"/>
        </w:rPr>
        <w:t xml:space="preserve"> S and  Young T (2004) Getting Real About Gangs. Criminal Justice Matters (55) 12-13.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w:t>
      </w:r>
      <w:proofErr w:type="gramStart"/>
      <w:r w:rsidRPr="00FA52D0">
        <w:rPr>
          <w:rFonts w:asciiTheme="majorHAnsi" w:hAnsiTheme="majorHAnsi" w:cstheme="majorHAnsi"/>
          <w:color w:val="000000" w:themeColor="text1"/>
          <w:sz w:val="24"/>
          <w:szCs w:val="24"/>
        </w:rPr>
        <w:t>2024</w:t>
      </w:r>
      <w:proofErr w:type="gramEnd"/>
    </w:p>
    <w:p w14:paraId="0000005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Childrens Society (2022) Debt Bondage in a Criminal Exploitation and County Lines context: A support resource for professionals</w:t>
      </w:r>
      <w:hyperlink r:id="rId14">
        <w:r w:rsidRPr="00FA52D0">
          <w:rPr>
            <w:rFonts w:asciiTheme="majorHAnsi" w:hAnsiTheme="majorHAnsi" w:cstheme="majorHAnsi"/>
            <w:color w:val="000000" w:themeColor="text1"/>
            <w:sz w:val="24"/>
            <w:szCs w:val="24"/>
          </w:rPr>
          <w:t xml:space="preserve"> </w:t>
        </w:r>
      </w:hyperlink>
      <w:hyperlink r:id="rId15">
        <w:r w:rsidRPr="00FA52D0">
          <w:rPr>
            <w:rFonts w:asciiTheme="majorHAnsi" w:hAnsiTheme="majorHAnsi" w:cstheme="majorHAnsi"/>
            <w:color w:val="000000" w:themeColor="text1"/>
            <w:sz w:val="24"/>
            <w:szCs w:val="24"/>
            <w:u w:val="single"/>
          </w:rPr>
          <w:t>Debt-Bondage-in-a-Criminal-Exploitation-and-County-Lines-Context-A-Support-Resource-for-Professionals.pdf (</w:t>
        </w:r>
        <w:proofErr w:type="spellStart"/>
        <w:r w:rsidRPr="00FA52D0">
          <w:rPr>
            <w:rFonts w:asciiTheme="majorHAnsi" w:hAnsiTheme="majorHAnsi" w:cstheme="majorHAnsi"/>
            <w:color w:val="000000" w:themeColor="text1"/>
            <w:sz w:val="24"/>
            <w:szCs w:val="24"/>
            <w:u w:val="single"/>
          </w:rPr>
          <w:t>respect.international</w:t>
        </w:r>
        <w:proofErr w:type="spellEnd"/>
        <w:r w:rsidRPr="00FA52D0">
          <w:rPr>
            <w:rFonts w:asciiTheme="majorHAnsi" w:hAnsiTheme="majorHAnsi" w:cstheme="majorHAnsi"/>
            <w:color w:val="000000" w:themeColor="text1"/>
            <w:sz w:val="24"/>
            <w:szCs w:val="24"/>
            <w:u w:val="single"/>
          </w:rPr>
          <w:t>)</w:t>
        </w:r>
      </w:hyperlink>
      <w:r w:rsidRPr="00FA52D0">
        <w:rPr>
          <w:rFonts w:asciiTheme="majorHAnsi" w:hAnsiTheme="majorHAnsi" w:cstheme="majorHAnsi"/>
          <w:color w:val="000000" w:themeColor="text1"/>
          <w:sz w:val="24"/>
          <w:szCs w:val="24"/>
        </w:rPr>
        <w:t xml:space="preserve"> Accessed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April 2024</w:t>
      </w:r>
    </w:p>
    <w:p w14:paraId="0000005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Clarke AM, </w:t>
      </w:r>
      <w:proofErr w:type="spellStart"/>
      <w:r w:rsidRPr="00FA52D0">
        <w:rPr>
          <w:rFonts w:asciiTheme="majorHAnsi" w:hAnsiTheme="majorHAnsi" w:cstheme="majorHAnsi"/>
          <w:color w:val="000000" w:themeColor="text1"/>
          <w:sz w:val="24"/>
          <w:szCs w:val="24"/>
        </w:rPr>
        <w:t>Morreale</w:t>
      </w:r>
      <w:proofErr w:type="spellEnd"/>
      <w:r w:rsidRPr="00FA52D0">
        <w:rPr>
          <w:rFonts w:asciiTheme="majorHAnsi" w:hAnsiTheme="majorHAnsi" w:cstheme="majorHAnsi"/>
          <w:color w:val="000000" w:themeColor="text1"/>
          <w:sz w:val="24"/>
          <w:szCs w:val="24"/>
        </w:rPr>
        <w:t xml:space="preserve"> S, Field CA, Hussein Y, Barry MM. (2015). What works in enhancing social and emotional skills development during childhood and adolescence? A review of the evidence on the effectiveness of school-based and out-of-school programmes in the UK. National University of Ireland Galway: WHO Collaborating Centre for Health Promotion Research.</w:t>
      </w:r>
      <w:hyperlink r:id="rId16">
        <w:r w:rsidRPr="00FA52D0">
          <w:rPr>
            <w:rFonts w:asciiTheme="majorHAnsi" w:hAnsiTheme="majorHAnsi" w:cstheme="majorHAnsi"/>
            <w:color w:val="000000" w:themeColor="text1"/>
            <w:sz w:val="24"/>
            <w:szCs w:val="24"/>
          </w:rPr>
          <w:t xml:space="preserve"> </w:t>
        </w:r>
      </w:hyperlink>
      <w:hyperlink r:id="rId17">
        <w:r w:rsidRPr="00FA52D0">
          <w:rPr>
            <w:rFonts w:asciiTheme="majorHAnsi" w:hAnsiTheme="majorHAnsi" w:cstheme="majorHAnsi"/>
            <w:color w:val="000000" w:themeColor="text1"/>
            <w:sz w:val="24"/>
            <w:szCs w:val="24"/>
            <w:u w:val="single"/>
          </w:rPr>
          <w:t>https://aran.library.nuigalway.ie/handle/10379/4981</w:t>
        </w:r>
      </w:hyperlink>
      <w:r w:rsidRPr="00FA52D0">
        <w:rPr>
          <w:rFonts w:asciiTheme="majorHAnsi" w:hAnsiTheme="majorHAnsi" w:cstheme="majorHAnsi"/>
          <w:color w:val="000000" w:themeColor="text1"/>
          <w:sz w:val="24"/>
          <w:szCs w:val="24"/>
        </w:rPr>
        <w:t xml:space="preserve"> Accessed April 18th, 2024</w:t>
      </w:r>
    </w:p>
    <w:p w14:paraId="0000005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Di Lemma L.C.G., Davies A.R., Ford K., Hughes K., </w:t>
      </w:r>
      <w:proofErr w:type="spellStart"/>
      <w:r w:rsidRPr="00FA52D0">
        <w:rPr>
          <w:rFonts w:asciiTheme="majorHAnsi" w:hAnsiTheme="majorHAnsi" w:cstheme="majorHAnsi"/>
          <w:color w:val="000000" w:themeColor="text1"/>
          <w:sz w:val="24"/>
          <w:szCs w:val="24"/>
        </w:rPr>
        <w:t>Homolova</w:t>
      </w:r>
      <w:proofErr w:type="spellEnd"/>
      <w:r w:rsidRPr="00FA52D0">
        <w:rPr>
          <w:rFonts w:asciiTheme="majorHAnsi" w:hAnsiTheme="majorHAnsi" w:cstheme="majorHAnsi"/>
          <w:color w:val="000000" w:themeColor="text1"/>
          <w:sz w:val="24"/>
          <w:szCs w:val="24"/>
        </w:rPr>
        <w:t xml:space="preserve"> L., Gray B and Richardson G. (2019). Responding to Adverse Childhood Experiences: An evidence </w:t>
      </w:r>
      <w:proofErr w:type="gramStart"/>
      <w:r w:rsidRPr="00FA52D0">
        <w:rPr>
          <w:rFonts w:asciiTheme="majorHAnsi" w:hAnsiTheme="majorHAnsi" w:cstheme="majorHAnsi"/>
          <w:color w:val="000000" w:themeColor="text1"/>
          <w:sz w:val="24"/>
          <w:szCs w:val="24"/>
        </w:rPr>
        <w:t>review</w:t>
      </w:r>
      <w:proofErr w:type="gramEnd"/>
      <w:r w:rsidRPr="00FA52D0">
        <w:rPr>
          <w:rFonts w:asciiTheme="majorHAnsi" w:hAnsiTheme="majorHAnsi" w:cstheme="majorHAnsi"/>
          <w:color w:val="000000" w:themeColor="text1"/>
          <w:sz w:val="24"/>
          <w:szCs w:val="24"/>
        </w:rPr>
        <w:t xml:space="preserve"> of interventions to prevent and address adversity across the life course. Public Health Wales, Cardiff and Bangor University, Wrexham, ISBN 978-1-78986-035-1</w:t>
      </w:r>
      <w:hyperlink r:id="rId18">
        <w:r w:rsidRPr="00FA52D0">
          <w:rPr>
            <w:rFonts w:asciiTheme="majorHAnsi" w:hAnsiTheme="majorHAnsi" w:cstheme="majorHAnsi"/>
            <w:color w:val="000000" w:themeColor="text1"/>
            <w:sz w:val="24"/>
            <w:szCs w:val="24"/>
          </w:rPr>
          <w:t xml:space="preserve"> </w:t>
        </w:r>
      </w:hyperlink>
      <w:hyperlink r:id="rId19">
        <w:r w:rsidRPr="00FA52D0">
          <w:rPr>
            <w:rFonts w:asciiTheme="majorHAnsi" w:hAnsiTheme="majorHAnsi" w:cstheme="majorHAnsi"/>
            <w:color w:val="000000" w:themeColor="text1"/>
            <w:sz w:val="24"/>
            <w:szCs w:val="24"/>
            <w:u w:val="single"/>
          </w:rPr>
          <w:t>RespondingToACEs_PHW2019_english.pdf (bangor.ac.uk)</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5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Doherty, G. 2020. “Prejudice, </w:t>
      </w:r>
      <w:proofErr w:type="gramStart"/>
      <w:r w:rsidRPr="00FA52D0">
        <w:rPr>
          <w:rFonts w:asciiTheme="majorHAnsi" w:hAnsiTheme="majorHAnsi" w:cstheme="majorHAnsi"/>
          <w:color w:val="000000" w:themeColor="text1"/>
          <w:sz w:val="24"/>
          <w:szCs w:val="24"/>
        </w:rPr>
        <w:t>Friendship</w:t>
      </w:r>
      <w:proofErr w:type="gramEnd"/>
      <w:r w:rsidRPr="00FA52D0">
        <w:rPr>
          <w:rFonts w:asciiTheme="majorHAnsi" w:hAnsiTheme="majorHAnsi" w:cstheme="majorHAnsi"/>
          <w:color w:val="000000" w:themeColor="text1"/>
          <w:sz w:val="24"/>
          <w:szCs w:val="24"/>
        </w:rPr>
        <w:t xml:space="preserve"> and the Abuse of Disabled People: An Exploration into the Concept of Exploitative Familiarity (“Mate Crime”).” Disability &amp; Ford K, Newbury, A, Meredith, Z, Evans, J &amp; Roderick, J 2017, '</w:t>
      </w:r>
      <w:hyperlink r:id="rId20">
        <w:r w:rsidRPr="00FA52D0">
          <w:rPr>
            <w:rFonts w:asciiTheme="majorHAnsi" w:hAnsiTheme="majorHAnsi" w:cstheme="majorHAnsi"/>
            <w:color w:val="000000" w:themeColor="text1"/>
            <w:sz w:val="24"/>
            <w:szCs w:val="24"/>
            <w:u w:val="single"/>
          </w:rPr>
          <w:t>A Process and feasibility evaluation of the pilot Adverse Childhood Experience (ACE) Informed Approach to Policing Vulnerability Training</w:t>
        </w:r>
      </w:hyperlink>
      <w:r w:rsidRPr="00FA52D0">
        <w:rPr>
          <w:rFonts w:asciiTheme="majorHAnsi" w:hAnsiTheme="majorHAnsi" w:cstheme="majorHAnsi"/>
          <w:color w:val="000000" w:themeColor="text1"/>
          <w:sz w:val="24"/>
          <w:szCs w:val="24"/>
        </w:rPr>
        <w:t>'.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5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Forster S, and Pearson S. (2020). “Bullies Tend to Be Obvious”: Autistic Adults’ Perceptions of Friendship and the Concept of “Mate Crime.” Disability &amp; Society 35 (7): 1103–1123.</w:t>
      </w:r>
      <w:hyperlink r:id="rId21">
        <w:r w:rsidRPr="00FA52D0">
          <w:rPr>
            <w:rFonts w:asciiTheme="majorHAnsi" w:hAnsiTheme="majorHAnsi" w:cstheme="majorHAnsi"/>
            <w:color w:val="000000" w:themeColor="text1"/>
            <w:sz w:val="24"/>
            <w:szCs w:val="24"/>
          </w:rPr>
          <w:t xml:space="preserve"> </w:t>
        </w:r>
      </w:hyperlink>
      <w:hyperlink r:id="rId22">
        <w:r w:rsidRPr="00FA52D0">
          <w:rPr>
            <w:rFonts w:asciiTheme="majorHAnsi" w:hAnsiTheme="majorHAnsi" w:cstheme="majorHAnsi"/>
            <w:color w:val="000000" w:themeColor="text1"/>
            <w:sz w:val="24"/>
            <w:szCs w:val="24"/>
            <w:u w:val="single"/>
          </w:rPr>
          <w:t>https://doi.org/10.1080/09687599.2019.1680347</w:t>
        </w:r>
      </w:hyperlink>
      <w:r w:rsidRPr="00FA52D0">
        <w:rPr>
          <w:rFonts w:asciiTheme="majorHAnsi" w:hAnsiTheme="majorHAnsi" w:cstheme="majorHAnsi"/>
          <w:color w:val="000000" w:themeColor="text1"/>
          <w:sz w:val="24"/>
          <w:szCs w:val="24"/>
        </w:rPr>
        <w:t xml:space="preserve"> Accessed April 17th, 2024</w:t>
      </w:r>
    </w:p>
    <w:p w14:paraId="0000005B"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 xml:space="preserve">Healy, J. C. (2020). ‘It spreads like a creeping disease’: experiences of victims of disability hate crimes in austerity Britain. Disability &amp; Society, </w:t>
      </w:r>
      <w:r w:rsidRPr="00FA52D0">
        <w:rPr>
          <w:rFonts w:asciiTheme="majorHAnsi" w:hAnsiTheme="majorHAnsi" w:cstheme="majorHAnsi"/>
          <w:i/>
          <w:color w:val="000000" w:themeColor="text1"/>
          <w:sz w:val="24"/>
          <w:szCs w:val="24"/>
        </w:rPr>
        <w:t>35</w:t>
      </w:r>
      <w:r w:rsidRPr="00FA52D0">
        <w:rPr>
          <w:rFonts w:asciiTheme="majorHAnsi" w:hAnsiTheme="majorHAnsi" w:cstheme="majorHAnsi"/>
          <w:color w:val="000000" w:themeColor="text1"/>
          <w:sz w:val="24"/>
          <w:szCs w:val="24"/>
        </w:rPr>
        <w:t>(2), 176–200.</w:t>
      </w:r>
      <w:hyperlink r:id="rId23">
        <w:r w:rsidRPr="00FA52D0">
          <w:rPr>
            <w:rFonts w:asciiTheme="majorHAnsi" w:hAnsiTheme="majorHAnsi" w:cstheme="majorHAnsi"/>
            <w:color w:val="000000" w:themeColor="text1"/>
            <w:sz w:val="24"/>
            <w:szCs w:val="24"/>
          </w:rPr>
          <w:t xml:space="preserve"> </w:t>
        </w:r>
      </w:hyperlink>
      <w:hyperlink r:id="rId24">
        <w:r w:rsidRPr="00FA52D0">
          <w:rPr>
            <w:rFonts w:asciiTheme="majorHAnsi" w:hAnsiTheme="majorHAnsi" w:cstheme="majorHAnsi"/>
            <w:color w:val="000000" w:themeColor="text1"/>
            <w:sz w:val="24"/>
            <w:szCs w:val="24"/>
            <w:u w:val="single"/>
          </w:rPr>
          <w:t>https://doi.org/10.1080/09687599.2019.162415</w:t>
        </w:r>
      </w:hyperlink>
    </w:p>
    <w:p w14:paraId="0000005C"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Hill N for Newham Local Childrens Safeguarding Board. Serious Case Review – Chris Overview Report – August 2018</w:t>
      </w:r>
      <w:hyperlink r:id="rId25">
        <w:r w:rsidRPr="00FA52D0">
          <w:rPr>
            <w:rFonts w:asciiTheme="majorHAnsi" w:hAnsiTheme="majorHAnsi" w:cstheme="majorHAnsi"/>
            <w:color w:val="000000" w:themeColor="text1"/>
            <w:sz w:val="24"/>
            <w:szCs w:val="24"/>
          </w:rPr>
          <w:t xml:space="preserve"> </w:t>
        </w:r>
      </w:hyperlink>
      <w:hyperlink r:id="rId26">
        <w:r w:rsidRPr="00FA52D0">
          <w:rPr>
            <w:rFonts w:asciiTheme="majorHAnsi" w:hAnsiTheme="majorHAnsi" w:cstheme="majorHAnsi"/>
            <w:color w:val="000000" w:themeColor="text1"/>
            <w:sz w:val="24"/>
            <w:szCs w:val="24"/>
            <w:u w:val="single"/>
          </w:rPr>
          <w:t>Serious Case Review – Chris (newhamscp.org.uk)</w:t>
        </w:r>
      </w:hyperlink>
      <w:r w:rsidRPr="00FA52D0">
        <w:rPr>
          <w:rFonts w:asciiTheme="majorHAnsi" w:hAnsiTheme="majorHAnsi" w:cstheme="majorHAnsi"/>
          <w:color w:val="000000" w:themeColor="text1"/>
          <w:sz w:val="24"/>
          <w:szCs w:val="24"/>
        </w:rPr>
        <w:t xml:space="preserve"> Accessed April 16</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5D"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Home Office (2023) Guidance: Criminal exploitation of children, young people and vulnerable adults County lines</w:t>
      </w:r>
      <w:hyperlink r:id="rId27">
        <w:r w:rsidRPr="00FA52D0">
          <w:rPr>
            <w:rFonts w:asciiTheme="majorHAnsi" w:hAnsiTheme="majorHAnsi" w:cstheme="majorHAnsi"/>
            <w:color w:val="000000" w:themeColor="text1"/>
            <w:sz w:val="24"/>
            <w:szCs w:val="24"/>
          </w:rPr>
          <w:t xml:space="preserve"> </w:t>
        </w:r>
      </w:hyperlink>
      <w:hyperlink r:id="rId28">
        <w:r w:rsidRPr="00FA52D0">
          <w:rPr>
            <w:rFonts w:asciiTheme="majorHAnsi" w:hAnsiTheme="majorHAnsi" w:cstheme="majorHAnsi"/>
            <w:color w:val="000000" w:themeColor="text1"/>
            <w:sz w:val="24"/>
            <w:szCs w:val="24"/>
            <w:u w:val="single"/>
          </w:rPr>
          <w:t>Criminal exploitation of children, young people and vulnerable adults - county lines (publishing.service.gov.uk)</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5E"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HM Government (2023) Working Together to Safeguard Children: A guide to multi-agency working to help, protect and promote the welfare of </w:t>
      </w:r>
      <w:proofErr w:type="gramStart"/>
      <w:r w:rsidRPr="00FA52D0">
        <w:rPr>
          <w:rFonts w:asciiTheme="majorHAnsi" w:hAnsiTheme="majorHAnsi" w:cstheme="majorHAnsi"/>
          <w:color w:val="000000" w:themeColor="text1"/>
          <w:sz w:val="24"/>
          <w:szCs w:val="24"/>
        </w:rPr>
        <w:t>children</w:t>
      </w:r>
      <w:proofErr w:type="gramEnd"/>
    </w:p>
    <w:p w14:paraId="0000005F" w14:textId="77777777" w:rsidR="00D67561" w:rsidRPr="00FA52D0" w:rsidRDefault="00000000">
      <w:pPr>
        <w:spacing w:before="240" w:after="240"/>
        <w:rPr>
          <w:rFonts w:asciiTheme="majorHAnsi" w:hAnsiTheme="majorHAnsi" w:cstheme="majorHAnsi"/>
          <w:color w:val="000000" w:themeColor="text1"/>
          <w:sz w:val="24"/>
          <w:szCs w:val="24"/>
        </w:rPr>
      </w:pPr>
      <w:hyperlink r:id="rId29">
        <w:r w:rsidRPr="00FA52D0">
          <w:rPr>
            <w:rFonts w:asciiTheme="majorHAnsi" w:hAnsiTheme="majorHAnsi" w:cstheme="majorHAnsi"/>
            <w:color w:val="000000" w:themeColor="text1"/>
            <w:sz w:val="24"/>
            <w:szCs w:val="24"/>
            <w:u w:val="single"/>
          </w:rPr>
          <w:t>Working together to safeguard children 2023: statutory guidance (publishing.service.gov.uk)</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w:t>
      </w:r>
      <w:proofErr w:type="gramStart"/>
      <w:r w:rsidRPr="00FA52D0">
        <w:rPr>
          <w:rFonts w:asciiTheme="majorHAnsi" w:hAnsiTheme="majorHAnsi" w:cstheme="majorHAnsi"/>
          <w:color w:val="000000" w:themeColor="text1"/>
          <w:sz w:val="24"/>
          <w:szCs w:val="24"/>
        </w:rPr>
        <w:t>2024</w:t>
      </w:r>
      <w:proofErr w:type="gramEnd"/>
    </w:p>
    <w:p w14:paraId="0000006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HM government Home Office (2018) Serious Violence Strategy</w:t>
      </w:r>
      <w:hyperlink r:id="rId30">
        <w:r w:rsidRPr="00FA52D0">
          <w:rPr>
            <w:rFonts w:asciiTheme="majorHAnsi" w:hAnsiTheme="majorHAnsi" w:cstheme="majorHAnsi"/>
            <w:color w:val="000000" w:themeColor="text1"/>
            <w:sz w:val="24"/>
            <w:szCs w:val="24"/>
          </w:rPr>
          <w:t xml:space="preserve"> </w:t>
        </w:r>
      </w:hyperlink>
      <w:hyperlink r:id="rId31">
        <w:r w:rsidRPr="00FA52D0">
          <w:rPr>
            <w:rFonts w:asciiTheme="majorHAnsi" w:hAnsiTheme="majorHAnsi" w:cstheme="majorHAnsi"/>
            <w:color w:val="000000" w:themeColor="text1"/>
            <w:sz w:val="24"/>
            <w:szCs w:val="24"/>
            <w:u w:val="single"/>
          </w:rPr>
          <w:t>Home Office – Serious Violence Strategy, April 2018 (publishing.service.gov.uk)</w:t>
        </w:r>
      </w:hyperlink>
      <w:r w:rsidRPr="00FA52D0">
        <w:rPr>
          <w:rFonts w:asciiTheme="majorHAnsi" w:hAnsiTheme="majorHAnsi" w:cstheme="majorHAnsi"/>
          <w:color w:val="000000" w:themeColor="text1"/>
          <w:sz w:val="24"/>
          <w:szCs w:val="24"/>
        </w:rPr>
        <w:t xml:space="preserve"> Accessed April 16</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61"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Jump D, </w:t>
      </w:r>
      <w:proofErr w:type="spellStart"/>
      <w:r w:rsidRPr="00FA52D0">
        <w:rPr>
          <w:rFonts w:asciiTheme="majorHAnsi" w:hAnsiTheme="majorHAnsi" w:cstheme="majorHAnsi"/>
          <w:color w:val="000000" w:themeColor="text1"/>
          <w:sz w:val="24"/>
          <w:szCs w:val="24"/>
        </w:rPr>
        <w:t>Hodgeson</w:t>
      </w:r>
      <w:proofErr w:type="spellEnd"/>
      <w:r w:rsidRPr="00FA52D0">
        <w:rPr>
          <w:rFonts w:asciiTheme="majorHAnsi" w:hAnsiTheme="majorHAnsi" w:cstheme="majorHAnsi"/>
          <w:color w:val="000000" w:themeColor="text1"/>
          <w:sz w:val="24"/>
          <w:szCs w:val="24"/>
        </w:rPr>
        <w:t xml:space="preserve"> J, Newby L, Commission on young lives 2023. Keeping Girls and Young Women Safe Protecting and supporting the girls and young women at risk of exploitation, violence, gangs and harm published by Manchester University Manchester Metropolitan University</w:t>
      </w:r>
      <w:hyperlink r:id="rId32">
        <w:r w:rsidRPr="00FA52D0">
          <w:rPr>
            <w:rFonts w:asciiTheme="majorHAnsi" w:hAnsiTheme="majorHAnsi" w:cstheme="majorHAnsi"/>
            <w:color w:val="000000" w:themeColor="text1"/>
            <w:sz w:val="24"/>
            <w:szCs w:val="24"/>
          </w:rPr>
          <w:t xml:space="preserve"> </w:t>
        </w:r>
      </w:hyperlink>
      <w:hyperlink r:id="rId33">
        <w:r w:rsidRPr="00FA52D0">
          <w:rPr>
            <w:rFonts w:asciiTheme="majorHAnsi" w:hAnsiTheme="majorHAnsi" w:cstheme="majorHAnsi"/>
            <w:color w:val="000000" w:themeColor="text1"/>
            <w:sz w:val="24"/>
            <w:szCs w:val="24"/>
            <w:u w:val="single"/>
          </w:rPr>
          <w:t>Keeping-Girls-And-Young-Women-Safe-MMU-and-COYL-report-.pdf (thecommissiononyounglives.co.uk)</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6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Macdonald, S. J., Donovan, C., Clayton, J., &amp; Husband, M. (2024). Becoming cuckooed: conceptualising the relationship between disability, home takeovers and criminal exploitation. </w:t>
      </w:r>
      <w:r w:rsidRPr="00FA52D0">
        <w:rPr>
          <w:rFonts w:asciiTheme="majorHAnsi" w:hAnsiTheme="majorHAnsi" w:cstheme="majorHAnsi"/>
          <w:i/>
          <w:color w:val="000000" w:themeColor="text1"/>
          <w:sz w:val="24"/>
          <w:szCs w:val="24"/>
        </w:rPr>
        <w:t>Disability &amp; Society</w:t>
      </w:r>
      <w:r w:rsidRPr="00FA52D0">
        <w:rPr>
          <w:rFonts w:asciiTheme="majorHAnsi" w:hAnsiTheme="majorHAnsi" w:cstheme="majorHAnsi"/>
          <w:color w:val="000000" w:themeColor="text1"/>
          <w:sz w:val="24"/>
          <w:szCs w:val="24"/>
        </w:rPr>
        <w:t xml:space="preserve">, </w:t>
      </w:r>
      <w:r w:rsidRPr="00FA52D0">
        <w:rPr>
          <w:rFonts w:asciiTheme="majorHAnsi" w:hAnsiTheme="majorHAnsi" w:cstheme="majorHAnsi"/>
          <w:i/>
          <w:color w:val="000000" w:themeColor="text1"/>
          <w:sz w:val="24"/>
          <w:szCs w:val="24"/>
        </w:rPr>
        <w:t>39</w:t>
      </w:r>
      <w:r w:rsidRPr="00FA52D0">
        <w:rPr>
          <w:rFonts w:asciiTheme="majorHAnsi" w:hAnsiTheme="majorHAnsi" w:cstheme="majorHAnsi"/>
          <w:color w:val="000000" w:themeColor="text1"/>
          <w:sz w:val="24"/>
          <w:szCs w:val="24"/>
        </w:rPr>
        <w:t>(2), 485–505.</w:t>
      </w:r>
      <w:hyperlink r:id="rId34">
        <w:r w:rsidRPr="00FA52D0">
          <w:rPr>
            <w:rFonts w:asciiTheme="majorHAnsi" w:hAnsiTheme="majorHAnsi" w:cstheme="majorHAnsi"/>
            <w:color w:val="000000" w:themeColor="text1"/>
            <w:sz w:val="24"/>
            <w:szCs w:val="24"/>
          </w:rPr>
          <w:t xml:space="preserve"> </w:t>
        </w:r>
      </w:hyperlink>
      <w:hyperlink r:id="rId35">
        <w:r w:rsidRPr="00FA52D0">
          <w:rPr>
            <w:rFonts w:asciiTheme="majorHAnsi" w:hAnsiTheme="majorHAnsi" w:cstheme="majorHAnsi"/>
            <w:color w:val="000000" w:themeColor="text1"/>
            <w:sz w:val="24"/>
            <w:szCs w:val="24"/>
            <w:u w:val="single"/>
          </w:rPr>
          <w:t>https://doi.org/10.1080/09687599.2022.2071680</w:t>
        </w:r>
      </w:hyperlink>
      <w:r w:rsidRPr="00FA52D0">
        <w:rPr>
          <w:rFonts w:asciiTheme="majorHAnsi" w:hAnsiTheme="majorHAnsi" w:cstheme="majorHAnsi"/>
          <w:color w:val="000000" w:themeColor="text1"/>
          <w:sz w:val="24"/>
          <w:szCs w:val="24"/>
        </w:rPr>
        <w:t xml:space="preserve"> Accessed April 17th 2024</w:t>
      </w:r>
    </w:p>
    <w:p w14:paraId="0000006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NSPCC Adapted in the Children Commissioner’s Report (February 2019) </w:t>
      </w:r>
      <w:hyperlink r:id="rId36">
        <w:r w:rsidRPr="00FA52D0">
          <w:rPr>
            <w:rFonts w:asciiTheme="majorHAnsi" w:hAnsiTheme="majorHAnsi" w:cstheme="majorHAnsi"/>
            <w:color w:val="000000" w:themeColor="text1"/>
            <w:sz w:val="24"/>
            <w:szCs w:val="24"/>
            <w:u w:val="single"/>
          </w:rPr>
          <w:t>'Keeping Children Safe: Improving safeguarding responses to gang violence and criminal exploitation'</w:t>
        </w:r>
      </w:hyperlink>
      <w:r w:rsidRPr="00FA52D0">
        <w:rPr>
          <w:rFonts w:asciiTheme="majorHAnsi" w:hAnsiTheme="majorHAnsi" w:cstheme="majorHAnsi"/>
          <w:color w:val="000000" w:themeColor="text1"/>
          <w:sz w:val="24"/>
          <w:szCs w:val="24"/>
        </w:rPr>
        <w:t xml:space="preserve"> from </w:t>
      </w:r>
      <w:proofErr w:type="spellStart"/>
      <w:r w:rsidRPr="00FA52D0">
        <w:rPr>
          <w:rFonts w:asciiTheme="majorHAnsi" w:hAnsiTheme="majorHAnsi" w:cstheme="majorHAnsi"/>
          <w:color w:val="000000" w:themeColor="text1"/>
          <w:sz w:val="24"/>
          <w:szCs w:val="24"/>
        </w:rPr>
        <w:t>Hallsworth</w:t>
      </w:r>
      <w:proofErr w:type="spellEnd"/>
      <w:r w:rsidRPr="00FA52D0">
        <w:rPr>
          <w:rFonts w:asciiTheme="majorHAnsi" w:hAnsiTheme="majorHAnsi" w:cstheme="majorHAnsi"/>
          <w:color w:val="000000" w:themeColor="text1"/>
          <w:sz w:val="24"/>
          <w:szCs w:val="24"/>
        </w:rPr>
        <w:t xml:space="preserve"> S and  Young T (2004) Getting Real About Gangs. Criminal Justice Matters (55) 12-13</w:t>
      </w:r>
      <w:hyperlink r:id="rId37">
        <w:r w:rsidRPr="00FA52D0">
          <w:rPr>
            <w:rFonts w:asciiTheme="majorHAnsi" w:hAnsiTheme="majorHAnsi" w:cstheme="majorHAnsi"/>
            <w:color w:val="000000" w:themeColor="text1"/>
            <w:sz w:val="24"/>
            <w:szCs w:val="24"/>
          </w:rPr>
          <w:t xml:space="preserve"> </w:t>
        </w:r>
      </w:hyperlink>
      <w:hyperlink r:id="rId38">
        <w:r w:rsidRPr="00FA52D0">
          <w:rPr>
            <w:rFonts w:asciiTheme="majorHAnsi" w:hAnsiTheme="majorHAnsi" w:cstheme="majorHAnsi"/>
            <w:color w:val="000000" w:themeColor="text1"/>
            <w:sz w:val="24"/>
            <w:szCs w:val="24"/>
            <w:u w:val="single"/>
          </w:rPr>
          <w:t>Criminal exploitation and gangs | NSPCC</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6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O’Hagan A, Edmundson CJ. County lines: The exploitation of vulnerable members of society. Forensic Res Criminal Int J. 2021;9(2):47‒57.</w:t>
      </w:r>
      <w:hyperlink r:id="rId39">
        <w:r w:rsidRPr="00FA52D0">
          <w:rPr>
            <w:rFonts w:asciiTheme="majorHAnsi" w:hAnsiTheme="majorHAnsi" w:cstheme="majorHAnsi"/>
            <w:color w:val="000000" w:themeColor="text1"/>
            <w:sz w:val="24"/>
            <w:szCs w:val="24"/>
          </w:rPr>
          <w:t xml:space="preserve"> </w:t>
        </w:r>
      </w:hyperlink>
      <w:hyperlink r:id="rId40">
        <w:r w:rsidRPr="00FA52D0">
          <w:rPr>
            <w:rFonts w:asciiTheme="majorHAnsi" w:hAnsiTheme="majorHAnsi" w:cstheme="majorHAnsi"/>
            <w:color w:val="000000" w:themeColor="text1"/>
            <w:sz w:val="24"/>
            <w:szCs w:val="24"/>
            <w:u w:val="single"/>
          </w:rPr>
          <w:t xml:space="preserve">County lines: the exploitation of vulnerable members of society - </w:t>
        </w:r>
        <w:proofErr w:type="spellStart"/>
        <w:r w:rsidRPr="00FA52D0">
          <w:rPr>
            <w:rFonts w:asciiTheme="majorHAnsi" w:hAnsiTheme="majorHAnsi" w:cstheme="majorHAnsi"/>
            <w:color w:val="000000" w:themeColor="text1"/>
            <w:sz w:val="24"/>
            <w:szCs w:val="24"/>
            <w:u w:val="single"/>
          </w:rPr>
          <w:t>IRep</w:t>
        </w:r>
        <w:proofErr w:type="spellEnd"/>
        <w:r w:rsidRPr="00FA52D0">
          <w:rPr>
            <w:rFonts w:asciiTheme="majorHAnsi" w:hAnsiTheme="majorHAnsi" w:cstheme="majorHAnsi"/>
            <w:color w:val="000000" w:themeColor="text1"/>
            <w:sz w:val="24"/>
            <w:szCs w:val="24"/>
            <w:u w:val="single"/>
          </w:rPr>
          <w:t xml:space="preserve"> - Nottingham Trent University</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6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 xml:space="preserve">Raby, C., &amp; Jones, F. (2016). Identifying risks for male street gang affiliation: a systematic review and narrative synthesis. Journal of Forensic Psychiatry &amp; </w:t>
      </w:r>
      <w:proofErr w:type="gramStart"/>
      <w:r w:rsidRPr="00FA52D0">
        <w:rPr>
          <w:rFonts w:asciiTheme="majorHAnsi" w:hAnsiTheme="majorHAnsi" w:cstheme="majorHAnsi"/>
          <w:color w:val="000000" w:themeColor="text1"/>
          <w:sz w:val="24"/>
          <w:szCs w:val="24"/>
        </w:rPr>
        <w:t>Psychology ,</w:t>
      </w:r>
      <w:proofErr w:type="gramEnd"/>
      <w:r w:rsidRPr="00FA52D0">
        <w:rPr>
          <w:rFonts w:asciiTheme="majorHAnsi" w:hAnsiTheme="majorHAnsi" w:cstheme="majorHAnsi"/>
          <w:color w:val="000000" w:themeColor="text1"/>
          <w:sz w:val="24"/>
          <w:szCs w:val="24"/>
        </w:rPr>
        <w:t xml:space="preserve"> 27(5), 601-644.</w:t>
      </w:r>
    </w:p>
    <w:p w14:paraId="0000006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Riley GS, Bailey JW, Bright, D, Davies AR (2019). Knowledge and awareness of Adverse Childhood Experiences (ACEs) in the public service workforce in Wales: a national survey. Cardiff: Public Health Wales NHS Trust.</w:t>
      </w:r>
      <w:hyperlink r:id="rId41">
        <w:r w:rsidRPr="00FA52D0">
          <w:rPr>
            <w:rFonts w:asciiTheme="majorHAnsi" w:hAnsiTheme="majorHAnsi" w:cstheme="majorHAnsi"/>
            <w:color w:val="000000" w:themeColor="text1"/>
            <w:sz w:val="24"/>
            <w:szCs w:val="24"/>
          </w:rPr>
          <w:t xml:space="preserve"> </w:t>
        </w:r>
      </w:hyperlink>
      <w:hyperlink r:id="rId42">
        <w:r w:rsidRPr="00FA52D0">
          <w:rPr>
            <w:rFonts w:asciiTheme="majorHAnsi" w:hAnsiTheme="majorHAnsi" w:cstheme="majorHAnsi"/>
            <w:color w:val="000000" w:themeColor="text1"/>
            <w:sz w:val="24"/>
            <w:szCs w:val="24"/>
            <w:u w:val="single"/>
          </w:rPr>
          <w:t>phw.nhs.wales/news/new-survey-shows-both-good-welsh-public-sector-awareness-of-adverse-childhood-experiences-aces-and-opportunities-for-improvement/knowledge-and-awareness-of-adverse-childhood-experiences-in-the-public-service-workforce-in-wales/</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6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Robinson G (2019) Gangs, County Lines and Child Criminal Exploitation: A Case</w:t>
      </w:r>
    </w:p>
    <w:p w14:paraId="00000068" w14:textId="77777777" w:rsidR="00D67561" w:rsidRPr="00FA52D0" w:rsidRDefault="00000000">
      <w:pPr>
        <w:spacing w:before="240" w:after="240"/>
        <w:rPr>
          <w:rFonts w:asciiTheme="majorHAnsi" w:hAnsiTheme="majorHAnsi" w:cstheme="majorHAnsi"/>
          <w:color w:val="000000" w:themeColor="text1"/>
          <w:sz w:val="24"/>
          <w:szCs w:val="24"/>
          <w:vertAlign w:val="superscript"/>
        </w:rPr>
      </w:pPr>
      <w:r w:rsidRPr="00FA52D0">
        <w:rPr>
          <w:rFonts w:asciiTheme="majorHAnsi" w:hAnsiTheme="majorHAnsi" w:cstheme="majorHAnsi"/>
          <w:color w:val="000000" w:themeColor="text1"/>
          <w:sz w:val="24"/>
          <w:szCs w:val="24"/>
        </w:rPr>
        <w:t>Study of Merseyside. Department of Law and Criminology, Edge Hill University</w:t>
      </w:r>
      <w:hyperlink r:id="rId43">
        <w:r w:rsidRPr="00FA52D0">
          <w:rPr>
            <w:rFonts w:asciiTheme="majorHAnsi" w:hAnsiTheme="majorHAnsi" w:cstheme="majorHAnsi"/>
            <w:color w:val="000000" w:themeColor="text1"/>
            <w:sz w:val="24"/>
            <w:szCs w:val="24"/>
          </w:rPr>
          <w:t xml:space="preserve"> </w:t>
        </w:r>
      </w:hyperlink>
      <w:hyperlink r:id="rId44">
        <w:r w:rsidRPr="00FA52D0">
          <w:rPr>
            <w:rFonts w:asciiTheme="majorHAnsi" w:hAnsiTheme="majorHAnsi" w:cstheme="majorHAnsi"/>
            <w:color w:val="000000" w:themeColor="text1"/>
            <w:sz w:val="24"/>
            <w:szCs w:val="24"/>
            <w:u w:val="single"/>
          </w:rPr>
          <w:t>PhD.pdf (edgehill.ac.uk)</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p>
    <w:p w14:paraId="00000069"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 xml:space="preserve">Robinson G, McClean R, </w:t>
      </w:r>
      <w:proofErr w:type="spellStart"/>
      <w:r w:rsidRPr="00FA52D0">
        <w:rPr>
          <w:rFonts w:asciiTheme="majorHAnsi" w:hAnsiTheme="majorHAnsi" w:cstheme="majorHAnsi"/>
          <w:color w:val="000000" w:themeColor="text1"/>
          <w:sz w:val="24"/>
          <w:szCs w:val="24"/>
        </w:rPr>
        <w:t>Densley</w:t>
      </w:r>
      <w:proofErr w:type="spellEnd"/>
      <w:r w:rsidRPr="00FA52D0">
        <w:rPr>
          <w:rFonts w:asciiTheme="majorHAnsi" w:hAnsiTheme="majorHAnsi" w:cstheme="majorHAnsi"/>
          <w:color w:val="000000" w:themeColor="text1"/>
          <w:sz w:val="24"/>
          <w:szCs w:val="24"/>
        </w:rPr>
        <w:t xml:space="preserve"> J (2019) Working County Lines: Child Criminal Exploitation and Illicit Drug Dealing in Glasgow and Merseyside. International Journal of Offender Therapy and Comparative Criminology 2019, Vol.63 (5) 694-711</w:t>
      </w:r>
      <w:hyperlink r:id="rId45">
        <w:r w:rsidRPr="00FA52D0">
          <w:rPr>
            <w:rFonts w:asciiTheme="majorHAnsi" w:hAnsiTheme="majorHAnsi" w:cstheme="majorHAnsi"/>
            <w:color w:val="000000" w:themeColor="text1"/>
            <w:sz w:val="24"/>
            <w:szCs w:val="24"/>
          </w:rPr>
          <w:t xml:space="preserve"> </w:t>
        </w:r>
      </w:hyperlink>
      <w:hyperlink r:id="rId46">
        <w:r w:rsidRPr="00FA52D0">
          <w:rPr>
            <w:rFonts w:asciiTheme="majorHAnsi" w:hAnsiTheme="majorHAnsi" w:cstheme="majorHAnsi"/>
            <w:color w:val="000000" w:themeColor="text1"/>
            <w:sz w:val="24"/>
            <w:szCs w:val="24"/>
            <w:u w:val="single"/>
          </w:rPr>
          <w:t>https://doi.org/10.1080/09687599.2019.1688646</w:t>
        </w:r>
      </w:hyperlink>
    </w:p>
    <w:p w14:paraId="0000006A"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Viuhko</w:t>
      </w:r>
      <w:proofErr w:type="spellEnd"/>
      <w:r w:rsidRPr="00FA52D0">
        <w:rPr>
          <w:rFonts w:asciiTheme="majorHAnsi" w:hAnsiTheme="majorHAnsi" w:cstheme="majorHAnsi"/>
          <w:color w:val="000000" w:themeColor="text1"/>
          <w:sz w:val="24"/>
          <w:szCs w:val="24"/>
        </w:rPr>
        <w:t xml:space="preserve"> M (2019) Just trust me, and you’ll make a fortune – relationships between offenders and victims of human trafficking. Nordic Journal of Criminology 2019 vol 20, N0 2, 196-212 </w:t>
      </w:r>
    </w:p>
    <w:p w14:paraId="0000006B" w14:textId="77777777" w:rsidR="00D67561" w:rsidRPr="00FA52D0" w:rsidRDefault="00D67561">
      <w:pPr>
        <w:rPr>
          <w:rFonts w:asciiTheme="majorHAnsi" w:hAnsiTheme="majorHAnsi" w:cstheme="majorHAnsi"/>
          <w:color w:val="000000" w:themeColor="text1"/>
          <w:sz w:val="24"/>
          <w:szCs w:val="24"/>
        </w:rPr>
      </w:pPr>
    </w:p>
    <w:p w14:paraId="0000006C" w14:textId="77777777" w:rsidR="00D67561" w:rsidRPr="00FA52D0" w:rsidRDefault="00D67561">
      <w:pPr>
        <w:rPr>
          <w:rFonts w:asciiTheme="majorHAnsi" w:hAnsiTheme="majorHAnsi" w:cstheme="majorHAnsi"/>
          <w:color w:val="000000" w:themeColor="text1"/>
          <w:sz w:val="24"/>
          <w:szCs w:val="24"/>
        </w:rPr>
      </w:pPr>
    </w:p>
    <w:p w14:paraId="0000006D" w14:textId="77777777" w:rsidR="00D67561" w:rsidRPr="00FA52D0" w:rsidRDefault="00D67561">
      <w:pPr>
        <w:rPr>
          <w:rFonts w:asciiTheme="majorHAnsi" w:hAnsiTheme="majorHAnsi" w:cstheme="majorHAnsi"/>
          <w:color w:val="000000" w:themeColor="text1"/>
          <w:sz w:val="24"/>
          <w:szCs w:val="24"/>
        </w:rPr>
      </w:pPr>
    </w:p>
    <w:p w14:paraId="0000006E" w14:textId="77777777" w:rsidR="00D67561" w:rsidRPr="00FA52D0" w:rsidRDefault="00D67561">
      <w:pPr>
        <w:rPr>
          <w:rFonts w:asciiTheme="majorHAnsi" w:hAnsiTheme="majorHAnsi" w:cstheme="majorHAnsi"/>
          <w:color w:val="000000" w:themeColor="text1"/>
          <w:sz w:val="24"/>
          <w:szCs w:val="24"/>
        </w:rPr>
      </w:pPr>
    </w:p>
    <w:p w14:paraId="0000006F" w14:textId="77777777" w:rsidR="00D67561" w:rsidRPr="00FA52D0" w:rsidRDefault="00D67561">
      <w:pPr>
        <w:rPr>
          <w:rFonts w:asciiTheme="majorHAnsi" w:hAnsiTheme="majorHAnsi" w:cstheme="majorHAnsi"/>
          <w:color w:val="000000" w:themeColor="text1"/>
          <w:sz w:val="24"/>
          <w:szCs w:val="24"/>
        </w:rPr>
      </w:pPr>
    </w:p>
    <w:p w14:paraId="00000070" w14:textId="77777777" w:rsidR="00D67561" w:rsidRPr="00FA52D0" w:rsidRDefault="00D67561">
      <w:pPr>
        <w:rPr>
          <w:rFonts w:asciiTheme="majorHAnsi" w:hAnsiTheme="majorHAnsi" w:cstheme="majorHAnsi"/>
          <w:color w:val="000000" w:themeColor="text1"/>
          <w:sz w:val="24"/>
          <w:szCs w:val="24"/>
        </w:rPr>
      </w:pPr>
    </w:p>
    <w:p w14:paraId="291E01A3" w14:textId="77777777" w:rsidR="00FA52D0" w:rsidRDefault="00FA52D0">
      <w:pPr>
        <w:spacing w:before="240" w:after="240"/>
        <w:rPr>
          <w:rFonts w:asciiTheme="majorHAnsi" w:hAnsiTheme="majorHAnsi" w:cstheme="majorHAnsi"/>
          <w:b/>
          <w:color w:val="000000" w:themeColor="text1"/>
          <w:sz w:val="24"/>
          <w:szCs w:val="24"/>
        </w:rPr>
      </w:pPr>
    </w:p>
    <w:p w14:paraId="2CD47141" w14:textId="77777777" w:rsidR="00FA52D0" w:rsidRDefault="00FA52D0">
      <w:pPr>
        <w:spacing w:before="240" w:after="240"/>
        <w:rPr>
          <w:rFonts w:asciiTheme="majorHAnsi" w:hAnsiTheme="majorHAnsi" w:cstheme="majorHAnsi"/>
          <w:b/>
          <w:color w:val="000000" w:themeColor="text1"/>
          <w:sz w:val="24"/>
          <w:szCs w:val="24"/>
        </w:rPr>
      </w:pPr>
    </w:p>
    <w:p w14:paraId="223C72C0" w14:textId="77777777" w:rsidR="00FA52D0" w:rsidRDefault="00FA52D0">
      <w:pPr>
        <w:spacing w:before="240" w:after="240"/>
        <w:rPr>
          <w:rFonts w:asciiTheme="majorHAnsi" w:hAnsiTheme="majorHAnsi" w:cstheme="majorHAnsi"/>
          <w:b/>
          <w:color w:val="000000" w:themeColor="text1"/>
          <w:sz w:val="24"/>
          <w:szCs w:val="24"/>
        </w:rPr>
      </w:pPr>
    </w:p>
    <w:p w14:paraId="3481CE4A" w14:textId="77777777" w:rsidR="00FA52D0" w:rsidRDefault="00FA52D0">
      <w:pPr>
        <w:spacing w:before="240" w:after="240"/>
        <w:rPr>
          <w:rFonts w:asciiTheme="majorHAnsi" w:hAnsiTheme="majorHAnsi" w:cstheme="majorHAnsi"/>
          <w:b/>
          <w:color w:val="000000" w:themeColor="text1"/>
          <w:sz w:val="24"/>
          <w:szCs w:val="24"/>
        </w:rPr>
      </w:pPr>
    </w:p>
    <w:p w14:paraId="40E03FDD" w14:textId="77777777" w:rsidR="00FA52D0" w:rsidRDefault="00FA52D0">
      <w:pPr>
        <w:spacing w:before="240" w:after="240"/>
        <w:rPr>
          <w:rFonts w:asciiTheme="majorHAnsi" w:hAnsiTheme="majorHAnsi" w:cstheme="majorHAnsi"/>
          <w:b/>
          <w:color w:val="000000" w:themeColor="text1"/>
          <w:sz w:val="24"/>
          <w:szCs w:val="24"/>
        </w:rPr>
      </w:pPr>
    </w:p>
    <w:p w14:paraId="4BF2BA43" w14:textId="77777777" w:rsidR="00FA52D0" w:rsidRDefault="00FA52D0">
      <w:pPr>
        <w:spacing w:before="240" w:after="240"/>
        <w:rPr>
          <w:rFonts w:asciiTheme="majorHAnsi" w:hAnsiTheme="majorHAnsi" w:cstheme="majorHAnsi"/>
          <w:b/>
          <w:color w:val="000000" w:themeColor="text1"/>
          <w:sz w:val="24"/>
          <w:szCs w:val="24"/>
        </w:rPr>
      </w:pPr>
    </w:p>
    <w:p w14:paraId="768C6D11" w14:textId="77777777" w:rsidR="00FA52D0" w:rsidRDefault="00FA52D0">
      <w:pPr>
        <w:spacing w:before="240" w:after="240"/>
        <w:rPr>
          <w:rFonts w:asciiTheme="majorHAnsi" w:hAnsiTheme="majorHAnsi" w:cstheme="majorHAnsi"/>
          <w:b/>
          <w:color w:val="000000" w:themeColor="text1"/>
          <w:sz w:val="24"/>
          <w:szCs w:val="24"/>
        </w:rPr>
      </w:pPr>
    </w:p>
    <w:p w14:paraId="4E6CB837" w14:textId="77777777" w:rsidR="00FA52D0" w:rsidRDefault="00FA52D0">
      <w:pPr>
        <w:spacing w:before="240" w:after="240"/>
        <w:rPr>
          <w:rFonts w:asciiTheme="majorHAnsi" w:hAnsiTheme="majorHAnsi" w:cstheme="majorHAnsi"/>
          <w:b/>
          <w:color w:val="000000" w:themeColor="text1"/>
          <w:sz w:val="24"/>
          <w:szCs w:val="24"/>
        </w:rPr>
      </w:pPr>
    </w:p>
    <w:p w14:paraId="00000071" w14:textId="04410BC2"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Essay three – Vulnerability &amp; Risk</w:t>
      </w:r>
    </w:p>
    <w:p w14:paraId="0000007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Is early intervention an effective means of preventing young people from offending? What increases or detracts from its effectiveness?</w:t>
      </w:r>
    </w:p>
    <w:p w14:paraId="00000075" w14:textId="600713BE"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Before discussing if early intervention is an effective means of preventing young people from offending it is helpful to consider firstly what may be the cause of offending in the first instance thus helping to identify what needs to be addressed. Evidence suggests that adverse childhood experiences (ACE’s) are recognised as having a negative impact on a person’s health, wellbeing, and future opportunities, including an increased risk of criminality (Fox et al 2015). </w:t>
      </w:r>
      <w:proofErr w:type="spellStart"/>
      <w:r w:rsidRPr="00FA52D0">
        <w:rPr>
          <w:rFonts w:asciiTheme="majorHAnsi" w:hAnsiTheme="majorHAnsi" w:cstheme="majorHAnsi"/>
          <w:color w:val="000000" w:themeColor="text1"/>
          <w:sz w:val="24"/>
          <w:szCs w:val="24"/>
        </w:rPr>
        <w:t>Baglivio</w:t>
      </w:r>
      <w:proofErr w:type="spellEnd"/>
      <w:r w:rsidRPr="00FA52D0">
        <w:rPr>
          <w:rFonts w:asciiTheme="majorHAnsi" w:hAnsiTheme="majorHAnsi" w:cstheme="majorHAnsi"/>
          <w:color w:val="000000" w:themeColor="text1"/>
          <w:sz w:val="24"/>
          <w:szCs w:val="24"/>
        </w:rPr>
        <w:t xml:space="preserve"> &amp; Wolff (2023) describe that ACE’s are shown to be related to an increased likelihood of initial delinquency, reoffending, and continued criminality into adulthood. This is further supported by research from Gray et al (2021). The original research into ACE’s by </w:t>
      </w:r>
      <w:proofErr w:type="spellStart"/>
      <w:r w:rsidRPr="00FA52D0">
        <w:rPr>
          <w:rFonts w:asciiTheme="majorHAnsi" w:hAnsiTheme="majorHAnsi" w:cstheme="majorHAnsi"/>
          <w:color w:val="000000" w:themeColor="text1"/>
          <w:sz w:val="24"/>
          <w:szCs w:val="24"/>
        </w:rPr>
        <w:t>Felitti</w:t>
      </w:r>
      <w:proofErr w:type="spellEnd"/>
      <w:r w:rsidRPr="00FA52D0">
        <w:rPr>
          <w:rFonts w:asciiTheme="majorHAnsi" w:hAnsiTheme="majorHAnsi" w:cstheme="majorHAnsi"/>
          <w:color w:val="000000" w:themeColor="text1"/>
          <w:sz w:val="24"/>
          <w:szCs w:val="24"/>
        </w:rPr>
        <w:t xml:space="preserve"> et al (1998) identified the following areas to be of particular significance: physical abuse, sexual abuse, emotional abuse, physical neglect, emotional neglect, violence against a mother, parental divorce, household member with substance misuse, household member with mental illness, and a household member in prison. Afifi (2020) argues for an expanded list to better reflect the increased </w:t>
      </w:r>
      <w:r w:rsidR="00FA52D0" w:rsidRPr="00FA52D0">
        <w:rPr>
          <w:rFonts w:asciiTheme="majorHAnsi" w:hAnsiTheme="majorHAnsi" w:cstheme="majorHAnsi"/>
          <w:color w:val="000000" w:themeColor="text1"/>
          <w:sz w:val="24"/>
          <w:szCs w:val="24"/>
        </w:rPr>
        <w:t>evidence-based</w:t>
      </w:r>
      <w:r w:rsidRPr="00FA52D0">
        <w:rPr>
          <w:rFonts w:asciiTheme="majorHAnsi" w:hAnsiTheme="majorHAnsi" w:cstheme="majorHAnsi"/>
          <w:color w:val="000000" w:themeColor="text1"/>
          <w:sz w:val="24"/>
          <w:szCs w:val="24"/>
        </w:rPr>
        <w:t xml:space="preserve"> knowledge that we have developed in this area. To this end, some studies and assessments now also include for </w:t>
      </w:r>
      <w:r w:rsidR="00FA52D0" w:rsidRPr="00FA52D0">
        <w:rPr>
          <w:rFonts w:asciiTheme="majorHAnsi" w:hAnsiTheme="majorHAnsi" w:cstheme="majorHAnsi"/>
          <w:color w:val="000000" w:themeColor="text1"/>
          <w:sz w:val="24"/>
          <w:szCs w:val="24"/>
        </w:rPr>
        <w:t>example,</w:t>
      </w:r>
      <w:r w:rsidRPr="00FA52D0">
        <w:rPr>
          <w:rFonts w:asciiTheme="majorHAnsi" w:hAnsiTheme="majorHAnsi" w:cstheme="majorHAnsi"/>
          <w:color w:val="000000" w:themeColor="text1"/>
          <w:sz w:val="24"/>
          <w:szCs w:val="24"/>
        </w:rPr>
        <w:t xml:space="preserve"> living in a dangerous area, being subject to discrimination and experiencing natural disasters. It is recognised, therefore, that a complete list of </w:t>
      </w:r>
      <w:proofErr w:type="gramStart"/>
      <w:r w:rsidRPr="00FA52D0">
        <w:rPr>
          <w:rFonts w:asciiTheme="majorHAnsi" w:hAnsiTheme="majorHAnsi" w:cstheme="majorHAnsi"/>
          <w:color w:val="000000" w:themeColor="text1"/>
          <w:sz w:val="24"/>
          <w:szCs w:val="24"/>
        </w:rPr>
        <w:t>ACE’s</w:t>
      </w:r>
      <w:proofErr w:type="gramEnd"/>
      <w:r w:rsidRPr="00FA52D0">
        <w:rPr>
          <w:rFonts w:asciiTheme="majorHAnsi" w:hAnsiTheme="majorHAnsi" w:cstheme="majorHAnsi"/>
          <w:color w:val="000000" w:themeColor="text1"/>
          <w:sz w:val="24"/>
          <w:szCs w:val="24"/>
        </w:rPr>
        <w:t xml:space="preserve"> is unlikely to be ever fully achieved as it can be argued that the list will need to continue to grow in line with the developing evidence base. </w:t>
      </w:r>
    </w:p>
    <w:p w14:paraId="0000007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If we recognise that exposure to ACE’s makes children vulnerable to poorer outcomes such as the risk of offending, it can be suggested that early intervention aimed at reducing or mitigating against ACE’s would be beneficial. This begs the question what are the interventions that work and what are the factors that increase or detract from their effectiveness?</w:t>
      </w:r>
    </w:p>
    <w:p w14:paraId="0000007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Stanford (2023) reviewed </w:t>
      </w:r>
      <w:proofErr w:type="gramStart"/>
      <w:r w:rsidRPr="00FA52D0">
        <w:rPr>
          <w:rFonts w:asciiTheme="majorHAnsi" w:hAnsiTheme="majorHAnsi" w:cstheme="majorHAnsi"/>
          <w:color w:val="000000" w:themeColor="text1"/>
          <w:sz w:val="24"/>
          <w:szCs w:val="24"/>
        </w:rPr>
        <w:t>a number of</w:t>
      </w:r>
      <w:proofErr w:type="gramEnd"/>
      <w:r w:rsidRPr="00FA52D0">
        <w:rPr>
          <w:rFonts w:asciiTheme="majorHAnsi" w:hAnsiTheme="majorHAnsi" w:cstheme="majorHAnsi"/>
          <w:color w:val="000000" w:themeColor="text1"/>
          <w:sz w:val="24"/>
          <w:szCs w:val="24"/>
        </w:rPr>
        <w:t xml:space="preserve"> ‘intensive family support programmes’ that provided multi-strand support over a period of time. Notably, he observed that many of these lacked robust impact evaluations. Evidence, however, from the ‘Troubled Families’ project did demonstrate sufficient rigour in its evaluation to safely conclude elements of its effectiveness. </w:t>
      </w:r>
      <w:proofErr w:type="gramStart"/>
      <w:r w:rsidRPr="00FA52D0">
        <w:rPr>
          <w:rFonts w:asciiTheme="majorHAnsi" w:hAnsiTheme="majorHAnsi" w:cstheme="majorHAnsi"/>
          <w:color w:val="000000" w:themeColor="text1"/>
          <w:sz w:val="24"/>
          <w:szCs w:val="24"/>
        </w:rPr>
        <w:t>Namely;</w:t>
      </w:r>
      <w:proofErr w:type="gramEnd"/>
      <w:r w:rsidRPr="00FA52D0">
        <w:rPr>
          <w:rFonts w:asciiTheme="majorHAnsi" w:hAnsiTheme="majorHAnsi" w:cstheme="majorHAnsi"/>
          <w:color w:val="000000" w:themeColor="text1"/>
          <w:sz w:val="24"/>
          <w:szCs w:val="24"/>
        </w:rPr>
        <w:t xml:space="preserve"> parenting programmes, family group conferencing, therapeutic and mental health interventions, and motivational interviewing were all deemed to be of help (Ministry of Housing, Communities and Local Government 2021).</w:t>
      </w:r>
    </w:p>
    <w:p w14:paraId="0000007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It is helpful to differentiate between system approaches and individual approaches. Systems led approaches reflect the way services are delivered and the approach taken across the piece. Such as using strength-based, restorative, and trauma-informed approaches. Studies by Cordis Bright (2017) and Collins et al (2017) found evidence that Trauma-informed </w:t>
      </w:r>
      <w:r w:rsidRPr="00FA52D0">
        <w:rPr>
          <w:rFonts w:asciiTheme="majorHAnsi" w:hAnsiTheme="majorHAnsi" w:cstheme="majorHAnsi"/>
          <w:color w:val="000000" w:themeColor="text1"/>
          <w:sz w:val="24"/>
          <w:szCs w:val="24"/>
        </w:rPr>
        <w:lastRenderedPageBreak/>
        <w:t xml:space="preserve">approaches within the area of the criminal justice sector do have a positive impact in reducing reoffending. Miller and </w:t>
      </w:r>
      <w:proofErr w:type="spellStart"/>
      <w:r w:rsidRPr="00FA52D0">
        <w:rPr>
          <w:rFonts w:asciiTheme="majorHAnsi" w:hAnsiTheme="majorHAnsi" w:cstheme="majorHAnsi"/>
          <w:color w:val="000000" w:themeColor="text1"/>
          <w:sz w:val="24"/>
          <w:szCs w:val="24"/>
        </w:rPr>
        <w:t>Najavits</w:t>
      </w:r>
      <w:proofErr w:type="spellEnd"/>
      <w:r w:rsidRPr="00FA52D0">
        <w:rPr>
          <w:rFonts w:asciiTheme="majorHAnsi" w:hAnsiTheme="majorHAnsi" w:cstheme="majorHAnsi"/>
          <w:color w:val="000000" w:themeColor="text1"/>
          <w:sz w:val="24"/>
          <w:szCs w:val="24"/>
        </w:rPr>
        <w:t xml:space="preserve"> (2012) found that it can reduce criminal risk factors and Greenwald et al (2012) found it reduced the time taken to discharge someone from secure care. As trauma informed care is a general approach it can be difficult to isolate the </w:t>
      </w:r>
      <w:proofErr w:type="gramStart"/>
      <w:r w:rsidRPr="00FA52D0">
        <w:rPr>
          <w:rFonts w:asciiTheme="majorHAnsi" w:hAnsiTheme="majorHAnsi" w:cstheme="majorHAnsi"/>
          <w:color w:val="000000" w:themeColor="text1"/>
          <w:sz w:val="24"/>
          <w:szCs w:val="24"/>
        </w:rPr>
        <w:t>particular part</w:t>
      </w:r>
      <w:proofErr w:type="gramEnd"/>
      <w:r w:rsidRPr="00FA52D0">
        <w:rPr>
          <w:rFonts w:asciiTheme="majorHAnsi" w:hAnsiTheme="majorHAnsi" w:cstheme="majorHAnsi"/>
          <w:color w:val="000000" w:themeColor="text1"/>
          <w:sz w:val="24"/>
          <w:szCs w:val="24"/>
        </w:rPr>
        <w:t xml:space="preserve"> it will have played in achieving outcomes, however, a review of the literature undertaken by the Department for Levelling Up, Housing and Communities (2023) identified that this approach does improve the experience people have of services and plays a part in improving engagement with those services. The evidence suggests that these are two important prerequisites of obtaining a positive outcome. A number of factors that enable and enhance this approach were identified by the literature review, </w:t>
      </w:r>
      <w:proofErr w:type="gramStart"/>
      <w:r w:rsidRPr="00FA52D0">
        <w:rPr>
          <w:rFonts w:asciiTheme="majorHAnsi" w:hAnsiTheme="majorHAnsi" w:cstheme="majorHAnsi"/>
          <w:color w:val="000000" w:themeColor="text1"/>
          <w:sz w:val="24"/>
          <w:szCs w:val="24"/>
        </w:rPr>
        <w:t>including;</w:t>
      </w:r>
      <w:proofErr w:type="gramEnd"/>
      <w:r w:rsidRPr="00FA52D0">
        <w:rPr>
          <w:rFonts w:asciiTheme="majorHAnsi" w:hAnsiTheme="majorHAnsi" w:cstheme="majorHAnsi"/>
          <w:color w:val="000000" w:themeColor="text1"/>
          <w:sz w:val="24"/>
          <w:szCs w:val="24"/>
        </w:rPr>
        <w:t xml:space="preserve"> leadership and governance that support a trauma informed approach, effective use of evidence based ‘trauma specific’ screening, assessment and treatment, policies and procedures in place that enable a trauma informed approach to be put into</w:t>
      </w:r>
    </w:p>
    <w:p w14:paraId="0000007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practice, a physical environment that creates a safe collaborative space, collaboration between relevant organisations, training and development of staff that gives them the knowledge, </w:t>
      </w:r>
      <w:proofErr w:type="gramStart"/>
      <w:r w:rsidRPr="00FA52D0">
        <w:rPr>
          <w:rFonts w:asciiTheme="majorHAnsi" w:hAnsiTheme="majorHAnsi" w:cstheme="majorHAnsi"/>
          <w:color w:val="000000" w:themeColor="text1"/>
          <w:sz w:val="24"/>
          <w:szCs w:val="24"/>
        </w:rPr>
        <w:t>skill</w:t>
      </w:r>
      <w:proofErr w:type="gramEnd"/>
      <w:r w:rsidRPr="00FA52D0">
        <w:rPr>
          <w:rFonts w:asciiTheme="majorHAnsi" w:hAnsiTheme="majorHAnsi" w:cstheme="majorHAnsi"/>
          <w:color w:val="000000" w:themeColor="text1"/>
          <w:sz w:val="24"/>
          <w:szCs w:val="24"/>
        </w:rPr>
        <w:t xml:space="preserve"> and experience to work in a trauma informed way, ongoing assessment and evaluation of the approach and adequate financial resources. Factors that have been identified to detract from working in a trauma informed way, thus reducing or excluding the opportunity for a positive outcome include; resistance to the belief of the prevalence of trauma within society and recognition that individuals and the way organisations work can play a part in traumatising or re traumatising people, limited staff capacity, knowledge and skills to implement the approach, funding cuts that creates competition and not collaboration between different agencies, lack of an agreed single model of evaluation and the current context of austerity that leads to short term funding contracts.</w:t>
      </w:r>
    </w:p>
    <w:p w14:paraId="0000007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Early intervention in the context of individual approaches that are an effective means of preventing young people from offending include therapeutic interventions. Such as those which support either individuals or families to work on complex issues such as mental health problems as well as offending behaviour, trauma, and substance abuse (Department for Children, </w:t>
      </w:r>
      <w:proofErr w:type="gramStart"/>
      <w:r w:rsidRPr="00FA52D0">
        <w:rPr>
          <w:rFonts w:asciiTheme="majorHAnsi" w:hAnsiTheme="majorHAnsi" w:cstheme="majorHAnsi"/>
          <w:color w:val="000000" w:themeColor="text1"/>
          <w:sz w:val="24"/>
          <w:szCs w:val="24"/>
        </w:rPr>
        <w:t>Schools</w:t>
      </w:r>
      <w:proofErr w:type="gramEnd"/>
      <w:r w:rsidRPr="00FA52D0">
        <w:rPr>
          <w:rFonts w:asciiTheme="majorHAnsi" w:hAnsiTheme="majorHAnsi" w:cstheme="majorHAnsi"/>
          <w:color w:val="000000" w:themeColor="text1"/>
          <w:sz w:val="24"/>
          <w:szCs w:val="24"/>
        </w:rPr>
        <w:t xml:space="preserve"> and Families 2010). Engaging families and building trusted relationships as well as practitioner skills and personal characteristics all play a part, including delivery methods and effective multi-agency working. Cordis Bright (2017) evaluated Enhanced Case Management (ECM) with young people who were in contact with the youth justice system in Wales. This gave practitioners increased knowledge and understanding of how early attachment, trauma and ACE’s can influence a young person’s ability to engage effectively in youth justice interventions. Although a small study of just 21 participants, it did show that ECM helped to increase engagement and compliance with interventions with reductions in reoffending and reductions in severity of any reoffending. McCartan et al (2019) advocate that even referring to people by their offence or as an offender increases the likelihood that they will only see themselves in that way, making it more challenging to change in the </w:t>
      </w:r>
      <w:r w:rsidRPr="00FA52D0">
        <w:rPr>
          <w:rFonts w:asciiTheme="majorHAnsi" w:hAnsiTheme="majorHAnsi" w:cstheme="majorHAnsi"/>
          <w:color w:val="000000" w:themeColor="text1"/>
          <w:sz w:val="24"/>
          <w:szCs w:val="24"/>
        </w:rPr>
        <w:lastRenderedPageBreak/>
        <w:t xml:space="preserve">future. Notably, deterrence, discipline, control, and </w:t>
      </w:r>
      <w:proofErr w:type="gramStart"/>
      <w:r w:rsidRPr="00FA52D0">
        <w:rPr>
          <w:rFonts w:asciiTheme="majorHAnsi" w:hAnsiTheme="majorHAnsi" w:cstheme="majorHAnsi"/>
          <w:color w:val="000000" w:themeColor="text1"/>
          <w:sz w:val="24"/>
          <w:szCs w:val="24"/>
        </w:rPr>
        <w:t>fear based</w:t>
      </w:r>
      <w:proofErr w:type="gramEnd"/>
      <w:r w:rsidRPr="00FA52D0">
        <w:rPr>
          <w:rFonts w:asciiTheme="majorHAnsi" w:hAnsiTheme="majorHAnsi" w:cstheme="majorHAnsi"/>
          <w:color w:val="000000" w:themeColor="text1"/>
          <w:sz w:val="24"/>
          <w:szCs w:val="24"/>
        </w:rPr>
        <w:t xml:space="preserve"> approaches are proven to be ineffective (</w:t>
      </w:r>
      <w:proofErr w:type="spellStart"/>
      <w:r w:rsidRPr="00FA52D0">
        <w:rPr>
          <w:rFonts w:asciiTheme="majorHAnsi" w:hAnsiTheme="majorHAnsi" w:cstheme="majorHAnsi"/>
          <w:color w:val="000000" w:themeColor="text1"/>
          <w:sz w:val="24"/>
          <w:szCs w:val="24"/>
        </w:rPr>
        <w:t>Petrosino</w:t>
      </w:r>
      <w:proofErr w:type="spellEnd"/>
      <w:r w:rsidRPr="00FA52D0">
        <w:rPr>
          <w:rFonts w:asciiTheme="majorHAnsi" w:hAnsiTheme="majorHAnsi" w:cstheme="majorHAnsi"/>
          <w:color w:val="000000" w:themeColor="text1"/>
          <w:sz w:val="24"/>
          <w:szCs w:val="24"/>
        </w:rPr>
        <w:t xml:space="preserve"> et al., 2013).</w:t>
      </w:r>
    </w:p>
    <w:p w14:paraId="00000092" w14:textId="655C6618"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Overall, whilst there is evidence that some early intervention approaches can be effective in preventing and reducing offending behaviour, it is recognised that as there are usually multiple and complex factors involved it can be difficult to identify the specific approach that may be of help to a particular individual. More research and evaluation </w:t>
      </w:r>
      <w:proofErr w:type="gramStart"/>
      <w:r w:rsidRPr="00FA52D0">
        <w:rPr>
          <w:rFonts w:asciiTheme="majorHAnsi" w:hAnsiTheme="majorHAnsi" w:cstheme="majorHAnsi"/>
          <w:color w:val="000000" w:themeColor="text1"/>
          <w:sz w:val="24"/>
          <w:szCs w:val="24"/>
        </w:rPr>
        <w:t>is</w:t>
      </w:r>
      <w:proofErr w:type="gramEnd"/>
      <w:r w:rsidRPr="00FA52D0">
        <w:rPr>
          <w:rFonts w:asciiTheme="majorHAnsi" w:hAnsiTheme="majorHAnsi" w:cstheme="majorHAnsi"/>
          <w:color w:val="000000" w:themeColor="text1"/>
          <w:sz w:val="24"/>
          <w:szCs w:val="24"/>
        </w:rPr>
        <w:t xml:space="preserve"> needed in this developing area. Until such time that this is available the use of evidenced based approaches is recognised as important, supported by the professional judgement and experience of the practitioner based on their knowledge and understanding of the individual concerned.</w:t>
      </w:r>
    </w:p>
    <w:p w14:paraId="49714DA5" w14:textId="77777777" w:rsidR="00FA52D0" w:rsidRPr="00FA52D0" w:rsidRDefault="00FA52D0">
      <w:pPr>
        <w:spacing w:before="240" w:after="240"/>
        <w:rPr>
          <w:rFonts w:asciiTheme="majorHAnsi" w:hAnsiTheme="majorHAnsi" w:cstheme="majorHAnsi"/>
          <w:color w:val="000000" w:themeColor="text1"/>
          <w:sz w:val="24"/>
          <w:szCs w:val="24"/>
        </w:rPr>
      </w:pPr>
    </w:p>
    <w:p w14:paraId="31ED030A" w14:textId="77777777" w:rsidR="00FA52D0" w:rsidRDefault="00FA52D0">
      <w:pPr>
        <w:spacing w:before="240" w:after="240"/>
        <w:rPr>
          <w:rFonts w:asciiTheme="majorHAnsi" w:hAnsiTheme="majorHAnsi" w:cstheme="majorHAnsi"/>
          <w:b/>
          <w:color w:val="000000" w:themeColor="text1"/>
          <w:sz w:val="24"/>
          <w:szCs w:val="24"/>
        </w:rPr>
      </w:pPr>
    </w:p>
    <w:p w14:paraId="7C10412B" w14:textId="77777777" w:rsidR="00FA52D0" w:rsidRDefault="00FA52D0">
      <w:pPr>
        <w:spacing w:before="240" w:after="240"/>
        <w:rPr>
          <w:rFonts w:asciiTheme="majorHAnsi" w:hAnsiTheme="majorHAnsi" w:cstheme="majorHAnsi"/>
          <w:b/>
          <w:color w:val="000000" w:themeColor="text1"/>
          <w:sz w:val="24"/>
          <w:szCs w:val="24"/>
        </w:rPr>
      </w:pPr>
    </w:p>
    <w:p w14:paraId="3B77C9C3" w14:textId="77777777" w:rsidR="00FA52D0" w:rsidRDefault="00FA52D0">
      <w:pPr>
        <w:spacing w:before="240" w:after="240"/>
        <w:rPr>
          <w:rFonts w:asciiTheme="majorHAnsi" w:hAnsiTheme="majorHAnsi" w:cstheme="majorHAnsi"/>
          <w:b/>
          <w:color w:val="000000" w:themeColor="text1"/>
          <w:sz w:val="24"/>
          <w:szCs w:val="24"/>
        </w:rPr>
      </w:pPr>
    </w:p>
    <w:p w14:paraId="4F56A257" w14:textId="77777777" w:rsidR="00FA52D0" w:rsidRDefault="00FA52D0">
      <w:pPr>
        <w:spacing w:before="240" w:after="240"/>
        <w:rPr>
          <w:rFonts w:asciiTheme="majorHAnsi" w:hAnsiTheme="majorHAnsi" w:cstheme="majorHAnsi"/>
          <w:b/>
          <w:color w:val="000000" w:themeColor="text1"/>
          <w:sz w:val="24"/>
          <w:szCs w:val="24"/>
        </w:rPr>
      </w:pPr>
    </w:p>
    <w:p w14:paraId="6A048E04" w14:textId="77777777" w:rsidR="00FA52D0" w:rsidRDefault="00FA52D0">
      <w:pPr>
        <w:spacing w:before="240" w:after="240"/>
        <w:rPr>
          <w:rFonts w:asciiTheme="majorHAnsi" w:hAnsiTheme="majorHAnsi" w:cstheme="majorHAnsi"/>
          <w:b/>
          <w:color w:val="000000" w:themeColor="text1"/>
          <w:sz w:val="24"/>
          <w:szCs w:val="24"/>
        </w:rPr>
      </w:pPr>
    </w:p>
    <w:p w14:paraId="7C030211" w14:textId="77777777" w:rsidR="00FA52D0" w:rsidRDefault="00FA52D0">
      <w:pPr>
        <w:spacing w:before="240" w:after="240"/>
        <w:rPr>
          <w:rFonts w:asciiTheme="majorHAnsi" w:hAnsiTheme="majorHAnsi" w:cstheme="majorHAnsi"/>
          <w:b/>
          <w:color w:val="000000" w:themeColor="text1"/>
          <w:sz w:val="24"/>
          <w:szCs w:val="24"/>
        </w:rPr>
      </w:pPr>
    </w:p>
    <w:p w14:paraId="54513E1F" w14:textId="77777777" w:rsidR="00FA52D0" w:rsidRDefault="00FA52D0">
      <w:pPr>
        <w:spacing w:before="240" w:after="240"/>
        <w:rPr>
          <w:rFonts w:asciiTheme="majorHAnsi" w:hAnsiTheme="majorHAnsi" w:cstheme="majorHAnsi"/>
          <w:b/>
          <w:color w:val="000000" w:themeColor="text1"/>
          <w:sz w:val="24"/>
          <w:szCs w:val="24"/>
        </w:rPr>
      </w:pPr>
    </w:p>
    <w:p w14:paraId="7AAD1E6A" w14:textId="77777777" w:rsidR="00FA52D0" w:rsidRDefault="00FA52D0">
      <w:pPr>
        <w:spacing w:before="240" w:after="240"/>
        <w:rPr>
          <w:rFonts w:asciiTheme="majorHAnsi" w:hAnsiTheme="majorHAnsi" w:cstheme="majorHAnsi"/>
          <w:b/>
          <w:color w:val="000000" w:themeColor="text1"/>
          <w:sz w:val="24"/>
          <w:szCs w:val="24"/>
        </w:rPr>
      </w:pPr>
    </w:p>
    <w:p w14:paraId="40E02451" w14:textId="77777777" w:rsidR="00FA52D0" w:rsidRDefault="00FA52D0">
      <w:pPr>
        <w:spacing w:before="240" w:after="240"/>
        <w:rPr>
          <w:rFonts w:asciiTheme="majorHAnsi" w:hAnsiTheme="majorHAnsi" w:cstheme="majorHAnsi"/>
          <w:b/>
          <w:color w:val="000000" w:themeColor="text1"/>
          <w:sz w:val="24"/>
          <w:szCs w:val="24"/>
        </w:rPr>
      </w:pPr>
    </w:p>
    <w:p w14:paraId="6DD6600E" w14:textId="77777777" w:rsidR="00FA52D0" w:rsidRDefault="00FA52D0">
      <w:pPr>
        <w:spacing w:before="240" w:after="240"/>
        <w:rPr>
          <w:rFonts w:asciiTheme="majorHAnsi" w:hAnsiTheme="majorHAnsi" w:cstheme="majorHAnsi"/>
          <w:b/>
          <w:color w:val="000000" w:themeColor="text1"/>
          <w:sz w:val="24"/>
          <w:szCs w:val="24"/>
        </w:rPr>
      </w:pPr>
    </w:p>
    <w:p w14:paraId="4E9B27B7" w14:textId="77777777" w:rsidR="00FA52D0" w:rsidRDefault="00FA52D0">
      <w:pPr>
        <w:spacing w:before="240" w:after="240"/>
        <w:rPr>
          <w:rFonts w:asciiTheme="majorHAnsi" w:hAnsiTheme="majorHAnsi" w:cstheme="majorHAnsi"/>
          <w:b/>
          <w:color w:val="000000" w:themeColor="text1"/>
          <w:sz w:val="24"/>
          <w:szCs w:val="24"/>
        </w:rPr>
      </w:pPr>
    </w:p>
    <w:p w14:paraId="52E2E41F" w14:textId="77777777" w:rsidR="00FA52D0" w:rsidRDefault="00FA52D0">
      <w:pPr>
        <w:spacing w:before="240" w:after="240"/>
        <w:rPr>
          <w:rFonts w:asciiTheme="majorHAnsi" w:hAnsiTheme="majorHAnsi" w:cstheme="majorHAnsi"/>
          <w:b/>
          <w:color w:val="000000" w:themeColor="text1"/>
          <w:sz w:val="24"/>
          <w:szCs w:val="24"/>
        </w:rPr>
      </w:pPr>
    </w:p>
    <w:p w14:paraId="3A9C8B2E" w14:textId="77777777" w:rsidR="00FA52D0" w:rsidRDefault="00FA52D0">
      <w:pPr>
        <w:spacing w:before="240" w:after="240"/>
        <w:rPr>
          <w:rFonts w:asciiTheme="majorHAnsi" w:hAnsiTheme="majorHAnsi" w:cstheme="majorHAnsi"/>
          <w:b/>
          <w:color w:val="000000" w:themeColor="text1"/>
          <w:sz w:val="24"/>
          <w:szCs w:val="24"/>
        </w:rPr>
      </w:pPr>
    </w:p>
    <w:p w14:paraId="2B1B86A1" w14:textId="77777777" w:rsidR="00FA52D0" w:rsidRDefault="00FA52D0">
      <w:pPr>
        <w:spacing w:before="240" w:after="240"/>
        <w:rPr>
          <w:rFonts w:asciiTheme="majorHAnsi" w:hAnsiTheme="majorHAnsi" w:cstheme="majorHAnsi"/>
          <w:b/>
          <w:color w:val="000000" w:themeColor="text1"/>
          <w:sz w:val="24"/>
          <w:szCs w:val="24"/>
        </w:rPr>
      </w:pPr>
    </w:p>
    <w:p w14:paraId="18A19687" w14:textId="77777777" w:rsidR="00FA52D0" w:rsidRDefault="00FA52D0">
      <w:pPr>
        <w:spacing w:before="240" w:after="240"/>
        <w:rPr>
          <w:rFonts w:asciiTheme="majorHAnsi" w:hAnsiTheme="majorHAnsi" w:cstheme="majorHAnsi"/>
          <w:b/>
          <w:color w:val="000000" w:themeColor="text1"/>
          <w:sz w:val="24"/>
          <w:szCs w:val="24"/>
        </w:rPr>
      </w:pPr>
    </w:p>
    <w:p w14:paraId="677ACB4E" w14:textId="77777777" w:rsidR="00FA52D0" w:rsidRDefault="00FA52D0">
      <w:pPr>
        <w:spacing w:before="240" w:after="240"/>
        <w:rPr>
          <w:rFonts w:asciiTheme="majorHAnsi" w:hAnsiTheme="majorHAnsi" w:cstheme="majorHAnsi"/>
          <w:b/>
          <w:color w:val="000000" w:themeColor="text1"/>
          <w:sz w:val="24"/>
          <w:szCs w:val="24"/>
        </w:rPr>
      </w:pPr>
    </w:p>
    <w:p w14:paraId="7482AC5A" w14:textId="77777777" w:rsidR="00FA52D0" w:rsidRDefault="00FA52D0">
      <w:pPr>
        <w:spacing w:before="240" w:after="240"/>
        <w:rPr>
          <w:rFonts w:asciiTheme="majorHAnsi" w:hAnsiTheme="majorHAnsi" w:cstheme="majorHAnsi"/>
          <w:b/>
          <w:color w:val="000000" w:themeColor="text1"/>
          <w:sz w:val="24"/>
          <w:szCs w:val="24"/>
        </w:rPr>
      </w:pPr>
    </w:p>
    <w:p w14:paraId="00000093" w14:textId="6CD64E31"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Bibliography</w:t>
      </w:r>
    </w:p>
    <w:p w14:paraId="0000009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Addis, S., Brierley-</w:t>
      </w:r>
      <w:proofErr w:type="spellStart"/>
      <w:r w:rsidRPr="00FA52D0">
        <w:rPr>
          <w:rFonts w:asciiTheme="majorHAnsi" w:hAnsiTheme="majorHAnsi" w:cstheme="majorHAnsi"/>
          <w:color w:val="000000" w:themeColor="text1"/>
          <w:sz w:val="24"/>
          <w:szCs w:val="24"/>
        </w:rPr>
        <w:t>Sollis</w:t>
      </w:r>
      <w:proofErr w:type="spellEnd"/>
      <w:r w:rsidRPr="00FA52D0">
        <w:rPr>
          <w:rFonts w:asciiTheme="majorHAnsi" w:hAnsiTheme="majorHAnsi" w:cstheme="majorHAnsi"/>
          <w:color w:val="000000" w:themeColor="text1"/>
          <w:sz w:val="24"/>
          <w:szCs w:val="24"/>
        </w:rPr>
        <w:t>, T., Jones, V. and Hughes C., (2022), ‘Trauma-informed’: Identifying Key Language and Terminology through a Review of the Literature, Public Health Wales NHS Trust</w:t>
      </w:r>
      <w:hyperlink r:id="rId47">
        <w:r w:rsidRPr="00FA52D0">
          <w:rPr>
            <w:rFonts w:asciiTheme="majorHAnsi" w:hAnsiTheme="majorHAnsi" w:cstheme="majorHAnsi"/>
            <w:color w:val="000000" w:themeColor="text1"/>
            <w:sz w:val="24"/>
            <w:szCs w:val="24"/>
          </w:rPr>
          <w:t xml:space="preserve"> </w:t>
        </w:r>
      </w:hyperlink>
      <w:hyperlink r:id="rId48">
        <w:r w:rsidRPr="00FA52D0">
          <w:rPr>
            <w:rFonts w:asciiTheme="majorHAnsi" w:hAnsiTheme="majorHAnsi" w:cstheme="majorHAnsi"/>
            <w:color w:val="000000" w:themeColor="text1"/>
            <w:sz w:val="24"/>
            <w:szCs w:val="24"/>
            <w:u w:val="single"/>
          </w:rPr>
          <w:t>ACEs-Trauma-informed-Literature-Review-English-Final.pdf (phwwhocc.co.uk)</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9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Adler, J. R., Edwards, S. K., Scally, M., Gill, D., </w:t>
      </w:r>
      <w:proofErr w:type="spellStart"/>
      <w:r w:rsidRPr="00FA52D0">
        <w:rPr>
          <w:rFonts w:asciiTheme="majorHAnsi" w:hAnsiTheme="majorHAnsi" w:cstheme="majorHAnsi"/>
          <w:color w:val="000000" w:themeColor="text1"/>
          <w:sz w:val="24"/>
          <w:szCs w:val="24"/>
        </w:rPr>
        <w:t>Puniskis</w:t>
      </w:r>
      <w:proofErr w:type="spellEnd"/>
      <w:r w:rsidRPr="00FA52D0">
        <w:rPr>
          <w:rFonts w:asciiTheme="majorHAnsi" w:hAnsiTheme="majorHAnsi" w:cstheme="majorHAnsi"/>
          <w:color w:val="000000" w:themeColor="text1"/>
          <w:sz w:val="24"/>
          <w:szCs w:val="24"/>
        </w:rPr>
        <w:t xml:space="preserve">, M. J., </w:t>
      </w:r>
      <w:proofErr w:type="spellStart"/>
      <w:r w:rsidRPr="00FA52D0">
        <w:rPr>
          <w:rFonts w:asciiTheme="majorHAnsi" w:hAnsiTheme="majorHAnsi" w:cstheme="majorHAnsi"/>
          <w:color w:val="000000" w:themeColor="text1"/>
          <w:sz w:val="24"/>
          <w:szCs w:val="24"/>
        </w:rPr>
        <w:t>Gekoski</w:t>
      </w:r>
      <w:proofErr w:type="spellEnd"/>
      <w:r w:rsidRPr="00FA52D0">
        <w:rPr>
          <w:rFonts w:asciiTheme="majorHAnsi" w:hAnsiTheme="majorHAnsi" w:cstheme="majorHAnsi"/>
          <w:color w:val="000000" w:themeColor="text1"/>
          <w:sz w:val="24"/>
          <w:szCs w:val="24"/>
        </w:rPr>
        <w:t xml:space="preserve">, A., &amp; Horvath, M. A. H. (2016). </w:t>
      </w:r>
      <w:r w:rsidRPr="00FA52D0">
        <w:rPr>
          <w:rFonts w:asciiTheme="majorHAnsi" w:hAnsiTheme="majorHAnsi" w:cstheme="majorHAnsi"/>
          <w:i/>
          <w:color w:val="000000" w:themeColor="text1"/>
          <w:sz w:val="24"/>
          <w:szCs w:val="24"/>
        </w:rPr>
        <w:t xml:space="preserve">What Works in Managing Young People </w:t>
      </w:r>
      <w:proofErr w:type="gramStart"/>
      <w:r w:rsidRPr="00FA52D0">
        <w:rPr>
          <w:rFonts w:asciiTheme="majorHAnsi" w:hAnsiTheme="majorHAnsi" w:cstheme="majorHAnsi"/>
          <w:i/>
          <w:color w:val="000000" w:themeColor="text1"/>
          <w:sz w:val="24"/>
          <w:szCs w:val="24"/>
        </w:rPr>
        <w:t>who</w:t>
      </w:r>
      <w:proofErr w:type="gramEnd"/>
      <w:r w:rsidRPr="00FA52D0">
        <w:rPr>
          <w:rFonts w:asciiTheme="majorHAnsi" w:hAnsiTheme="majorHAnsi" w:cstheme="majorHAnsi"/>
          <w:i/>
          <w:color w:val="000000" w:themeColor="text1"/>
          <w:sz w:val="24"/>
          <w:szCs w:val="24"/>
        </w:rPr>
        <w:t xml:space="preserve"> Offend? A Summary of the International Evidence</w:t>
      </w:r>
      <w:r w:rsidRPr="00FA52D0">
        <w:rPr>
          <w:rFonts w:asciiTheme="majorHAnsi" w:hAnsiTheme="majorHAnsi" w:cstheme="majorHAnsi"/>
          <w:color w:val="000000" w:themeColor="text1"/>
          <w:sz w:val="24"/>
          <w:szCs w:val="24"/>
        </w:rPr>
        <w:t>. Forensic Psychological Services at Middlesex University Ministry of Justice Analytical Series. Available at:</w:t>
      </w:r>
      <w:hyperlink r:id="rId49">
        <w:r w:rsidRPr="00FA52D0">
          <w:rPr>
            <w:rFonts w:asciiTheme="majorHAnsi" w:hAnsiTheme="majorHAnsi" w:cstheme="majorHAnsi"/>
            <w:color w:val="000000" w:themeColor="text1"/>
            <w:sz w:val="24"/>
            <w:szCs w:val="24"/>
          </w:rPr>
          <w:t xml:space="preserve"> </w:t>
        </w:r>
      </w:hyperlink>
      <w:hyperlink r:id="rId50">
        <w:r w:rsidRPr="00FA52D0">
          <w:rPr>
            <w:rFonts w:asciiTheme="majorHAnsi" w:hAnsiTheme="majorHAnsi" w:cstheme="majorHAnsi"/>
            <w:color w:val="000000" w:themeColor="text1"/>
            <w:sz w:val="24"/>
            <w:szCs w:val="24"/>
            <w:u w:val="single"/>
          </w:rPr>
          <w:t>http://www.justice.gov.uk/publications/researchand-analysis/moj</w:t>
        </w:r>
      </w:hyperlink>
      <w:r w:rsidRPr="00FA52D0">
        <w:rPr>
          <w:rFonts w:asciiTheme="majorHAnsi" w:hAnsiTheme="majorHAnsi" w:cstheme="majorHAnsi"/>
          <w:color w:val="000000" w:themeColor="text1"/>
          <w:sz w:val="24"/>
          <w:szCs w:val="24"/>
        </w:rPr>
        <w:t xml:space="preserve"> Accessed April 20th, 2024</w:t>
      </w:r>
    </w:p>
    <w:p w14:paraId="0000009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Afifi T, (2020) Considerations for expanding the definition of ACEs, Editor(s): Gordon J.G. Asmundson, Tracie O. Afifi, Adverse Childhood Experiences, Chapter 3 - Pages 35-44 Academic Press, London, UK</w:t>
      </w:r>
    </w:p>
    <w:p w14:paraId="00000097"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Baglivio</w:t>
      </w:r>
      <w:proofErr w:type="spellEnd"/>
      <w:r w:rsidRPr="00FA52D0">
        <w:rPr>
          <w:rFonts w:asciiTheme="majorHAnsi" w:hAnsiTheme="majorHAnsi" w:cstheme="majorHAnsi"/>
          <w:color w:val="000000" w:themeColor="text1"/>
          <w:sz w:val="24"/>
          <w:szCs w:val="24"/>
        </w:rPr>
        <w:t xml:space="preserve">, M. T., &amp; Wolff, K. T. (2023). Adverse childhood experiences (ACEs) and violent offending among juveniles with justice system involvement: Theory, research, and implications for policy. In S. G. </w:t>
      </w:r>
      <w:proofErr w:type="spellStart"/>
      <w:r w:rsidRPr="00FA52D0">
        <w:rPr>
          <w:rFonts w:asciiTheme="majorHAnsi" w:hAnsiTheme="majorHAnsi" w:cstheme="majorHAnsi"/>
          <w:color w:val="000000" w:themeColor="text1"/>
          <w:sz w:val="24"/>
          <w:szCs w:val="24"/>
        </w:rPr>
        <w:t>Portwood</w:t>
      </w:r>
      <w:proofErr w:type="spellEnd"/>
      <w:r w:rsidRPr="00FA52D0">
        <w:rPr>
          <w:rFonts w:asciiTheme="majorHAnsi" w:hAnsiTheme="majorHAnsi" w:cstheme="majorHAnsi"/>
          <w:color w:val="000000" w:themeColor="text1"/>
          <w:sz w:val="24"/>
          <w:szCs w:val="24"/>
        </w:rPr>
        <w:t xml:space="preserve">, M. J. Lawler, &amp; M. C. Roberts (Eds.), </w:t>
      </w:r>
      <w:r w:rsidRPr="00FA52D0">
        <w:rPr>
          <w:rFonts w:asciiTheme="majorHAnsi" w:hAnsiTheme="majorHAnsi" w:cstheme="majorHAnsi"/>
          <w:i/>
          <w:color w:val="000000" w:themeColor="text1"/>
          <w:sz w:val="24"/>
          <w:szCs w:val="24"/>
        </w:rPr>
        <w:t>Handbook of adverse childhood experiences: A framework for collaborative health promotion</w:t>
      </w:r>
      <w:r w:rsidRPr="00FA52D0">
        <w:rPr>
          <w:rFonts w:asciiTheme="majorHAnsi" w:hAnsiTheme="majorHAnsi" w:cstheme="majorHAnsi"/>
          <w:color w:val="000000" w:themeColor="text1"/>
          <w:sz w:val="24"/>
          <w:szCs w:val="24"/>
        </w:rPr>
        <w:t xml:space="preserve"> (pp. 123–136). Springer Nature Switzerland AG. </w:t>
      </w:r>
      <w:hyperlink r:id="rId51">
        <w:r w:rsidRPr="00FA52D0">
          <w:rPr>
            <w:rFonts w:asciiTheme="majorHAnsi" w:hAnsiTheme="majorHAnsi" w:cstheme="majorHAnsi"/>
            <w:color w:val="000000" w:themeColor="text1"/>
            <w:sz w:val="24"/>
            <w:szCs w:val="24"/>
            <w:u w:val="single"/>
          </w:rPr>
          <w:t>https://doi.org/10.1007/978-3-031-32597-7_9</w:t>
        </w:r>
      </w:hyperlink>
      <w:r w:rsidRPr="00FA52D0">
        <w:rPr>
          <w:rFonts w:asciiTheme="majorHAnsi" w:hAnsiTheme="majorHAnsi" w:cstheme="majorHAnsi"/>
          <w:color w:val="000000" w:themeColor="text1"/>
          <w:sz w:val="24"/>
          <w:szCs w:val="24"/>
        </w:rPr>
        <w:t xml:space="preserve"> Accessed April 19th</w:t>
      </w:r>
      <w:proofErr w:type="gramStart"/>
      <w:r w:rsidRPr="00FA52D0">
        <w:rPr>
          <w:rFonts w:asciiTheme="majorHAnsi" w:hAnsiTheme="majorHAnsi" w:cstheme="majorHAnsi"/>
          <w:color w:val="000000" w:themeColor="text1"/>
          <w:sz w:val="24"/>
          <w:szCs w:val="24"/>
        </w:rPr>
        <w:t xml:space="preserve"> 2024</w:t>
      </w:r>
      <w:proofErr w:type="gramEnd"/>
    </w:p>
    <w:p w14:paraId="00000098"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Baglivio</w:t>
      </w:r>
      <w:proofErr w:type="spellEnd"/>
      <w:r w:rsidRPr="00FA52D0">
        <w:rPr>
          <w:rFonts w:asciiTheme="majorHAnsi" w:hAnsiTheme="majorHAnsi" w:cstheme="majorHAnsi"/>
          <w:color w:val="000000" w:themeColor="text1"/>
          <w:sz w:val="24"/>
          <w:szCs w:val="24"/>
        </w:rPr>
        <w:t xml:space="preserve">, M. T., &amp; Wolff, K. T. (2021). Positive Childhood Experiences (PCE): Cumulative Resiliency in the Face of Adverse Childhood Experiences. </w:t>
      </w:r>
      <w:r w:rsidRPr="00FA52D0">
        <w:rPr>
          <w:rFonts w:asciiTheme="majorHAnsi" w:hAnsiTheme="majorHAnsi" w:cstheme="majorHAnsi"/>
          <w:i/>
          <w:color w:val="000000" w:themeColor="text1"/>
          <w:sz w:val="24"/>
          <w:szCs w:val="24"/>
        </w:rPr>
        <w:t>Youth Violence and Juvenile Justice</w:t>
      </w:r>
      <w:r w:rsidRPr="00FA52D0">
        <w:rPr>
          <w:rFonts w:asciiTheme="majorHAnsi" w:hAnsiTheme="majorHAnsi" w:cstheme="majorHAnsi"/>
          <w:color w:val="000000" w:themeColor="text1"/>
          <w:sz w:val="24"/>
          <w:szCs w:val="24"/>
        </w:rPr>
        <w:t xml:space="preserve">, </w:t>
      </w:r>
      <w:r w:rsidRPr="00FA52D0">
        <w:rPr>
          <w:rFonts w:asciiTheme="majorHAnsi" w:hAnsiTheme="majorHAnsi" w:cstheme="majorHAnsi"/>
          <w:i/>
          <w:color w:val="000000" w:themeColor="text1"/>
          <w:sz w:val="24"/>
          <w:szCs w:val="24"/>
        </w:rPr>
        <w:t>19</w:t>
      </w:r>
      <w:r w:rsidRPr="00FA52D0">
        <w:rPr>
          <w:rFonts w:asciiTheme="majorHAnsi" w:hAnsiTheme="majorHAnsi" w:cstheme="majorHAnsi"/>
          <w:color w:val="000000" w:themeColor="text1"/>
          <w:sz w:val="24"/>
          <w:szCs w:val="24"/>
        </w:rPr>
        <w:t xml:space="preserve">(2), 139-162. </w:t>
      </w:r>
      <w:hyperlink r:id="rId52">
        <w:r w:rsidRPr="00FA52D0">
          <w:rPr>
            <w:rFonts w:asciiTheme="majorHAnsi" w:hAnsiTheme="majorHAnsi" w:cstheme="majorHAnsi"/>
            <w:color w:val="000000" w:themeColor="text1"/>
            <w:sz w:val="24"/>
            <w:szCs w:val="24"/>
            <w:u w:val="single"/>
          </w:rPr>
          <w:t>https://doi.org/10.1177/1541204020972487</w:t>
        </w:r>
      </w:hyperlink>
      <w:r w:rsidRPr="00FA52D0">
        <w:rPr>
          <w:rFonts w:asciiTheme="majorHAnsi" w:hAnsiTheme="majorHAnsi" w:cstheme="majorHAnsi"/>
          <w:color w:val="000000" w:themeColor="text1"/>
          <w:sz w:val="24"/>
          <w:szCs w:val="24"/>
        </w:rPr>
        <w:t xml:space="preserve"> - Accessed April 19th</w:t>
      </w:r>
      <w:proofErr w:type="gramStart"/>
      <w:r w:rsidRPr="00FA52D0">
        <w:rPr>
          <w:rFonts w:asciiTheme="majorHAnsi" w:hAnsiTheme="majorHAnsi" w:cstheme="majorHAnsi"/>
          <w:color w:val="000000" w:themeColor="text1"/>
          <w:sz w:val="24"/>
          <w:szCs w:val="24"/>
        </w:rPr>
        <w:t xml:space="preserve"> 2024</w:t>
      </w:r>
      <w:proofErr w:type="gramEnd"/>
    </w:p>
    <w:p w14:paraId="00000099"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Champine</w:t>
      </w:r>
      <w:proofErr w:type="spellEnd"/>
      <w:r w:rsidRPr="00FA52D0">
        <w:rPr>
          <w:rFonts w:asciiTheme="majorHAnsi" w:hAnsiTheme="majorHAnsi" w:cstheme="majorHAnsi"/>
          <w:color w:val="000000" w:themeColor="text1"/>
          <w:sz w:val="24"/>
          <w:szCs w:val="24"/>
        </w:rPr>
        <w:t xml:space="preserve"> RB, Lang JM, Nelson AM, Hanson RF, </w:t>
      </w:r>
      <w:proofErr w:type="spellStart"/>
      <w:r w:rsidRPr="00FA52D0">
        <w:rPr>
          <w:rFonts w:asciiTheme="majorHAnsi" w:hAnsiTheme="majorHAnsi" w:cstheme="majorHAnsi"/>
          <w:color w:val="000000" w:themeColor="text1"/>
          <w:sz w:val="24"/>
          <w:szCs w:val="24"/>
        </w:rPr>
        <w:t>Tebes</w:t>
      </w:r>
      <w:proofErr w:type="spellEnd"/>
      <w:r w:rsidRPr="00FA52D0">
        <w:rPr>
          <w:rFonts w:asciiTheme="majorHAnsi" w:hAnsiTheme="majorHAnsi" w:cstheme="majorHAnsi"/>
          <w:color w:val="000000" w:themeColor="text1"/>
          <w:sz w:val="24"/>
          <w:szCs w:val="24"/>
        </w:rPr>
        <w:t xml:space="preserve"> JK. Systems Measures of a Trauma-Informed Approach (2019): A Systematic Review. Am J Community Psychol. ;64(3-4):418-437. </w:t>
      </w:r>
      <w:proofErr w:type="spellStart"/>
      <w:r w:rsidRPr="00FA52D0">
        <w:rPr>
          <w:rFonts w:asciiTheme="majorHAnsi" w:hAnsiTheme="majorHAnsi" w:cstheme="majorHAnsi"/>
          <w:color w:val="000000" w:themeColor="text1"/>
          <w:sz w:val="24"/>
          <w:szCs w:val="24"/>
        </w:rPr>
        <w:t>doi</w:t>
      </w:r>
      <w:proofErr w:type="spellEnd"/>
      <w:r w:rsidRPr="00FA52D0">
        <w:rPr>
          <w:rFonts w:asciiTheme="majorHAnsi" w:hAnsiTheme="majorHAnsi" w:cstheme="majorHAnsi"/>
          <w:color w:val="000000" w:themeColor="text1"/>
          <w:sz w:val="24"/>
          <w:szCs w:val="24"/>
        </w:rPr>
        <w:t xml:space="preserve">: 10.1002/ajcp.12388. </w:t>
      </w:r>
      <w:proofErr w:type="spellStart"/>
      <w:r w:rsidRPr="00FA52D0">
        <w:rPr>
          <w:rFonts w:asciiTheme="majorHAnsi" w:hAnsiTheme="majorHAnsi" w:cstheme="majorHAnsi"/>
          <w:color w:val="000000" w:themeColor="text1"/>
          <w:sz w:val="24"/>
          <w:szCs w:val="24"/>
        </w:rPr>
        <w:t>Epub</w:t>
      </w:r>
      <w:proofErr w:type="spellEnd"/>
      <w:r w:rsidRPr="00FA52D0">
        <w:rPr>
          <w:rFonts w:asciiTheme="majorHAnsi" w:hAnsiTheme="majorHAnsi" w:cstheme="majorHAnsi"/>
          <w:color w:val="000000" w:themeColor="text1"/>
          <w:sz w:val="24"/>
          <w:szCs w:val="24"/>
        </w:rPr>
        <w:t xml:space="preserve"> 2019 Aug 30. PMID: 31469452; PMCID: PMC7003149.</w:t>
      </w:r>
      <w:hyperlink r:id="rId53">
        <w:r w:rsidRPr="00FA52D0">
          <w:rPr>
            <w:rFonts w:asciiTheme="majorHAnsi" w:hAnsiTheme="majorHAnsi" w:cstheme="majorHAnsi"/>
            <w:color w:val="000000" w:themeColor="text1"/>
            <w:sz w:val="24"/>
            <w:szCs w:val="24"/>
          </w:rPr>
          <w:t xml:space="preserve"> </w:t>
        </w:r>
      </w:hyperlink>
      <w:hyperlink r:id="rId54">
        <w:r w:rsidRPr="00FA52D0">
          <w:rPr>
            <w:rFonts w:asciiTheme="majorHAnsi" w:hAnsiTheme="majorHAnsi" w:cstheme="majorHAnsi"/>
            <w:color w:val="000000" w:themeColor="text1"/>
            <w:sz w:val="24"/>
            <w:szCs w:val="24"/>
            <w:u w:val="single"/>
          </w:rPr>
          <w:t>Systems Measures of a Trauma-Informed Approach: A Systematic Review - PubMed (nih.gov)</w:t>
        </w:r>
      </w:hyperlink>
      <w:r w:rsidRPr="00FA52D0">
        <w:rPr>
          <w:rFonts w:asciiTheme="majorHAnsi" w:hAnsiTheme="majorHAnsi" w:cstheme="majorHAnsi"/>
          <w:color w:val="000000" w:themeColor="text1"/>
          <w:sz w:val="24"/>
          <w:szCs w:val="24"/>
        </w:rPr>
        <w:t xml:space="preserve"> Accessed April 19</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9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Collins E., </w:t>
      </w:r>
      <w:proofErr w:type="spellStart"/>
      <w:r w:rsidRPr="00FA52D0">
        <w:rPr>
          <w:rFonts w:asciiTheme="majorHAnsi" w:hAnsiTheme="majorHAnsi" w:cstheme="majorHAnsi"/>
          <w:color w:val="000000" w:themeColor="text1"/>
          <w:sz w:val="24"/>
          <w:szCs w:val="24"/>
        </w:rPr>
        <w:t>Lonczak</w:t>
      </w:r>
      <w:proofErr w:type="spellEnd"/>
      <w:r w:rsidRPr="00FA52D0">
        <w:rPr>
          <w:rFonts w:asciiTheme="majorHAnsi" w:hAnsiTheme="majorHAnsi" w:cstheme="majorHAnsi"/>
          <w:color w:val="000000" w:themeColor="text1"/>
          <w:sz w:val="24"/>
          <w:szCs w:val="24"/>
        </w:rPr>
        <w:t xml:space="preserve"> H.S. and </w:t>
      </w:r>
      <w:proofErr w:type="spellStart"/>
      <w:r w:rsidRPr="00FA52D0">
        <w:rPr>
          <w:rFonts w:asciiTheme="majorHAnsi" w:hAnsiTheme="majorHAnsi" w:cstheme="majorHAnsi"/>
          <w:color w:val="000000" w:themeColor="text1"/>
          <w:sz w:val="24"/>
          <w:szCs w:val="24"/>
        </w:rPr>
        <w:t>Clifasefi</w:t>
      </w:r>
      <w:proofErr w:type="spellEnd"/>
      <w:r w:rsidRPr="00FA52D0">
        <w:rPr>
          <w:rFonts w:asciiTheme="majorHAnsi" w:hAnsiTheme="majorHAnsi" w:cstheme="majorHAnsi"/>
          <w:color w:val="000000" w:themeColor="text1"/>
          <w:sz w:val="24"/>
          <w:szCs w:val="24"/>
        </w:rPr>
        <w:t xml:space="preserve"> S. L. (2017), Seattle’s Law Enforcement Assisted Diversion (LEAD): Program effects on recidivism outcomes, Evaluation and Programme Planning, 64 clifasefietal2017withinsubjectsLEADprogrameval.pdf Accessed April 19</w:t>
      </w:r>
      <w:r w:rsidRPr="00FA52D0">
        <w:rPr>
          <w:rFonts w:asciiTheme="majorHAnsi" w:hAnsiTheme="majorHAnsi" w:cstheme="majorHAnsi"/>
          <w:color w:val="000000" w:themeColor="text1"/>
          <w:sz w:val="24"/>
          <w:szCs w:val="24"/>
          <w:vertAlign w:val="superscript"/>
        </w:rPr>
        <w:t>th</w:t>
      </w:r>
      <w:proofErr w:type="gramStart"/>
      <w:r w:rsidRPr="00FA52D0">
        <w:rPr>
          <w:rFonts w:asciiTheme="majorHAnsi" w:hAnsiTheme="majorHAnsi" w:cstheme="majorHAnsi"/>
          <w:color w:val="000000" w:themeColor="text1"/>
          <w:sz w:val="24"/>
          <w:szCs w:val="24"/>
        </w:rPr>
        <w:t xml:space="preserve"> 2014</w:t>
      </w:r>
      <w:proofErr w:type="gramEnd"/>
    </w:p>
    <w:p w14:paraId="0000009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Cordis Bright (2017), Evaluation of the Enhanced Case Management Approach: Final Report. Cardiff: Welsh Government</w:t>
      </w:r>
      <w:hyperlink r:id="rId55">
        <w:r w:rsidRPr="00FA52D0">
          <w:rPr>
            <w:rFonts w:asciiTheme="majorHAnsi" w:hAnsiTheme="majorHAnsi" w:cstheme="majorHAnsi"/>
            <w:color w:val="000000" w:themeColor="text1"/>
            <w:sz w:val="24"/>
            <w:szCs w:val="24"/>
          </w:rPr>
          <w:t xml:space="preserve"> </w:t>
        </w:r>
      </w:hyperlink>
      <w:hyperlink r:id="rId56">
        <w:r w:rsidRPr="00FA52D0">
          <w:rPr>
            <w:rFonts w:asciiTheme="majorHAnsi" w:hAnsiTheme="majorHAnsi" w:cstheme="majorHAnsi"/>
            <w:color w:val="000000" w:themeColor="text1"/>
            <w:sz w:val="24"/>
            <w:szCs w:val="24"/>
            <w:u w:val="single"/>
          </w:rPr>
          <w:t>Evaluation of the Enhanced Case Management approach (</w:t>
        </w:r>
        <w:proofErr w:type="spellStart"/>
        <w:r w:rsidRPr="00FA52D0">
          <w:rPr>
            <w:rFonts w:asciiTheme="majorHAnsi" w:hAnsiTheme="majorHAnsi" w:cstheme="majorHAnsi"/>
            <w:color w:val="000000" w:themeColor="text1"/>
            <w:sz w:val="24"/>
            <w:szCs w:val="24"/>
            <w:u w:val="single"/>
          </w:rPr>
          <w:t>gov.wales</w:t>
        </w:r>
        <w:proofErr w:type="spellEnd"/>
        <w:r w:rsidRPr="00FA52D0">
          <w:rPr>
            <w:rFonts w:asciiTheme="majorHAnsi" w:hAnsiTheme="majorHAnsi" w:cstheme="majorHAnsi"/>
            <w:color w:val="000000" w:themeColor="text1"/>
            <w:sz w:val="24"/>
            <w:szCs w:val="24"/>
            <w:u w:val="single"/>
          </w:rPr>
          <w:t>)</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9C"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Department for Children, Schools and Families Prevention and Reduction (2010): A review of strategies for intervening early to prevent or reduce youth crime and anti-social behaviour</w:t>
      </w:r>
      <w:hyperlink r:id="rId57">
        <w:r w:rsidRPr="00FA52D0">
          <w:rPr>
            <w:rFonts w:asciiTheme="majorHAnsi" w:hAnsiTheme="majorHAnsi" w:cstheme="majorHAnsi"/>
            <w:color w:val="000000" w:themeColor="text1"/>
            <w:sz w:val="24"/>
            <w:szCs w:val="24"/>
          </w:rPr>
          <w:t xml:space="preserve"> </w:t>
        </w:r>
      </w:hyperlink>
      <w:hyperlink r:id="rId58">
        <w:r w:rsidRPr="00FA52D0">
          <w:rPr>
            <w:rFonts w:asciiTheme="majorHAnsi" w:hAnsiTheme="majorHAnsi" w:cstheme="majorHAnsi"/>
            <w:color w:val="000000" w:themeColor="text1"/>
            <w:sz w:val="24"/>
            <w:szCs w:val="24"/>
            <w:u w:val="single"/>
          </w:rPr>
          <w:t>DFE-RR-REPORT-TEMPLATE-FRONT-JL (publishing.service.gov.uk)</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9D"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Department for Levelling Up, Housing and Communities (2023) Frontline support models for people experiencing multiple disadvantage: A Rapid Evidence Assessment. London:</w:t>
      </w:r>
      <w:hyperlink r:id="rId59">
        <w:r w:rsidRPr="00FA52D0">
          <w:rPr>
            <w:rFonts w:asciiTheme="majorHAnsi" w:hAnsiTheme="majorHAnsi" w:cstheme="majorHAnsi"/>
            <w:color w:val="000000" w:themeColor="text1"/>
            <w:sz w:val="24"/>
            <w:szCs w:val="24"/>
          </w:rPr>
          <w:t xml:space="preserve"> </w:t>
        </w:r>
      </w:hyperlink>
      <w:hyperlink r:id="rId60">
        <w:r w:rsidRPr="00FA52D0">
          <w:rPr>
            <w:rFonts w:asciiTheme="majorHAnsi" w:hAnsiTheme="majorHAnsi" w:cstheme="majorHAnsi"/>
            <w:color w:val="000000" w:themeColor="text1"/>
            <w:sz w:val="24"/>
            <w:szCs w:val="24"/>
            <w:u w:val="single"/>
          </w:rPr>
          <w:t>Frontline support models</w:t>
        </w:r>
      </w:hyperlink>
    </w:p>
    <w:p w14:paraId="0000009E" w14:textId="77777777" w:rsidR="00D67561" w:rsidRPr="00FA52D0" w:rsidRDefault="00000000">
      <w:pPr>
        <w:spacing w:before="240" w:after="240"/>
        <w:rPr>
          <w:rFonts w:asciiTheme="majorHAnsi" w:hAnsiTheme="majorHAnsi" w:cstheme="majorHAnsi"/>
          <w:color w:val="000000" w:themeColor="text1"/>
          <w:sz w:val="24"/>
          <w:szCs w:val="24"/>
        </w:rPr>
      </w:pPr>
      <w:hyperlink r:id="rId61">
        <w:r w:rsidRPr="00FA52D0">
          <w:rPr>
            <w:rFonts w:asciiTheme="majorHAnsi" w:hAnsiTheme="majorHAnsi" w:cstheme="majorHAnsi"/>
            <w:color w:val="000000" w:themeColor="text1"/>
            <w:sz w:val="24"/>
            <w:szCs w:val="24"/>
            <w:u w:val="single"/>
          </w:rPr>
          <w:t>for people experiencing multiple disadvantage (publishing.service.gov.uk)</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proofErr w:type="gramStart"/>
      <w:r w:rsidRPr="00FA52D0">
        <w:rPr>
          <w:rFonts w:asciiTheme="majorHAnsi" w:hAnsiTheme="majorHAnsi" w:cstheme="majorHAnsi"/>
          <w:color w:val="000000" w:themeColor="text1"/>
          <w:sz w:val="24"/>
          <w:szCs w:val="24"/>
        </w:rPr>
        <w:t xml:space="preserve"> 2024</w:t>
      </w:r>
      <w:proofErr w:type="gramEnd"/>
    </w:p>
    <w:p w14:paraId="0000009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Department for Levelling Up, Housing and Communities. Department for Levelling Up, Housing and Communities (2023) Changing Futures evaluation feasibility study. London: Department for Levelling Up, Housing and Communities</w:t>
      </w:r>
      <w:hyperlink r:id="rId62">
        <w:r w:rsidRPr="00FA52D0">
          <w:rPr>
            <w:rFonts w:asciiTheme="majorHAnsi" w:hAnsiTheme="majorHAnsi" w:cstheme="majorHAnsi"/>
            <w:color w:val="000000" w:themeColor="text1"/>
            <w:sz w:val="24"/>
            <w:szCs w:val="24"/>
          </w:rPr>
          <w:t xml:space="preserve"> </w:t>
        </w:r>
      </w:hyperlink>
      <w:hyperlink r:id="rId63">
        <w:r w:rsidRPr="00FA52D0">
          <w:rPr>
            <w:rFonts w:asciiTheme="majorHAnsi" w:hAnsiTheme="majorHAnsi" w:cstheme="majorHAnsi"/>
            <w:color w:val="000000" w:themeColor="text1"/>
            <w:sz w:val="24"/>
            <w:szCs w:val="24"/>
            <w:u w:val="single"/>
          </w:rPr>
          <w:t>Evaluation of the Changing Futures programme: feasibility study (publishing.service.gov.uk)</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Department for Levelling Up, Housing and Communities. Department for Levelling Up, Housing and Communities (2023) Trauma-informed approaches to supporting people experiencing multiple disadvantage A Rapid Evidence Assessment</w:t>
      </w:r>
      <w:hyperlink r:id="rId64">
        <w:r w:rsidRPr="00FA52D0">
          <w:rPr>
            <w:rFonts w:asciiTheme="majorHAnsi" w:hAnsiTheme="majorHAnsi" w:cstheme="majorHAnsi"/>
            <w:color w:val="000000" w:themeColor="text1"/>
            <w:sz w:val="24"/>
            <w:szCs w:val="24"/>
          </w:rPr>
          <w:t xml:space="preserve"> </w:t>
        </w:r>
      </w:hyperlink>
      <w:hyperlink r:id="rId65">
        <w:r w:rsidRPr="00FA52D0">
          <w:rPr>
            <w:rFonts w:asciiTheme="majorHAnsi" w:hAnsiTheme="majorHAnsi" w:cstheme="majorHAnsi"/>
            <w:color w:val="000000" w:themeColor="text1"/>
            <w:sz w:val="24"/>
            <w:szCs w:val="24"/>
            <w:u w:val="single"/>
          </w:rPr>
          <w:t>Trauma-informed approaches to supporting people experiencing multiple disadvantage (publishing.service.gov.uk)</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1"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Felitti</w:t>
      </w:r>
      <w:proofErr w:type="spellEnd"/>
      <w:r w:rsidRPr="00FA52D0">
        <w:rPr>
          <w:rFonts w:asciiTheme="majorHAnsi" w:hAnsiTheme="majorHAnsi" w:cstheme="majorHAnsi"/>
          <w:color w:val="000000" w:themeColor="text1"/>
          <w:sz w:val="24"/>
          <w:szCs w:val="24"/>
        </w:rPr>
        <w:t xml:space="preserve"> J, Anda </w:t>
      </w:r>
      <w:proofErr w:type="spellStart"/>
      <w:r w:rsidRPr="00FA52D0">
        <w:rPr>
          <w:rFonts w:asciiTheme="majorHAnsi" w:hAnsiTheme="majorHAnsi" w:cstheme="majorHAnsi"/>
          <w:color w:val="000000" w:themeColor="text1"/>
          <w:sz w:val="24"/>
          <w:szCs w:val="24"/>
        </w:rPr>
        <w:t>R,Nordenberg</w:t>
      </w:r>
      <w:proofErr w:type="spellEnd"/>
      <w:r w:rsidRPr="00FA52D0">
        <w:rPr>
          <w:rFonts w:asciiTheme="majorHAnsi" w:hAnsiTheme="majorHAnsi" w:cstheme="majorHAnsi"/>
          <w:color w:val="000000" w:themeColor="text1"/>
          <w:sz w:val="24"/>
          <w:szCs w:val="24"/>
        </w:rPr>
        <w:t xml:space="preserve"> D, Williamson D , Spitz A, Edwards V, Koss M, Marks J (1998) Relationship of Childhood Abuse and Household Dysfunction to Many of the Leading Causes of Death in Adults: The Adverse Childhood Experiences (ACE) Study,</w:t>
      </w:r>
      <w:hyperlink r:id="rId66">
        <w:r w:rsidRPr="00FA52D0">
          <w:rPr>
            <w:rFonts w:asciiTheme="majorHAnsi" w:hAnsiTheme="majorHAnsi" w:cstheme="majorHAnsi"/>
            <w:color w:val="000000" w:themeColor="text1"/>
            <w:sz w:val="24"/>
            <w:szCs w:val="24"/>
          </w:rPr>
          <w:t xml:space="preserve"> </w:t>
        </w:r>
      </w:hyperlink>
      <w:hyperlink r:id="rId67">
        <w:r w:rsidRPr="00FA52D0">
          <w:rPr>
            <w:rFonts w:asciiTheme="majorHAnsi" w:hAnsiTheme="majorHAnsi" w:cstheme="majorHAnsi"/>
            <w:color w:val="000000" w:themeColor="text1"/>
            <w:sz w:val="24"/>
            <w:szCs w:val="24"/>
            <w:u w:val="single"/>
          </w:rPr>
          <w:t>American Journal of Preventive Medicine</w:t>
        </w:r>
      </w:hyperlink>
      <w:hyperlink r:id="rId68">
        <w:r w:rsidRPr="00FA52D0">
          <w:rPr>
            <w:rFonts w:asciiTheme="majorHAnsi" w:hAnsiTheme="majorHAnsi" w:cstheme="majorHAnsi"/>
            <w:color w:val="000000" w:themeColor="text1"/>
            <w:sz w:val="24"/>
            <w:szCs w:val="24"/>
          </w:rPr>
          <w:t xml:space="preserve"> </w:t>
        </w:r>
      </w:hyperlink>
      <w:hyperlink r:id="rId69">
        <w:r w:rsidRPr="00FA52D0">
          <w:rPr>
            <w:rFonts w:asciiTheme="majorHAnsi" w:hAnsiTheme="majorHAnsi" w:cstheme="majorHAnsi"/>
            <w:color w:val="000000" w:themeColor="text1"/>
            <w:sz w:val="24"/>
            <w:szCs w:val="24"/>
            <w:u w:val="single"/>
          </w:rPr>
          <w:t>Volume 14, Issue 4</w:t>
        </w:r>
      </w:hyperlink>
      <w:r w:rsidRPr="00FA52D0">
        <w:rPr>
          <w:rFonts w:asciiTheme="majorHAnsi" w:hAnsiTheme="majorHAnsi" w:cstheme="majorHAnsi"/>
          <w:color w:val="000000" w:themeColor="text1"/>
          <w:sz w:val="24"/>
          <w:szCs w:val="24"/>
        </w:rPr>
        <w:t>, May 1998, Pages 245-258</w:t>
      </w:r>
      <w:hyperlink r:id="rId70">
        <w:r w:rsidRPr="00FA52D0">
          <w:rPr>
            <w:rFonts w:asciiTheme="majorHAnsi" w:hAnsiTheme="majorHAnsi" w:cstheme="majorHAnsi"/>
            <w:color w:val="000000" w:themeColor="text1"/>
            <w:sz w:val="24"/>
            <w:szCs w:val="24"/>
          </w:rPr>
          <w:t xml:space="preserve"> </w:t>
        </w:r>
      </w:hyperlink>
      <w:hyperlink r:id="rId71">
        <w:r w:rsidRPr="00FA52D0">
          <w:rPr>
            <w:rFonts w:asciiTheme="majorHAnsi" w:hAnsiTheme="majorHAnsi" w:cstheme="majorHAnsi"/>
            <w:color w:val="000000" w:themeColor="text1"/>
            <w:sz w:val="24"/>
            <w:szCs w:val="24"/>
            <w:u w:val="single"/>
          </w:rPr>
          <w:t>Relationship of Childhood Abuse and Household Dysfunction to Many of the Leading Causes of Death in Adults - American Journal of Preventive Medicine (ajpmonline.org)</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Fox B, </w:t>
      </w:r>
      <w:proofErr w:type="gramStart"/>
      <w:r w:rsidRPr="00FA52D0">
        <w:rPr>
          <w:rFonts w:asciiTheme="majorHAnsi" w:hAnsiTheme="majorHAnsi" w:cstheme="majorHAnsi"/>
          <w:color w:val="000000" w:themeColor="text1"/>
          <w:sz w:val="24"/>
          <w:szCs w:val="24"/>
        </w:rPr>
        <w:t>Perez ,</w:t>
      </w:r>
      <w:proofErr w:type="gramEnd"/>
      <w:r w:rsidRPr="00FA52D0">
        <w:rPr>
          <w:rFonts w:asciiTheme="majorHAnsi" w:hAnsiTheme="majorHAnsi" w:cstheme="majorHAnsi"/>
          <w:color w:val="000000" w:themeColor="text1"/>
          <w:sz w:val="24"/>
          <w:szCs w:val="24"/>
        </w:rPr>
        <w:t xml:space="preserve"> Cass E, </w:t>
      </w:r>
      <w:proofErr w:type="spellStart"/>
      <w:r w:rsidRPr="00FA52D0">
        <w:rPr>
          <w:rFonts w:asciiTheme="majorHAnsi" w:hAnsiTheme="majorHAnsi" w:cstheme="majorHAnsi"/>
          <w:color w:val="000000" w:themeColor="text1"/>
          <w:sz w:val="24"/>
          <w:szCs w:val="24"/>
        </w:rPr>
        <w:t>Baglivio</w:t>
      </w:r>
      <w:proofErr w:type="spellEnd"/>
      <w:r w:rsidRPr="00FA52D0">
        <w:rPr>
          <w:rFonts w:asciiTheme="majorHAnsi" w:hAnsiTheme="majorHAnsi" w:cstheme="majorHAnsi"/>
          <w:color w:val="000000" w:themeColor="text1"/>
          <w:sz w:val="24"/>
          <w:szCs w:val="24"/>
        </w:rPr>
        <w:t xml:space="preserve"> M, Epps, N. (2015). Trauma changes everything: Examining the relationship between adverse childhood experiences and serious, </w:t>
      </w:r>
      <w:proofErr w:type="gramStart"/>
      <w:r w:rsidRPr="00FA52D0">
        <w:rPr>
          <w:rFonts w:asciiTheme="majorHAnsi" w:hAnsiTheme="majorHAnsi" w:cstheme="majorHAnsi"/>
          <w:color w:val="000000" w:themeColor="text1"/>
          <w:sz w:val="24"/>
          <w:szCs w:val="24"/>
        </w:rPr>
        <w:t>violent</w:t>
      </w:r>
      <w:proofErr w:type="gramEnd"/>
      <w:r w:rsidRPr="00FA52D0">
        <w:rPr>
          <w:rFonts w:asciiTheme="majorHAnsi" w:hAnsiTheme="majorHAnsi" w:cstheme="majorHAnsi"/>
          <w:color w:val="000000" w:themeColor="text1"/>
          <w:sz w:val="24"/>
          <w:szCs w:val="24"/>
        </w:rPr>
        <w:t xml:space="preserve"> and chronic juvenile offenders. Child Abuse &amp; Neglect. 46. 10.1016/j.chiabu.2015.01.011 Foxetal15-TraumaChangesEverything-CAN-RG (1).pdf Accessed April 19</w:t>
      </w:r>
      <w:r w:rsidRPr="00FA52D0">
        <w:rPr>
          <w:rFonts w:asciiTheme="majorHAnsi" w:hAnsiTheme="majorHAnsi" w:cstheme="majorHAnsi"/>
          <w:color w:val="000000" w:themeColor="text1"/>
          <w:sz w:val="24"/>
          <w:szCs w:val="24"/>
          <w:vertAlign w:val="superscript"/>
        </w:rPr>
        <w:t>th</w:t>
      </w:r>
      <w:proofErr w:type="gramStart"/>
      <w:r w:rsidRPr="00FA52D0">
        <w:rPr>
          <w:rFonts w:asciiTheme="majorHAnsi" w:hAnsiTheme="majorHAnsi" w:cstheme="majorHAnsi"/>
          <w:color w:val="000000" w:themeColor="text1"/>
          <w:sz w:val="24"/>
          <w:szCs w:val="24"/>
        </w:rPr>
        <w:t xml:space="preserve"> 2024</w:t>
      </w:r>
      <w:proofErr w:type="gramEnd"/>
    </w:p>
    <w:p w14:paraId="000000A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Gray P, Smithson H and Jump D (2021) Serious youth violence and its relationship with adverse childhood experiences HM Inspectorate of Probation Academic Insights 2021/13</w:t>
      </w:r>
      <w:hyperlink r:id="rId72">
        <w:r w:rsidRPr="00FA52D0">
          <w:rPr>
            <w:rFonts w:asciiTheme="majorHAnsi" w:hAnsiTheme="majorHAnsi" w:cstheme="majorHAnsi"/>
            <w:color w:val="000000" w:themeColor="text1"/>
            <w:sz w:val="24"/>
            <w:szCs w:val="24"/>
          </w:rPr>
          <w:t xml:space="preserve"> </w:t>
        </w:r>
      </w:hyperlink>
      <w:hyperlink r:id="rId73">
        <w:r w:rsidRPr="00FA52D0">
          <w:rPr>
            <w:rFonts w:asciiTheme="majorHAnsi" w:hAnsiTheme="majorHAnsi" w:cstheme="majorHAnsi"/>
            <w:color w:val="000000" w:themeColor="text1"/>
            <w:sz w:val="24"/>
            <w:szCs w:val="24"/>
            <w:u w:val="single"/>
          </w:rPr>
          <w:t>Academic Insights 2021/13: Serious youth violence and its relationship with adverse childhood experiences (justiceinspectorates.gov.uk)</w:t>
        </w:r>
      </w:hyperlink>
      <w:r w:rsidRPr="00FA52D0">
        <w:rPr>
          <w:rFonts w:asciiTheme="majorHAnsi" w:hAnsiTheme="majorHAnsi" w:cstheme="majorHAnsi"/>
          <w:color w:val="000000" w:themeColor="text1"/>
          <w:sz w:val="24"/>
          <w:szCs w:val="24"/>
        </w:rPr>
        <w:t xml:space="preserve"> 2021 Accessed April 19</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Greenwald, R., </w:t>
      </w:r>
      <w:proofErr w:type="spellStart"/>
      <w:r w:rsidRPr="00FA52D0">
        <w:rPr>
          <w:rFonts w:asciiTheme="majorHAnsi" w:hAnsiTheme="majorHAnsi" w:cstheme="majorHAnsi"/>
          <w:color w:val="000000" w:themeColor="text1"/>
          <w:sz w:val="24"/>
          <w:szCs w:val="24"/>
        </w:rPr>
        <w:t>Siradas</w:t>
      </w:r>
      <w:proofErr w:type="spellEnd"/>
      <w:r w:rsidRPr="00FA52D0">
        <w:rPr>
          <w:rFonts w:asciiTheme="majorHAnsi" w:hAnsiTheme="majorHAnsi" w:cstheme="majorHAnsi"/>
          <w:color w:val="000000" w:themeColor="text1"/>
          <w:sz w:val="24"/>
          <w:szCs w:val="24"/>
        </w:rPr>
        <w:t xml:space="preserve">, L., Schmitt, T. A., </w:t>
      </w:r>
      <w:proofErr w:type="spellStart"/>
      <w:r w:rsidRPr="00FA52D0">
        <w:rPr>
          <w:rFonts w:asciiTheme="majorHAnsi" w:hAnsiTheme="majorHAnsi" w:cstheme="majorHAnsi"/>
          <w:color w:val="000000" w:themeColor="text1"/>
          <w:sz w:val="24"/>
          <w:szCs w:val="24"/>
        </w:rPr>
        <w:t>Reslan</w:t>
      </w:r>
      <w:proofErr w:type="spellEnd"/>
      <w:r w:rsidRPr="00FA52D0">
        <w:rPr>
          <w:rFonts w:asciiTheme="majorHAnsi" w:hAnsiTheme="majorHAnsi" w:cstheme="majorHAnsi"/>
          <w:color w:val="000000" w:themeColor="text1"/>
          <w:sz w:val="24"/>
          <w:szCs w:val="24"/>
        </w:rPr>
        <w:t xml:space="preserve">, S., </w:t>
      </w:r>
      <w:proofErr w:type="spellStart"/>
      <w:r w:rsidRPr="00FA52D0">
        <w:rPr>
          <w:rFonts w:asciiTheme="majorHAnsi" w:hAnsiTheme="majorHAnsi" w:cstheme="majorHAnsi"/>
          <w:color w:val="000000" w:themeColor="text1"/>
          <w:sz w:val="24"/>
          <w:szCs w:val="24"/>
        </w:rPr>
        <w:t>Fierle</w:t>
      </w:r>
      <w:proofErr w:type="spellEnd"/>
      <w:r w:rsidRPr="00FA52D0">
        <w:rPr>
          <w:rFonts w:asciiTheme="majorHAnsi" w:hAnsiTheme="majorHAnsi" w:cstheme="majorHAnsi"/>
          <w:color w:val="000000" w:themeColor="text1"/>
          <w:sz w:val="24"/>
          <w:szCs w:val="24"/>
        </w:rPr>
        <w:t xml:space="preserve">, J., &amp; Sande, B. (2012). Implementing Trauma-Informed Treatment for Youth in a Residential Facility: First-Year Outcomes. </w:t>
      </w:r>
      <w:r w:rsidRPr="00FA52D0">
        <w:rPr>
          <w:rFonts w:asciiTheme="majorHAnsi" w:hAnsiTheme="majorHAnsi" w:cstheme="majorHAnsi"/>
          <w:i/>
          <w:color w:val="000000" w:themeColor="text1"/>
          <w:sz w:val="24"/>
          <w:szCs w:val="24"/>
        </w:rPr>
        <w:t xml:space="preserve">Residential Treatment </w:t>
      </w:r>
      <w:proofErr w:type="gramStart"/>
      <w:r w:rsidRPr="00FA52D0">
        <w:rPr>
          <w:rFonts w:asciiTheme="majorHAnsi" w:hAnsiTheme="majorHAnsi" w:cstheme="majorHAnsi"/>
          <w:i/>
          <w:color w:val="000000" w:themeColor="text1"/>
          <w:sz w:val="24"/>
          <w:szCs w:val="24"/>
        </w:rPr>
        <w:t>For</w:t>
      </w:r>
      <w:proofErr w:type="gramEnd"/>
      <w:r w:rsidRPr="00FA52D0">
        <w:rPr>
          <w:rFonts w:asciiTheme="majorHAnsi" w:hAnsiTheme="majorHAnsi" w:cstheme="majorHAnsi"/>
          <w:i/>
          <w:color w:val="000000" w:themeColor="text1"/>
          <w:sz w:val="24"/>
          <w:szCs w:val="24"/>
        </w:rPr>
        <w:t xml:space="preserve"> Children &amp; Youth</w:t>
      </w:r>
      <w:r w:rsidRPr="00FA52D0">
        <w:rPr>
          <w:rFonts w:asciiTheme="majorHAnsi" w:hAnsiTheme="majorHAnsi" w:cstheme="majorHAnsi"/>
          <w:color w:val="000000" w:themeColor="text1"/>
          <w:sz w:val="24"/>
          <w:szCs w:val="24"/>
        </w:rPr>
        <w:t xml:space="preserve">, </w:t>
      </w:r>
      <w:r w:rsidRPr="00FA52D0">
        <w:rPr>
          <w:rFonts w:asciiTheme="majorHAnsi" w:hAnsiTheme="majorHAnsi" w:cstheme="majorHAnsi"/>
          <w:i/>
          <w:color w:val="000000" w:themeColor="text1"/>
          <w:sz w:val="24"/>
          <w:szCs w:val="24"/>
        </w:rPr>
        <w:t>29</w:t>
      </w:r>
      <w:r w:rsidRPr="00FA52D0">
        <w:rPr>
          <w:rFonts w:asciiTheme="majorHAnsi" w:hAnsiTheme="majorHAnsi" w:cstheme="majorHAnsi"/>
          <w:color w:val="000000" w:themeColor="text1"/>
          <w:sz w:val="24"/>
          <w:szCs w:val="24"/>
        </w:rPr>
        <w:t>(2), 141–153.</w:t>
      </w:r>
      <w:hyperlink r:id="rId74">
        <w:r w:rsidRPr="00FA52D0">
          <w:rPr>
            <w:rFonts w:asciiTheme="majorHAnsi" w:hAnsiTheme="majorHAnsi" w:cstheme="majorHAnsi"/>
            <w:color w:val="000000" w:themeColor="text1"/>
            <w:sz w:val="24"/>
            <w:szCs w:val="24"/>
            <w:u w:val="single"/>
          </w:rPr>
          <w:t>https://doi.org/10.1080/0886571X.2012.676525</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A5"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lastRenderedPageBreak/>
        <w:t xml:space="preserve">Kowalski, M. A., Hamilton, Z., </w:t>
      </w:r>
      <w:proofErr w:type="spellStart"/>
      <w:r w:rsidRPr="00FA52D0">
        <w:rPr>
          <w:rFonts w:asciiTheme="majorHAnsi" w:hAnsiTheme="majorHAnsi" w:cstheme="majorHAnsi"/>
          <w:color w:val="000000" w:themeColor="text1"/>
          <w:sz w:val="24"/>
          <w:szCs w:val="24"/>
        </w:rPr>
        <w:t>Kigerl</w:t>
      </w:r>
      <w:proofErr w:type="spellEnd"/>
      <w:r w:rsidRPr="00FA52D0">
        <w:rPr>
          <w:rFonts w:asciiTheme="majorHAnsi" w:hAnsiTheme="majorHAnsi" w:cstheme="majorHAnsi"/>
          <w:color w:val="000000" w:themeColor="text1"/>
          <w:sz w:val="24"/>
          <w:szCs w:val="24"/>
        </w:rPr>
        <w:t xml:space="preserve">, A., </w:t>
      </w:r>
      <w:proofErr w:type="spellStart"/>
      <w:r w:rsidRPr="00FA52D0">
        <w:rPr>
          <w:rFonts w:asciiTheme="majorHAnsi" w:hAnsiTheme="majorHAnsi" w:cstheme="majorHAnsi"/>
          <w:color w:val="000000" w:themeColor="text1"/>
          <w:sz w:val="24"/>
          <w:szCs w:val="24"/>
        </w:rPr>
        <w:t>Baglivio</w:t>
      </w:r>
      <w:proofErr w:type="spellEnd"/>
      <w:r w:rsidRPr="00FA52D0">
        <w:rPr>
          <w:rFonts w:asciiTheme="majorHAnsi" w:hAnsiTheme="majorHAnsi" w:cstheme="majorHAnsi"/>
          <w:color w:val="000000" w:themeColor="text1"/>
          <w:sz w:val="24"/>
          <w:szCs w:val="24"/>
        </w:rPr>
        <w:t>, M. T., &amp; Wolff, K. T. (2023). Protecting Against Adversity: The Role of Positive Childhood Experiences in Youth Recidivism. Youth Violence and Juvenile Justice, 21(3), 248-274.</w:t>
      </w:r>
      <w:hyperlink r:id="rId75">
        <w:r w:rsidRPr="00FA52D0">
          <w:rPr>
            <w:rFonts w:asciiTheme="majorHAnsi" w:hAnsiTheme="majorHAnsi" w:cstheme="majorHAnsi"/>
            <w:color w:val="000000" w:themeColor="text1"/>
            <w:sz w:val="24"/>
            <w:szCs w:val="24"/>
          </w:rPr>
          <w:t xml:space="preserve"> </w:t>
        </w:r>
      </w:hyperlink>
      <w:hyperlink r:id="rId76">
        <w:r w:rsidRPr="00FA52D0">
          <w:rPr>
            <w:rFonts w:asciiTheme="majorHAnsi" w:hAnsiTheme="majorHAnsi" w:cstheme="majorHAnsi"/>
            <w:color w:val="000000" w:themeColor="text1"/>
            <w:sz w:val="24"/>
            <w:szCs w:val="24"/>
            <w:u w:val="single"/>
          </w:rPr>
          <w:t>https://doi.org/10.1177/15412040221133106</w:t>
        </w:r>
      </w:hyperlink>
    </w:p>
    <w:p w14:paraId="000000A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Manica M (2021) Effectiveness of Approaches to Prevent Re-Offending in Young People: A Rapid Review of the Evidence Division of Psychology and Forensic Sciences Abertay University</w:t>
      </w:r>
      <w:hyperlink r:id="rId77">
        <w:r w:rsidRPr="00FA52D0">
          <w:rPr>
            <w:rFonts w:asciiTheme="majorHAnsi" w:hAnsiTheme="majorHAnsi" w:cstheme="majorHAnsi"/>
            <w:color w:val="000000" w:themeColor="text1"/>
            <w:sz w:val="24"/>
            <w:szCs w:val="24"/>
          </w:rPr>
          <w:t xml:space="preserve"> </w:t>
        </w:r>
      </w:hyperlink>
      <w:hyperlink r:id="rId78">
        <w:r w:rsidRPr="00FA52D0">
          <w:rPr>
            <w:rFonts w:asciiTheme="majorHAnsi" w:hAnsiTheme="majorHAnsi" w:cstheme="majorHAnsi"/>
            <w:color w:val="000000" w:themeColor="text1"/>
            <w:sz w:val="24"/>
            <w:szCs w:val="24"/>
            <w:u w:val="single"/>
          </w:rPr>
          <w:t>Martina-Manica-Approaches-to-reducing-violent-youth-offending-Evidence-Review-.pdf (svru.co.uk)</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McCartan K. F. (2020), Trauma-informed practice: HM Inspectorate of Probation Academic Insights, HM Inspectorate of Probation:</w:t>
      </w:r>
      <w:hyperlink r:id="rId79">
        <w:r w:rsidRPr="00FA52D0">
          <w:rPr>
            <w:rFonts w:asciiTheme="majorHAnsi" w:hAnsiTheme="majorHAnsi" w:cstheme="majorHAnsi"/>
            <w:color w:val="000000" w:themeColor="text1"/>
            <w:sz w:val="24"/>
            <w:szCs w:val="24"/>
          </w:rPr>
          <w:t xml:space="preserve"> </w:t>
        </w:r>
      </w:hyperlink>
      <w:hyperlink r:id="rId80">
        <w:r w:rsidRPr="00FA52D0">
          <w:rPr>
            <w:rFonts w:asciiTheme="majorHAnsi" w:hAnsiTheme="majorHAnsi" w:cstheme="majorHAnsi"/>
            <w:color w:val="000000" w:themeColor="text1"/>
            <w:sz w:val="24"/>
            <w:szCs w:val="24"/>
            <w:u w:val="single"/>
          </w:rPr>
          <w:t>Academic Insights 2020/05 Trauma-informed practice (justiceinspectorates.gov.uk)</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8"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McGuire J (Ed) (2002) Offender Rehabilitation and Treatment: Effective Programmes and Policies to Reduce Re‐Offending. Print ISBN:9780471987611 |Online ISBN:9780470713464 DOI:10.1002/9780470713464. John Wiley &amp; Sons Ltd</w:t>
      </w:r>
      <w:hyperlink r:id="rId81">
        <w:r w:rsidRPr="00FA52D0">
          <w:rPr>
            <w:rFonts w:asciiTheme="majorHAnsi" w:hAnsiTheme="majorHAnsi" w:cstheme="majorHAnsi"/>
            <w:color w:val="000000" w:themeColor="text1"/>
            <w:sz w:val="24"/>
            <w:szCs w:val="24"/>
          </w:rPr>
          <w:t xml:space="preserve"> </w:t>
        </w:r>
      </w:hyperlink>
      <w:hyperlink r:id="rId82">
        <w:r w:rsidRPr="00FA52D0">
          <w:rPr>
            <w:rFonts w:asciiTheme="majorHAnsi" w:hAnsiTheme="majorHAnsi" w:cstheme="majorHAnsi"/>
            <w:color w:val="000000" w:themeColor="text1"/>
            <w:sz w:val="24"/>
            <w:szCs w:val="24"/>
            <w:u w:val="single"/>
          </w:rPr>
          <w:t>Offender Rehabilitation and Treatment | Wiley Online Books</w:t>
        </w:r>
      </w:hyperlink>
    </w:p>
    <w:p w14:paraId="000000A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Miller NA, </w:t>
      </w:r>
      <w:proofErr w:type="spellStart"/>
      <w:r w:rsidRPr="00FA52D0">
        <w:rPr>
          <w:rFonts w:asciiTheme="majorHAnsi" w:hAnsiTheme="majorHAnsi" w:cstheme="majorHAnsi"/>
          <w:color w:val="000000" w:themeColor="text1"/>
          <w:sz w:val="24"/>
          <w:szCs w:val="24"/>
        </w:rPr>
        <w:t>Najavits</w:t>
      </w:r>
      <w:proofErr w:type="spellEnd"/>
      <w:r w:rsidRPr="00FA52D0">
        <w:rPr>
          <w:rFonts w:asciiTheme="majorHAnsi" w:hAnsiTheme="majorHAnsi" w:cstheme="majorHAnsi"/>
          <w:color w:val="000000" w:themeColor="text1"/>
          <w:sz w:val="24"/>
          <w:szCs w:val="24"/>
        </w:rPr>
        <w:t xml:space="preserve"> </w:t>
      </w:r>
      <w:proofErr w:type="gramStart"/>
      <w:r w:rsidRPr="00FA52D0">
        <w:rPr>
          <w:rFonts w:asciiTheme="majorHAnsi" w:hAnsiTheme="majorHAnsi" w:cstheme="majorHAnsi"/>
          <w:color w:val="000000" w:themeColor="text1"/>
          <w:sz w:val="24"/>
          <w:szCs w:val="24"/>
        </w:rPr>
        <w:t>LM.(</w:t>
      </w:r>
      <w:proofErr w:type="gramEnd"/>
      <w:r w:rsidRPr="00FA52D0">
        <w:rPr>
          <w:rFonts w:asciiTheme="majorHAnsi" w:hAnsiTheme="majorHAnsi" w:cstheme="majorHAnsi"/>
          <w:color w:val="000000" w:themeColor="text1"/>
          <w:sz w:val="24"/>
          <w:szCs w:val="24"/>
        </w:rPr>
        <w:t xml:space="preserve">2012) Creating trauma-informed correctional care: a balance of goals and environment. </w:t>
      </w:r>
      <w:proofErr w:type="spellStart"/>
      <w:r w:rsidRPr="00FA52D0">
        <w:rPr>
          <w:rFonts w:asciiTheme="majorHAnsi" w:hAnsiTheme="majorHAnsi" w:cstheme="majorHAnsi"/>
          <w:color w:val="000000" w:themeColor="text1"/>
          <w:sz w:val="24"/>
          <w:szCs w:val="24"/>
        </w:rPr>
        <w:t>Eur</w:t>
      </w:r>
      <w:proofErr w:type="spellEnd"/>
      <w:r w:rsidRPr="00FA52D0">
        <w:rPr>
          <w:rFonts w:asciiTheme="majorHAnsi" w:hAnsiTheme="majorHAnsi" w:cstheme="majorHAnsi"/>
          <w:color w:val="000000" w:themeColor="text1"/>
          <w:sz w:val="24"/>
          <w:szCs w:val="24"/>
        </w:rPr>
        <w:t xml:space="preserve"> J </w:t>
      </w:r>
      <w:proofErr w:type="spellStart"/>
      <w:r w:rsidRPr="00FA52D0">
        <w:rPr>
          <w:rFonts w:asciiTheme="majorHAnsi" w:hAnsiTheme="majorHAnsi" w:cstheme="majorHAnsi"/>
          <w:color w:val="000000" w:themeColor="text1"/>
          <w:sz w:val="24"/>
          <w:szCs w:val="24"/>
        </w:rPr>
        <w:t>Psychotraumatol</w:t>
      </w:r>
      <w:proofErr w:type="spellEnd"/>
      <w:r w:rsidRPr="00FA52D0">
        <w:rPr>
          <w:rFonts w:asciiTheme="majorHAnsi" w:hAnsiTheme="majorHAnsi" w:cstheme="majorHAnsi"/>
          <w:color w:val="000000" w:themeColor="text1"/>
          <w:sz w:val="24"/>
          <w:szCs w:val="24"/>
        </w:rPr>
        <w:t xml:space="preserve">. 2012;3. </w:t>
      </w:r>
      <w:proofErr w:type="spellStart"/>
      <w:r w:rsidRPr="00FA52D0">
        <w:rPr>
          <w:rFonts w:asciiTheme="majorHAnsi" w:hAnsiTheme="majorHAnsi" w:cstheme="majorHAnsi"/>
          <w:color w:val="000000" w:themeColor="text1"/>
          <w:sz w:val="24"/>
          <w:szCs w:val="24"/>
        </w:rPr>
        <w:t>doi</w:t>
      </w:r>
      <w:proofErr w:type="spellEnd"/>
      <w:r w:rsidRPr="00FA52D0">
        <w:rPr>
          <w:rFonts w:asciiTheme="majorHAnsi" w:hAnsiTheme="majorHAnsi" w:cstheme="majorHAnsi"/>
          <w:color w:val="000000" w:themeColor="text1"/>
          <w:sz w:val="24"/>
          <w:szCs w:val="24"/>
        </w:rPr>
        <w:t>: 10.3402/</w:t>
      </w:r>
      <w:proofErr w:type="gramStart"/>
      <w:r w:rsidRPr="00FA52D0">
        <w:rPr>
          <w:rFonts w:asciiTheme="majorHAnsi" w:hAnsiTheme="majorHAnsi" w:cstheme="majorHAnsi"/>
          <w:color w:val="000000" w:themeColor="text1"/>
          <w:sz w:val="24"/>
          <w:szCs w:val="24"/>
        </w:rPr>
        <w:t>ejpt.v</w:t>
      </w:r>
      <w:proofErr w:type="gramEnd"/>
      <w:r w:rsidRPr="00FA52D0">
        <w:rPr>
          <w:rFonts w:asciiTheme="majorHAnsi" w:hAnsiTheme="majorHAnsi" w:cstheme="majorHAnsi"/>
          <w:color w:val="000000" w:themeColor="text1"/>
          <w:sz w:val="24"/>
          <w:szCs w:val="24"/>
        </w:rPr>
        <w:t xml:space="preserve">3i0.17246. </w:t>
      </w:r>
      <w:proofErr w:type="spellStart"/>
      <w:r w:rsidRPr="00FA52D0">
        <w:rPr>
          <w:rFonts w:asciiTheme="majorHAnsi" w:hAnsiTheme="majorHAnsi" w:cstheme="majorHAnsi"/>
          <w:color w:val="000000" w:themeColor="text1"/>
          <w:sz w:val="24"/>
          <w:szCs w:val="24"/>
        </w:rPr>
        <w:t>Epub</w:t>
      </w:r>
      <w:proofErr w:type="spellEnd"/>
      <w:r w:rsidRPr="00FA52D0">
        <w:rPr>
          <w:rFonts w:asciiTheme="majorHAnsi" w:hAnsiTheme="majorHAnsi" w:cstheme="majorHAnsi"/>
          <w:color w:val="000000" w:themeColor="text1"/>
          <w:sz w:val="24"/>
          <w:szCs w:val="24"/>
        </w:rPr>
        <w:t xml:space="preserve"> 2012 Mar 30. PMID: 22893828; PMCID: PMC3402099.</w:t>
      </w:r>
      <w:hyperlink r:id="rId83">
        <w:r w:rsidRPr="00FA52D0">
          <w:rPr>
            <w:rFonts w:asciiTheme="majorHAnsi" w:hAnsiTheme="majorHAnsi" w:cstheme="majorHAnsi"/>
            <w:color w:val="000000" w:themeColor="text1"/>
            <w:sz w:val="24"/>
            <w:szCs w:val="24"/>
          </w:rPr>
          <w:t xml:space="preserve"> </w:t>
        </w:r>
      </w:hyperlink>
      <w:hyperlink r:id="rId84">
        <w:r w:rsidRPr="00FA52D0">
          <w:rPr>
            <w:rFonts w:asciiTheme="majorHAnsi" w:hAnsiTheme="majorHAnsi" w:cstheme="majorHAnsi"/>
            <w:color w:val="000000" w:themeColor="text1"/>
            <w:sz w:val="24"/>
            <w:szCs w:val="24"/>
            <w:u w:val="single"/>
          </w:rPr>
          <w:t>Creating trauma-informed correctional care: a balance of goals and environment (tandfonline.com)</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A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Ministry of Housing, Communities and Local Government (2021) Annual Report of the Troubled Families Programme 2020-2021</w:t>
      </w:r>
      <w:hyperlink r:id="rId85">
        <w:r w:rsidRPr="00FA52D0">
          <w:rPr>
            <w:rFonts w:asciiTheme="majorHAnsi" w:hAnsiTheme="majorHAnsi" w:cstheme="majorHAnsi"/>
            <w:color w:val="000000" w:themeColor="text1"/>
            <w:sz w:val="24"/>
            <w:szCs w:val="24"/>
          </w:rPr>
          <w:t xml:space="preserve"> </w:t>
        </w:r>
      </w:hyperlink>
      <w:hyperlink r:id="rId86">
        <w:r w:rsidRPr="00FA52D0">
          <w:rPr>
            <w:rFonts w:asciiTheme="majorHAnsi" w:hAnsiTheme="majorHAnsi" w:cstheme="majorHAnsi"/>
            <w:color w:val="000000" w:themeColor="text1"/>
            <w:sz w:val="24"/>
            <w:szCs w:val="24"/>
            <w:u w:val="single"/>
          </w:rPr>
          <w:t>Microsoft Word - CCS0221071922-001_Troubled Families Annual Report 2021_Final (3) (002).docx (publishing.service.gov.uk)</w:t>
        </w:r>
      </w:hyperlink>
      <w:r w:rsidRPr="00FA52D0">
        <w:rPr>
          <w:rFonts w:asciiTheme="majorHAnsi" w:hAnsiTheme="majorHAnsi" w:cstheme="majorHAnsi"/>
          <w:color w:val="000000" w:themeColor="text1"/>
          <w:sz w:val="24"/>
          <w:szCs w:val="24"/>
        </w:rPr>
        <w:t xml:space="preserve"> Accessed April 18</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Norris, G. (2021). </w:t>
      </w:r>
      <w:r w:rsidRPr="00FA52D0">
        <w:rPr>
          <w:rFonts w:asciiTheme="majorHAnsi" w:hAnsiTheme="majorHAnsi" w:cstheme="majorHAnsi"/>
          <w:i/>
          <w:color w:val="000000" w:themeColor="text1"/>
          <w:sz w:val="24"/>
          <w:szCs w:val="24"/>
        </w:rPr>
        <w:t>A Child First Pathfinder Evaluation – Ceredigion Youth Justice and Prevention Service: Towards a Common Preventions Approach Across Wales</w:t>
      </w:r>
      <w:r w:rsidRPr="00FA52D0">
        <w:rPr>
          <w:rFonts w:asciiTheme="majorHAnsi" w:hAnsiTheme="majorHAnsi" w:cstheme="majorHAnsi"/>
          <w:color w:val="000000" w:themeColor="text1"/>
          <w:sz w:val="24"/>
          <w:szCs w:val="24"/>
        </w:rPr>
        <w:t>. Aberystwyth University</w:t>
      </w:r>
      <w:hyperlink r:id="rId87">
        <w:r w:rsidRPr="00FA52D0">
          <w:rPr>
            <w:rFonts w:asciiTheme="majorHAnsi" w:hAnsiTheme="majorHAnsi" w:cstheme="majorHAnsi"/>
            <w:color w:val="000000" w:themeColor="text1"/>
            <w:sz w:val="24"/>
            <w:szCs w:val="24"/>
          </w:rPr>
          <w:t xml:space="preserve"> </w:t>
        </w:r>
      </w:hyperlink>
      <w:hyperlink r:id="rId88">
        <w:r w:rsidRPr="00FA52D0">
          <w:rPr>
            <w:rFonts w:asciiTheme="majorHAnsi" w:hAnsiTheme="majorHAnsi" w:cstheme="majorHAnsi"/>
            <w:color w:val="000000" w:themeColor="text1"/>
            <w:sz w:val="24"/>
            <w:szCs w:val="24"/>
            <w:u w:val="single"/>
          </w:rPr>
          <w:t>Child_First_Prevention_Pathfinder_Evaluation_Ceredigion_YJS_2022.pdf (aber.ac.uk)</w:t>
        </w:r>
      </w:hyperlink>
      <w:r w:rsidRPr="00FA52D0">
        <w:rPr>
          <w:rFonts w:asciiTheme="majorHAnsi" w:hAnsiTheme="majorHAnsi" w:cstheme="majorHAnsi"/>
          <w:color w:val="000000" w:themeColor="text1"/>
          <w:sz w:val="24"/>
          <w:szCs w:val="24"/>
        </w:rPr>
        <w:t xml:space="preserve"> Accessed April 17</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AC"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Petrosino</w:t>
      </w:r>
      <w:proofErr w:type="spellEnd"/>
      <w:r w:rsidRPr="00FA52D0">
        <w:rPr>
          <w:rFonts w:asciiTheme="majorHAnsi" w:hAnsiTheme="majorHAnsi" w:cstheme="majorHAnsi"/>
          <w:color w:val="000000" w:themeColor="text1"/>
          <w:sz w:val="24"/>
          <w:szCs w:val="24"/>
        </w:rPr>
        <w:t>, A., Turpin‐</w:t>
      </w:r>
      <w:proofErr w:type="spellStart"/>
      <w:r w:rsidRPr="00FA52D0">
        <w:rPr>
          <w:rFonts w:asciiTheme="majorHAnsi" w:hAnsiTheme="majorHAnsi" w:cstheme="majorHAnsi"/>
          <w:color w:val="000000" w:themeColor="text1"/>
          <w:sz w:val="24"/>
          <w:szCs w:val="24"/>
        </w:rPr>
        <w:t>Petrosino</w:t>
      </w:r>
      <w:proofErr w:type="spellEnd"/>
      <w:r w:rsidRPr="00FA52D0">
        <w:rPr>
          <w:rFonts w:asciiTheme="majorHAnsi" w:hAnsiTheme="majorHAnsi" w:cstheme="majorHAnsi"/>
          <w:color w:val="000000" w:themeColor="text1"/>
          <w:sz w:val="24"/>
          <w:szCs w:val="24"/>
        </w:rPr>
        <w:t xml:space="preserve">, C., Hollis‐Peel, M. E., &amp; </w:t>
      </w:r>
      <w:proofErr w:type="spellStart"/>
      <w:r w:rsidRPr="00FA52D0">
        <w:rPr>
          <w:rFonts w:asciiTheme="majorHAnsi" w:hAnsiTheme="majorHAnsi" w:cstheme="majorHAnsi"/>
          <w:color w:val="000000" w:themeColor="text1"/>
          <w:sz w:val="24"/>
          <w:szCs w:val="24"/>
        </w:rPr>
        <w:t>Lavenberg</w:t>
      </w:r>
      <w:proofErr w:type="spellEnd"/>
      <w:r w:rsidRPr="00FA52D0">
        <w:rPr>
          <w:rFonts w:asciiTheme="majorHAnsi" w:hAnsiTheme="majorHAnsi" w:cstheme="majorHAnsi"/>
          <w:color w:val="000000" w:themeColor="text1"/>
          <w:sz w:val="24"/>
          <w:szCs w:val="24"/>
        </w:rPr>
        <w:t>, J. G. (2013). 'Scared Straight 'and other juvenile awareness programs for preventing juvenile delinquency. Cochrane database of systematic reviews, (4).</w:t>
      </w:r>
      <w:hyperlink r:id="rId89">
        <w:r w:rsidRPr="00FA52D0">
          <w:rPr>
            <w:rFonts w:asciiTheme="majorHAnsi" w:hAnsiTheme="majorHAnsi" w:cstheme="majorHAnsi"/>
            <w:color w:val="000000" w:themeColor="text1"/>
            <w:sz w:val="24"/>
            <w:szCs w:val="24"/>
          </w:rPr>
          <w:t xml:space="preserve"> </w:t>
        </w:r>
      </w:hyperlink>
      <w:hyperlink r:id="rId90">
        <w:r w:rsidRPr="00FA52D0">
          <w:rPr>
            <w:rFonts w:asciiTheme="majorHAnsi" w:hAnsiTheme="majorHAnsi" w:cstheme="majorHAnsi"/>
            <w:color w:val="000000" w:themeColor="text1"/>
            <w:sz w:val="24"/>
            <w:szCs w:val="24"/>
            <w:u w:val="single"/>
          </w:rPr>
          <w:t>'Scared Straight' and Other Juvenile Awareness Programs for Preventing Juvenile Delinquency (bridgew.edu)</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AD"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Pertrillo</w:t>
      </w:r>
      <w:proofErr w:type="spellEnd"/>
      <w:r w:rsidRPr="00FA52D0">
        <w:rPr>
          <w:rFonts w:asciiTheme="majorHAnsi" w:hAnsiTheme="majorHAnsi" w:cstheme="majorHAnsi"/>
          <w:color w:val="000000" w:themeColor="text1"/>
          <w:sz w:val="24"/>
          <w:szCs w:val="24"/>
        </w:rPr>
        <w:t>, M. and Bradley A. (2022), Working with trauma in adult probation: HM Inspectorate of Probation Research and Analysis Bulletin, HM Inspectorate of Probation</w:t>
      </w:r>
    </w:p>
    <w:p w14:paraId="000000AE"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lastRenderedPageBreak/>
        <w:t>Prashasti</w:t>
      </w:r>
      <w:proofErr w:type="spellEnd"/>
      <w:r w:rsidRPr="00FA52D0">
        <w:rPr>
          <w:rFonts w:asciiTheme="majorHAnsi" w:hAnsiTheme="majorHAnsi" w:cstheme="majorHAnsi"/>
          <w:color w:val="000000" w:themeColor="text1"/>
          <w:sz w:val="24"/>
          <w:szCs w:val="24"/>
        </w:rPr>
        <w:t xml:space="preserve"> J, (2020) Causes and prevention of criminal behaviour: International Journal of Advanced Science and Technology, 29(5s), pp. 42 – 47</w:t>
      </w:r>
      <w:hyperlink r:id="rId91">
        <w:r w:rsidRPr="00FA52D0">
          <w:rPr>
            <w:rFonts w:asciiTheme="majorHAnsi" w:hAnsiTheme="majorHAnsi" w:cstheme="majorHAnsi"/>
            <w:color w:val="000000" w:themeColor="text1"/>
            <w:sz w:val="24"/>
            <w:szCs w:val="24"/>
          </w:rPr>
          <w:t xml:space="preserve"> </w:t>
        </w:r>
      </w:hyperlink>
      <w:hyperlink r:id="rId92">
        <w:r w:rsidRPr="00FA52D0">
          <w:rPr>
            <w:rFonts w:asciiTheme="majorHAnsi" w:hAnsiTheme="majorHAnsi" w:cstheme="majorHAnsi"/>
            <w:color w:val="000000" w:themeColor="text1"/>
            <w:sz w:val="24"/>
            <w:szCs w:val="24"/>
            <w:u w:val="single"/>
          </w:rPr>
          <w:t>http://sersc.org/journals/index.php/IJAST/article/view/7013</w:t>
        </w:r>
      </w:hyperlink>
      <w:r w:rsidRPr="00FA52D0">
        <w:rPr>
          <w:rFonts w:asciiTheme="majorHAnsi" w:hAnsiTheme="majorHAnsi" w:cstheme="majorHAnsi"/>
          <w:color w:val="000000" w:themeColor="text1"/>
          <w:sz w:val="24"/>
          <w:szCs w:val="24"/>
        </w:rPr>
        <w:t xml:space="preserve"> Accessed: 18th April 2024.</w:t>
      </w:r>
    </w:p>
    <w:p w14:paraId="000000A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Russell, K. (2021). What Works to Prevent Youth Violence: A Summary of the Evidence. Social Research. Available at:</w:t>
      </w:r>
      <w:hyperlink r:id="rId93">
        <w:r w:rsidRPr="00FA52D0">
          <w:rPr>
            <w:rFonts w:asciiTheme="majorHAnsi" w:hAnsiTheme="majorHAnsi" w:cstheme="majorHAnsi"/>
            <w:color w:val="000000" w:themeColor="text1"/>
            <w:sz w:val="24"/>
            <w:szCs w:val="24"/>
          </w:rPr>
          <w:t xml:space="preserve"> </w:t>
        </w:r>
      </w:hyperlink>
      <w:hyperlink r:id="rId94">
        <w:r w:rsidRPr="00FA52D0">
          <w:rPr>
            <w:rFonts w:asciiTheme="majorHAnsi" w:hAnsiTheme="majorHAnsi" w:cstheme="majorHAnsi"/>
            <w:color w:val="000000" w:themeColor="text1"/>
            <w:sz w:val="24"/>
            <w:szCs w:val="24"/>
            <w:u w:val="single"/>
          </w:rPr>
          <w:t>https://www.gov.scot/publications/works-prevent-youth-violence-summary-evidence/documents/</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B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SAMHSA’s Concept of Trauma and Guidance for a Trauma-Informed Approach (2014)</w:t>
      </w:r>
      <w:hyperlink r:id="rId95">
        <w:r w:rsidRPr="00FA52D0">
          <w:rPr>
            <w:rFonts w:asciiTheme="majorHAnsi" w:hAnsiTheme="majorHAnsi" w:cstheme="majorHAnsi"/>
            <w:color w:val="000000" w:themeColor="text1"/>
            <w:sz w:val="24"/>
            <w:szCs w:val="24"/>
          </w:rPr>
          <w:t xml:space="preserve"> </w:t>
        </w:r>
      </w:hyperlink>
      <w:hyperlink r:id="rId96">
        <w:r w:rsidRPr="00FA52D0">
          <w:rPr>
            <w:rFonts w:asciiTheme="majorHAnsi" w:hAnsiTheme="majorHAnsi" w:cstheme="majorHAnsi"/>
            <w:color w:val="000000" w:themeColor="text1"/>
            <w:sz w:val="24"/>
            <w:szCs w:val="24"/>
            <w:u w:val="single"/>
          </w:rPr>
          <w:t>SAMHSA's Concept of Trauma and Guidance for a Trauma-Informed Approach (hhs.gov)</w:t>
        </w:r>
      </w:hyperlink>
      <w:r w:rsidRPr="00FA52D0">
        <w:rPr>
          <w:rFonts w:asciiTheme="majorHAnsi" w:hAnsiTheme="majorHAnsi" w:cstheme="majorHAnsi"/>
          <w:color w:val="000000" w:themeColor="text1"/>
          <w:sz w:val="24"/>
          <w:szCs w:val="24"/>
        </w:rPr>
        <w:t xml:space="preserve"> Accessed April 19</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2024</w:t>
      </w:r>
    </w:p>
    <w:p w14:paraId="000000B1"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Stanford M, Early Intervention Foundation (2023) The Supporting Families Programme A rapid evidence review supporting-families-programme-rapid-evidence-review.pdf What Works for Early Intervention and Children's Social Care 2023.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w:t>
      </w:r>
      <w:proofErr w:type="gramStart"/>
      <w:r w:rsidRPr="00FA52D0">
        <w:rPr>
          <w:rFonts w:asciiTheme="majorHAnsi" w:hAnsiTheme="majorHAnsi" w:cstheme="majorHAnsi"/>
          <w:color w:val="000000" w:themeColor="text1"/>
          <w:sz w:val="24"/>
          <w:szCs w:val="24"/>
        </w:rPr>
        <w:t>2014</w:t>
      </w:r>
      <w:proofErr w:type="gramEnd"/>
    </w:p>
    <w:p w14:paraId="000000B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br/>
      </w:r>
    </w:p>
    <w:p w14:paraId="000000B3" w14:textId="77777777" w:rsidR="00D67561" w:rsidRPr="00FA52D0" w:rsidRDefault="00D67561">
      <w:pPr>
        <w:rPr>
          <w:rFonts w:asciiTheme="majorHAnsi" w:hAnsiTheme="majorHAnsi" w:cstheme="majorHAnsi"/>
          <w:color w:val="000000" w:themeColor="text1"/>
          <w:sz w:val="24"/>
          <w:szCs w:val="24"/>
        </w:rPr>
      </w:pPr>
    </w:p>
    <w:p w14:paraId="000000B4" w14:textId="77777777" w:rsidR="00D67561" w:rsidRPr="00FA52D0" w:rsidRDefault="00D67561">
      <w:pPr>
        <w:rPr>
          <w:rFonts w:asciiTheme="majorHAnsi" w:hAnsiTheme="majorHAnsi" w:cstheme="majorHAnsi"/>
          <w:color w:val="000000" w:themeColor="text1"/>
          <w:sz w:val="24"/>
          <w:szCs w:val="24"/>
        </w:rPr>
      </w:pPr>
    </w:p>
    <w:p w14:paraId="000000B5" w14:textId="77777777" w:rsidR="00D67561" w:rsidRPr="00FA52D0" w:rsidRDefault="00D67561">
      <w:pPr>
        <w:rPr>
          <w:rFonts w:asciiTheme="majorHAnsi" w:hAnsiTheme="majorHAnsi" w:cstheme="majorHAnsi"/>
          <w:color w:val="000000" w:themeColor="text1"/>
          <w:sz w:val="24"/>
          <w:szCs w:val="24"/>
        </w:rPr>
      </w:pPr>
    </w:p>
    <w:p w14:paraId="000000B6" w14:textId="77777777" w:rsidR="00D67561" w:rsidRPr="00FA52D0" w:rsidRDefault="00D67561">
      <w:pPr>
        <w:rPr>
          <w:rFonts w:asciiTheme="majorHAnsi" w:hAnsiTheme="majorHAnsi" w:cstheme="majorHAnsi"/>
          <w:color w:val="000000" w:themeColor="text1"/>
          <w:sz w:val="24"/>
          <w:szCs w:val="24"/>
        </w:rPr>
      </w:pPr>
    </w:p>
    <w:p w14:paraId="000000B7" w14:textId="77777777" w:rsidR="00D67561" w:rsidRPr="00FA52D0" w:rsidRDefault="00D67561">
      <w:pPr>
        <w:rPr>
          <w:rFonts w:asciiTheme="majorHAnsi" w:hAnsiTheme="majorHAnsi" w:cstheme="majorHAnsi"/>
          <w:color w:val="000000" w:themeColor="text1"/>
          <w:sz w:val="24"/>
          <w:szCs w:val="24"/>
        </w:rPr>
      </w:pPr>
    </w:p>
    <w:p w14:paraId="000000B8" w14:textId="77777777" w:rsidR="00D67561" w:rsidRPr="00FA52D0" w:rsidRDefault="00D67561">
      <w:pPr>
        <w:rPr>
          <w:rFonts w:asciiTheme="majorHAnsi" w:hAnsiTheme="majorHAnsi" w:cstheme="majorHAnsi"/>
          <w:color w:val="000000" w:themeColor="text1"/>
          <w:sz w:val="24"/>
          <w:szCs w:val="24"/>
        </w:rPr>
      </w:pPr>
    </w:p>
    <w:p w14:paraId="000000B9" w14:textId="77777777" w:rsidR="00D67561" w:rsidRPr="00FA52D0" w:rsidRDefault="00D67561">
      <w:pPr>
        <w:rPr>
          <w:rFonts w:asciiTheme="majorHAnsi" w:hAnsiTheme="majorHAnsi" w:cstheme="majorHAnsi"/>
          <w:color w:val="000000" w:themeColor="text1"/>
          <w:sz w:val="24"/>
          <w:szCs w:val="24"/>
        </w:rPr>
      </w:pPr>
    </w:p>
    <w:p w14:paraId="000000BA" w14:textId="77777777" w:rsidR="00D67561" w:rsidRPr="00FA52D0" w:rsidRDefault="00D67561">
      <w:pPr>
        <w:rPr>
          <w:rFonts w:asciiTheme="majorHAnsi" w:hAnsiTheme="majorHAnsi" w:cstheme="majorHAnsi"/>
          <w:color w:val="000000" w:themeColor="text1"/>
          <w:sz w:val="24"/>
          <w:szCs w:val="24"/>
        </w:rPr>
      </w:pPr>
    </w:p>
    <w:p w14:paraId="000000BB" w14:textId="77777777" w:rsidR="00D67561" w:rsidRPr="00FA52D0" w:rsidRDefault="00D67561">
      <w:pPr>
        <w:rPr>
          <w:rFonts w:asciiTheme="majorHAnsi" w:hAnsiTheme="majorHAnsi" w:cstheme="majorHAnsi"/>
          <w:color w:val="000000" w:themeColor="text1"/>
          <w:sz w:val="24"/>
          <w:szCs w:val="24"/>
        </w:rPr>
      </w:pPr>
    </w:p>
    <w:p w14:paraId="000000BC" w14:textId="77777777" w:rsidR="00D67561" w:rsidRPr="00FA52D0" w:rsidRDefault="00D67561">
      <w:pPr>
        <w:rPr>
          <w:rFonts w:asciiTheme="majorHAnsi" w:hAnsiTheme="majorHAnsi" w:cstheme="majorHAnsi"/>
          <w:color w:val="000000" w:themeColor="text1"/>
          <w:sz w:val="24"/>
          <w:szCs w:val="24"/>
        </w:rPr>
      </w:pPr>
    </w:p>
    <w:p w14:paraId="000000BD" w14:textId="77777777" w:rsidR="00D67561" w:rsidRPr="00FA52D0" w:rsidRDefault="00D67561">
      <w:pPr>
        <w:rPr>
          <w:rFonts w:asciiTheme="majorHAnsi" w:hAnsiTheme="majorHAnsi" w:cstheme="majorHAnsi"/>
          <w:color w:val="000000" w:themeColor="text1"/>
          <w:sz w:val="24"/>
          <w:szCs w:val="24"/>
        </w:rPr>
      </w:pPr>
    </w:p>
    <w:p w14:paraId="000000BE" w14:textId="77777777" w:rsidR="00D67561" w:rsidRPr="00FA52D0" w:rsidRDefault="00D67561">
      <w:pPr>
        <w:rPr>
          <w:rFonts w:asciiTheme="majorHAnsi" w:hAnsiTheme="majorHAnsi" w:cstheme="majorHAnsi"/>
          <w:color w:val="000000" w:themeColor="text1"/>
          <w:sz w:val="24"/>
          <w:szCs w:val="24"/>
        </w:rPr>
      </w:pPr>
    </w:p>
    <w:p w14:paraId="000000BF" w14:textId="77777777" w:rsidR="00D67561" w:rsidRPr="00FA52D0" w:rsidRDefault="00D67561">
      <w:pPr>
        <w:rPr>
          <w:rFonts w:asciiTheme="majorHAnsi" w:hAnsiTheme="majorHAnsi" w:cstheme="majorHAnsi"/>
          <w:color w:val="000000" w:themeColor="text1"/>
          <w:sz w:val="24"/>
          <w:szCs w:val="24"/>
        </w:rPr>
      </w:pPr>
    </w:p>
    <w:p w14:paraId="000000C0" w14:textId="77777777" w:rsidR="00D67561" w:rsidRPr="00FA52D0" w:rsidRDefault="00D67561">
      <w:pPr>
        <w:rPr>
          <w:rFonts w:asciiTheme="majorHAnsi" w:hAnsiTheme="majorHAnsi" w:cstheme="majorHAnsi"/>
          <w:color w:val="000000" w:themeColor="text1"/>
          <w:sz w:val="24"/>
          <w:szCs w:val="24"/>
        </w:rPr>
      </w:pPr>
    </w:p>
    <w:p w14:paraId="000000C1" w14:textId="77777777" w:rsidR="00D67561" w:rsidRPr="00FA52D0" w:rsidRDefault="00D67561">
      <w:pPr>
        <w:rPr>
          <w:rFonts w:asciiTheme="majorHAnsi" w:hAnsiTheme="majorHAnsi" w:cstheme="majorHAnsi"/>
          <w:color w:val="000000" w:themeColor="text1"/>
          <w:sz w:val="24"/>
          <w:szCs w:val="24"/>
        </w:rPr>
      </w:pPr>
    </w:p>
    <w:p w14:paraId="000000C2" w14:textId="77777777" w:rsidR="00D67561" w:rsidRPr="00FA52D0" w:rsidRDefault="00D67561">
      <w:pPr>
        <w:rPr>
          <w:rFonts w:asciiTheme="majorHAnsi" w:hAnsiTheme="majorHAnsi" w:cstheme="majorHAnsi"/>
          <w:color w:val="000000" w:themeColor="text1"/>
          <w:sz w:val="24"/>
          <w:szCs w:val="24"/>
        </w:rPr>
      </w:pPr>
    </w:p>
    <w:p w14:paraId="000000C3" w14:textId="77777777" w:rsidR="00D67561" w:rsidRPr="00FA52D0" w:rsidRDefault="00D67561">
      <w:pPr>
        <w:rPr>
          <w:rFonts w:asciiTheme="majorHAnsi" w:hAnsiTheme="majorHAnsi" w:cstheme="majorHAnsi"/>
          <w:color w:val="000000" w:themeColor="text1"/>
          <w:sz w:val="24"/>
          <w:szCs w:val="24"/>
        </w:rPr>
      </w:pPr>
    </w:p>
    <w:p w14:paraId="000000C4" w14:textId="77777777" w:rsidR="00D67561" w:rsidRPr="00FA52D0" w:rsidRDefault="00D67561">
      <w:pPr>
        <w:rPr>
          <w:rFonts w:asciiTheme="majorHAnsi" w:hAnsiTheme="majorHAnsi" w:cstheme="majorHAnsi"/>
          <w:color w:val="000000" w:themeColor="text1"/>
          <w:sz w:val="24"/>
          <w:szCs w:val="24"/>
        </w:rPr>
      </w:pPr>
    </w:p>
    <w:p w14:paraId="000000C5" w14:textId="77777777" w:rsidR="00D67561" w:rsidRPr="00FA52D0" w:rsidRDefault="00D67561">
      <w:pPr>
        <w:rPr>
          <w:rFonts w:asciiTheme="majorHAnsi" w:hAnsiTheme="majorHAnsi" w:cstheme="majorHAnsi"/>
          <w:color w:val="000000" w:themeColor="text1"/>
          <w:sz w:val="24"/>
          <w:szCs w:val="24"/>
        </w:rPr>
      </w:pPr>
    </w:p>
    <w:p w14:paraId="000000C6" w14:textId="77777777" w:rsidR="00D67561" w:rsidRPr="00FA52D0" w:rsidRDefault="00D67561">
      <w:pPr>
        <w:rPr>
          <w:rFonts w:asciiTheme="majorHAnsi" w:hAnsiTheme="majorHAnsi" w:cstheme="majorHAnsi"/>
          <w:color w:val="000000" w:themeColor="text1"/>
          <w:sz w:val="24"/>
          <w:szCs w:val="24"/>
        </w:rPr>
      </w:pPr>
    </w:p>
    <w:p w14:paraId="000000C7" w14:textId="77777777" w:rsidR="00D67561" w:rsidRPr="00FA52D0" w:rsidRDefault="00D67561">
      <w:pPr>
        <w:rPr>
          <w:rFonts w:asciiTheme="majorHAnsi" w:hAnsiTheme="majorHAnsi" w:cstheme="majorHAnsi"/>
          <w:color w:val="000000" w:themeColor="text1"/>
          <w:sz w:val="24"/>
          <w:szCs w:val="24"/>
        </w:rPr>
      </w:pPr>
    </w:p>
    <w:p w14:paraId="000000C8" w14:textId="77777777" w:rsidR="00D67561" w:rsidRPr="00FA52D0" w:rsidRDefault="00D67561">
      <w:pPr>
        <w:rPr>
          <w:rFonts w:asciiTheme="majorHAnsi" w:hAnsiTheme="majorHAnsi" w:cstheme="majorHAnsi"/>
          <w:color w:val="000000" w:themeColor="text1"/>
          <w:sz w:val="24"/>
          <w:szCs w:val="24"/>
        </w:rPr>
      </w:pPr>
    </w:p>
    <w:p w14:paraId="289AAF03" w14:textId="77777777" w:rsidR="00FA52D0" w:rsidRDefault="00FA52D0">
      <w:pPr>
        <w:spacing w:before="240" w:after="240"/>
        <w:rPr>
          <w:rFonts w:asciiTheme="majorHAnsi" w:hAnsiTheme="majorHAnsi" w:cstheme="majorHAnsi"/>
          <w:color w:val="000000" w:themeColor="text1"/>
          <w:sz w:val="24"/>
          <w:szCs w:val="24"/>
        </w:rPr>
      </w:pPr>
    </w:p>
    <w:p w14:paraId="000000CE" w14:textId="541AF0F4"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Essay four – Valuing Difference &amp; Inclusion</w:t>
      </w:r>
    </w:p>
    <w:p w14:paraId="000000C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How effectively has policing adapted to accommodate diversity within the UK?</w:t>
      </w:r>
    </w:p>
    <w:p w14:paraId="000000D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Consider the police force itself and/or the way police engage with diverse communities.</w:t>
      </w:r>
    </w:p>
    <w:p w14:paraId="000000D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There is increasing recognition of the importance of a modern police service being able to adapt to accommodate the expanding diversity of the population within the United Kingdom (UK). Indeed, the prediction following research undertaken by the College of Policing (2023) indicates that growing inequality and social fragmentation will continue to widen the socioeconomic gap between individuals and communities exacerbating existing challenges in effectively policing a diverse community (McKnight 2017). It can be argued that if the aspiration of the police service to continue to ‘police by consent’ is to be maintained then action must be taken. The police service has responded and continues to respond to this challenge in </w:t>
      </w:r>
      <w:proofErr w:type="gramStart"/>
      <w:r w:rsidRPr="00FA52D0">
        <w:rPr>
          <w:rFonts w:asciiTheme="majorHAnsi" w:hAnsiTheme="majorHAnsi" w:cstheme="majorHAnsi"/>
          <w:color w:val="000000" w:themeColor="text1"/>
          <w:sz w:val="24"/>
          <w:szCs w:val="24"/>
        </w:rPr>
        <w:t>a number of</w:t>
      </w:r>
      <w:proofErr w:type="gramEnd"/>
      <w:r w:rsidRPr="00FA52D0">
        <w:rPr>
          <w:rFonts w:asciiTheme="majorHAnsi" w:hAnsiTheme="majorHAnsi" w:cstheme="majorHAnsi"/>
          <w:color w:val="000000" w:themeColor="text1"/>
          <w:sz w:val="24"/>
          <w:szCs w:val="24"/>
        </w:rPr>
        <w:t xml:space="preserve"> ways. Firstly, from a strategic perspective by harnessing current research to identify the specific challenge it faces and the scale of that challenge (Durham University 2019). The police service has recognised equality, diversity and inclusion competencies are fundamental to effective policing and must be integral to the way all police officers work. As such this is reflected in the recruitment requirements and the continuing professional development expected of all police officers (College of Policing 2020). One of the key aspirations of the police service is to be representative of the community it serves. This is supported </w:t>
      </w:r>
      <w:proofErr w:type="gramStart"/>
      <w:r w:rsidRPr="00FA52D0">
        <w:rPr>
          <w:rFonts w:asciiTheme="majorHAnsi" w:hAnsiTheme="majorHAnsi" w:cstheme="majorHAnsi"/>
          <w:color w:val="000000" w:themeColor="text1"/>
          <w:sz w:val="24"/>
          <w:szCs w:val="24"/>
        </w:rPr>
        <w:t>in particular at</w:t>
      </w:r>
      <w:proofErr w:type="gramEnd"/>
      <w:r w:rsidRPr="00FA52D0">
        <w:rPr>
          <w:rFonts w:asciiTheme="majorHAnsi" w:hAnsiTheme="majorHAnsi" w:cstheme="majorHAnsi"/>
          <w:color w:val="000000" w:themeColor="text1"/>
          <w:sz w:val="24"/>
          <w:szCs w:val="24"/>
        </w:rPr>
        <w:t xml:space="preserve"> UK level by the Lammy Review (2017) in relation to eliminating racial inequality within the criminal justice system. Despite policing in Wales not being a devolved responsibility the Welsh Government has taken explicit action to enable this. Notably, the Anti Racist Action Plan for Wales states they will:</w:t>
      </w:r>
    </w:p>
    <w:p w14:paraId="000000D4" w14:textId="77777777" w:rsidR="00D67561" w:rsidRPr="00FA52D0" w:rsidRDefault="00000000">
      <w:pPr>
        <w:spacing w:before="240" w:after="240"/>
        <w:ind w:left="72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“Encourage broader positive action to recruit more ethnic minority personnel across the police forces in Wales and at all different levels”.</w:t>
      </w:r>
    </w:p>
    <w:p w14:paraId="000000D5" w14:textId="77777777" w:rsidR="00D67561" w:rsidRPr="00FA52D0" w:rsidRDefault="00000000">
      <w:pPr>
        <w:spacing w:before="240" w:after="240"/>
        <w:ind w:left="4320" w:firstLine="72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(Welsh Government 2022 p </w:t>
      </w:r>
      <w:proofErr w:type="gramStart"/>
      <w:r w:rsidRPr="00FA52D0">
        <w:rPr>
          <w:rFonts w:asciiTheme="majorHAnsi" w:hAnsiTheme="majorHAnsi" w:cstheme="majorHAnsi"/>
          <w:color w:val="000000" w:themeColor="text1"/>
          <w:sz w:val="24"/>
          <w:szCs w:val="24"/>
        </w:rPr>
        <w:t>216 )</w:t>
      </w:r>
      <w:proofErr w:type="gramEnd"/>
    </w:p>
    <w:p w14:paraId="000000D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This approach seeks to ensure that the police service is better prepared to identify with and understand a diverse community </w:t>
      </w:r>
      <w:proofErr w:type="gramStart"/>
      <w:r w:rsidRPr="00FA52D0">
        <w:rPr>
          <w:rFonts w:asciiTheme="majorHAnsi" w:hAnsiTheme="majorHAnsi" w:cstheme="majorHAnsi"/>
          <w:color w:val="000000" w:themeColor="text1"/>
          <w:sz w:val="24"/>
          <w:szCs w:val="24"/>
        </w:rPr>
        <w:t>and also</w:t>
      </w:r>
      <w:proofErr w:type="gramEnd"/>
      <w:r w:rsidRPr="00FA52D0">
        <w:rPr>
          <w:rFonts w:asciiTheme="majorHAnsi" w:hAnsiTheme="majorHAnsi" w:cstheme="majorHAnsi"/>
          <w:color w:val="000000" w:themeColor="text1"/>
          <w:sz w:val="24"/>
          <w:szCs w:val="24"/>
        </w:rPr>
        <w:t xml:space="preserve"> has the potential to attract and recruit a more diverse workforce. It is also cognizant of the broader evidence that suggests diverse work teams have the potential to make better decisions (McKinsey 2020).</w:t>
      </w:r>
    </w:p>
    <w:p w14:paraId="000000D7"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How effectively has policing adapted to accommodate diversity within the UK? Certainly, as previously stated there is more acknowledgement than ever that equality, diversity, and inclusion are an important part of an effective police service. This is reflected in its inclusion in its policy and approach at all levels. One could argue that from a </w:t>
      </w:r>
      <w:proofErr w:type="gramStart"/>
      <w:r w:rsidRPr="00FA52D0">
        <w:rPr>
          <w:rFonts w:asciiTheme="majorHAnsi" w:hAnsiTheme="majorHAnsi" w:cstheme="majorHAnsi"/>
          <w:color w:val="000000" w:themeColor="text1"/>
          <w:sz w:val="24"/>
          <w:szCs w:val="24"/>
        </w:rPr>
        <w:t>theoretical perspective steps</w:t>
      </w:r>
      <w:proofErr w:type="gramEnd"/>
      <w:r w:rsidRPr="00FA52D0">
        <w:rPr>
          <w:rFonts w:asciiTheme="majorHAnsi" w:hAnsiTheme="majorHAnsi" w:cstheme="majorHAnsi"/>
          <w:color w:val="000000" w:themeColor="text1"/>
          <w:sz w:val="24"/>
          <w:szCs w:val="24"/>
        </w:rPr>
        <w:t xml:space="preserve"> have been taken to accommodate diversity, however, at a practical level those steps have achieved various results in terms of impact and outcomes. One such approach is the ‘community policing’ model (</w:t>
      </w:r>
      <w:proofErr w:type="spellStart"/>
      <w:r w:rsidRPr="00FA52D0">
        <w:rPr>
          <w:rFonts w:asciiTheme="majorHAnsi" w:hAnsiTheme="majorHAnsi" w:cstheme="majorHAnsi"/>
          <w:color w:val="000000" w:themeColor="text1"/>
          <w:sz w:val="24"/>
          <w:szCs w:val="24"/>
        </w:rPr>
        <w:t>Signori</w:t>
      </w:r>
      <w:proofErr w:type="spellEnd"/>
      <w:r w:rsidRPr="00FA52D0">
        <w:rPr>
          <w:rFonts w:asciiTheme="majorHAnsi" w:hAnsiTheme="majorHAnsi" w:cstheme="majorHAnsi"/>
          <w:color w:val="000000" w:themeColor="text1"/>
          <w:sz w:val="24"/>
          <w:szCs w:val="24"/>
        </w:rPr>
        <w:t xml:space="preserve"> 2023). It is suggested that that this approach facilitates </w:t>
      </w:r>
      <w:r w:rsidRPr="00FA52D0">
        <w:rPr>
          <w:rFonts w:asciiTheme="majorHAnsi" w:hAnsiTheme="majorHAnsi" w:cstheme="majorHAnsi"/>
          <w:color w:val="000000" w:themeColor="text1"/>
          <w:sz w:val="24"/>
          <w:szCs w:val="24"/>
        </w:rPr>
        <w:lastRenderedPageBreak/>
        <w:t>engagement with the community. Research by Bullock &amp; Johnson (2017) however, demonstrate the</w:t>
      </w:r>
    </w:p>
    <w:p w14:paraId="000000D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constraints that hinder the police from effective engagement with the Muslim community. </w:t>
      </w:r>
      <w:proofErr w:type="gramStart"/>
      <w:r w:rsidRPr="00FA52D0">
        <w:rPr>
          <w:rFonts w:asciiTheme="majorHAnsi" w:hAnsiTheme="majorHAnsi" w:cstheme="majorHAnsi"/>
          <w:color w:val="000000" w:themeColor="text1"/>
          <w:sz w:val="24"/>
          <w:szCs w:val="24"/>
        </w:rPr>
        <w:t>A number of</w:t>
      </w:r>
      <w:proofErr w:type="gramEnd"/>
      <w:r w:rsidRPr="00FA52D0">
        <w:rPr>
          <w:rFonts w:asciiTheme="majorHAnsi" w:hAnsiTheme="majorHAnsi" w:cstheme="majorHAnsi"/>
          <w:color w:val="000000" w:themeColor="text1"/>
          <w:sz w:val="24"/>
          <w:szCs w:val="24"/>
        </w:rPr>
        <w:t xml:space="preserve"> barriers were identified including a view from police officers participating in the study that they are tainted by the description of the police service in the Macpherson Report (1999) that the police are institutionally racist. There is a lack of trust by the Muslim community who feel they are victimised and unfairly treated. It is suggested that this has been made worse by the British Counter terrorism approach of the ‘Prevent’ agenda (HM Government 2011). This has led Muslim communities to believe they are being spied upon and are expected to report on the activities of their family and friends. Although some progress has been made, it remains clear that there are still barriers to effective engagement, not least the fear of officers that they will be labelled racist if they get something </w:t>
      </w:r>
      <w:proofErr w:type="gramStart"/>
      <w:r w:rsidRPr="00FA52D0">
        <w:rPr>
          <w:rFonts w:asciiTheme="majorHAnsi" w:hAnsiTheme="majorHAnsi" w:cstheme="majorHAnsi"/>
          <w:color w:val="000000" w:themeColor="text1"/>
          <w:sz w:val="24"/>
          <w:szCs w:val="24"/>
        </w:rPr>
        <w:t>wrong .</w:t>
      </w:r>
      <w:proofErr w:type="gramEnd"/>
      <w:r w:rsidRPr="00FA52D0">
        <w:rPr>
          <w:rFonts w:asciiTheme="majorHAnsi" w:hAnsiTheme="majorHAnsi" w:cstheme="majorHAnsi"/>
          <w:color w:val="000000" w:themeColor="text1"/>
          <w:sz w:val="24"/>
          <w:szCs w:val="24"/>
        </w:rPr>
        <w:t xml:space="preserve"> The study recommends that officers should be:</w:t>
      </w:r>
    </w:p>
    <w:p w14:paraId="000000D9" w14:textId="77777777" w:rsidR="00D67561" w:rsidRPr="00FA52D0" w:rsidRDefault="00000000">
      <w:pPr>
        <w:spacing w:before="240" w:after="240"/>
        <w:ind w:left="72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“Encouraged not to feel ‘frightened’ of showing Muslim communities that they lack awareness of community specific issues and that they are open and willing to </w:t>
      </w:r>
      <w:proofErr w:type="gramStart"/>
      <w:r w:rsidRPr="00FA52D0">
        <w:rPr>
          <w:rFonts w:asciiTheme="majorHAnsi" w:hAnsiTheme="majorHAnsi" w:cstheme="majorHAnsi"/>
          <w:color w:val="000000" w:themeColor="text1"/>
          <w:sz w:val="24"/>
          <w:szCs w:val="24"/>
        </w:rPr>
        <w:t>learn”</w:t>
      </w:r>
      <w:proofErr w:type="gramEnd"/>
    </w:p>
    <w:p w14:paraId="000000DA" w14:textId="77777777" w:rsidR="00D67561" w:rsidRPr="00FA52D0" w:rsidRDefault="00000000">
      <w:pPr>
        <w:spacing w:before="240" w:after="240"/>
        <w:ind w:left="576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Bullock &amp; Johnson (2017)</w:t>
      </w:r>
    </w:p>
    <w:p w14:paraId="000000D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A review of the Macpherson Report (Home Office: 2021) highlighted that despite some progress in the policing of racist crimes, some good examples of community policing and commitments made to promoting equality and diversity there remains </w:t>
      </w:r>
      <w:proofErr w:type="gramStart"/>
      <w:r w:rsidRPr="00FA52D0">
        <w:rPr>
          <w:rFonts w:asciiTheme="majorHAnsi" w:hAnsiTheme="majorHAnsi" w:cstheme="majorHAnsi"/>
          <w:color w:val="000000" w:themeColor="text1"/>
          <w:sz w:val="24"/>
          <w:szCs w:val="24"/>
        </w:rPr>
        <w:t>a number of</w:t>
      </w:r>
      <w:proofErr w:type="gramEnd"/>
      <w:r w:rsidRPr="00FA52D0">
        <w:rPr>
          <w:rFonts w:asciiTheme="majorHAnsi" w:hAnsiTheme="majorHAnsi" w:cstheme="majorHAnsi"/>
          <w:color w:val="000000" w:themeColor="text1"/>
          <w:sz w:val="24"/>
          <w:szCs w:val="24"/>
        </w:rPr>
        <w:t xml:space="preserve"> areas where insufficient progress has been made against a number of recommendations. The Inquiry identified:</w:t>
      </w:r>
    </w:p>
    <w:p w14:paraId="000000DC" w14:textId="77777777" w:rsidR="00D67561" w:rsidRPr="00FA52D0" w:rsidRDefault="00000000">
      <w:pPr>
        <w:spacing w:before="240" w:after="240"/>
        <w:ind w:left="72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w:t>
      </w:r>
      <w:proofErr w:type="gramStart"/>
      <w:r w:rsidRPr="00FA52D0">
        <w:rPr>
          <w:rFonts w:asciiTheme="majorHAnsi" w:hAnsiTheme="majorHAnsi" w:cstheme="majorHAnsi"/>
          <w:color w:val="000000" w:themeColor="text1"/>
          <w:sz w:val="24"/>
          <w:szCs w:val="24"/>
        </w:rPr>
        <w:t>….persistent</w:t>
      </w:r>
      <w:proofErr w:type="gramEnd"/>
      <w:r w:rsidRPr="00FA52D0">
        <w:rPr>
          <w:rFonts w:asciiTheme="majorHAnsi" w:hAnsiTheme="majorHAnsi" w:cstheme="majorHAnsi"/>
          <w:color w:val="000000" w:themeColor="text1"/>
          <w:sz w:val="24"/>
          <w:szCs w:val="24"/>
        </w:rPr>
        <w:t>, deep rooted and unjustified racial disparities in key areas including a confidence gap for BME [Black and minority ethnic] communities, lack of progress on BME recruitment, problems in misconduct proceedings and unjustified racial disparities in stop and search. In those areas, we propose urgent action.”</w:t>
      </w:r>
      <w:r w:rsidRPr="00FA52D0">
        <w:rPr>
          <w:rFonts w:asciiTheme="majorHAnsi" w:hAnsiTheme="majorHAnsi" w:cstheme="majorHAnsi"/>
          <w:color w:val="000000" w:themeColor="text1"/>
          <w:sz w:val="24"/>
          <w:szCs w:val="24"/>
        </w:rPr>
        <w:tab/>
      </w:r>
      <w:r w:rsidRPr="00FA52D0">
        <w:rPr>
          <w:rFonts w:asciiTheme="majorHAnsi" w:hAnsiTheme="majorHAnsi" w:cstheme="majorHAnsi"/>
          <w:color w:val="000000" w:themeColor="text1"/>
          <w:sz w:val="24"/>
          <w:szCs w:val="24"/>
        </w:rPr>
        <w:tab/>
      </w:r>
    </w:p>
    <w:p w14:paraId="000000DD" w14:textId="77777777" w:rsidR="00D67561" w:rsidRPr="00FA52D0" w:rsidRDefault="00000000">
      <w:pPr>
        <w:spacing w:before="240" w:after="240"/>
        <w:ind w:left="4320" w:firstLine="72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Home Affairs Committee (2021)</w:t>
      </w:r>
    </w:p>
    <w:p w14:paraId="000000DE"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The National Chief Police Council (2021) concur with this highlighting via the ‘use of force’ statistics that black people are seven times more likely to be stopped and searched than white people and five times more likely to subject to use of force (Home Office 2021) They also draw attention to internal workforce issues within the police that identifies the continued under representation of ethnic minority people and their over representation in relation to disciplinary procedures. It therefore could be suggested that there is considerable progress still to be made. The issue of race remains contentious, but it is important to note that diversity is much wider than this. The police service is subject to the Equality Act (2010) and as such must seek to take account of all the ‘protected characteristics’ </w:t>
      </w:r>
      <w:proofErr w:type="gramStart"/>
      <w:r w:rsidRPr="00FA52D0">
        <w:rPr>
          <w:rFonts w:asciiTheme="majorHAnsi" w:hAnsiTheme="majorHAnsi" w:cstheme="majorHAnsi"/>
          <w:color w:val="000000" w:themeColor="text1"/>
          <w:sz w:val="24"/>
          <w:szCs w:val="24"/>
        </w:rPr>
        <w:t>including;</w:t>
      </w:r>
      <w:proofErr w:type="gramEnd"/>
      <w:r w:rsidRPr="00FA52D0">
        <w:rPr>
          <w:rFonts w:asciiTheme="majorHAnsi" w:hAnsiTheme="majorHAnsi" w:cstheme="majorHAnsi"/>
          <w:color w:val="000000" w:themeColor="text1"/>
          <w:sz w:val="24"/>
          <w:szCs w:val="24"/>
        </w:rPr>
        <w:t xml:space="preserve"> age, gender reassignment, marriage and civil partnership, </w:t>
      </w:r>
      <w:r w:rsidRPr="00FA52D0">
        <w:rPr>
          <w:rFonts w:asciiTheme="majorHAnsi" w:hAnsiTheme="majorHAnsi" w:cstheme="majorHAnsi"/>
          <w:color w:val="000000" w:themeColor="text1"/>
          <w:sz w:val="24"/>
          <w:szCs w:val="24"/>
        </w:rPr>
        <w:lastRenderedPageBreak/>
        <w:t xml:space="preserve">pregnancy and maternity, race, religion or belief, sex and sexual orientation. Alexander (2024) used survey and interview data with female and male senior police leaders in England and Wales to identify the challenges experienced by women seeking promotion. The study shows that </w:t>
      </w:r>
      <w:proofErr w:type="gramStart"/>
      <w:r w:rsidRPr="00FA52D0">
        <w:rPr>
          <w:rFonts w:asciiTheme="majorHAnsi" w:hAnsiTheme="majorHAnsi" w:cstheme="majorHAnsi"/>
          <w:color w:val="000000" w:themeColor="text1"/>
          <w:sz w:val="24"/>
          <w:szCs w:val="24"/>
        </w:rPr>
        <w:t>female</w:t>
      </w:r>
      <w:proofErr w:type="gramEnd"/>
    </w:p>
    <w:p w14:paraId="000000D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officers are subject to more obstacles in achieving promotion compared to their male counterparts. These challenges </w:t>
      </w:r>
      <w:proofErr w:type="gramStart"/>
      <w:r w:rsidRPr="00FA52D0">
        <w:rPr>
          <w:rFonts w:asciiTheme="majorHAnsi" w:hAnsiTheme="majorHAnsi" w:cstheme="majorHAnsi"/>
          <w:color w:val="000000" w:themeColor="text1"/>
          <w:sz w:val="24"/>
          <w:szCs w:val="24"/>
        </w:rPr>
        <w:t>included;</w:t>
      </w:r>
      <w:proofErr w:type="gramEnd"/>
      <w:r w:rsidRPr="00FA52D0">
        <w:rPr>
          <w:rFonts w:asciiTheme="majorHAnsi" w:hAnsiTheme="majorHAnsi" w:cstheme="majorHAnsi"/>
          <w:color w:val="000000" w:themeColor="text1"/>
          <w:sz w:val="24"/>
          <w:szCs w:val="24"/>
        </w:rPr>
        <w:t xml:space="preserve"> ‘fitting in’ to a macho culture, receiving hostile comments, ’time served culture’ and impact on family and childcare due to a ‘long hours’ culture. From an internal perspective Lesbian, Gay, bisexual, Transgender and disabled police officers also report experiencing barriers and are less likely to disclose their status due to fear of it affecting career progression (CIPD 2019). Whilst the police service actively supports </w:t>
      </w:r>
      <w:proofErr w:type="gramStart"/>
      <w:r w:rsidRPr="00FA52D0">
        <w:rPr>
          <w:rFonts w:asciiTheme="majorHAnsi" w:hAnsiTheme="majorHAnsi" w:cstheme="majorHAnsi"/>
          <w:color w:val="000000" w:themeColor="text1"/>
          <w:sz w:val="24"/>
          <w:szCs w:val="24"/>
        </w:rPr>
        <w:t>a number of</w:t>
      </w:r>
      <w:proofErr w:type="gramEnd"/>
      <w:r w:rsidRPr="00FA52D0">
        <w:rPr>
          <w:rFonts w:asciiTheme="majorHAnsi" w:hAnsiTheme="majorHAnsi" w:cstheme="majorHAnsi"/>
          <w:color w:val="000000" w:themeColor="text1"/>
          <w:sz w:val="24"/>
          <w:szCs w:val="24"/>
        </w:rPr>
        <w:t xml:space="preserve"> staff network groups that reflect the protected characteristics it can be suggested that there is still an issue, if culturally, staff do not feel safe to disclose aspects of their equality data. The CIPD (2019) suggests that without good quality data, equality and diversity strategies put in place are likely to be flawed thus perpetuating the problem. Training in aspects of equality and diversity is only part of the solution. Research by Miller et al (2020) suggests that training is likely to be ineffective in changing behaviour if it is solely knowledge based and doesn’t sufficiently address attitude and behaviour. Overall, the current evidence base suggests that despite progress in some areas relating to the accommodation of diversity within the UK, the police service continues to fall short of its aspirations.</w:t>
      </w:r>
    </w:p>
    <w:p w14:paraId="000000E1" w14:textId="77777777" w:rsidR="00D67561" w:rsidRPr="00FA52D0" w:rsidRDefault="00D67561">
      <w:pPr>
        <w:spacing w:before="240" w:after="240"/>
        <w:rPr>
          <w:rFonts w:asciiTheme="majorHAnsi" w:hAnsiTheme="majorHAnsi" w:cstheme="majorHAnsi"/>
          <w:b/>
          <w:color w:val="000000" w:themeColor="text1"/>
          <w:sz w:val="24"/>
          <w:szCs w:val="24"/>
        </w:rPr>
      </w:pPr>
    </w:p>
    <w:p w14:paraId="000000E2" w14:textId="77777777" w:rsidR="00D67561" w:rsidRPr="00FA52D0" w:rsidRDefault="00D67561">
      <w:pPr>
        <w:spacing w:before="240" w:after="240"/>
        <w:rPr>
          <w:rFonts w:asciiTheme="majorHAnsi" w:hAnsiTheme="majorHAnsi" w:cstheme="majorHAnsi"/>
          <w:b/>
          <w:color w:val="000000" w:themeColor="text1"/>
          <w:sz w:val="24"/>
          <w:szCs w:val="24"/>
        </w:rPr>
      </w:pPr>
    </w:p>
    <w:p w14:paraId="000000E3" w14:textId="77777777" w:rsidR="00D67561" w:rsidRPr="00FA52D0" w:rsidRDefault="00D67561">
      <w:pPr>
        <w:spacing w:before="240" w:after="240"/>
        <w:rPr>
          <w:rFonts w:asciiTheme="majorHAnsi" w:hAnsiTheme="majorHAnsi" w:cstheme="majorHAnsi"/>
          <w:b/>
          <w:color w:val="000000" w:themeColor="text1"/>
          <w:sz w:val="24"/>
          <w:szCs w:val="24"/>
        </w:rPr>
      </w:pPr>
    </w:p>
    <w:p w14:paraId="000000E4" w14:textId="77777777" w:rsidR="00D67561" w:rsidRPr="00FA52D0" w:rsidRDefault="00D67561">
      <w:pPr>
        <w:spacing w:before="240" w:after="240"/>
        <w:rPr>
          <w:rFonts w:asciiTheme="majorHAnsi" w:hAnsiTheme="majorHAnsi" w:cstheme="majorHAnsi"/>
          <w:b/>
          <w:color w:val="000000" w:themeColor="text1"/>
          <w:sz w:val="24"/>
          <w:szCs w:val="24"/>
        </w:rPr>
      </w:pPr>
    </w:p>
    <w:p w14:paraId="000000E5" w14:textId="77777777" w:rsidR="00D67561" w:rsidRPr="00FA52D0" w:rsidRDefault="00D67561">
      <w:pPr>
        <w:spacing w:before="240" w:after="240"/>
        <w:rPr>
          <w:rFonts w:asciiTheme="majorHAnsi" w:hAnsiTheme="majorHAnsi" w:cstheme="majorHAnsi"/>
          <w:b/>
          <w:color w:val="000000" w:themeColor="text1"/>
          <w:sz w:val="24"/>
          <w:szCs w:val="24"/>
        </w:rPr>
      </w:pPr>
    </w:p>
    <w:p w14:paraId="000000E6" w14:textId="77777777" w:rsidR="00D67561" w:rsidRPr="00FA52D0" w:rsidRDefault="00D67561">
      <w:pPr>
        <w:spacing w:before="240" w:after="240"/>
        <w:rPr>
          <w:rFonts w:asciiTheme="majorHAnsi" w:hAnsiTheme="majorHAnsi" w:cstheme="majorHAnsi"/>
          <w:b/>
          <w:color w:val="000000" w:themeColor="text1"/>
          <w:sz w:val="24"/>
          <w:szCs w:val="24"/>
        </w:rPr>
      </w:pPr>
    </w:p>
    <w:p w14:paraId="000000E7" w14:textId="77777777" w:rsidR="00D67561" w:rsidRPr="00FA52D0" w:rsidRDefault="00D67561">
      <w:pPr>
        <w:spacing w:before="240" w:after="240"/>
        <w:rPr>
          <w:rFonts w:asciiTheme="majorHAnsi" w:hAnsiTheme="majorHAnsi" w:cstheme="majorHAnsi"/>
          <w:b/>
          <w:color w:val="000000" w:themeColor="text1"/>
          <w:sz w:val="24"/>
          <w:szCs w:val="24"/>
        </w:rPr>
      </w:pPr>
    </w:p>
    <w:p w14:paraId="000000E8" w14:textId="77777777" w:rsidR="00D67561" w:rsidRPr="00FA52D0" w:rsidRDefault="00D67561">
      <w:pPr>
        <w:spacing w:before="240" w:after="240"/>
        <w:rPr>
          <w:rFonts w:asciiTheme="majorHAnsi" w:hAnsiTheme="majorHAnsi" w:cstheme="majorHAnsi"/>
          <w:b/>
          <w:color w:val="000000" w:themeColor="text1"/>
          <w:sz w:val="24"/>
          <w:szCs w:val="24"/>
        </w:rPr>
      </w:pPr>
    </w:p>
    <w:p w14:paraId="000000E9" w14:textId="77777777" w:rsidR="00D67561" w:rsidRPr="00FA52D0" w:rsidRDefault="00D67561">
      <w:pPr>
        <w:spacing w:before="240" w:after="240"/>
        <w:rPr>
          <w:rFonts w:asciiTheme="majorHAnsi" w:hAnsiTheme="majorHAnsi" w:cstheme="majorHAnsi"/>
          <w:b/>
          <w:color w:val="000000" w:themeColor="text1"/>
          <w:sz w:val="24"/>
          <w:szCs w:val="24"/>
        </w:rPr>
      </w:pPr>
    </w:p>
    <w:p w14:paraId="40D59E65" w14:textId="77777777" w:rsidR="00FA52D0" w:rsidRPr="00FA52D0" w:rsidRDefault="00FA52D0">
      <w:pPr>
        <w:spacing w:before="240" w:after="240"/>
        <w:rPr>
          <w:rFonts w:asciiTheme="majorHAnsi" w:hAnsiTheme="majorHAnsi" w:cstheme="majorHAnsi"/>
          <w:b/>
          <w:color w:val="000000" w:themeColor="text1"/>
          <w:sz w:val="24"/>
          <w:szCs w:val="24"/>
        </w:rPr>
      </w:pPr>
    </w:p>
    <w:p w14:paraId="1932C2AE" w14:textId="77777777" w:rsidR="00FA52D0" w:rsidRPr="00FA52D0" w:rsidRDefault="00FA52D0">
      <w:pPr>
        <w:spacing w:before="240" w:after="240"/>
        <w:rPr>
          <w:rFonts w:asciiTheme="majorHAnsi" w:hAnsiTheme="majorHAnsi" w:cstheme="majorHAnsi"/>
          <w:b/>
          <w:color w:val="000000" w:themeColor="text1"/>
          <w:sz w:val="24"/>
          <w:szCs w:val="24"/>
        </w:rPr>
      </w:pPr>
    </w:p>
    <w:p w14:paraId="394B1665" w14:textId="77777777" w:rsidR="00FA52D0" w:rsidRPr="00FA52D0" w:rsidRDefault="00FA52D0">
      <w:pPr>
        <w:spacing w:before="240" w:after="240"/>
        <w:rPr>
          <w:rFonts w:asciiTheme="majorHAnsi" w:hAnsiTheme="majorHAnsi" w:cstheme="majorHAnsi"/>
          <w:b/>
          <w:color w:val="000000" w:themeColor="text1"/>
          <w:sz w:val="24"/>
          <w:szCs w:val="24"/>
        </w:rPr>
      </w:pPr>
    </w:p>
    <w:p w14:paraId="000000EA" w14:textId="4B633DEA" w:rsidR="00D67561" w:rsidRPr="00FA52D0" w:rsidRDefault="00000000">
      <w:pPr>
        <w:spacing w:before="240" w:after="240"/>
        <w:rPr>
          <w:rFonts w:asciiTheme="majorHAnsi" w:hAnsiTheme="majorHAnsi" w:cstheme="majorHAnsi"/>
          <w:b/>
          <w:color w:val="000000" w:themeColor="text1"/>
          <w:sz w:val="24"/>
          <w:szCs w:val="24"/>
        </w:rPr>
      </w:pPr>
      <w:r w:rsidRPr="00FA52D0">
        <w:rPr>
          <w:rFonts w:asciiTheme="majorHAnsi" w:hAnsiTheme="majorHAnsi" w:cstheme="majorHAnsi"/>
          <w:b/>
          <w:color w:val="000000" w:themeColor="text1"/>
          <w:sz w:val="24"/>
          <w:szCs w:val="24"/>
        </w:rPr>
        <w:lastRenderedPageBreak/>
        <w:t>Bibliography</w:t>
      </w:r>
    </w:p>
    <w:p w14:paraId="000000E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Alexander J, &amp; Charman S. (2024). Parallel lines? The homogeneous and gendered career patterns of senior leaders in policing in England and Wales. </w:t>
      </w:r>
      <w:r w:rsidRPr="00FA52D0">
        <w:rPr>
          <w:rFonts w:asciiTheme="majorHAnsi" w:hAnsiTheme="majorHAnsi" w:cstheme="majorHAnsi"/>
          <w:i/>
          <w:color w:val="000000" w:themeColor="text1"/>
          <w:sz w:val="24"/>
          <w:szCs w:val="24"/>
        </w:rPr>
        <w:t>Police Practice and Research</w:t>
      </w:r>
      <w:r w:rsidRPr="00FA52D0">
        <w:rPr>
          <w:rFonts w:asciiTheme="majorHAnsi" w:hAnsiTheme="majorHAnsi" w:cstheme="majorHAnsi"/>
          <w:color w:val="000000" w:themeColor="text1"/>
          <w:sz w:val="24"/>
          <w:szCs w:val="24"/>
        </w:rPr>
        <w:t xml:space="preserve">, </w:t>
      </w:r>
      <w:r w:rsidRPr="00FA52D0">
        <w:rPr>
          <w:rFonts w:asciiTheme="majorHAnsi" w:hAnsiTheme="majorHAnsi" w:cstheme="majorHAnsi"/>
          <w:i/>
          <w:color w:val="000000" w:themeColor="text1"/>
          <w:sz w:val="24"/>
          <w:szCs w:val="24"/>
        </w:rPr>
        <w:t>25</w:t>
      </w:r>
      <w:r w:rsidRPr="00FA52D0">
        <w:rPr>
          <w:rFonts w:asciiTheme="majorHAnsi" w:hAnsiTheme="majorHAnsi" w:cstheme="majorHAnsi"/>
          <w:color w:val="000000" w:themeColor="text1"/>
          <w:sz w:val="24"/>
          <w:szCs w:val="24"/>
        </w:rPr>
        <w:t>(3),</w:t>
      </w:r>
      <w:hyperlink r:id="rId97">
        <w:r w:rsidRPr="00FA52D0">
          <w:rPr>
            <w:rFonts w:asciiTheme="majorHAnsi" w:hAnsiTheme="majorHAnsi" w:cstheme="majorHAnsi"/>
            <w:color w:val="000000" w:themeColor="text1"/>
            <w:sz w:val="24"/>
            <w:szCs w:val="24"/>
          </w:rPr>
          <w:t xml:space="preserve"> </w:t>
        </w:r>
      </w:hyperlink>
      <w:hyperlink r:id="rId98">
        <w:r w:rsidRPr="00FA52D0">
          <w:rPr>
            <w:rFonts w:asciiTheme="majorHAnsi" w:hAnsiTheme="majorHAnsi" w:cstheme="majorHAnsi"/>
            <w:color w:val="000000" w:themeColor="text1"/>
            <w:sz w:val="24"/>
            <w:szCs w:val="24"/>
            <w:u w:val="single"/>
          </w:rPr>
          <w:t>Parallel lines? The homogeneous and gendered career patterns of senior leaders in policing in England and Wales (tandfonline.com)</w:t>
        </w:r>
      </w:hyperlink>
      <w:r w:rsidRPr="00FA52D0">
        <w:rPr>
          <w:rFonts w:asciiTheme="majorHAnsi" w:hAnsiTheme="majorHAnsi" w:cstheme="majorHAnsi"/>
          <w:color w:val="000000" w:themeColor="text1"/>
          <w:sz w:val="24"/>
          <w:szCs w:val="24"/>
        </w:rPr>
        <w:t xml:space="preserve"> Accessed April 24</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w:t>
      </w:r>
      <w:proofErr w:type="gramStart"/>
      <w:r w:rsidRPr="00FA52D0">
        <w:rPr>
          <w:rFonts w:asciiTheme="majorHAnsi" w:hAnsiTheme="majorHAnsi" w:cstheme="majorHAnsi"/>
          <w:color w:val="000000" w:themeColor="text1"/>
          <w:sz w:val="24"/>
          <w:szCs w:val="24"/>
        </w:rPr>
        <w:t>2024</w:t>
      </w:r>
      <w:proofErr w:type="gramEnd"/>
    </w:p>
    <w:p w14:paraId="000000EC" w14:textId="77777777" w:rsidR="00D67561" w:rsidRPr="00FA52D0" w:rsidRDefault="00000000">
      <w:pPr>
        <w:spacing w:before="240" w:after="240"/>
        <w:rPr>
          <w:rFonts w:asciiTheme="majorHAnsi" w:hAnsiTheme="majorHAnsi" w:cstheme="majorHAnsi"/>
          <w:color w:val="000000" w:themeColor="text1"/>
          <w:sz w:val="24"/>
          <w:szCs w:val="24"/>
          <w:u w:val="single"/>
        </w:rPr>
      </w:pPr>
      <w:proofErr w:type="spellStart"/>
      <w:r w:rsidRPr="00FA52D0">
        <w:rPr>
          <w:rFonts w:asciiTheme="majorHAnsi" w:hAnsiTheme="majorHAnsi" w:cstheme="majorHAnsi"/>
          <w:color w:val="000000" w:themeColor="text1"/>
          <w:sz w:val="24"/>
          <w:szCs w:val="24"/>
        </w:rPr>
        <w:t>Bezrukova</w:t>
      </w:r>
      <w:proofErr w:type="spellEnd"/>
      <w:r w:rsidRPr="00FA52D0">
        <w:rPr>
          <w:rFonts w:asciiTheme="majorHAnsi" w:hAnsiTheme="majorHAnsi" w:cstheme="majorHAnsi"/>
          <w:color w:val="000000" w:themeColor="text1"/>
          <w:sz w:val="24"/>
          <w:szCs w:val="24"/>
        </w:rPr>
        <w:t xml:space="preserve">, K., Spell, C. S., Perry, J. L., &amp; </w:t>
      </w:r>
      <w:proofErr w:type="spellStart"/>
      <w:r w:rsidRPr="00FA52D0">
        <w:rPr>
          <w:rFonts w:asciiTheme="majorHAnsi" w:hAnsiTheme="majorHAnsi" w:cstheme="majorHAnsi"/>
          <w:color w:val="000000" w:themeColor="text1"/>
          <w:sz w:val="24"/>
          <w:szCs w:val="24"/>
        </w:rPr>
        <w:t>Jehn</w:t>
      </w:r>
      <w:proofErr w:type="spellEnd"/>
      <w:r w:rsidRPr="00FA52D0">
        <w:rPr>
          <w:rFonts w:asciiTheme="majorHAnsi" w:hAnsiTheme="majorHAnsi" w:cstheme="majorHAnsi"/>
          <w:color w:val="000000" w:themeColor="text1"/>
          <w:sz w:val="24"/>
          <w:szCs w:val="24"/>
        </w:rPr>
        <w:t xml:space="preserve">, K. A. (2016). </w:t>
      </w:r>
      <w:hyperlink r:id="rId99">
        <w:r w:rsidRPr="00FA52D0">
          <w:rPr>
            <w:rFonts w:asciiTheme="majorHAnsi" w:hAnsiTheme="majorHAnsi" w:cstheme="majorHAnsi"/>
            <w:color w:val="000000" w:themeColor="text1"/>
            <w:sz w:val="24"/>
            <w:szCs w:val="24"/>
            <w:u w:val="single"/>
          </w:rPr>
          <w:t>A Meta-Analytical Integration of Over 40 Years of Research on Diversity Training Evaluation</w:t>
        </w:r>
      </w:hyperlink>
      <w:r w:rsidRPr="00FA52D0">
        <w:rPr>
          <w:rFonts w:asciiTheme="majorHAnsi" w:hAnsiTheme="majorHAnsi" w:cstheme="majorHAnsi"/>
          <w:color w:val="000000" w:themeColor="text1"/>
          <w:sz w:val="24"/>
          <w:szCs w:val="24"/>
        </w:rPr>
        <w:t xml:space="preserve">. </w:t>
      </w:r>
      <w:r w:rsidRPr="00FA52D0">
        <w:rPr>
          <w:rFonts w:asciiTheme="majorHAnsi" w:hAnsiTheme="majorHAnsi" w:cstheme="majorHAnsi"/>
          <w:i/>
          <w:color w:val="000000" w:themeColor="text1"/>
          <w:sz w:val="24"/>
          <w:szCs w:val="24"/>
        </w:rPr>
        <w:t>Psychological Bulletin</w:t>
      </w:r>
      <w:r w:rsidRPr="00FA52D0">
        <w:rPr>
          <w:rFonts w:asciiTheme="majorHAnsi" w:hAnsiTheme="majorHAnsi" w:cstheme="majorHAnsi"/>
          <w:color w:val="000000" w:themeColor="text1"/>
          <w:sz w:val="24"/>
          <w:szCs w:val="24"/>
        </w:rPr>
        <w:t xml:space="preserve">. </w:t>
      </w:r>
      <w:hyperlink r:id="rId100">
        <w:r w:rsidRPr="00FA52D0">
          <w:rPr>
            <w:rFonts w:asciiTheme="majorHAnsi" w:hAnsiTheme="majorHAnsi" w:cstheme="majorHAnsi"/>
            <w:color w:val="000000" w:themeColor="text1"/>
            <w:sz w:val="24"/>
            <w:szCs w:val="24"/>
            <w:u w:val="single"/>
          </w:rPr>
          <w:t>http://dx.doi.org/10.1037/bul0000067</w:t>
        </w:r>
      </w:hyperlink>
    </w:p>
    <w:p w14:paraId="000000ED"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Brown, J., </w:t>
      </w:r>
      <w:proofErr w:type="spellStart"/>
      <w:r w:rsidRPr="00FA52D0">
        <w:rPr>
          <w:rFonts w:asciiTheme="majorHAnsi" w:hAnsiTheme="majorHAnsi" w:cstheme="majorHAnsi"/>
          <w:color w:val="000000" w:themeColor="text1"/>
          <w:sz w:val="24"/>
          <w:szCs w:val="24"/>
        </w:rPr>
        <w:t>Gouseti</w:t>
      </w:r>
      <w:proofErr w:type="spellEnd"/>
      <w:r w:rsidRPr="00FA52D0">
        <w:rPr>
          <w:rFonts w:asciiTheme="majorHAnsi" w:hAnsiTheme="majorHAnsi" w:cstheme="majorHAnsi"/>
          <w:color w:val="000000" w:themeColor="text1"/>
          <w:sz w:val="24"/>
          <w:szCs w:val="24"/>
        </w:rPr>
        <w:t>, I., and Fife-</w:t>
      </w:r>
      <w:proofErr w:type="spellStart"/>
      <w:r w:rsidRPr="00FA52D0">
        <w:rPr>
          <w:rFonts w:asciiTheme="majorHAnsi" w:hAnsiTheme="majorHAnsi" w:cstheme="majorHAnsi"/>
          <w:color w:val="000000" w:themeColor="text1"/>
          <w:sz w:val="24"/>
          <w:szCs w:val="24"/>
        </w:rPr>
        <w:t>Schaw</w:t>
      </w:r>
      <w:proofErr w:type="spellEnd"/>
      <w:r w:rsidRPr="00FA52D0">
        <w:rPr>
          <w:rFonts w:asciiTheme="majorHAnsi" w:hAnsiTheme="majorHAnsi" w:cstheme="majorHAnsi"/>
          <w:color w:val="000000" w:themeColor="text1"/>
          <w:sz w:val="24"/>
          <w:szCs w:val="24"/>
        </w:rPr>
        <w:t xml:space="preserve">, C. (2018). Sexual harassment experienced by police staff serving in England, </w:t>
      </w:r>
      <w:proofErr w:type="gramStart"/>
      <w:r w:rsidRPr="00FA52D0">
        <w:rPr>
          <w:rFonts w:asciiTheme="majorHAnsi" w:hAnsiTheme="majorHAnsi" w:cstheme="majorHAnsi"/>
          <w:color w:val="000000" w:themeColor="text1"/>
          <w:sz w:val="24"/>
          <w:szCs w:val="24"/>
        </w:rPr>
        <w:t>Wales</w:t>
      </w:r>
      <w:proofErr w:type="gramEnd"/>
      <w:r w:rsidRPr="00FA52D0">
        <w:rPr>
          <w:rFonts w:asciiTheme="majorHAnsi" w:hAnsiTheme="majorHAnsi" w:cstheme="majorHAnsi"/>
          <w:color w:val="000000" w:themeColor="text1"/>
          <w:sz w:val="24"/>
          <w:szCs w:val="24"/>
        </w:rPr>
        <w:t xml:space="preserve"> and Scotland: A descriptive exploration of incidence, antecedents and harm. The Police Journal, 91(4), 356-374.</w:t>
      </w:r>
    </w:p>
    <w:p w14:paraId="000000EE"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Bullock K, Johnson, </w:t>
      </w:r>
      <w:proofErr w:type="gramStart"/>
      <w:r w:rsidRPr="00FA52D0">
        <w:rPr>
          <w:rFonts w:asciiTheme="majorHAnsi" w:hAnsiTheme="majorHAnsi" w:cstheme="majorHAnsi"/>
          <w:color w:val="000000" w:themeColor="text1"/>
          <w:sz w:val="24"/>
          <w:szCs w:val="24"/>
        </w:rPr>
        <w:t>P(</w:t>
      </w:r>
      <w:proofErr w:type="gramEnd"/>
      <w:r w:rsidRPr="00FA52D0">
        <w:rPr>
          <w:rFonts w:asciiTheme="majorHAnsi" w:hAnsiTheme="majorHAnsi" w:cstheme="majorHAnsi"/>
          <w:color w:val="000000" w:themeColor="text1"/>
          <w:sz w:val="24"/>
          <w:szCs w:val="24"/>
        </w:rPr>
        <w:t>2018) Police Engagement With Muslim Communities: Breaking Out, Breaking In, and Breaking Through Policing and Society 28(8) 879-897</w:t>
      </w:r>
    </w:p>
    <w:p w14:paraId="000000E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Chartered Institute of Personnel and Development - CIPD (2019) Diversity Management That Works: An Evidence Based Review</w:t>
      </w:r>
      <w:hyperlink r:id="rId101">
        <w:r w:rsidRPr="00FA52D0">
          <w:rPr>
            <w:rFonts w:asciiTheme="majorHAnsi" w:hAnsiTheme="majorHAnsi" w:cstheme="majorHAnsi"/>
            <w:color w:val="000000" w:themeColor="text1"/>
            <w:sz w:val="24"/>
            <w:szCs w:val="24"/>
          </w:rPr>
          <w:t xml:space="preserve"> </w:t>
        </w:r>
      </w:hyperlink>
      <w:hyperlink r:id="rId102">
        <w:r w:rsidRPr="00FA52D0">
          <w:rPr>
            <w:rFonts w:asciiTheme="majorHAnsi" w:hAnsiTheme="majorHAnsi" w:cstheme="majorHAnsi"/>
            <w:color w:val="000000" w:themeColor="text1"/>
            <w:sz w:val="24"/>
            <w:szCs w:val="24"/>
            <w:u w:val="single"/>
          </w:rPr>
          <w:t>7926-diversity-and-inclusion-report-revised_tcm18-65334.pdf (cipd.org)</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0F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Colvin </w:t>
      </w:r>
      <w:proofErr w:type="gramStart"/>
      <w:r w:rsidRPr="00FA52D0">
        <w:rPr>
          <w:rFonts w:asciiTheme="majorHAnsi" w:hAnsiTheme="majorHAnsi" w:cstheme="majorHAnsi"/>
          <w:color w:val="000000" w:themeColor="text1"/>
          <w:sz w:val="24"/>
          <w:szCs w:val="24"/>
        </w:rPr>
        <w:t>R(</w:t>
      </w:r>
      <w:proofErr w:type="gramEnd"/>
      <w:r w:rsidRPr="00FA52D0">
        <w:rPr>
          <w:rFonts w:asciiTheme="majorHAnsi" w:hAnsiTheme="majorHAnsi" w:cstheme="majorHAnsi"/>
          <w:color w:val="000000" w:themeColor="text1"/>
          <w:sz w:val="24"/>
          <w:szCs w:val="24"/>
        </w:rPr>
        <w:t>2015) Shared Workplace Experiences of Lesbian and Gay Police Officers in the United Kingdom. International Journal of Police Strategies &amp; Management 38(2) 333-349</w:t>
      </w:r>
    </w:p>
    <w:p w14:paraId="000000F1"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College of Policing (2020) Promoting and supporting diversity and inclusion</w:t>
      </w:r>
      <w:hyperlink r:id="rId103">
        <w:r w:rsidRPr="00FA52D0">
          <w:rPr>
            <w:rFonts w:asciiTheme="majorHAnsi" w:hAnsiTheme="majorHAnsi" w:cstheme="majorHAnsi"/>
            <w:color w:val="000000" w:themeColor="text1"/>
            <w:sz w:val="24"/>
            <w:szCs w:val="24"/>
          </w:rPr>
          <w:t xml:space="preserve"> </w:t>
        </w:r>
      </w:hyperlink>
      <w:hyperlink r:id="rId104">
        <w:r w:rsidRPr="00FA52D0">
          <w:rPr>
            <w:rFonts w:asciiTheme="majorHAnsi" w:hAnsiTheme="majorHAnsi" w:cstheme="majorHAnsi"/>
            <w:color w:val="000000" w:themeColor="text1"/>
            <w:sz w:val="24"/>
            <w:szCs w:val="24"/>
            <w:u w:val="single"/>
          </w:rPr>
          <w:t>Promoting and supporting diversity and inclusion | College of Policing</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2024</w:t>
      </w:r>
    </w:p>
    <w:p w14:paraId="000000F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College of Policing (2023) Tackling sexism and misogyny in policing tackling-sexism-and-misogyny-in-policing C0P 223.pdf Accessed April 21</w:t>
      </w:r>
      <w:r w:rsidRPr="00FA52D0">
        <w:rPr>
          <w:rFonts w:asciiTheme="majorHAnsi" w:hAnsiTheme="majorHAnsi" w:cstheme="majorHAnsi"/>
          <w:color w:val="000000" w:themeColor="text1"/>
          <w:sz w:val="24"/>
          <w:szCs w:val="24"/>
          <w:vertAlign w:val="superscript"/>
        </w:rPr>
        <w:t>st</w:t>
      </w:r>
      <w:proofErr w:type="gramStart"/>
      <w:r w:rsidRPr="00FA52D0">
        <w:rPr>
          <w:rFonts w:asciiTheme="majorHAnsi" w:hAnsiTheme="majorHAnsi" w:cstheme="majorHAnsi"/>
          <w:color w:val="000000" w:themeColor="text1"/>
          <w:sz w:val="24"/>
          <w:szCs w:val="24"/>
        </w:rPr>
        <w:t xml:space="preserve"> 2024</w:t>
      </w:r>
      <w:proofErr w:type="gramEnd"/>
    </w:p>
    <w:p w14:paraId="000000F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College of Policing (2023) Policing in England and Wales Future Operating Environment 2040</w:t>
      </w:r>
    </w:p>
    <w:p w14:paraId="000000F4" w14:textId="77777777" w:rsidR="00D67561" w:rsidRPr="00FA52D0" w:rsidRDefault="00000000">
      <w:pPr>
        <w:spacing w:before="240" w:after="240"/>
        <w:rPr>
          <w:rFonts w:asciiTheme="majorHAnsi" w:hAnsiTheme="majorHAnsi" w:cstheme="majorHAnsi"/>
          <w:color w:val="000000" w:themeColor="text1"/>
          <w:sz w:val="24"/>
          <w:szCs w:val="24"/>
        </w:rPr>
      </w:pPr>
      <w:hyperlink r:id="rId105">
        <w:r w:rsidRPr="00FA52D0">
          <w:rPr>
            <w:rFonts w:asciiTheme="majorHAnsi" w:hAnsiTheme="majorHAnsi" w:cstheme="majorHAnsi"/>
            <w:color w:val="000000" w:themeColor="text1"/>
            <w:sz w:val="24"/>
            <w:szCs w:val="24"/>
            <w:u w:val="single"/>
          </w:rPr>
          <w:t>Policing in England and Wales: Future Operating Environment 2040 (college.police.uk)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proofErr w:type="gramStart"/>
      <w:r w:rsidRPr="00FA52D0">
        <w:rPr>
          <w:rFonts w:asciiTheme="majorHAnsi" w:hAnsiTheme="majorHAnsi" w:cstheme="majorHAnsi"/>
          <w:color w:val="000000" w:themeColor="text1"/>
          <w:sz w:val="24"/>
          <w:szCs w:val="24"/>
        </w:rPr>
        <w:t xml:space="preserve"> 2024</w:t>
      </w:r>
      <w:proofErr w:type="gramEnd"/>
    </w:p>
    <w:p w14:paraId="000000F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Durham University (2019)Equality, Diversity and Inclusion in Policing</w:t>
      </w:r>
      <w:hyperlink r:id="rId106">
        <w:r w:rsidRPr="00FA52D0">
          <w:rPr>
            <w:rFonts w:asciiTheme="majorHAnsi" w:hAnsiTheme="majorHAnsi" w:cstheme="majorHAnsi"/>
            <w:color w:val="000000" w:themeColor="text1"/>
            <w:sz w:val="24"/>
            <w:szCs w:val="24"/>
          </w:rPr>
          <w:t xml:space="preserve"> </w:t>
        </w:r>
      </w:hyperlink>
      <w:hyperlink r:id="rId107">
        <w:r w:rsidRPr="00FA52D0">
          <w:rPr>
            <w:rFonts w:asciiTheme="majorHAnsi" w:hAnsiTheme="majorHAnsi" w:cstheme="majorHAnsi"/>
            <w:color w:val="000000" w:themeColor="text1"/>
            <w:sz w:val="24"/>
            <w:szCs w:val="24"/>
            <w:u w:val="single"/>
          </w:rPr>
          <w:t>diversity-equality-and-inclusion-in-policing-2019-report.pdf (apccs.police.uk)</w:t>
        </w:r>
      </w:hyperlink>
      <w:r w:rsidRPr="00FA52D0">
        <w:rPr>
          <w:rFonts w:asciiTheme="majorHAnsi" w:hAnsiTheme="majorHAnsi" w:cstheme="majorHAnsi"/>
          <w:color w:val="000000" w:themeColor="text1"/>
          <w:sz w:val="24"/>
          <w:szCs w:val="24"/>
        </w:rPr>
        <w:t xml:space="preserve"> Accessed April 20</w:t>
      </w:r>
      <w:r w:rsidRPr="00FA52D0">
        <w:rPr>
          <w:rFonts w:asciiTheme="majorHAnsi" w:hAnsiTheme="majorHAnsi" w:cstheme="majorHAnsi"/>
          <w:color w:val="000000" w:themeColor="text1"/>
          <w:sz w:val="24"/>
          <w:szCs w:val="24"/>
          <w:vertAlign w:val="superscript"/>
        </w:rPr>
        <w:t>th</w:t>
      </w:r>
      <w:r w:rsidRPr="00FA52D0">
        <w:rPr>
          <w:rFonts w:asciiTheme="majorHAnsi" w:hAnsiTheme="majorHAnsi" w:cstheme="majorHAnsi"/>
          <w:color w:val="000000" w:themeColor="text1"/>
          <w:sz w:val="24"/>
          <w:szCs w:val="24"/>
        </w:rPr>
        <w:t xml:space="preserve"> 2024</w:t>
      </w:r>
    </w:p>
    <w:p w14:paraId="000000F6"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Drummond A, (2022) Peripheral Inclusion? Gypsy Roma Traveller Police Association Officers Speak Out. Romani Studies 32(1) 105-127</w:t>
      </w:r>
    </w:p>
    <w:p w14:paraId="000000F7"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Equality Act (2010) Equality and Human Rights Commission</w:t>
      </w:r>
      <w:hyperlink r:id="rId108">
        <w:r w:rsidRPr="00FA52D0">
          <w:rPr>
            <w:rFonts w:asciiTheme="majorHAnsi" w:hAnsiTheme="majorHAnsi" w:cstheme="majorHAnsi"/>
            <w:color w:val="000000" w:themeColor="text1"/>
            <w:sz w:val="24"/>
            <w:szCs w:val="24"/>
          </w:rPr>
          <w:t xml:space="preserve"> </w:t>
        </w:r>
      </w:hyperlink>
      <w:hyperlink r:id="rId109">
        <w:r w:rsidRPr="00FA52D0">
          <w:rPr>
            <w:rFonts w:asciiTheme="majorHAnsi" w:hAnsiTheme="majorHAnsi" w:cstheme="majorHAnsi"/>
            <w:color w:val="000000" w:themeColor="text1"/>
            <w:sz w:val="24"/>
            <w:szCs w:val="24"/>
            <w:u w:val="single"/>
          </w:rPr>
          <w:t>Equality Act 2010 | EHRC (equalityhumanrights.com)</w:t>
        </w:r>
      </w:hyperlink>
    </w:p>
    <w:p w14:paraId="000000F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Fitzpatrick J (2023) College of Policing modern-policing-in-the-21st-century-time-for-inclusive-cultural-shift--1713691110.pdf Accessed April 21</w:t>
      </w:r>
      <w:r w:rsidRPr="00FA52D0">
        <w:rPr>
          <w:rFonts w:asciiTheme="majorHAnsi" w:hAnsiTheme="majorHAnsi" w:cstheme="majorHAnsi"/>
          <w:color w:val="000000" w:themeColor="text1"/>
          <w:sz w:val="24"/>
          <w:szCs w:val="24"/>
          <w:vertAlign w:val="superscript"/>
        </w:rPr>
        <w:t>st</w:t>
      </w:r>
      <w:proofErr w:type="gramStart"/>
      <w:r w:rsidRPr="00FA52D0">
        <w:rPr>
          <w:rFonts w:asciiTheme="majorHAnsi" w:hAnsiTheme="majorHAnsi" w:cstheme="majorHAnsi"/>
          <w:color w:val="000000" w:themeColor="text1"/>
          <w:sz w:val="24"/>
          <w:szCs w:val="24"/>
        </w:rPr>
        <w:t xml:space="preserve"> 2024</w:t>
      </w:r>
      <w:proofErr w:type="gramEnd"/>
    </w:p>
    <w:p w14:paraId="000000F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Graham, L., and Gracey, S. (2019). Diversity, </w:t>
      </w:r>
      <w:proofErr w:type="gramStart"/>
      <w:r w:rsidRPr="00FA52D0">
        <w:rPr>
          <w:rFonts w:asciiTheme="majorHAnsi" w:hAnsiTheme="majorHAnsi" w:cstheme="majorHAnsi"/>
          <w:color w:val="000000" w:themeColor="text1"/>
          <w:sz w:val="24"/>
          <w:szCs w:val="24"/>
        </w:rPr>
        <w:t>Equality</w:t>
      </w:r>
      <w:proofErr w:type="gramEnd"/>
      <w:r w:rsidRPr="00FA52D0">
        <w:rPr>
          <w:rFonts w:asciiTheme="majorHAnsi" w:hAnsiTheme="majorHAnsi" w:cstheme="majorHAnsi"/>
          <w:color w:val="000000" w:themeColor="text1"/>
          <w:sz w:val="24"/>
          <w:szCs w:val="24"/>
        </w:rPr>
        <w:t xml:space="preserve"> and Inclusion in Policing: Achieving Inclusive Climates through Front-line Supervisors. 5th Policing Conference 2019.</w:t>
      </w:r>
    </w:p>
    <w:p w14:paraId="000000F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Harrison K, Gill A (2019) Policing the Culture of Silence: Strategies to Increase the Reporting of Sexual Abuse in British South Asian Communities. Policing and Society, (3) 302-317</w:t>
      </w:r>
    </w:p>
    <w:p w14:paraId="000000FB" w14:textId="77777777" w:rsidR="00D67561" w:rsidRPr="00FA52D0" w:rsidRDefault="00000000">
      <w:pPr>
        <w:spacing w:before="240" w:after="240"/>
        <w:rPr>
          <w:rFonts w:asciiTheme="majorHAnsi" w:hAnsiTheme="majorHAnsi" w:cstheme="majorHAnsi"/>
          <w:color w:val="000000" w:themeColor="text1"/>
          <w:sz w:val="24"/>
          <w:szCs w:val="24"/>
          <w:u w:val="single"/>
        </w:rPr>
      </w:pPr>
      <w:r w:rsidRPr="00FA52D0">
        <w:rPr>
          <w:rFonts w:asciiTheme="majorHAnsi" w:hAnsiTheme="majorHAnsi" w:cstheme="majorHAnsi"/>
          <w:color w:val="000000" w:themeColor="text1"/>
          <w:sz w:val="24"/>
          <w:szCs w:val="24"/>
        </w:rPr>
        <w:t>Home Affairs Committee (2021) The Macpherson Report: Twenty-two years on Third Report of Session 2021–22, House of Commons</w:t>
      </w:r>
      <w:hyperlink r:id="rId110">
        <w:r w:rsidRPr="00FA52D0">
          <w:rPr>
            <w:rFonts w:asciiTheme="majorHAnsi" w:hAnsiTheme="majorHAnsi" w:cstheme="majorHAnsi"/>
            <w:color w:val="000000" w:themeColor="text1"/>
            <w:sz w:val="24"/>
            <w:szCs w:val="24"/>
          </w:rPr>
          <w:t xml:space="preserve"> </w:t>
        </w:r>
      </w:hyperlink>
      <w:hyperlink r:id="rId111">
        <w:r w:rsidRPr="00FA52D0">
          <w:rPr>
            <w:rFonts w:asciiTheme="majorHAnsi" w:hAnsiTheme="majorHAnsi" w:cstheme="majorHAnsi"/>
            <w:color w:val="000000" w:themeColor="text1"/>
            <w:sz w:val="24"/>
            <w:szCs w:val="24"/>
            <w:u w:val="single"/>
          </w:rPr>
          <w:t>The Macpherson Report: twenty-one years on (parliament.uk)</w:t>
        </w:r>
      </w:hyperlink>
    </w:p>
    <w:p w14:paraId="000000FC"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Home Office (2021) Police Use of Force Statistics Police use of force statistics, England and Wales: April 2020 to March 2021 - GOV.UK (www.gov.uk) Accessed April 21</w:t>
      </w:r>
      <w:r w:rsidRPr="00FA52D0">
        <w:rPr>
          <w:rFonts w:asciiTheme="majorHAnsi" w:hAnsiTheme="majorHAnsi" w:cstheme="majorHAnsi"/>
          <w:color w:val="000000" w:themeColor="text1"/>
          <w:sz w:val="24"/>
          <w:szCs w:val="24"/>
          <w:vertAlign w:val="superscript"/>
        </w:rPr>
        <w:t>st</w:t>
      </w:r>
      <w:proofErr w:type="gramStart"/>
      <w:r w:rsidRPr="00FA52D0">
        <w:rPr>
          <w:rFonts w:asciiTheme="majorHAnsi" w:hAnsiTheme="majorHAnsi" w:cstheme="majorHAnsi"/>
          <w:color w:val="000000" w:themeColor="text1"/>
          <w:sz w:val="24"/>
          <w:szCs w:val="24"/>
        </w:rPr>
        <w:t xml:space="preserve"> 2024</w:t>
      </w:r>
      <w:proofErr w:type="gramEnd"/>
    </w:p>
    <w:p w14:paraId="000000FD"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Home Office. (2019). '</w:t>
      </w:r>
      <w:hyperlink r:id="rId112">
        <w:r w:rsidRPr="00FA52D0">
          <w:rPr>
            <w:rFonts w:asciiTheme="majorHAnsi" w:hAnsiTheme="majorHAnsi" w:cstheme="majorHAnsi"/>
            <w:b/>
            <w:color w:val="000000" w:themeColor="text1"/>
            <w:sz w:val="24"/>
            <w:szCs w:val="24"/>
            <w:u w:val="single"/>
          </w:rPr>
          <w:t>Police Workforce, England and Wales, 31 March 2019(opens an external website in the same tab)</w:t>
        </w:r>
      </w:hyperlink>
      <w:r w:rsidRPr="00FA52D0">
        <w:rPr>
          <w:rFonts w:asciiTheme="majorHAnsi" w:hAnsiTheme="majorHAnsi" w:cstheme="majorHAnsi"/>
          <w:color w:val="000000" w:themeColor="text1"/>
          <w:sz w:val="24"/>
          <w:szCs w:val="24"/>
        </w:rPr>
        <w:t>'. Home Office Statistical Bulletin, March 11/19. London: Home Office.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w:t>
      </w:r>
      <w:proofErr w:type="gramStart"/>
      <w:r w:rsidRPr="00FA52D0">
        <w:rPr>
          <w:rFonts w:asciiTheme="majorHAnsi" w:hAnsiTheme="majorHAnsi" w:cstheme="majorHAnsi"/>
          <w:color w:val="000000" w:themeColor="text1"/>
          <w:sz w:val="24"/>
          <w:szCs w:val="24"/>
        </w:rPr>
        <w:t>2024</w:t>
      </w:r>
      <w:proofErr w:type="gramEnd"/>
    </w:p>
    <w:p w14:paraId="000000FE"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HM Government (2011) PREVENT Strategy</w:t>
      </w:r>
      <w:hyperlink r:id="rId113">
        <w:r w:rsidRPr="00FA52D0">
          <w:rPr>
            <w:rFonts w:asciiTheme="majorHAnsi" w:hAnsiTheme="majorHAnsi" w:cstheme="majorHAnsi"/>
            <w:color w:val="000000" w:themeColor="text1"/>
            <w:sz w:val="24"/>
            <w:szCs w:val="24"/>
          </w:rPr>
          <w:t xml:space="preserve"> </w:t>
        </w:r>
      </w:hyperlink>
      <w:hyperlink r:id="rId114">
        <w:r w:rsidRPr="00FA52D0">
          <w:rPr>
            <w:rFonts w:asciiTheme="majorHAnsi" w:hAnsiTheme="majorHAnsi" w:cstheme="majorHAnsi"/>
            <w:color w:val="000000" w:themeColor="text1"/>
            <w:sz w:val="24"/>
            <w:szCs w:val="24"/>
            <w:u w:val="single"/>
          </w:rPr>
          <w:t>Prevent review (publishing.service.gov.uk)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2024, Accessed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April 2024</w:t>
      </w:r>
    </w:p>
    <w:p w14:paraId="000000FF"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Kandola B (2009) The Value of Difference: Eliminating Bias in Organisations. </w:t>
      </w:r>
      <w:proofErr w:type="spellStart"/>
      <w:r w:rsidRPr="00FA52D0">
        <w:rPr>
          <w:rFonts w:asciiTheme="majorHAnsi" w:hAnsiTheme="majorHAnsi" w:cstheme="majorHAnsi"/>
          <w:color w:val="000000" w:themeColor="text1"/>
          <w:sz w:val="24"/>
          <w:szCs w:val="24"/>
        </w:rPr>
        <w:t>Pearn</w:t>
      </w:r>
      <w:proofErr w:type="spellEnd"/>
      <w:r w:rsidRPr="00FA52D0">
        <w:rPr>
          <w:rFonts w:asciiTheme="majorHAnsi" w:hAnsiTheme="majorHAnsi" w:cstheme="majorHAnsi"/>
          <w:color w:val="000000" w:themeColor="text1"/>
          <w:sz w:val="24"/>
          <w:szCs w:val="24"/>
        </w:rPr>
        <w:t xml:space="preserve"> Kandola Publishing, UK</w:t>
      </w:r>
    </w:p>
    <w:p w14:paraId="00000100"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Lister S, Platts-Fowler D, </w:t>
      </w:r>
      <w:proofErr w:type="spellStart"/>
      <w:r w:rsidRPr="00FA52D0">
        <w:rPr>
          <w:rFonts w:asciiTheme="majorHAnsi" w:hAnsiTheme="majorHAnsi" w:cstheme="majorHAnsi"/>
          <w:color w:val="000000" w:themeColor="text1"/>
          <w:sz w:val="24"/>
          <w:szCs w:val="24"/>
        </w:rPr>
        <w:t>Staniforth</w:t>
      </w:r>
      <w:proofErr w:type="spellEnd"/>
      <w:r w:rsidRPr="00FA52D0">
        <w:rPr>
          <w:rFonts w:asciiTheme="majorHAnsi" w:hAnsiTheme="majorHAnsi" w:cstheme="majorHAnsi"/>
          <w:color w:val="000000" w:themeColor="text1"/>
          <w:sz w:val="24"/>
          <w:szCs w:val="24"/>
        </w:rPr>
        <w:t xml:space="preserve"> A: Community Engagement: Culture Change Through Communications Evidence Review. University of Leeds, West Yorkshire Police N8 Policing Research Partnership</w:t>
      </w:r>
      <w:hyperlink r:id="rId115">
        <w:r w:rsidRPr="00FA52D0">
          <w:rPr>
            <w:rFonts w:asciiTheme="majorHAnsi" w:hAnsiTheme="majorHAnsi" w:cstheme="majorHAnsi"/>
            <w:color w:val="000000" w:themeColor="text1"/>
            <w:sz w:val="24"/>
            <w:szCs w:val="24"/>
          </w:rPr>
          <w:t xml:space="preserve"> </w:t>
        </w:r>
      </w:hyperlink>
      <w:hyperlink r:id="rId116">
        <w:r w:rsidRPr="00FA52D0">
          <w:rPr>
            <w:rFonts w:asciiTheme="majorHAnsi" w:hAnsiTheme="majorHAnsi" w:cstheme="majorHAnsi"/>
            <w:color w:val="000000" w:themeColor="text1"/>
            <w:sz w:val="24"/>
            <w:szCs w:val="24"/>
            <w:u w:val="single"/>
          </w:rPr>
          <w:t>CommunityEngagement_EvidenceReview.pdf (n8research.org.uk)</w:t>
        </w:r>
      </w:hyperlink>
      <w:hyperlink r:id="rId117">
        <w:r w:rsidRPr="00FA52D0">
          <w:rPr>
            <w:rFonts w:asciiTheme="majorHAnsi" w:hAnsiTheme="majorHAnsi" w:cstheme="majorHAnsi"/>
            <w:color w:val="000000" w:themeColor="text1"/>
            <w:sz w:val="24"/>
            <w:szCs w:val="24"/>
          </w:rPr>
          <w:t xml:space="preserve"> </w:t>
        </w:r>
      </w:hyperlink>
      <w:hyperlink r:id="rId118">
        <w:r w:rsidRPr="00FA52D0">
          <w:rPr>
            <w:rFonts w:asciiTheme="majorHAnsi" w:hAnsiTheme="majorHAnsi" w:cstheme="majorHAnsi"/>
            <w:color w:val="000000" w:themeColor="text1"/>
            <w:sz w:val="24"/>
            <w:szCs w:val="24"/>
            <w:u w:val="single"/>
          </w:rPr>
          <w:t>Culture change through communications (college.police.uk)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101"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Macpherson (1999) The Stephen Lawrence Inquiry Report of an Inquiry By Sir William Macpherson of Cluny HM Government</w:t>
      </w:r>
      <w:hyperlink r:id="rId119">
        <w:r w:rsidRPr="00FA52D0">
          <w:rPr>
            <w:rFonts w:asciiTheme="majorHAnsi" w:hAnsiTheme="majorHAnsi" w:cstheme="majorHAnsi"/>
            <w:color w:val="000000" w:themeColor="text1"/>
            <w:sz w:val="24"/>
            <w:szCs w:val="24"/>
          </w:rPr>
          <w:t xml:space="preserve"> </w:t>
        </w:r>
      </w:hyperlink>
      <w:hyperlink r:id="rId120">
        <w:r w:rsidRPr="00FA52D0">
          <w:rPr>
            <w:rFonts w:asciiTheme="majorHAnsi" w:hAnsiTheme="majorHAnsi" w:cstheme="majorHAnsi"/>
            <w:color w:val="000000" w:themeColor="text1"/>
            <w:sz w:val="24"/>
            <w:szCs w:val="24"/>
            <w:u w:val="single"/>
          </w:rPr>
          <w:t>4262.pdf (publishing.service.gov.uk)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2024</w:t>
      </w:r>
    </w:p>
    <w:p w14:paraId="00000102"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McKinsey (2020) Diversity Wins: How Inclusion Matters. McKinsey &amp; Company</w:t>
      </w:r>
      <w:hyperlink r:id="rId121">
        <w:r w:rsidRPr="00FA52D0">
          <w:rPr>
            <w:rFonts w:asciiTheme="majorHAnsi" w:hAnsiTheme="majorHAnsi" w:cstheme="majorHAnsi"/>
            <w:color w:val="000000" w:themeColor="text1"/>
            <w:sz w:val="24"/>
            <w:szCs w:val="24"/>
          </w:rPr>
          <w:t xml:space="preserve"> </w:t>
        </w:r>
      </w:hyperlink>
      <w:hyperlink r:id="rId122">
        <w:r w:rsidRPr="00FA52D0">
          <w:rPr>
            <w:rFonts w:asciiTheme="majorHAnsi" w:hAnsiTheme="majorHAnsi" w:cstheme="majorHAnsi"/>
            <w:color w:val="000000" w:themeColor="text1"/>
            <w:sz w:val="24"/>
            <w:szCs w:val="24"/>
            <w:u w:val="single"/>
          </w:rPr>
          <w:t>Diversity wins: How inclusion matters (mckinsey.com)</w:t>
        </w:r>
      </w:hyperlink>
      <w:r w:rsidRPr="00FA52D0">
        <w:rPr>
          <w:rFonts w:asciiTheme="majorHAnsi" w:hAnsiTheme="majorHAnsi" w:cstheme="majorHAnsi"/>
          <w:color w:val="000000" w:themeColor="text1"/>
          <w:sz w:val="24"/>
          <w:szCs w:val="24"/>
        </w:rPr>
        <w:t xml:space="preserve"> Accessed April 2024</w:t>
      </w:r>
    </w:p>
    <w:p w14:paraId="00000103"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McKnight, A., Duque, M. and </w:t>
      </w:r>
      <w:proofErr w:type="spellStart"/>
      <w:r w:rsidRPr="00FA52D0">
        <w:rPr>
          <w:rFonts w:asciiTheme="majorHAnsi" w:hAnsiTheme="majorHAnsi" w:cstheme="majorHAnsi"/>
          <w:color w:val="000000" w:themeColor="text1"/>
          <w:sz w:val="24"/>
          <w:szCs w:val="24"/>
        </w:rPr>
        <w:t>Rucci</w:t>
      </w:r>
      <w:proofErr w:type="spellEnd"/>
      <w:r w:rsidRPr="00FA52D0">
        <w:rPr>
          <w:rFonts w:asciiTheme="majorHAnsi" w:hAnsiTheme="majorHAnsi" w:cstheme="majorHAnsi"/>
          <w:color w:val="000000" w:themeColor="text1"/>
          <w:sz w:val="24"/>
          <w:szCs w:val="24"/>
        </w:rPr>
        <w:t>, M. (2017) Double Trouble: A review of the relationship between UK poverty and economic inequality.</w:t>
      </w:r>
      <w:hyperlink r:id="rId123">
        <w:r w:rsidRPr="00FA52D0">
          <w:rPr>
            <w:rFonts w:asciiTheme="majorHAnsi" w:hAnsiTheme="majorHAnsi" w:cstheme="majorHAnsi"/>
            <w:color w:val="000000" w:themeColor="text1"/>
            <w:sz w:val="24"/>
            <w:szCs w:val="24"/>
          </w:rPr>
          <w:t xml:space="preserve"> </w:t>
        </w:r>
      </w:hyperlink>
      <w:hyperlink r:id="rId124">
        <w:r w:rsidRPr="00FA52D0">
          <w:rPr>
            <w:rFonts w:asciiTheme="majorHAnsi" w:hAnsiTheme="majorHAnsi" w:cstheme="majorHAnsi"/>
            <w:color w:val="000000" w:themeColor="text1"/>
            <w:sz w:val="24"/>
            <w:szCs w:val="24"/>
            <w:u w:val="single"/>
          </w:rPr>
          <w:t>Double Trouble: A review of the relationship between UK poverty and economic inequality (lse.ac.uk)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2024</w:t>
      </w:r>
    </w:p>
    <w:p w14:paraId="00000104"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lastRenderedPageBreak/>
        <w:t xml:space="preserve">Miller J, Quinton P, </w:t>
      </w:r>
      <w:proofErr w:type="spellStart"/>
      <w:r w:rsidRPr="00FA52D0">
        <w:rPr>
          <w:rFonts w:asciiTheme="majorHAnsi" w:hAnsiTheme="majorHAnsi" w:cstheme="majorHAnsi"/>
          <w:color w:val="000000" w:themeColor="text1"/>
          <w:sz w:val="24"/>
          <w:szCs w:val="24"/>
        </w:rPr>
        <w:t>Alexandrou</w:t>
      </w:r>
      <w:proofErr w:type="spellEnd"/>
      <w:r w:rsidRPr="00FA52D0">
        <w:rPr>
          <w:rFonts w:asciiTheme="majorHAnsi" w:hAnsiTheme="majorHAnsi" w:cstheme="majorHAnsi"/>
          <w:color w:val="000000" w:themeColor="text1"/>
          <w:sz w:val="24"/>
          <w:szCs w:val="24"/>
        </w:rPr>
        <w:t xml:space="preserve"> B, Packham D (2020) Can police training reduce ethnic/racial disparities in stop and search? Evidence from a multi-site trial. Criminology &amp; Public Policy 19: 1259-1287</w:t>
      </w:r>
    </w:p>
    <w:p w14:paraId="00000105"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National Chief Police Council (2022) Police Race Action Plan: Improving Policing for Black People. College of Policing</w:t>
      </w:r>
      <w:hyperlink r:id="rId125">
        <w:r w:rsidRPr="00FA52D0">
          <w:rPr>
            <w:rFonts w:asciiTheme="majorHAnsi" w:hAnsiTheme="majorHAnsi" w:cstheme="majorHAnsi"/>
            <w:color w:val="000000" w:themeColor="text1"/>
            <w:sz w:val="24"/>
            <w:szCs w:val="24"/>
          </w:rPr>
          <w:t xml:space="preserve"> </w:t>
        </w:r>
      </w:hyperlink>
      <w:hyperlink r:id="rId126">
        <w:r w:rsidRPr="00FA52D0">
          <w:rPr>
            <w:rFonts w:asciiTheme="majorHAnsi" w:hAnsiTheme="majorHAnsi" w:cstheme="majorHAnsi"/>
            <w:color w:val="000000" w:themeColor="text1"/>
            <w:sz w:val="24"/>
            <w:szCs w:val="24"/>
            <w:u w:val="single"/>
          </w:rPr>
          <w:t>Police Race Action Plan: Improving policing for Black people (npcc.police.uk)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106"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Pycroft</w:t>
      </w:r>
      <w:proofErr w:type="spellEnd"/>
      <w:r w:rsidRPr="00FA52D0">
        <w:rPr>
          <w:rFonts w:asciiTheme="majorHAnsi" w:hAnsiTheme="majorHAnsi" w:cstheme="majorHAnsi"/>
          <w:color w:val="000000" w:themeColor="text1"/>
          <w:sz w:val="24"/>
          <w:szCs w:val="24"/>
        </w:rPr>
        <w:t xml:space="preserve"> A, Gough D (2019) Policing a Diverse Society: The Community Based Rationale for Multi Agency Working, Policy Press UK</w:t>
      </w:r>
    </w:p>
    <w:p w14:paraId="00000107" w14:textId="77777777" w:rsidR="00D67561" w:rsidRPr="00FA52D0" w:rsidRDefault="00000000">
      <w:pPr>
        <w:spacing w:before="240" w:after="240"/>
        <w:rPr>
          <w:rFonts w:asciiTheme="majorHAnsi" w:hAnsiTheme="majorHAnsi" w:cstheme="majorHAnsi"/>
          <w:color w:val="000000" w:themeColor="text1"/>
          <w:sz w:val="24"/>
          <w:szCs w:val="24"/>
        </w:rPr>
      </w:pPr>
      <w:proofErr w:type="spellStart"/>
      <w:r w:rsidRPr="00FA52D0">
        <w:rPr>
          <w:rFonts w:asciiTheme="majorHAnsi" w:hAnsiTheme="majorHAnsi" w:cstheme="majorHAnsi"/>
          <w:color w:val="000000" w:themeColor="text1"/>
          <w:sz w:val="24"/>
          <w:szCs w:val="24"/>
        </w:rPr>
        <w:t>Signori</w:t>
      </w:r>
      <w:proofErr w:type="spellEnd"/>
      <w:r w:rsidRPr="00FA52D0">
        <w:rPr>
          <w:rFonts w:asciiTheme="majorHAnsi" w:hAnsiTheme="majorHAnsi" w:cstheme="majorHAnsi"/>
          <w:color w:val="000000" w:themeColor="text1"/>
          <w:sz w:val="24"/>
          <w:szCs w:val="24"/>
        </w:rPr>
        <w:t xml:space="preserve"> R, Heinrich D, Wootton A, Davey C (2023) Relational continuity in community policing: Insights from a human-centred design perspective, </w:t>
      </w:r>
      <w:r w:rsidRPr="00FA52D0">
        <w:rPr>
          <w:rFonts w:asciiTheme="majorHAnsi" w:hAnsiTheme="majorHAnsi" w:cstheme="majorHAnsi"/>
          <w:i/>
          <w:color w:val="000000" w:themeColor="text1"/>
          <w:sz w:val="24"/>
          <w:szCs w:val="24"/>
        </w:rPr>
        <w:t>Policing: A Journal of Policy and Practice</w:t>
      </w:r>
      <w:r w:rsidRPr="00FA52D0">
        <w:rPr>
          <w:rFonts w:asciiTheme="majorHAnsi" w:hAnsiTheme="majorHAnsi" w:cstheme="majorHAnsi"/>
          <w:color w:val="000000" w:themeColor="text1"/>
          <w:sz w:val="24"/>
          <w:szCs w:val="24"/>
        </w:rPr>
        <w:t xml:space="preserve">, Volume 17, 2023, paad038, </w:t>
      </w:r>
      <w:hyperlink r:id="rId127">
        <w:r w:rsidRPr="00FA52D0">
          <w:rPr>
            <w:rFonts w:asciiTheme="majorHAnsi" w:hAnsiTheme="majorHAnsi" w:cstheme="majorHAnsi"/>
            <w:color w:val="000000" w:themeColor="text1"/>
            <w:sz w:val="24"/>
            <w:szCs w:val="24"/>
            <w:u w:val="single"/>
          </w:rPr>
          <w:t>https://doi.org/10.1093/police/paad038</w:t>
        </w:r>
      </w:hyperlink>
      <w:hyperlink r:id="rId128">
        <w:r w:rsidRPr="00FA52D0">
          <w:rPr>
            <w:rFonts w:asciiTheme="majorHAnsi" w:hAnsiTheme="majorHAnsi" w:cstheme="majorHAnsi"/>
            <w:color w:val="000000" w:themeColor="text1"/>
            <w:sz w:val="24"/>
            <w:szCs w:val="24"/>
          </w:rPr>
          <w:t xml:space="preserve"> </w:t>
        </w:r>
      </w:hyperlink>
      <w:hyperlink r:id="rId129">
        <w:r w:rsidRPr="00FA52D0">
          <w:rPr>
            <w:rFonts w:asciiTheme="majorHAnsi" w:hAnsiTheme="majorHAnsi" w:cstheme="majorHAnsi"/>
            <w:color w:val="000000" w:themeColor="text1"/>
            <w:sz w:val="24"/>
            <w:szCs w:val="24"/>
            <w:u w:val="single"/>
          </w:rPr>
          <w:t>paad038.pdf (silverchair.com)</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108"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Stout P (2010) Equality and Diversity in Policing. Learning Matters Ltd, Exeter, UK</w:t>
      </w:r>
    </w:p>
    <w:p w14:paraId="00000109"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The Lammy Review (2017) An independent review into the treatment of, and outcomes for, Black, Asian and Minority Ethnic individuals in the Criminal Justice System</w:t>
      </w:r>
      <w:hyperlink r:id="rId130">
        <w:r w:rsidRPr="00FA52D0">
          <w:rPr>
            <w:rFonts w:asciiTheme="majorHAnsi" w:hAnsiTheme="majorHAnsi" w:cstheme="majorHAnsi"/>
            <w:color w:val="000000" w:themeColor="text1"/>
            <w:sz w:val="24"/>
            <w:szCs w:val="24"/>
          </w:rPr>
          <w:t xml:space="preserve"> </w:t>
        </w:r>
      </w:hyperlink>
      <w:hyperlink r:id="rId131">
        <w:r w:rsidRPr="00FA52D0">
          <w:rPr>
            <w:rFonts w:asciiTheme="majorHAnsi" w:hAnsiTheme="majorHAnsi" w:cstheme="majorHAnsi"/>
            <w:color w:val="000000" w:themeColor="text1"/>
            <w:sz w:val="24"/>
            <w:szCs w:val="24"/>
            <w:u w:val="single"/>
          </w:rPr>
          <w:t>The Lammy Review (publishing.service.gov.uk)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10A"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The Traveller Movement. (2021). Policing by consent: Understanding and Improving relations between Gypsies, Roma, Travellers and the police.</w:t>
      </w:r>
      <w:hyperlink r:id="rId132">
        <w:r w:rsidRPr="00FA52D0">
          <w:rPr>
            <w:rFonts w:asciiTheme="majorHAnsi" w:hAnsiTheme="majorHAnsi" w:cstheme="majorHAnsi"/>
            <w:color w:val="000000" w:themeColor="text1"/>
            <w:sz w:val="24"/>
            <w:szCs w:val="24"/>
          </w:rPr>
          <w:t xml:space="preserve"> </w:t>
        </w:r>
      </w:hyperlink>
      <w:hyperlink r:id="rId133">
        <w:r w:rsidRPr="00FA52D0">
          <w:rPr>
            <w:rFonts w:asciiTheme="majorHAnsi" w:hAnsiTheme="majorHAnsi" w:cstheme="majorHAnsi"/>
            <w:color w:val="000000" w:themeColor="text1"/>
            <w:sz w:val="24"/>
            <w:szCs w:val="24"/>
            <w:u w:val="single"/>
          </w:rPr>
          <w:t>Policing-by-Consent-Report-long.pdf (travellermovement.org.uk)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2024</w:t>
      </w:r>
    </w:p>
    <w:p w14:paraId="0000010B"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Welsh Government (2022) Anti-racist Wales Action Plan</w:t>
      </w:r>
      <w:hyperlink r:id="rId134">
        <w:r w:rsidRPr="00FA52D0">
          <w:rPr>
            <w:rFonts w:asciiTheme="majorHAnsi" w:hAnsiTheme="majorHAnsi" w:cstheme="majorHAnsi"/>
            <w:color w:val="000000" w:themeColor="text1"/>
            <w:sz w:val="24"/>
            <w:szCs w:val="24"/>
          </w:rPr>
          <w:t xml:space="preserve"> </w:t>
        </w:r>
      </w:hyperlink>
      <w:hyperlink r:id="rId135">
        <w:r w:rsidRPr="00FA52D0">
          <w:rPr>
            <w:rFonts w:asciiTheme="majorHAnsi" w:hAnsiTheme="majorHAnsi" w:cstheme="majorHAnsi"/>
            <w:color w:val="000000" w:themeColor="text1"/>
            <w:sz w:val="24"/>
            <w:szCs w:val="24"/>
            <w:u w:val="single"/>
          </w:rPr>
          <w:t>Anti-Racist Wales Action Plan (</w:t>
        </w:r>
        <w:proofErr w:type="spellStart"/>
        <w:r w:rsidRPr="00FA52D0">
          <w:rPr>
            <w:rFonts w:asciiTheme="majorHAnsi" w:hAnsiTheme="majorHAnsi" w:cstheme="majorHAnsi"/>
            <w:color w:val="000000" w:themeColor="text1"/>
            <w:sz w:val="24"/>
            <w:szCs w:val="24"/>
            <w:u w:val="single"/>
          </w:rPr>
          <w:t>gov.wales</w:t>
        </w:r>
        <w:proofErr w:type="spellEnd"/>
        <w:r w:rsidRPr="00FA52D0">
          <w:rPr>
            <w:rFonts w:asciiTheme="majorHAnsi" w:hAnsiTheme="majorHAnsi" w:cstheme="majorHAnsi"/>
            <w:color w:val="000000" w:themeColor="text1"/>
            <w:sz w:val="24"/>
            <w:szCs w:val="24"/>
            <w:u w:val="single"/>
          </w:rPr>
          <w:t>)</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10C" w14:textId="77777777" w:rsidR="00D67561" w:rsidRPr="00FA52D0" w:rsidRDefault="00000000">
      <w:pPr>
        <w:spacing w:before="240" w:after="240"/>
        <w:rPr>
          <w:rFonts w:asciiTheme="majorHAnsi" w:hAnsiTheme="majorHAnsi" w:cstheme="majorHAnsi"/>
          <w:color w:val="000000" w:themeColor="text1"/>
          <w:sz w:val="24"/>
          <w:szCs w:val="24"/>
        </w:rPr>
      </w:pPr>
      <w:r w:rsidRPr="00FA52D0">
        <w:rPr>
          <w:rFonts w:asciiTheme="majorHAnsi" w:hAnsiTheme="majorHAnsi" w:cstheme="majorHAnsi"/>
          <w:color w:val="000000" w:themeColor="text1"/>
          <w:sz w:val="24"/>
          <w:szCs w:val="24"/>
        </w:rPr>
        <w:t xml:space="preserve">West </w:t>
      </w:r>
      <w:proofErr w:type="gramStart"/>
      <w:r w:rsidRPr="00FA52D0">
        <w:rPr>
          <w:rFonts w:asciiTheme="majorHAnsi" w:hAnsiTheme="majorHAnsi" w:cstheme="majorHAnsi"/>
          <w:color w:val="000000" w:themeColor="text1"/>
          <w:sz w:val="24"/>
          <w:szCs w:val="24"/>
        </w:rPr>
        <w:t>R ,</w:t>
      </w:r>
      <w:proofErr w:type="gramEnd"/>
      <w:r w:rsidRPr="00FA52D0">
        <w:rPr>
          <w:rFonts w:asciiTheme="majorHAnsi" w:hAnsiTheme="majorHAnsi" w:cstheme="majorHAnsi"/>
          <w:color w:val="000000" w:themeColor="text1"/>
          <w:sz w:val="24"/>
          <w:szCs w:val="24"/>
        </w:rPr>
        <w:t xml:space="preserve"> Flanagan E (2023) Culture change through communications Applying behavioural science to communications in police forces to help combat sexism and misogyny. College of Policing</w:t>
      </w:r>
      <w:hyperlink r:id="rId136">
        <w:r w:rsidRPr="00FA52D0">
          <w:rPr>
            <w:rFonts w:asciiTheme="majorHAnsi" w:hAnsiTheme="majorHAnsi" w:cstheme="majorHAnsi"/>
            <w:color w:val="000000" w:themeColor="text1"/>
            <w:sz w:val="24"/>
            <w:szCs w:val="24"/>
          </w:rPr>
          <w:t xml:space="preserve"> </w:t>
        </w:r>
      </w:hyperlink>
      <w:hyperlink r:id="rId137">
        <w:r w:rsidRPr="00FA52D0">
          <w:rPr>
            <w:rFonts w:asciiTheme="majorHAnsi" w:hAnsiTheme="majorHAnsi" w:cstheme="majorHAnsi"/>
            <w:color w:val="000000" w:themeColor="text1"/>
            <w:sz w:val="24"/>
            <w:szCs w:val="24"/>
            <w:u w:val="single"/>
          </w:rPr>
          <w:t>Culture change through communications (college.police.uk)</w:t>
        </w:r>
      </w:hyperlink>
      <w:r w:rsidRPr="00FA52D0">
        <w:rPr>
          <w:rFonts w:asciiTheme="majorHAnsi" w:hAnsiTheme="majorHAnsi" w:cstheme="majorHAnsi"/>
          <w:color w:val="000000" w:themeColor="text1"/>
          <w:sz w:val="24"/>
          <w:szCs w:val="24"/>
        </w:rPr>
        <w:t xml:space="preserve"> Accessed April 21</w:t>
      </w:r>
      <w:r w:rsidRPr="00FA52D0">
        <w:rPr>
          <w:rFonts w:asciiTheme="majorHAnsi" w:hAnsiTheme="majorHAnsi" w:cstheme="majorHAnsi"/>
          <w:color w:val="000000" w:themeColor="text1"/>
          <w:sz w:val="24"/>
          <w:szCs w:val="24"/>
          <w:vertAlign w:val="superscript"/>
        </w:rPr>
        <w:t>st</w:t>
      </w:r>
      <w:r w:rsidRPr="00FA52D0">
        <w:rPr>
          <w:rFonts w:asciiTheme="majorHAnsi" w:hAnsiTheme="majorHAnsi" w:cstheme="majorHAnsi"/>
          <w:color w:val="000000" w:themeColor="text1"/>
          <w:sz w:val="24"/>
          <w:szCs w:val="24"/>
        </w:rPr>
        <w:t xml:space="preserve"> 2024</w:t>
      </w:r>
    </w:p>
    <w:p w14:paraId="0000010D" w14:textId="77777777" w:rsidR="00D67561" w:rsidRDefault="00D67561"/>
    <w:sectPr w:rsidR="00D6756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561"/>
    <w:rsid w:val="00D67561"/>
    <w:rsid w:val="00FA5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A0B73"/>
  <w15:docId w15:val="{8975B314-E27B-4F49-9F15-9D09877B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396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ewhamscp.org.uk/wp-content/uploads/2018/10/Serious-Case-Review-Chris-.pdf" TargetMode="External"/><Relationship Id="rId117" Type="http://schemas.openxmlformats.org/officeDocument/2006/relationships/hyperlink" Target="https://assets.production.copweb.aws.college.police.uk/s3fs-public/2023-12/Culture-change-through-communications.pdf" TargetMode="External"/><Relationship Id="rId21" Type="http://schemas.openxmlformats.org/officeDocument/2006/relationships/hyperlink" Target="https://doi.org/10.1080/09687599.2019.1680347" TargetMode="External"/><Relationship Id="rId42"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Relationship Id="rId47" Type="http://schemas.openxmlformats.org/officeDocument/2006/relationships/hyperlink" Target="https://phwwhocc.co.uk/wp-content/uploads/2022/02/ACEs-Trauma-informed-Literature-Review-English-Final.pdf" TargetMode="External"/><Relationship Id="rId63" Type="http://schemas.openxmlformats.org/officeDocument/2006/relationships/hyperlink" Target="https://assets.publishing.service.gov.uk/media/642af285ddf8ad0013ac0c9e/Changing_Futures_Evaluation_-_feasibility_study.pdf" TargetMode="External"/><Relationship Id="rId68" Type="http://schemas.openxmlformats.org/officeDocument/2006/relationships/hyperlink" Target="https://www.sciencedirect.com/journal/american-journal-of-preventive-medicine/vol/14/issue/4" TargetMode="External"/><Relationship Id="rId84" Type="http://schemas.openxmlformats.org/officeDocument/2006/relationships/hyperlink" Target="https://www.tandfonline.com/doi/epdf/10.3402/ejpt.v3i0.17246?needAccess=true" TargetMode="External"/><Relationship Id="rId89" Type="http://schemas.openxmlformats.org/officeDocument/2006/relationships/hyperlink" Target="https://vc.bridgew.edu/cgi/viewcontent.cgi?referer=https://scholar.google.nl/&amp;httpsredir=1&amp;article=1032&amp;context=crim_fac" TargetMode="External"/><Relationship Id="rId112" Type="http://schemas.openxmlformats.org/officeDocument/2006/relationships/hyperlink" Target="https://assets.publishing.service.gov.uk/government/uploads/system/uploads/attachment_data/file/831726/police-workforce-mar19-hosb1119.pdf" TargetMode="External"/><Relationship Id="rId133" Type="http://schemas.openxmlformats.org/officeDocument/2006/relationships/hyperlink" Target="https://wp-main.travellermovement.org.uk/wp-content/uploads/2021/09/Policing-by-Consent-Report-long.pdf" TargetMode="External"/><Relationship Id="rId138" Type="http://schemas.openxmlformats.org/officeDocument/2006/relationships/fontTable" Target="fontTable.xml"/><Relationship Id="rId16" Type="http://schemas.openxmlformats.org/officeDocument/2006/relationships/hyperlink" Target="https://aran.library.nuigalway.ie/handle/10379/4981" TargetMode="External"/><Relationship Id="rId107" Type="http://schemas.openxmlformats.org/officeDocument/2006/relationships/hyperlink" Target="https://www.apccs.police.uk/media/5817/diversity-equality-and-inclusion-in-policing-2019-report.pdf" TargetMode="External"/><Relationship Id="rId11" Type="http://schemas.openxmlformats.org/officeDocument/2006/relationships/hyperlink" Target="https://homelesshub.ca/sites/default/files/Cuckooing-Home%20takeovers%20of%20vulnerable%20tenants.pdf" TargetMode="External"/><Relationship Id="rId32" Type="http://schemas.openxmlformats.org/officeDocument/2006/relationships/hyperlink" Target="https://thecommissiononyounglives.co.uk/wp-content/uploads/2023/07/Keeping-Girls-And-Young-Women-Safe-MMU-and-COYL-report-.pdf" TargetMode="External"/><Relationship Id="rId37" Type="http://schemas.openxmlformats.org/officeDocument/2006/relationships/hyperlink" Target="https://www.nspcc.org.uk/what-is-child-abuse/types-of-abuse/gangs-criminal-exploitation/" TargetMode="External"/><Relationship Id="rId53" Type="http://schemas.openxmlformats.org/officeDocument/2006/relationships/hyperlink" Target="https://pubmed.ncbi.nlm.nih.gov/31469452/" TargetMode="External"/><Relationship Id="rId58" Type="http://schemas.openxmlformats.org/officeDocument/2006/relationships/hyperlink" Target="https://assets.publishing.service.gov.uk/media/5a7a36f2e5274a34770e5114/DFE-RR111.pdf" TargetMode="External"/><Relationship Id="rId74" Type="http://schemas.openxmlformats.org/officeDocument/2006/relationships/hyperlink" Target="https://doi.org/10.1080/0886571X.2012.676525" TargetMode="External"/><Relationship Id="rId79" Type="http://schemas.openxmlformats.org/officeDocument/2006/relationships/hyperlink" Target="https://www.justiceinspectorates.gov.uk/hmiprobation/wp-content/uploads/sites/5/2020/07/Academic-Insights-McCartan.pdf" TargetMode="External"/><Relationship Id="rId102" Type="http://schemas.openxmlformats.org/officeDocument/2006/relationships/hyperlink" Target="https://www.cipd.org/globalassets/media/knowledge/knowledge-hub/reports/7926-diversity-and-inclusion-report-revised_tcm18-65334.pdf" TargetMode="External"/><Relationship Id="rId123" Type="http://schemas.openxmlformats.org/officeDocument/2006/relationships/hyperlink" Target="https://www.lse.ac.uk/business/consulting/assets/documents/double-trouble-a-review-of-the-relationship-between-uk-poverty-and-economic-inequality.pdf" TargetMode="External"/><Relationship Id="rId128" Type="http://schemas.openxmlformats.org/officeDocument/2006/relationships/hyperlink" Target="https://watermark.silverchair.com/paad038.pdf?token=AQECAHi208BE49Ooan9kkhW_Ercy7Dm3ZL_9Cf3qfKAc485ysgAAA2cwggNjBgkqhkiG9w0BBwagggNUMIIDUAIBADCCA0kGCSqGSIb3DQEHATAeBglghkgBZQMEAS4wEQQMjmVTbJnrOJLOzV1gAgEQgIIDGrDEKkgv2-riVu8kcE0GBEXpKy_BfMTbyNiL7M56TcvyDnlfm6KwtIwNbk4i_487pJi3d-zt79RkGCIgzcivxKkSYq_F0jfA9WR2htlDkDkyM2E9ym8KXC9QEb9RNcGDNwR5W5JRJyOS23snaY6Z3GVjHZNwNuo4Ix4GuYlwyQwG3QdRGcKze-xWpZZ0w4EJvSn30-QuorkVrYaw68_rDiStRAJsKWeN1ZAt53NBmNfFnDOi5ZFlccywDnDL9Kc4-YR7djr_YOmlU1bNPqBCGFhPBcyrcFOS7r3lnJPBVa7xe5MRSijbxcqF54YTjm0fBn35vyoargQB5DOTyo1WV544aPq2UU-RPIve3osAAc30izcjlT7dC5cFQy08mXts59Mmc0R8aWCaFBnnRxW_51MKxLwqFON9kS4W9zQ7MvdVkFM9m8QHtvwrt43jur9Knc5yPBGcasj40dxTz_p_ZyH7GlxhZKorLCg0G8f7NmngZmELl-6L5wbsStBzhFHMbY_wKLYMYmPz8suH2vJikOug9ijbRgicTZXHcy3GZUu5NDnoGbOgj58kzk8y08_JavH5bpZz79AmkIIl2E5DZ2n3eO6mTcUiGjMuDI36Irwj7yMhyQXwuIZE_OUw9VO8zAC8mA_7TKtPt_6qVQZTF_sQGkWBSfM-iNiQZZ-eack2Qw0nrW8_Jyd506sys6LqZ7612xM_bd5QdIRsasvXTa9OzR1sNRSKbYo9sOoHSG-OtcrDIgi-2XMlmM8iVrmW5dcAi4GQxTqxh6-K1wXp6swpZFraXTqFg_Y923S02Mz-aVGgrPg5T4pza1cCevoF8rYm2zPdJ1PPZF5NrMuLboVQvLE7I0XScOlib40bHmromU6WpT8aHY-3hBV1lUG-WnQVKBo0H_sQkqlXkXfRbgq0_GrG4nkKPOHgqQ2-PCr2aoAo3jlm7HpykQchwogUdhLbLB0Y9WC6KV0HoqOiiL9A9Jpkh_TW06pIHSHj0lTqbQO7QxuEncdTSAWXZWnXu_a0VhMDd_FiBDVcwSIP5uoZ87gEmGY3bJeN" TargetMode="External"/><Relationship Id="rId5" Type="http://schemas.openxmlformats.org/officeDocument/2006/relationships/hyperlink" Target="https://www.npcc.police.uk/SysSiteAssets/media/downloads/publications/publications-log/local-policing-coordination-committee/2023/national-guidance-2023-final.pdf" TargetMode="External"/><Relationship Id="rId90" Type="http://schemas.openxmlformats.org/officeDocument/2006/relationships/hyperlink" Target="https://vc.bridgew.edu/cgi/viewcontent.cgi?referer=https://scholar.google.nl/&amp;httpsredir=1&amp;article=1032&amp;context=crim_fac" TargetMode="External"/><Relationship Id="rId95" Type="http://schemas.openxmlformats.org/officeDocument/2006/relationships/hyperlink" Target="https://ncsacw.acf.hhs.gov/userfiles/files/SAMHSA_Trauma.pdf" TargetMode="External"/><Relationship Id="rId22" Type="http://schemas.openxmlformats.org/officeDocument/2006/relationships/hyperlink" Target="https://doi.org/10.1080/09687599.2019.1680347" TargetMode="External"/><Relationship Id="rId27"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43" Type="http://schemas.openxmlformats.org/officeDocument/2006/relationships/hyperlink" Target="https://research.edgehill.ac.uk/ws/portalfiles/portal/28769662/PhD.pdf" TargetMode="External"/><Relationship Id="rId48" Type="http://schemas.openxmlformats.org/officeDocument/2006/relationships/hyperlink" Target="https://phwwhocc.co.uk/wp-content/uploads/2022/02/ACEs-Trauma-informed-Literature-Review-English-Final.pdf" TargetMode="External"/><Relationship Id="rId64" Type="http://schemas.openxmlformats.org/officeDocument/2006/relationships/hyperlink" Target="https://assets.publishing.service.gov.uk/media/642af3a77de82b000c31350d/Changing_Futures_Evaluation_-_Trauma_informed_approaches_REA.pdf" TargetMode="External"/><Relationship Id="rId69" Type="http://schemas.openxmlformats.org/officeDocument/2006/relationships/hyperlink" Target="https://www.sciencedirect.com/journal/american-journal-of-preventive-medicine/vol/14/issue/4" TargetMode="External"/><Relationship Id="rId113" Type="http://schemas.openxmlformats.org/officeDocument/2006/relationships/hyperlink" Target="https://assets.publishing.service.gov.uk/media/5a78966aed915d07d35b0dcc/prevent-strategy-review.pdf" TargetMode="External"/><Relationship Id="rId118" Type="http://schemas.openxmlformats.org/officeDocument/2006/relationships/hyperlink" Target="https://assets.production.copweb.aws.college.police.uk/s3fs-public/2023-12/Culture-change-through-communications.pdf" TargetMode="External"/><Relationship Id="rId134" Type="http://schemas.openxmlformats.org/officeDocument/2006/relationships/hyperlink" Target="https://www.gov.wales/sites/default/files/publications/2022-06/anti-racist-wales-action-plan_0.pdf" TargetMode="External"/><Relationship Id="rId139" Type="http://schemas.openxmlformats.org/officeDocument/2006/relationships/theme" Target="theme/theme1.xml"/><Relationship Id="rId8" Type="http://schemas.openxmlformats.org/officeDocument/2006/relationships/hyperlink" Target="https://ssrn.com/abstract=1978372" TargetMode="External"/><Relationship Id="rId51" Type="http://schemas.openxmlformats.org/officeDocument/2006/relationships/hyperlink" Target="https://psycnet.apa.org/doi/10.1007/978-3-031-32597-7_9" TargetMode="External"/><Relationship Id="rId72" Type="http://schemas.openxmlformats.org/officeDocument/2006/relationships/hyperlink" Target="https://www.justiceinspectorates.gov.uk/hmiprobation/wp-content/uploads/sites/5/2021/11/Academic-Insights-Gray-et-al.pdf" TargetMode="External"/><Relationship Id="rId80" Type="http://schemas.openxmlformats.org/officeDocument/2006/relationships/hyperlink" Target="https://www.justiceinspectorates.gov.uk/hmiprobation/wp-content/uploads/sites/5/2020/07/Academic-Insights-McCartan.pdf" TargetMode="External"/><Relationship Id="rId85" Type="http://schemas.openxmlformats.org/officeDocument/2006/relationships/hyperlink" Target="https://assets.publishing.service.gov.uk/media/6061b42c8fa8f56036b1902f/Troubled_Families_Annual_Report_2021.pdf" TargetMode="External"/><Relationship Id="rId93" Type="http://schemas.openxmlformats.org/officeDocument/2006/relationships/hyperlink" Target="https://www.gov.scot/publications/works-prevent-youth-violence-summary-evidence/documents/" TargetMode="External"/><Relationship Id="rId98" Type="http://schemas.openxmlformats.org/officeDocument/2006/relationships/hyperlink" Target="https://www.tandfonline.com/doi/epdf/10.1080/15614263.2023.2231593?needAccess=true" TargetMode="External"/><Relationship Id="rId121" Type="http://schemas.openxmlformats.org/officeDocument/2006/relationships/hyperlink" Target="https://www.mckinsey.com/~/media/mckinsey/featured%20insights/diversity%20and%20inclusion/diversity%20wins%20how%20inclusion%20matters/diversity-wins-how-inclusion-matters-vf.pdf" TargetMode="External"/><Relationship Id="rId3" Type="http://schemas.openxmlformats.org/officeDocument/2006/relationships/webSettings" Target="webSettings.xml"/><Relationship Id="rId12" Type="http://schemas.openxmlformats.org/officeDocument/2006/relationships/hyperlink" Target="https://homelesshub.ca/sites/default/files/Cuckooing-Home%20takeovers%20of%20vulnerable%20tenants.pdf" TargetMode="External"/><Relationship Id="rId17" Type="http://schemas.openxmlformats.org/officeDocument/2006/relationships/hyperlink" Target="https://aran.library.nuigalway.ie/handle/10379/4981" TargetMode="External"/><Relationship Id="rId25" Type="http://schemas.openxmlformats.org/officeDocument/2006/relationships/hyperlink" Target="https://www.newhamscp.org.uk/wp-content/uploads/2018/10/Serious-Case-Review-Chris-.pdf" TargetMode="External"/><Relationship Id="rId33" Type="http://schemas.openxmlformats.org/officeDocument/2006/relationships/hyperlink" Target="https://thecommissiononyounglives.co.uk/wp-content/uploads/2023/07/Keeping-Girls-And-Young-Women-Safe-MMU-and-COYL-report-.pdf" TargetMode="External"/><Relationship Id="rId38" Type="http://schemas.openxmlformats.org/officeDocument/2006/relationships/hyperlink" Target="https://www.nspcc.org.uk/what-is-child-abuse/types-of-abuse/gangs-criminal-exploitation/" TargetMode="External"/><Relationship Id="rId46" Type="http://schemas.openxmlformats.org/officeDocument/2006/relationships/hyperlink" Target="https://doi.org/10.1080/09687599.2019.1688646" TargetMode="External"/><Relationship Id="rId59" Type="http://schemas.openxmlformats.org/officeDocument/2006/relationships/hyperlink" Target="https://assets.publishing.service.gov.uk/media/642af3507de82b000c31350c/Changing_Futures_Evaluation_-_Frontline_support_models_REA.pdf" TargetMode="External"/><Relationship Id="rId67" Type="http://schemas.openxmlformats.org/officeDocument/2006/relationships/hyperlink" Target="https://www.sciencedirect.com/journal/american-journal-of-preventive-medicine" TargetMode="External"/><Relationship Id="rId103" Type="http://schemas.openxmlformats.org/officeDocument/2006/relationships/hyperlink" Target="https://www.college.police.uk/article/diversity-and-inclusion-cpd-in-focus" TargetMode="External"/><Relationship Id="rId108" Type="http://schemas.openxmlformats.org/officeDocument/2006/relationships/hyperlink" Target="https://www.equalityhumanrights.com/equality/equality-act-2010" TargetMode="External"/><Relationship Id="rId116" Type="http://schemas.openxmlformats.org/officeDocument/2006/relationships/hyperlink" Target="https://www.n8research.org.uk/media/CommunityEngagement_EvidenceReview.pdf" TargetMode="External"/><Relationship Id="rId124" Type="http://schemas.openxmlformats.org/officeDocument/2006/relationships/hyperlink" Target="https://www.lse.ac.uk/business/consulting/assets/documents/double-trouble-a-review-of-the-relationship-between-uk-poverty-and-economic-inequality.pdf" TargetMode="External"/><Relationship Id="rId129" Type="http://schemas.openxmlformats.org/officeDocument/2006/relationships/hyperlink" Target="https://watermark.silverchair.com/paad038.pdf?token=AQECAHi208BE49Ooan9kkhW_Ercy7Dm3ZL_9Cf3qfKAc485ysgAAA2cwggNjBgkqhkiG9w0BBwagggNUMIIDUAIBADCCA0kGCSqGSIb3DQEHATAeBglghkgBZQMEAS4wEQQMjmVTbJnrOJLOzV1gAgEQgIIDGrDEKkgv2-riVu8kcE0GBEXpKy_BfMTbyNiL7M56TcvyDnlfm6KwtIwNbk4i_487pJi3d-zt79RkGCIgzcivxKkSYq_F0jfA9WR2htlDkDkyM2E9ym8KXC9QEb9RNcGDNwR5W5JRJyOS23snaY6Z3GVjHZNwNuo4Ix4GuYlwyQwG3QdRGcKze-xWpZZ0w4EJvSn30-QuorkVrYaw68_rDiStRAJsKWeN1ZAt53NBmNfFnDOi5ZFlccywDnDL9Kc4-YR7djr_YOmlU1bNPqBCGFhPBcyrcFOS7r3lnJPBVa7xe5MRSijbxcqF54YTjm0fBn35vyoargQB5DOTyo1WV544aPq2UU-RPIve3osAAc30izcjlT7dC5cFQy08mXts59Mmc0R8aWCaFBnnRxW_51MKxLwqFON9kS4W9zQ7MvdVkFM9m8QHtvwrt43jur9Knc5yPBGcasj40dxTz_p_ZyH7GlxhZKorLCg0G8f7NmngZmELl-6L5wbsStBzhFHMbY_wKLYMYmPz8suH2vJikOug9ijbRgicTZXHcy3GZUu5NDnoGbOgj58kzk8y08_JavH5bpZz79AmkIIl2E5DZ2n3eO6mTcUiGjMuDI36Irwj7yMhyQXwuIZE_OUw9VO8zAC8mA_7TKtPt_6qVQZTF_sQGkWBSfM-iNiQZZ-eack2Qw0nrW8_Jyd506sys6LqZ7612xM_bd5QdIRsasvXTa9OzR1sNRSKbYo9sOoHSG-OtcrDIgi-2XMlmM8iVrmW5dcAi4GQxTqxh6-K1wXp6swpZFraXTqFg_Y923S02Mz-aVGgrPg5T4pza1cCevoF8rYm2zPdJ1PPZF5NrMuLboVQvLE7I0XScOlib40bHmromU6WpT8aHY-3hBV1lUG-WnQVKBo0H_sQkqlXkXfRbgq0_GrG4nkKPOHgqQ2-PCr2aoAo3jlm7HpykQchwogUdhLbLB0Y9WC6KV0HoqOiiL9A9Jpkh_TW06pIHSHj0lTqbQO7QxuEncdTSAWXZWnXu_a0VhMDd_FiBDVcwSIP5uoZ87gEmGY3bJeN" TargetMode="External"/><Relationship Id="rId137" Type="http://schemas.openxmlformats.org/officeDocument/2006/relationships/hyperlink" Target="https://assets.production.copweb.aws.college.police.uk/s3fs-public/2023-12/Culture-change-through-communications.pdf" TargetMode="External"/><Relationship Id="rId20" Type="http://schemas.openxmlformats.org/officeDocument/2006/relationships/hyperlink" Target="https://research.bangor.ac.uk/portal/en/researchoutputs/a-process-and-feasibility-evaluation-of-the-pilot-adverse-childhood-experience-ace-informed-approach-to-policing-vulnerability-training(4d39e14a-bc6e-4005-99b1-41fb31988231).html" TargetMode="External"/><Relationship Id="rId41"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Relationship Id="rId54" Type="http://schemas.openxmlformats.org/officeDocument/2006/relationships/hyperlink" Target="https://pubmed.ncbi.nlm.nih.gov/31469452/" TargetMode="External"/><Relationship Id="rId62" Type="http://schemas.openxmlformats.org/officeDocument/2006/relationships/hyperlink" Target="https://assets.publishing.service.gov.uk/media/642af285ddf8ad0013ac0c9e/Changing_Futures_Evaluation_-_feasibility_study.pdf" TargetMode="External"/><Relationship Id="rId70" Type="http://schemas.openxmlformats.org/officeDocument/2006/relationships/hyperlink" Target="https://www.ajpmonline.org/article/S0749-3797(98)00017-8/fulltext" TargetMode="External"/><Relationship Id="rId75" Type="http://schemas.openxmlformats.org/officeDocument/2006/relationships/hyperlink" Target="https://doi.org/10.1177/15412040221133106" TargetMode="External"/><Relationship Id="rId83" Type="http://schemas.openxmlformats.org/officeDocument/2006/relationships/hyperlink" Target="https://www.tandfonline.com/doi/epdf/10.3402/ejpt.v3i0.17246?needAccess=true" TargetMode="External"/><Relationship Id="rId88" Type="http://schemas.openxmlformats.org/officeDocument/2006/relationships/hyperlink" Target="https://pure.aber.ac.uk/ws/portalfiles/portal/50321256/Child_First_Prevention_Pathfinder_Evaluation_Ceredigion_YJS_2022.pdf" TargetMode="External"/><Relationship Id="rId91" Type="http://schemas.openxmlformats.org/officeDocument/2006/relationships/hyperlink" Target="http://sersc.org/journals/index.php/IJAST/article/view/7013" TargetMode="External"/><Relationship Id="rId96" Type="http://schemas.openxmlformats.org/officeDocument/2006/relationships/hyperlink" Target="https://ncsacw.acf.hhs.gov/userfiles/files/SAMHSA_Trauma.pdf" TargetMode="External"/><Relationship Id="rId111" Type="http://schemas.openxmlformats.org/officeDocument/2006/relationships/hyperlink" Target="https://committees.parliament.uk/publications/7012/documents/89144/default/" TargetMode="External"/><Relationship Id="rId132" Type="http://schemas.openxmlformats.org/officeDocument/2006/relationships/hyperlink" Target="https://wp-main.travellermovement.org.uk/wp-content/uploads/2021/09/Policing-by-Consent-Report-long.pdf" TargetMode="External"/><Relationship Id="rId1" Type="http://schemas.openxmlformats.org/officeDocument/2006/relationships/styles" Target="styles.xml"/><Relationship Id="rId6" Type="http://schemas.openxmlformats.org/officeDocument/2006/relationships/hyperlink" Target="https://assets.college.police.uk/s3fs-public/moj-victims-code-2020.pdf" TargetMode="External"/><Relationship Id="rId15" Type="http://schemas.openxmlformats.org/officeDocument/2006/relationships/hyperlink" Target="https://respect.international/wp-content/uploads/2022/11/Debt-Bondage-in-a-Criminal-Exploitation-and-County-Lines-Context-A-Support-Resource-for-Professionals.pdf" TargetMode="External"/><Relationship Id="rId23" Type="http://schemas.openxmlformats.org/officeDocument/2006/relationships/hyperlink" Target="https://doi.org/10.1080/09687599.2019.1624151" TargetMode="External"/><Relationship Id="rId28"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36" Type="http://schemas.openxmlformats.org/officeDocument/2006/relationships/hyperlink" Target="https://www.childrenscommissioner.gov.uk/wp-content/uploads/2019/02/CCO-Gangs.pdf" TargetMode="External"/><Relationship Id="rId49" Type="http://schemas.openxmlformats.org/officeDocument/2006/relationships/hyperlink" Target="http://www.justice.gov.uk/publications/researchand-analysis/moj" TargetMode="External"/><Relationship Id="rId57" Type="http://schemas.openxmlformats.org/officeDocument/2006/relationships/hyperlink" Target="https://assets.publishing.service.gov.uk/media/5a7a36f2e5274a34770e5114/DFE-RR111.pdf" TargetMode="External"/><Relationship Id="rId106" Type="http://schemas.openxmlformats.org/officeDocument/2006/relationships/hyperlink" Target="https://www.apccs.police.uk/media/5817/diversity-equality-and-inclusion-in-policing-2019-report.pdf" TargetMode="External"/><Relationship Id="rId114" Type="http://schemas.openxmlformats.org/officeDocument/2006/relationships/hyperlink" Target="https://assets.publishing.service.gov.uk/media/5a78966aed915d07d35b0dcc/prevent-strategy-review.pdf" TargetMode="External"/><Relationship Id="rId119" Type="http://schemas.openxmlformats.org/officeDocument/2006/relationships/hyperlink" Target="https://assets.publishing.service.gov.uk/media/5a7c2af540f0b645ba3c7202/4262.pdf" TargetMode="External"/><Relationship Id="rId127" Type="http://schemas.openxmlformats.org/officeDocument/2006/relationships/hyperlink" Target="https://doi.org/10.1093/police/paad038" TargetMode="External"/><Relationship Id="rId10" Type="http://schemas.openxmlformats.org/officeDocument/2006/relationships/hyperlink" Target="https://www.craigbarlow.co.uk/_webedit/uploaded-files/All%20Files/Shanna%27s%20Folder/Barlow%20et%20al%20Circles%20of%20Analysis%202021.pdf" TargetMode="External"/><Relationship Id="rId31" Type="http://schemas.openxmlformats.org/officeDocument/2006/relationships/hyperlink" Target="https://assets.publishing.service.gov.uk/media/5acb21d140f0b64fed0afd55/serious-violence-strategy.pdf" TargetMode="External"/><Relationship Id="rId44" Type="http://schemas.openxmlformats.org/officeDocument/2006/relationships/hyperlink" Target="https://research.edgehill.ac.uk/ws/portalfiles/portal/28769662/PhD.pdf" TargetMode="External"/><Relationship Id="rId52" Type="http://schemas.openxmlformats.org/officeDocument/2006/relationships/hyperlink" Target="https://doi.org/10.1177/1541204020972487" TargetMode="External"/><Relationship Id="rId60" Type="http://schemas.openxmlformats.org/officeDocument/2006/relationships/hyperlink" Target="https://assets.publishing.service.gov.uk/media/642af3507de82b000c31350c/Changing_Futures_Evaluation_-_Frontline_support_models_REA.pdf" TargetMode="External"/><Relationship Id="rId65" Type="http://schemas.openxmlformats.org/officeDocument/2006/relationships/hyperlink" Target="https://assets.publishing.service.gov.uk/media/642af3a77de82b000c31350d/Changing_Futures_Evaluation_-_Trauma_informed_approaches_REA.pdf" TargetMode="External"/><Relationship Id="rId73" Type="http://schemas.openxmlformats.org/officeDocument/2006/relationships/hyperlink" Target="https://www.justiceinspectorates.gov.uk/hmiprobation/wp-content/uploads/sites/5/2021/11/Academic-Insights-Gray-et-al.pdf" TargetMode="External"/><Relationship Id="rId78" Type="http://schemas.openxmlformats.org/officeDocument/2006/relationships/hyperlink" Target="https://www.svru.co.uk/wp-content/uploads/2022/05/Martina-Manica-Approaches-to-reducing-violent-youth-offending-Evidence-Review-.pdf" TargetMode="External"/><Relationship Id="rId81" Type="http://schemas.openxmlformats.org/officeDocument/2006/relationships/hyperlink" Target="https://onlinelibrary.wiley.com/doi/book/10.1002/9780470713464" TargetMode="External"/><Relationship Id="rId86" Type="http://schemas.openxmlformats.org/officeDocument/2006/relationships/hyperlink" Target="https://assets.publishing.service.gov.uk/media/6061b42c8fa8f56036b1902f/Troubled_Families_Annual_Report_2021.pdf" TargetMode="External"/><Relationship Id="rId94" Type="http://schemas.openxmlformats.org/officeDocument/2006/relationships/hyperlink" Target="https://www.gov.scot/publications/works-prevent-youth-violence-summary-evidence/documents/" TargetMode="External"/><Relationship Id="rId99" Type="http://schemas.openxmlformats.org/officeDocument/2006/relationships/hyperlink" Target="https://www.ncbi.nlm.nih.gov/pubmed/27618543" TargetMode="External"/><Relationship Id="rId101" Type="http://schemas.openxmlformats.org/officeDocument/2006/relationships/hyperlink" Target="https://www.cipd.org/globalassets/media/knowledge/knowledge-hub/reports/7926-diversity-and-inclusion-report-revised_tcm18-65334.pdf" TargetMode="External"/><Relationship Id="rId122" Type="http://schemas.openxmlformats.org/officeDocument/2006/relationships/hyperlink" Target="https://www.mckinsey.com/~/media/mckinsey/featured%20insights/diversity%20and%20inclusion/diversity%20wins%20how%20inclusion%20matters/diversity-wins-how-inclusion-matters-vf.pdf" TargetMode="External"/><Relationship Id="rId130" Type="http://schemas.openxmlformats.org/officeDocument/2006/relationships/hyperlink" Target="https://assets.publishing.service.gov.uk/media/5a82009040f0b62305b91f49/lammy-review-final-report.pdf" TargetMode="External"/><Relationship Id="rId135" Type="http://schemas.openxmlformats.org/officeDocument/2006/relationships/hyperlink" Target="https://www.gov.wales/sites/default/files/publications/2022-06/anti-racist-wales-action-plan_0.pdf" TargetMode="External"/><Relationship Id="rId4" Type="http://schemas.openxmlformats.org/officeDocument/2006/relationships/hyperlink" Target="https://www.npcc.police.uk/SysSiteAssets/media/downloads/publications/publications-log/local-policing-coordination-committee/2023/national-guidance-2023-final.pdf" TargetMode="External"/><Relationship Id="rId9" Type="http://schemas.openxmlformats.org/officeDocument/2006/relationships/hyperlink" Target="https://www.craigbarlow.co.uk/_webedit/uploaded-files/All%20Files/Shanna%27s%20Folder/Barlow%20et%20al%20Circles%20of%20Analysis%202021.pdf" TargetMode="External"/><Relationship Id="rId13" Type="http://schemas.openxmlformats.org/officeDocument/2006/relationships/hyperlink" Target="https://www.childrenscommissioner.gov.uk/wp-content/uploads/2019/02/CCO-Gangs.pdf" TargetMode="External"/><Relationship Id="rId18" Type="http://schemas.openxmlformats.org/officeDocument/2006/relationships/hyperlink" Target="https://research.bangor.ac.uk/portal/files/23440237/RespondingToACEs_PHW2019_english.pdf" TargetMode="External"/><Relationship Id="rId39" Type="http://schemas.openxmlformats.org/officeDocument/2006/relationships/hyperlink" Target="https://irep.ntu.ac.uk/id/eprint/44335/" TargetMode="External"/><Relationship Id="rId109" Type="http://schemas.openxmlformats.org/officeDocument/2006/relationships/hyperlink" Target="https://www.equalityhumanrights.com/equality/equality-act-2010" TargetMode="External"/><Relationship Id="rId34" Type="http://schemas.openxmlformats.org/officeDocument/2006/relationships/hyperlink" Target="https://doi.org/10.1080/09687599.2022.2071680" TargetMode="External"/><Relationship Id="rId50" Type="http://schemas.openxmlformats.org/officeDocument/2006/relationships/hyperlink" Target="http://www.justice.gov.uk/publications/researchand-analysis/moj" TargetMode="External"/><Relationship Id="rId55" Type="http://schemas.openxmlformats.org/officeDocument/2006/relationships/hyperlink" Target="https://www.gov.wales/sites/default/files/statistics-and-research/2019-07/170328-evaluation-enhanced-case-management-approach-en.pdf" TargetMode="External"/><Relationship Id="rId76" Type="http://schemas.openxmlformats.org/officeDocument/2006/relationships/hyperlink" Target="https://doi.org/10.1177/15412040221133106" TargetMode="External"/><Relationship Id="rId97" Type="http://schemas.openxmlformats.org/officeDocument/2006/relationships/hyperlink" Target="https://www.tandfonline.com/doi/epdf/10.1080/15614263.2023.2231593?needAccess=true" TargetMode="External"/><Relationship Id="rId104" Type="http://schemas.openxmlformats.org/officeDocument/2006/relationships/hyperlink" Target="https://www.college.police.uk/article/diversity-and-inclusion-cpd-in-focus" TargetMode="External"/><Relationship Id="rId120" Type="http://schemas.openxmlformats.org/officeDocument/2006/relationships/hyperlink" Target="https://assets.publishing.service.gov.uk/media/5a7c2af540f0b645ba3c7202/4262.pdf" TargetMode="External"/><Relationship Id="rId125" Type="http://schemas.openxmlformats.org/officeDocument/2006/relationships/hyperlink" Target="https://www.npcc.police.uk/SysSiteAssets/media/downloads/our-work/race-action-plan/police-race-action-plan-improving-policing-for-black-people.pdf" TargetMode="External"/><Relationship Id="rId7" Type="http://schemas.openxmlformats.org/officeDocument/2006/relationships/hyperlink" Target="https://assets.college.police.uk/s3fs-public/moj-victims-code-2020.pdf" TargetMode="External"/><Relationship Id="rId71" Type="http://schemas.openxmlformats.org/officeDocument/2006/relationships/hyperlink" Target="https://www.ajpmonline.org/article/S0749-3797(98)00017-8/fulltext" TargetMode="External"/><Relationship Id="rId92" Type="http://schemas.openxmlformats.org/officeDocument/2006/relationships/hyperlink" Target="http://sersc.org/journals/index.php/IJAST/article/view/7013" TargetMode="External"/><Relationship Id="rId2" Type="http://schemas.openxmlformats.org/officeDocument/2006/relationships/settings" Target="settings.xml"/><Relationship Id="rId29" Type="http://schemas.openxmlformats.org/officeDocument/2006/relationships/hyperlink" Target="https://assets.publishing.service.gov.uk/media/65cb4349a7ded0000c79e4e1/Working_together_to_safeguard_children_2023_-_statutory_guidance.pdf" TargetMode="External"/><Relationship Id="rId24" Type="http://schemas.openxmlformats.org/officeDocument/2006/relationships/hyperlink" Target="https://doi.org/10.1080/09687599.2019.1624151" TargetMode="External"/><Relationship Id="rId40" Type="http://schemas.openxmlformats.org/officeDocument/2006/relationships/hyperlink" Target="https://irep.ntu.ac.uk/id/eprint/44335/" TargetMode="External"/><Relationship Id="rId45" Type="http://schemas.openxmlformats.org/officeDocument/2006/relationships/hyperlink" Target="https://doi.org/10.1080/09687599.2019.1688646" TargetMode="External"/><Relationship Id="rId66" Type="http://schemas.openxmlformats.org/officeDocument/2006/relationships/hyperlink" Target="https://www.sciencedirect.com/journal/american-journal-of-preventive-medicine" TargetMode="External"/><Relationship Id="rId87" Type="http://schemas.openxmlformats.org/officeDocument/2006/relationships/hyperlink" Target="https://pure.aber.ac.uk/ws/portalfiles/portal/50321256/Child_First_Prevention_Pathfinder_Evaluation_Ceredigion_YJS_2022.pdf" TargetMode="External"/><Relationship Id="rId110" Type="http://schemas.openxmlformats.org/officeDocument/2006/relationships/hyperlink" Target="https://committees.parliament.uk/publications/7012/documents/89144/default/" TargetMode="External"/><Relationship Id="rId115" Type="http://schemas.openxmlformats.org/officeDocument/2006/relationships/hyperlink" Target="https://www.n8research.org.uk/media/CommunityEngagement_EvidenceReview.pdf" TargetMode="External"/><Relationship Id="rId131" Type="http://schemas.openxmlformats.org/officeDocument/2006/relationships/hyperlink" Target="https://assets.publishing.service.gov.uk/media/5a82009040f0b62305b91f49/lammy-review-final-report.pdf" TargetMode="External"/><Relationship Id="rId136" Type="http://schemas.openxmlformats.org/officeDocument/2006/relationships/hyperlink" Target="https://assets.production.copweb.aws.college.police.uk/s3fs-public/2023-12/Culture-change-through-communications.pdf" TargetMode="External"/><Relationship Id="rId61" Type="http://schemas.openxmlformats.org/officeDocument/2006/relationships/hyperlink" Target="https://assets.publishing.service.gov.uk/media/642af3507de82b000c31350c/Changing_Futures_Evaluation_-_Frontline_support_models_REA.pdf" TargetMode="External"/><Relationship Id="rId82" Type="http://schemas.openxmlformats.org/officeDocument/2006/relationships/hyperlink" Target="https://onlinelibrary.wiley.com/doi/book/10.1002/9780470713464" TargetMode="External"/><Relationship Id="rId19" Type="http://schemas.openxmlformats.org/officeDocument/2006/relationships/hyperlink" Target="https://research.bangor.ac.uk/portal/files/23440237/RespondingToACEs_PHW2019_english.pdf" TargetMode="External"/><Relationship Id="rId14" Type="http://schemas.openxmlformats.org/officeDocument/2006/relationships/hyperlink" Target="https://respect.international/wp-content/uploads/2022/11/Debt-Bondage-in-a-Criminal-Exploitation-and-County-Lines-Context-A-Support-Resource-for-Professionals.pdf" TargetMode="External"/><Relationship Id="rId30" Type="http://schemas.openxmlformats.org/officeDocument/2006/relationships/hyperlink" Target="https://assets.publishing.service.gov.uk/media/5acb21d140f0b64fed0afd55/serious-violence-strategy.pdf" TargetMode="External"/><Relationship Id="rId35" Type="http://schemas.openxmlformats.org/officeDocument/2006/relationships/hyperlink" Target="https://doi.org/10.1080/09687599.2022.2071680" TargetMode="External"/><Relationship Id="rId56" Type="http://schemas.openxmlformats.org/officeDocument/2006/relationships/hyperlink" Target="https://www.gov.wales/sites/default/files/statistics-and-research/2019-07/170328-evaluation-enhanced-case-management-approach-en.pdf" TargetMode="External"/><Relationship Id="rId77" Type="http://schemas.openxmlformats.org/officeDocument/2006/relationships/hyperlink" Target="https://www.svru.co.uk/wp-content/uploads/2022/05/Martina-Manica-Approaches-to-reducing-violent-youth-offending-Evidence-Review-.pdf" TargetMode="External"/><Relationship Id="rId100" Type="http://schemas.openxmlformats.org/officeDocument/2006/relationships/hyperlink" Target="http://dx.doi.org/10.1037/bul0000067" TargetMode="External"/><Relationship Id="rId105" Type="http://schemas.openxmlformats.org/officeDocument/2006/relationships/hyperlink" Target="https://assets.production.copweb.aws.college.police.uk/s3fs-public/2020-08/future-operating-environment-2040.pdf" TargetMode="External"/><Relationship Id="rId126" Type="http://schemas.openxmlformats.org/officeDocument/2006/relationships/hyperlink" Target="https://www.npcc.police.uk/SysSiteAssets/media/downloads/our-work/race-action-plan/police-race-action-plan-improving-policing-for-black-peop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24</Pages>
  <Words>10702</Words>
  <Characters>61006</Characters>
  <Application>Microsoft Office Word</Application>
  <DocSecurity>0</DocSecurity>
  <Lines>508</Lines>
  <Paragraphs>143</Paragraphs>
  <ScaleCrop>false</ScaleCrop>
  <Company>Gwent Police</Company>
  <LinksUpToDate>false</LinksUpToDate>
  <CharactersWithSpaces>71565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Curran, Christie</dc:creator>
  <cp:lastModifiedBy>Curran, Christie</cp:lastModifiedBy>
  <cp:revision>2</cp:revision>
  <dcterms:created xsi:type="dcterms:W3CDTF">2024-04-21T19:56:00Z</dcterms:created>
  <dcterms:modified xsi:type="dcterms:W3CDTF">2024-04-21T19:56:00Z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2024-04-21T19:56:12Z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dd875430-c0a6-4c71-94ee-3978cb7edbdd</vt:lpwstr>
  </property>
  <property fmtid="{D5CDD505-2E9C-101B-9397-08002B2CF9AE}" pid="8" name="MSIP_Label_f2acd28b-79a3-4a0f-b0ff-4b75658b1549_ContentBits">
    <vt:lpwstr>0</vt:lpwstr>
  </property>
</Properties>
</file>