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shd w:val="clear" w:color="auto" w:fill="92D050"/>
        <w:tblLook w:val="04A0" w:firstRow="1" w:lastRow="0" w:firstColumn="1" w:lastColumn="0" w:noHBand="0" w:noVBand="1"/>
      </w:tblPr>
      <w:tblGrid>
        <w:gridCol w:w="9016"/>
      </w:tblGrid>
      <w:tr w:rsidR="0014055D" w14:paraId="6D2C463A" w14:textId="77777777" w:rsidTr="00441380">
        <w:trPr>
          <w:trHeight w:val="13457"/>
        </w:trPr>
        <w:tc>
          <w:tcPr>
            <w:tcW w:w="9016" w:type="dxa"/>
            <w:shd w:val="clear" w:color="auto" w:fill="92D050"/>
          </w:tcPr>
          <w:p w14:paraId="0D1B87B0" w14:textId="77777777" w:rsidR="0014055D" w:rsidRPr="00C84AAC" w:rsidRDefault="0014055D" w:rsidP="00441380">
            <w:pPr>
              <w:rPr>
                <w:color w:val="FFFFFF" w:themeColor="background1"/>
              </w:rPr>
            </w:pPr>
          </w:p>
          <w:p w14:paraId="74312ED2" w14:textId="77777777" w:rsidR="0014055D" w:rsidRPr="00C84AAC" w:rsidRDefault="0014055D" w:rsidP="00441380">
            <w:pPr>
              <w:rPr>
                <w:color w:val="FFFFFF" w:themeColor="background1"/>
              </w:rPr>
            </w:pPr>
          </w:p>
          <w:p w14:paraId="1DDE1DDC" w14:textId="77777777" w:rsidR="0014055D" w:rsidRPr="00C84AAC" w:rsidRDefault="0014055D" w:rsidP="00441380">
            <w:pPr>
              <w:tabs>
                <w:tab w:val="left" w:pos="1860"/>
              </w:tabs>
              <w:jc w:val="center"/>
              <w:rPr>
                <w:color w:val="FFFFFF" w:themeColor="background1"/>
                <w:sz w:val="72"/>
                <w:szCs w:val="72"/>
              </w:rPr>
            </w:pPr>
            <w:r>
              <w:rPr>
                <w:color w:val="FFFFFF" w:themeColor="background1"/>
                <w:sz w:val="72"/>
                <w:szCs w:val="72"/>
              </w:rPr>
              <w:t>REFLECTIVE ESSAY</w:t>
            </w:r>
          </w:p>
        </w:tc>
      </w:tr>
    </w:tbl>
    <w:p w14:paraId="1947DDE1" w14:textId="77777777" w:rsidR="00AA2EB0" w:rsidRPr="00AA2EB0" w:rsidRDefault="00AA2EB0" w:rsidP="00AA2EB0">
      <w:pPr>
        <w:spacing w:line="360" w:lineRule="auto"/>
        <w:rPr>
          <w:rFonts w:ascii="Arial" w:eastAsia="Arial" w:hAnsi="Arial" w:cs="Arial"/>
          <w:b/>
          <w:bCs/>
          <w:sz w:val="22"/>
          <w:szCs w:val="22"/>
        </w:rPr>
      </w:pPr>
      <w:r w:rsidRPr="00AA2EB0">
        <w:rPr>
          <w:rFonts w:ascii="Arial" w:eastAsia="Arial" w:hAnsi="Arial" w:cs="Arial"/>
          <w:b/>
          <w:bCs/>
          <w:sz w:val="22"/>
          <w:szCs w:val="22"/>
        </w:rPr>
        <w:lastRenderedPageBreak/>
        <w:t>Professional Practice Framework</w:t>
      </w:r>
    </w:p>
    <w:p w14:paraId="7517B2A3" w14:textId="77777777" w:rsidR="00AA2EB0" w:rsidRPr="00AA2EB0" w:rsidRDefault="00AA2EB0" w:rsidP="00AA2EB0">
      <w:pPr>
        <w:spacing w:line="360" w:lineRule="auto"/>
        <w:rPr>
          <w:rFonts w:ascii="Arial" w:eastAsia="Arial" w:hAnsi="Arial" w:cs="Arial"/>
          <w:b/>
          <w:bCs/>
          <w:sz w:val="22"/>
          <w:szCs w:val="22"/>
        </w:rPr>
      </w:pPr>
      <w:proofErr w:type="spellStart"/>
      <w:r w:rsidRPr="00AA2EB0">
        <w:rPr>
          <w:rFonts w:ascii="Arial" w:eastAsia="Arial" w:hAnsi="Arial" w:cs="Arial"/>
          <w:b/>
          <w:bCs/>
          <w:sz w:val="22"/>
          <w:szCs w:val="22"/>
        </w:rPr>
        <w:t>MAinPP</w:t>
      </w:r>
      <w:proofErr w:type="spellEnd"/>
      <w:r w:rsidRPr="00AA2EB0">
        <w:rPr>
          <w:rFonts w:ascii="Arial" w:eastAsia="Arial" w:hAnsi="Arial" w:cs="Arial"/>
          <w:b/>
          <w:bCs/>
          <w:sz w:val="22"/>
          <w:szCs w:val="22"/>
        </w:rPr>
        <w:t>. BMPF7001. LANE. 2226799</w:t>
      </w:r>
    </w:p>
    <w:p w14:paraId="292D165F" w14:textId="77777777" w:rsidR="00AA2EB0" w:rsidRPr="00AA2EB0" w:rsidRDefault="00AA2EB0" w:rsidP="00AA2EB0">
      <w:pPr>
        <w:spacing w:line="360" w:lineRule="auto"/>
        <w:rPr>
          <w:rFonts w:ascii="Arial" w:eastAsia="Arial" w:hAnsi="Arial" w:cs="Arial"/>
          <w:b/>
          <w:bCs/>
          <w:sz w:val="22"/>
          <w:szCs w:val="22"/>
        </w:rPr>
      </w:pPr>
      <w:r w:rsidRPr="00AA2EB0">
        <w:rPr>
          <w:rFonts w:ascii="Arial" w:eastAsia="Arial" w:hAnsi="Arial" w:cs="Arial"/>
          <w:b/>
          <w:bCs/>
          <w:sz w:val="22"/>
          <w:szCs w:val="22"/>
        </w:rPr>
        <w:t xml:space="preserve">Recognition and Accreditation of Prior Learning (RAL) module </w:t>
      </w:r>
    </w:p>
    <w:p w14:paraId="02038C89" w14:textId="77777777" w:rsidR="00AA2EB0" w:rsidRPr="00AA2EB0" w:rsidRDefault="00AA2EB0" w:rsidP="00AA2EB0">
      <w:pPr>
        <w:shd w:val="clear" w:color="auto" w:fill="FFFFFF"/>
        <w:spacing w:before="100" w:beforeAutospacing="1" w:after="100" w:afterAutospacing="1" w:line="360" w:lineRule="auto"/>
        <w:outlineLvl w:val="1"/>
        <w:rPr>
          <w:rFonts w:ascii="Arial" w:eastAsia="Times New Roman" w:hAnsi="Arial" w:cs="Arial"/>
          <w:b/>
          <w:bCs/>
          <w:sz w:val="22"/>
          <w:szCs w:val="22"/>
          <w:lang w:val="en-GB" w:eastAsia="en-GB"/>
        </w:rPr>
      </w:pPr>
      <w:r w:rsidRPr="00AA2EB0">
        <w:rPr>
          <w:rFonts w:ascii="Arial" w:eastAsia="Times New Roman" w:hAnsi="Arial" w:cs="Arial"/>
          <w:b/>
          <w:bCs/>
          <w:sz w:val="22"/>
          <w:szCs w:val="22"/>
          <w:lang w:val="en-GB" w:eastAsia="en-GB"/>
        </w:rPr>
        <w:t xml:space="preserve">Reflective Essay: Recognition and Accreditation of Prior Learning (RAL) </w:t>
      </w:r>
    </w:p>
    <w:p w14:paraId="66A74783" w14:textId="098658A6"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Introduction</w:t>
      </w:r>
    </w:p>
    <w:p w14:paraId="3A6F5D95" w14:textId="54310E53"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Reflecting on a military career spanning 29 years, I have come to deeply appreciate the profound value of structured reflection in fostering professional growth and continuous development. Throughout my service, I have been immersed in high-pressure environments where rapid decision-making, adaptability, and leadership are paramount. Transitioning from the immediacy of operational action to the deliberate and analytical process of academic reflection required me to move beyond instinctive responses and practical experience to engage critically with my learning in a systematic and theory-informed manner (Schön, 1983).</w:t>
      </w:r>
    </w:p>
    <w:p w14:paraId="5D65F3AB" w14:textId="658AC18E"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The military’s ingrained use of iterative processes, particularly the Deming Cycle (Plan-Do-Check-Act) (Deming, 1986), provided a reassuring foundation for this transition. This cyclical approach to continuous improvement is deeply embedded in military operations</w:t>
      </w:r>
      <w:r w:rsidR="009B167F">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from mission planning and execution to after-action reviews and lessons learned. It aligns closely with Kolb’s Experiential Learning Cycle (1984) and Gibbs’ Reflective Cycle (1988), which I have adopted as key frameworks to critically examine and make sense of my experiences (Kolb, 1984; Gibbs, 1988).</w:t>
      </w:r>
    </w:p>
    <w:p w14:paraId="2B41DF75" w14:textId="2594DB0D"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Kolb’s model, with its four stages</w:t>
      </w:r>
      <w:r w:rsidR="009B167F">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Concrete Experience, Reflective Observation, Abstract Conceptualisation, and Active Experimentation</w:t>
      </w:r>
      <w:r w:rsidR="009B167F">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mirrors the military’s dynamic and structured approach to learning from complex and often unpredictable operational contexts. It offers a systematic method to dissect multifaceted experiences, enabling me to derive actionable insights and adapt my practice accordingly. Gibbs’ model complements this by encouraging a deeper exploration of feelings, evaluation of actions, and formulation of conclusions, akin to the military’s after-action reviews where both operational outcomes and personal responses are scrutinised to enhance future performance (Boud, Keogh &amp; Walker, 1985).</w:t>
      </w:r>
    </w:p>
    <w:p w14:paraId="19265A68"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In this reflective essay, I will explore my learning journey through two interconnected Learning Areas: Leadership and Management in High-Stakes Military Environments, and Professional </w:t>
      </w:r>
      <w:r w:rsidRPr="00AA2EB0">
        <w:rPr>
          <w:rFonts w:ascii="Arial" w:eastAsia="Times New Roman" w:hAnsi="Arial" w:cs="Arial"/>
          <w:color w:val="323130"/>
          <w:sz w:val="22"/>
          <w:szCs w:val="22"/>
          <w:lang w:val="en-GB" w:eastAsia="en-GB"/>
        </w:rPr>
        <w:lastRenderedPageBreak/>
        <w:t>Engineering Practice and Operational Planning. Each area will be examined through its respective Learning Outcomes, applying and critically interrogating theoretical models within the context of military and multinational (NATO) operations (Hannah et al., 2019). This dual focus reflects the multifaceted nature of my role, which demands both effective leadership and technical expertise in complex, high-tempo environments.</w:t>
      </w:r>
    </w:p>
    <w:p w14:paraId="6F670585"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Through this reflective process, I aim to demonstrate how experiential learning, underpinned by academic theory, has shaped my leadership style, enhanced my professional competence, and prepared me to meet the evolving challenges of military service. I will also highlight the transformative impact of reflective practice on my personal and professional development, validating my prior learning and informing my future aspirations. This journey has not only reinforced my commitment to lifelong learning but has also deepened my understanding of the interplay between theory and practice, particularly in the demanding and diverse contexts in which I operate (Jarvis, 2006).</w:t>
      </w:r>
    </w:p>
    <w:p w14:paraId="191C38CB" w14:textId="55715E2E" w:rsidR="000F2684" w:rsidRPr="00BA2BBE" w:rsidRDefault="000F2684" w:rsidP="00BA2BBE">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Ultimately, this essay seeks to illustrate that reflective practice is not merely an academic exercise but a vital tool for continuous improvement, resilience, and effective leadership in the military. By critically engaging with established and contemporary reflective models, I have developed a nuanced approach that accommodates the emotional complexity, hierarchical structures, and cultural diversity inherent in military operations (Stahl et al., 2017). This approach equips me to lead with greater insight, empathy, and adaptability, ensuring that I can contribute meaningfully to the success of the RAF and allied forces in an increasingly complex global security environment.</w:t>
      </w:r>
    </w:p>
    <w:p w14:paraId="6ABB7F89" w14:textId="77777777"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1. Description: What Happened? (Personal Experience of the Module)</w:t>
      </w:r>
    </w:p>
    <w:p w14:paraId="3618A906" w14:textId="2A63D45E"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Embarking on this RAL process was both a challenge and a revelation for me. With </w:t>
      </w:r>
      <w:r w:rsidR="00022DDF" w:rsidRPr="00AA2EB0">
        <w:rPr>
          <w:rFonts w:ascii="Arial" w:eastAsia="Times New Roman" w:hAnsi="Arial" w:cs="Arial"/>
          <w:color w:val="323130"/>
          <w:sz w:val="22"/>
          <w:szCs w:val="22"/>
          <w:lang w:val="en-GB" w:eastAsia="en-GB"/>
        </w:rPr>
        <w:t xml:space="preserve">so many </w:t>
      </w:r>
      <w:r w:rsidRPr="00AA2EB0">
        <w:rPr>
          <w:rFonts w:ascii="Arial" w:eastAsia="Times New Roman" w:hAnsi="Arial" w:cs="Arial"/>
          <w:color w:val="323130"/>
          <w:sz w:val="22"/>
          <w:szCs w:val="22"/>
          <w:lang w:val="en-GB" w:eastAsia="en-GB"/>
        </w:rPr>
        <w:t xml:space="preserve">years of military service, including </w:t>
      </w:r>
      <w:r w:rsidR="00A06B17" w:rsidRPr="00AA2EB0">
        <w:rPr>
          <w:rFonts w:ascii="Arial" w:eastAsia="Times New Roman" w:hAnsi="Arial" w:cs="Arial"/>
          <w:color w:val="323130"/>
          <w:sz w:val="22"/>
          <w:szCs w:val="22"/>
          <w:lang w:val="en-GB" w:eastAsia="en-GB"/>
        </w:rPr>
        <w:t>many deployments</w:t>
      </w:r>
      <w:r w:rsidRPr="00AA2EB0">
        <w:rPr>
          <w:rFonts w:ascii="Arial" w:eastAsia="Times New Roman" w:hAnsi="Arial" w:cs="Arial"/>
          <w:color w:val="323130"/>
          <w:sz w:val="22"/>
          <w:szCs w:val="22"/>
          <w:lang w:val="en-GB" w:eastAsia="en-GB"/>
        </w:rPr>
        <w:t>, I was confident in my practical expertise but uncertain about translating this into an academic framework. The military values action and results, often measured by mission success and leadership under pressure. In contrast, academia demands reflective analysis and critical evaluation, a shift that initially felt unfamiliar and somewhat daunting (Finlay, 2008).</w:t>
      </w:r>
    </w:p>
    <w:p w14:paraId="6B19277D"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At the outset, I questioned whether my military experiences would be valued in an academic context. Would the depth of leadership, risk management, operational planning, and </w:t>
      </w:r>
      <w:r w:rsidRPr="00AA2EB0">
        <w:rPr>
          <w:rFonts w:ascii="Arial" w:eastAsia="Times New Roman" w:hAnsi="Arial" w:cs="Arial"/>
          <w:color w:val="323130"/>
          <w:sz w:val="22"/>
          <w:szCs w:val="22"/>
          <w:lang w:val="en-GB" w:eastAsia="en-GB"/>
        </w:rPr>
        <w:lastRenderedPageBreak/>
        <w:t>professional engineering practice I had demonstrated be recognised? Could I articulate these experiences in a way that met rigorous academic standards? These doubts were compounded by a perception of the RAL process as bureaucratic, potentially undervaluing the complexity and nuance of familiar military practice. I wondered if the practical, often tacit knowledge I had accumulated would translate effectively into the structured, theory-driven language of academia (Moon, 2004).</w:t>
      </w:r>
    </w:p>
    <w:p w14:paraId="3F0CDE39" w14:textId="0D9AD94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However, as I engaged more deeply with Kolb’s Experiential Learning Cycle and Gibbs’ Reflective Cycle, my perspective began to shift. The structured nature of these models resonated with the military’s iterative approach to learning, familiar to me through the Deming Cycle. Kolb’s stages helped me break down experiences into manageable parts, such as leading a multinational team during a high-pressure operational planning exercise, addressing safety compliance during a station audit, or navigating the rigorous process of achieving Incorporated Engineer (IEng) recognition. Gibbs’ emphasis on feelings and evaluation encouraged me to explore the emotional dimensions of leadership, mentoring, and professional development</w:t>
      </w:r>
      <w:r w:rsidR="00071A83">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areas I had previously overlooked or undervalued (Gibbs, 1988).</w:t>
      </w:r>
    </w:p>
    <w:p w14:paraId="6BB5F544"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One significant challenge I faced during the RAL process was shifting from a results-oriented military mindset to valuing the reflective learning journey required by academic standards. Initially, I found it difficult to move beyond simply documenting successful outcomes, such as those achieved in my role as a Safety, Health, Environment, and Fire (SHEF) Representative, to critically analysing and articulating the learning underpinning those outcomes. Engaging with reflective models like Kolb’s Experiential Learning Cycle and Gibbs’ Reflective Cycle helped me to structure this reflection and deepen my academic understanding. This process required me to scrutinise my experiences more thoroughly, identify gaps in my initial reflections, and develop a more nuanced appreciation of continuous improvement and leadership beyond operational success. Through this, I enhanced my ability to translate practical military experience into academic evidence, which was essential for meeting the RAL module’s requirements (Boud, Keogh &amp; Walker, 1985).</w:t>
      </w:r>
    </w:p>
    <w:p w14:paraId="3E8F1343"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Similarly, my journey through the RAL process for IEng recognition was transformative in terms of academic reflection and professional validation. The process required me to critically appraise and systematically document my technical knowledge, leadership capabilities, and ethical responsibilities within complex military environments. Engaging with reflective frameworks such as Kolb’s Experiential Learning Cycle (1984) and Gibbs’ Reflective Cycle </w:t>
      </w:r>
      <w:r w:rsidRPr="00AA2EB0">
        <w:rPr>
          <w:rFonts w:ascii="Arial" w:eastAsia="Times New Roman" w:hAnsi="Arial" w:cs="Arial"/>
          <w:color w:val="323130"/>
          <w:sz w:val="22"/>
          <w:szCs w:val="22"/>
          <w:lang w:val="en-GB" w:eastAsia="en-GB"/>
        </w:rPr>
        <w:lastRenderedPageBreak/>
        <w:t>(1988) enabled me to structure my reflections and present my experiential learning in a coherent academic format (Kolb, 1984; Gibbs, 1988). This academic exercise challenged me to move beyond tacit knowledge and operational experience, fostering a deeper understanding of professional standards and lifelong learning as essential components of engineering practice (Engineering Council, 2020). The RAL process also highlighted the importance of mentoring junior engineers, not only as a leadership responsibility but as a means of embedding continuous development within the unit. Through this reflective and evidential journey, I enhanced my professional credibility and developed skills in articulating complex learning, which are critical for ongoing career progression.</w:t>
      </w:r>
    </w:p>
    <w:p w14:paraId="11E2B800"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Articulating my learning in academic language was another hurdle. Military communication is concise, action-focused, and abbreviation-heavy, whereas academic writing requires detailed analysis and theoretical integration (Hyland, 2004). This transition aligns with Hyland’s discussion on the demands of academic discourse, which necessitates constructing well-developed arguments and embedding theory, contrasting with the direct and succinct style typical of military communication. Demonstrating how my leadership aligned with Goleman’s (2000) emotional intelligence and Yukl’s (2013) leadership theories was intellectually demanding but rewarding, validating my experiences within an academic framework. Furthermore, Moon (2004) highlights how reflective writing fosters critical thinking and deeper learning, skills I developed through this process, which complement my practical military expertise. This reflective practice also resonates with Boud, Keogh, and Walker’s (1985) concept of reflection as a transformative process that moves beyond mere description to critical analysis, enabling me to engage more profoundly with my professional development. This process pushed me to develop new skills in critical thinking and scholarly writing, which I now see as essential complements to my military expertise.</w:t>
      </w:r>
    </w:p>
    <w:p w14:paraId="07CF25FC" w14:textId="4E1F08BB" w:rsidR="000F2684" w:rsidRPr="00D87559" w:rsidRDefault="000F2684" w:rsidP="00D87559">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My experience managing projects and facilities further enriched my reflective practice. Leading squadron logistics, infrastructure upgrades, and safety compliance required balancing operational urgency with regulatory frameworks such as the Association for Project Management (APM) and military safety standards. Reflecting on these experiences through Kolb’s and Deming’s cycles helped me identify areas for improvement in risk management and stakeholder engagement, reinforcing the importance of adaptive leadership in complex environments. I learned that effective project management in the military context demands flexibility, clear communication, and a deep understanding of both technical and human factors.</w:t>
      </w:r>
    </w:p>
    <w:p w14:paraId="30F0EF97" w14:textId="77777777"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lastRenderedPageBreak/>
        <w:t>2. Feelings: What Were You Thinking and Feeling?</w:t>
      </w:r>
    </w:p>
    <w:p w14:paraId="262452CB" w14:textId="505FDF4A"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As I progressed through the RAL process, my initial perception of it as a bureaucratic requirement gradually transformed into an invaluable opportunity for personal and professional growth. Early on, I found myself challenged to question long-held assumptions about my experiences and to critically examine situations I had previously accepted at face value. For example, I revisited operational decisions and leadership moments with a more analytical </w:t>
      </w:r>
      <w:r w:rsidR="002105EE">
        <w:rPr>
          <w:rFonts w:ascii="Arial" w:eastAsia="Times New Roman" w:hAnsi="Arial" w:cs="Arial"/>
          <w:color w:val="323130"/>
          <w:sz w:val="22"/>
          <w:szCs w:val="22"/>
          <w:lang w:val="en-GB" w:eastAsia="en-GB"/>
        </w:rPr>
        <w:t>eye</w:t>
      </w:r>
      <w:r w:rsidRPr="00AA2EB0">
        <w:rPr>
          <w:rFonts w:ascii="Arial" w:eastAsia="Times New Roman" w:hAnsi="Arial" w:cs="Arial"/>
          <w:color w:val="323130"/>
          <w:sz w:val="22"/>
          <w:szCs w:val="22"/>
          <w:lang w:val="en-GB" w:eastAsia="en-GB"/>
        </w:rPr>
        <w:t>, considering not only what was done but why and how it could be improved. This reflective scrutiny revealed nuances in my practice that had gone unnoticed, such as the impact of cultural dynamics on team cohesion during multinational exercises or the subtle ways emotional intelligence influenced conflict resolution (Goleman, 2000).</w:t>
      </w:r>
    </w:p>
    <w:p w14:paraId="5A88EE8A"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Engaging with academic frameworks like Kolb’s Experiential Learning Cycle and Gibbs’ Reflective Cycle provided structured methods to dissect these experiences systematically. This helped me to articulate complex learning in a language that bridges military practice and academic theory, enhancing my confidence in presenting my professional journey within an academic context. For instance, I was able to link practical leadership challenges to Goleman’s emotional intelligence theory, demonstrating how self-awareness and relationship management contributed to mission success (Yukl, 2013).</w:t>
      </w:r>
    </w:p>
    <w:p w14:paraId="33911DDE" w14:textId="41315206" w:rsidR="000F2684" w:rsidRPr="00D01BFE" w:rsidRDefault="000F2684" w:rsidP="00D01BFE">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This shift in mindset has been empowering. It has enabled me to move beyond simply recounting events to critically analysing and synthesising learning, thereby bridging the gap between theory and practice. As a result, I am better equipped to apply reflective insights to improve operational effectiveness and to mentor others in adopting similar reflective approaches. Ultimately, the RAL process has not only validated my prior learning but also enriched my capacity to contribute meaningfully to both military operations and ongoing professional development.</w:t>
      </w:r>
    </w:p>
    <w:p w14:paraId="6133901C" w14:textId="77777777"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3. Evaluation: What Was Good and Bad About the Experience?</w:t>
      </w:r>
    </w:p>
    <w:p w14:paraId="122C606F" w14:textId="77777777" w:rsidR="000F2684" w:rsidRPr="00AA2EB0" w:rsidRDefault="000F2684"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Challenges</w:t>
      </w:r>
    </w:p>
    <w:p w14:paraId="4B7C4922" w14:textId="24369AD2"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The RAL process presented several significant challenges that tested my resilience, adaptability, and capacity for critical reflection. One of the foremost challenges was shifting from a results-driven military mindset to embracing a reflective and analytical approach demanded by academic standards. In the military, success is often measured by tangible outcomes</w:t>
      </w:r>
      <w:r w:rsidR="00714876">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 xml:space="preserve">mission </w:t>
      </w:r>
      <w:r w:rsidRPr="00AA2EB0">
        <w:rPr>
          <w:rFonts w:ascii="Arial" w:eastAsia="Times New Roman" w:hAnsi="Arial" w:cs="Arial"/>
          <w:color w:val="323130"/>
          <w:sz w:val="22"/>
          <w:szCs w:val="22"/>
          <w:lang w:val="en-GB" w:eastAsia="en-GB"/>
        </w:rPr>
        <w:lastRenderedPageBreak/>
        <w:t>objectives achieved, risks mitigated, and teams led effectively under pressure. However, the RAL process required me to focus on the learning journey itself: the decisions made, the reasoning behind them, and the lessons extracted. This shift was initially uncomfortable, as it compelled me to scrutinise not only my strengths but also my weaknesses and areas for improvement.</w:t>
      </w:r>
    </w:p>
    <w:p w14:paraId="7A0E69C6"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Articulating my learning in academic language was another hurdle. Military communication tends to be concise and action-oriented, designed for clarity and speed. Academic writing, by contrast, demands detailed analysis, critical engagement with theory, and reflective depth. Bridging this gap required developing new skills and adopting a more nuanced tone. For example, demonstrating how my leadership during a high-pressure operational planning exercise aligned with Goleman’s (2000) emotional intelligence and Yukl’s (2013) leadership theories was intellectually demanding but ultimately rewarding, as it validated my professional experiences within an academic framework.</w:t>
      </w:r>
    </w:p>
    <w:p w14:paraId="15FCDBA0" w14:textId="33453DA6"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Time management was a further challenge. Balancing the demands of the RAL process with my responsibilities as a Senior Non-Commissioned Officer</w:t>
      </w:r>
      <w:r w:rsidR="00E64A79">
        <w:rPr>
          <w:rFonts w:ascii="Arial" w:eastAsia="Times New Roman" w:hAnsi="Arial" w:cs="Arial"/>
          <w:color w:val="323130"/>
          <w:sz w:val="22"/>
          <w:szCs w:val="22"/>
          <w:lang w:val="en-GB" w:eastAsia="en-GB"/>
        </w:rPr>
        <w:t xml:space="preserve"> (SNCO)</w:t>
      </w:r>
      <w:r w:rsidRPr="00AA2EB0">
        <w:rPr>
          <w:rFonts w:ascii="Arial" w:eastAsia="Times New Roman" w:hAnsi="Arial" w:cs="Arial"/>
          <w:color w:val="323130"/>
          <w:sz w:val="22"/>
          <w:szCs w:val="22"/>
          <w:lang w:val="en-GB" w:eastAsia="en-GB"/>
        </w:rPr>
        <w:t xml:space="preserve"> required careful planning and discipline. The iterative nature of reflection, involving multiple cycles of analysis and revision, was time-intensive and required sustained focus. To manage this, I applied the GROW</w:t>
      </w:r>
      <w:r w:rsidR="00B17860">
        <w:rPr>
          <w:rFonts w:ascii="Arial" w:eastAsia="Times New Roman" w:hAnsi="Arial" w:cs="Arial"/>
          <w:color w:val="323130"/>
          <w:sz w:val="22"/>
          <w:szCs w:val="22"/>
          <w:lang w:val="en-GB" w:eastAsia="en-GB"/>
        </w:rPr>
        <w:t xml:space="preserve"> (Goal, Reality, Options, </w:t>
      </w:r>
      <w:r w:rsidR="00A03123">
        <w:rPr>
          <w:rFonts w:ascii="Arial" w:eastAsia="Times New Roman" w:hAnsi="Arial" w:cs="Arial"/>
          <w:color w:val="323130"/>
          <w:sz w:val="22"/>
          <w:szCs w:val="22"/>
          <w:lang w:val="en-GB" w:eastAsia="en-GB"/>
        </w:rPr>
        <w:t>Will/Way forward)</w:t>
      </w:r>
      <w:r w:rsidRPr="00AA2EB0">
        <w:rPr>
          <w:rFonts w:ascii="Arial" w:eastAsia="Times New Roman" w:hAnsi="Arial" w:cs="Arial"/>
          <w:color w:val="323130"/>
          <w:sz w:val="22"/>
          <w:szCs w:val="22"/>
          <w:lang w:val="en-GB" w:eastAsia="en-GB"/>
        </w:rPr>
        <w:t xml:space="preserve"> model (Whitmore, 2009), a coaching framework I had previously used with junior personnel, to structure my approach. Setting clear, actionable goals and breaking the process into manageable steps helped me maintain momentum and reduce overwhelm.</w:t>
      </w:r>
    </w:p>
    <w:p w14:paraId="208244FF"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Engaging with a broad range of theoretical frameworks also posed challenges. While familiar with Kolb’s and Gibbs’ models, I explored additional perspectives such as Jarvis’s (2006) comprehensive theory of human learning, Schön’s (1983) reflective practitioner concept, and Erikson’s insights into personality types. Synthesising these diverse theories and integrating them into coherent reflections required significant effort but enriched my understanding of experiential learning and leadership.</w:t>
      </w:r>
    </w:p>
    <w:p w14:paraId="409DA322"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Another challenge was critically interrogating the theoretical models themselves. I found it necessary to question whether Kolb’s cyclical model adequately accommodates the emotional complexity and hierarchical constraints of military leadership. Similarly, I contrasted Gibbs’ more linear model with more contemporary adaptive models of reflection (Rolfe et al., 2010; Finlay, </w:t>
      </w:r>
      <w:r w:rsidRPr="00AA2EB0">
        <w:rPr>
          <w:rFonts w:ascii="Arial" w:eastAsia="Times New Roman" w:hAnsi="Arial" w:cs="Arial"/>
          <w:color w:val="323130"/>
          <w:sz w:val="22"/>
          <w:szCs w:val="22"/>
          <w:lang w:val="en-GB" w:eastAsia="en-GB"/>
        </w:rPr>
        <w:lastRenderedPageBreak/>
        <w:t>2008), considering how these might complement or contradict each other in the context of my practice. This critical engagement deepened my reflective capacity but required additional research and intellectual effort.</w:t>
      </w:r>
    </w:p>
    <w:p w14:paraId="7A88278A" w14:textId="77777777" w:rsidR="000F2684" w:rsidRPr="00AA2EB0" w:rsidRDefault="000F2684"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Overcoming Challenges</w:t>
      </w:r>
    </w:p>
    <w:p w14:paraId="5461D151" w14:textId="4566AD49"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To overcome these challenges, I relied on self-discipline, adaptability, and the structured guidance provided by reflective models. Kolb’s Experiential Learning Cycle and Gibbs’ Reflective Cycle offered clear frameworks for dissecting experiences and deriving meaningful insights. Kolb’s stages</w:t>
      </w:r>
      <w:r w:rsidR="00A66254" w:rsidRPr="00AA2EB0">
        <w:rPr>
          <w:rFonts w:ascii="Arial" w:eastAsia="Times New Roman" w:hAnsi="Arial" w:cs="Arial"/>
          <w:color w:val="323130"/>
          <w:sz w:val="22"/>
          <w:szCs w:val="22"/>
          <w:lang w:val="en-GB" w:eastAsia="en-GB"/>
        </w:rPr>
        <w:t xml:space="preserve"> </w:t>
      </w:r>
      <w:r w:rsidRPr="00AA2EB0">
        <w:rPr>
          <w:rFonts w:ascii="Arial" w:eastAsia="Times New Roman" w:hAnsi="Arial" w:cs="Arial"/>
          <w:color w:val="323130"/>
          <w:sz w:val="22"/>
          <w:szCs w:val="22"/>
          <w:lang w:val="en-GB" w:eastAsia="en-GB"/>
        </w:rPr>
        <w:t>enabled systematic evaluation of my actions and learning. Gibbs’ model encouraged deeper exploration of emotional and interpersonal dimensions, fostering greater self-awareness.</w:t>
      </w:r>
    </w:p>
    <w:p w14:paraId="47A7F7C0" w14:textId="4F8EFB73"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The GROW model was instrumental in managing my time effectively. By setting SMART(ER) </w:t>
      </w:r>
      <w:r w:rsidR="00B25CE8" w:rsidRPr="00AA2EB0">
        <w:rPr>
          <w:rFonts w:ascii="Arial" w:eastAsia="Times New Roman" w:hAnsi="Arial" w:cs="Arial"/>
          <w:color w:val="323130"/>
          <w:sz w:val="22"/>
          <w:szCs w:val="22"/>
          <w:lang w:val="en-GB" w:eastAsia="en-GB"/>
        </w:rPr>
        <w:t xml:space="preserve">(Specific, Measurable, </w:t>
      </w:r>
      <w:r w:rsidR="007117D4" w:rsidRPr="00AA2EB0">
        <w:rPr>
          <w:rFonts w:ascii="Arial" w:eastAsia="Times New Roman" w:hAnsi="Arial" w:cs="Arial"/>
          <w:color w:val="323130"/>
          <w:sz w:val="22"/>
          <w:szCs w:val="22"/>
          <w:lang w:val="en-GB" w:eastAsia="en-GB"/>
        </w:rPr>
        <w:t>Achievable</w:t>
      </w:r>
      <w:r w:rsidR="00B25CE8" w:rsidRPr="00AA2EB0">
        <w:rPr>
          <w:rFonts w:ascii="Arial" w:eastAsia="Times New Roman" w:hAnsi="Arial" w:cs="Arial"/>
          <w:color w:val="323130"/>
          <w:sz w:val="22"/>
          <w:szCs w:val="22"/>
          <w:lang w:val="en-GB" w:eastAsia="en-GB"/>
        </w:rPr>
        <w:t>, Relevant, Time</w:t>
      </w:r>
      <w:r w:rsidR="007117D4" w:rsidRPr="00AA2EB0">
        <w:rPr>
          <w:rFonts w:ascii="Arial" w:eastAsia="Times New Roman" w:hAnsi="Arial" w:cs="Arial"/>
          <w:color w:val="323130"/>
          <w:sz w:val="22"/>
          <w:szCs w:val="22"/>
          <w:lang w:val="en-GB" w:eastAsia="en-GB"/>
        </w:rPr>
        <w:t xml:space="preserve">-bound, (Evaluate and Review)) </w:t>
      </w:r>
      <w:r w:rsidRPr="00AA2EB0">
        <w:rPr>
          <w:rFonts w:ascii="Arial" w:eastAsia="Times New Roman" w:hAnsi="Arial" w:cs="Arial"/>
          <w:color w:val="323130"/>
          <w:sz w:val="22"/>
          <w:szCs w:val="22"/>
          <w:lang w:val="en-GB" w:eastAsia="en-GB"/>
        </w:rPr>
        <w:t>objectives and breaking the RAL process into achievable goals, I maintained focus and balanced academic work with professional duties. Regular feedback from peers and mentors helped refine my academic writing and critical analysis, bridging the gap between military and academic communication styles.</w:t>
      </w:r>
    </w:p>
    <w:p w14:paraId="11D86D19"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Categorising and prioritising experiences based on relevance and impact ensured my reflections were focused and aligned with learning outcomes. This targeted approach facilitated meaningful integration of theory and practice, enhancing the quality of my portfolio.</w:t>
      </w:r>
    </w:p>
    <w:p w14:paraId="36DE2496"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I also sought to engage with some more recent scholarly literature, particularly post-2015 research, to ensure my reflections were informed by current debates on reflective practice and leadership. This included exploring critiques of over-structured reflective models and their limitations in cross-cultural military leadership, which enriched my understanding and added academic rigour to my work. For example, I found the ‘Surrounded by Idiots’ book by Thomas Erikson particularly informative in applying a DISC (Dominance, Influence, Steadfast, Compliant) assessment in better learning how to tailor my communication style to effectively connect with work colleagues and resolve conflict management.</w:t>
      </w:r>
    </w:p>
    <w:p w14:paraId="7DE13393" w14:textId="77777777" w:rsidR="008F283F" w:rsidRDefault="008F283F"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p>
    <w:p w14:paraId="4CD31F56" w14:textId="77777777" w:rsidR="008F283F" w:rsidRDefault="008F283F"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p>
    <w:p w14:paraId="032E536E" w14:textId="43847D99" w:rsidR="000F2684" w:rsidRPr="00AA2EB0" w:rsidRDefault="000F2684"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lastRenderedPageBreak/>
        <w:t>Successes and Moments of Clarity</w:t>
      </w:r>
    </w:p>
    <w:p w14:paraId="23435AA2"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Despite the challenges, the RAL process was marked by significant successes and moments of clarity. One of the most rewarding realisations was recognising the academic value of my military experiences. The structured reflective models provided tools to articulate the depth and complexity of my learning, meeting rigorous academic standards while preserving practical relevance.</w:t>
      </w:r>
    </w:p>
    <w:p w14:paraId="69F8D11E"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A key moment of clarity came when I understood the interconnectedness of my experiences. Initially viewed as isolated events, my professional journey revealed itself as a continuous cycle of learning and development through reflection and application. For example, lessons learned from mentoring junior personnel informed my approach to time management during the RAL process, illustrating the iterative nature of experiential learning.</w:t>
      </w:r>
    </w:p>
    <w:p w14:paraId="097B5BB2"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Integrating diverse theoretical frameworks enriched my reflections and broadened my perspectives. Erikson’s insights into personality types enhanced my understanding of team dynamics, while Goleman’s emotional intelligence deepened my grasp of interpersonal leadership. Hofstede’s cultural dimensions informed my approach to fostering inclusivity within diverse teams.</w:t>
      </w:r>
    </w:p>
    <w:p w14:paraId="5C796F70"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Facilitating a cultural awareness workshop was a particularly impactful experience, highlighting the importance of addressing unconscious bias and promoting open dialogue. This informed my ongoing commitment to Equality, Diversity, and Inclusion (ED&amp;I) initiatives, fostering a more inclusive and collaborative environment.</w:t>
      </w:r>
    </w:p>
    <w:p w14:paraId="39B5093C" w14:textId="77777777" w:rsidR="000F2684" w:rsidRPr="00AA2EB0" w:rsidRDefault="000F2684"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Contributions to Overall Learning</w:t>
      </w:r>
    </w:p>
    <w:p w14:paraId="71300BB3"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The challenges and successes encountered during the RAL process have profoundly contributed to my overall learning. They pushed me to question assumptions, develop critical reflection skills, and enhance academic writing and time management. These competencies have not only supported my RAL journey but also equipped me with tools applicable to my professional practice.</w:t>
      </w:r>
    </w:p>
    <w:p w14:paraId="6C32E490" w14:textId="0FCFF05D" w:rsidR="000F2684" w:rsidRPr="00EB09C4" w:rsidRDefault="000F2684" w:rsidP="00EB09C4">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Moments of clarity reinforced the value of reflective practice as a catalyst for personal and professional growth. Reflection became a forward-looking process, using past experiences to </w:t>
      </w:r>
      <w:r w:rsidRPr="00AA2EB0">
        <w:rPr>
          <w:rFonts w:ascii="Arial" w:eastAsia="Times New Roman" w:hAnsi="Arial" w:cs="Arial"/>
          <w:color w:val="323130"/>
          <w:sz w:val="22"/>
          <w:szCs w:val="22"/>
          <w:lang w:val="en-GB" w:eastAsia="en-GB"/>
        </w:rPr>
        <w:lastRenderedPageBreak/>
        <w:t>inform future decisions and actions. This has deepened my self-awareness, highlighted areas for development, and strengthened my commitment to lifelong learning.</w:t>
      </w:r>
    </w:p>
    <w:p w14:paraId="777754F5" w14:textId="77777777"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4. Analysis: What Sense Can You Make of the Situation? (Learning Process and Development of Understanding)</w:t>
      </w:r>
    </w:p>
    <w:p w14:paraId="38032388" w14:textId="77777777" w:rsidR="000F2684" w:rsidRPr="00AA2EB0" w:rsidRDefault="000F2684"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Evolving Understanding of Experiential Learning</w:t>
      </w:r>
    </w:p>
    <w:p w14:paraId="6B76DADE"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At the outset of my RAL journey, I recognised that my understanding of experiential learning was largely practical and action-based, shaped by years of operational leadership and hands-on experience. However, as I progressed through the RAL process and engaged more deeply with Kolb’s Experiential Learning Cycle (1984), I began to appreciate the theoretical underpinnings that frame experiential learning as a dynamic, cyclical process. This shift enabled me to move beyond simply ‘doing’ to critically analysing and reflecting on my experiences, thereby transforming tacit knowledge into explicit learning. It also highlighted the importance of integrating reflection systematically into my professional practice to foster continuous development and adaptability in complex military environments.</w:t>
      </w:r>
    </w:p>
    <w:p w14:paraId="49B754E8"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This framework encouraged me to move beyond simply recounting experiences to critically analysing them, identifying lessons, and applying new strategies. For example, reflecting on my leadership during a multinational operational planning exercise, I recognised how adapting my communication style and leadership approach improved team cohesion and mission outcomes. Similarly, in engineering practice, Kolb’s cycle helped me systematically evaluate my journey to Incorporated Engineer (IEng) recognition, from compiling evidence to mentoring others, reinforcing continuous professional development.</w:t>
      </w:r>
    </w:p>
    <w:p w14:paraId="1941359B" w14:textId="4A2967B8"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However, I also became aware of the limitations of Kolb’s model in fully capturing the emotional and hierarchical complexities of military environments. Military leadership often involves navigating power dynamics, cultural diversity, and rapid decision-making under stress</w:t>
      </w:r>
      <w:r w:rsidR="00D958AF">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factors that require more nuanced reflection. This led me to explore complementary models, such as Rolfe et al.’s (2010) adaptive reflection and Finlay’s (2008) emphasis on emotional engagement, which better accommodate the fluid and relational nature of military practice. These models acknowledge that reflection is not always linear or cyclical but can be recursive and context-dependent, which aligns more closely with the unpredictable nature of military operations.</w:t>
      </w:r>
    </w:p>
    <w:p w14:paraId="45E07CAE" w14:textId="77777777" w:rsidR="006B2635" w:rsidRDefault="006B2635"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p>
    <w:p w14:paraId="75B22F4E" w14:textId="1D64FA3B" w:rsidR="000F2684" w:rsidRPr="00AA2EB0" w:rsidRDefault="000F2684"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lastRenderedPageBreak/>
        <w:t>Evolving Understanding of Reflection</w:t>
      </w:r>
    </w:p>
    <w:p w14:paraId="4FCDC5C9" w14:textId="191AA9F3"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Reflection in the military traditionally takes the form of after-action reviews</w:t>
      </w:r>
      <w:r w:rsidR="00E9275E">
        <w:rPr>
          <w:rFonts w:ascii="Arial" w:eastAsia="Times New Roman" w:hAnsi="Arial" w:cs="Arial"/>
          <w:color w:val="323130"/>
          <w:sz w:val="22"/>
          <w:szCs w:val="22"/>
          <w:lang w:val="en-GB" w:eastAsia="en-GB"/>
        </w:rPr>
        <w:t>, lessons learned</w:t>
      </w:r>
      <w:r w:rsidRPr="00AA2EB0">
        <w:rPr>
          <w:rFonts w:ascii="Arial" w:eastAsia="Times New Roman" w:hAnsi="Arial" w:cs="Arial"/>
          <w:color w:val="323130"/>
          <w:sz w:val="22"/>
          <w:szCs w:val="22"/>
          <w:lang w:val="en-GB" w:eastAsia="en-GB"/>
        </w:rPr>
        <w:t xml:space="preserve"> and debriefs, focusing on operational outcomes and immediate lessons. While effective for tactical improvement, these methods often lack depth in exploring emotional responses and personal development. Gibbs’ Reflective Cycle (1988) introduced me to a more comprehensive approach, encouraging exploration of feelings, evaluation, analysis, conclusion, and action planning.</w:t>
      </w:r>
    </w:p>
    <w:p w14:paraId="24299300"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Engaging with Gibbs’ Reflective Cycle during the RAL process significantly enhanced my approach to mentoring junior personnel, both officers and other ranks. The structured stages of the model encouraged me to critically examine not only the strategies I employed but also my emotional responses during mentoring interactions. This academic reflection helped me recognise the impact of managing my own stress and emotional regulation on the effectiveness of my leadership. For example, skills such as active listening, which I developed during a </w:t>
      </w:r>
      <w:proofErr w:type="spellStart"/>
      <w:r w:rsidRPr="00AA2EB0">
        <w:rPr>
          <w:rFonts w:ascii="Arial" w:eastAsia="Times New Roman" w:hAnsi="Arial" w:cs="Arial"/>
          <w:color w:val="323130"/>
          <w:sz w:val="22"/>
          <w:szCs w:val="22"/>
          <w:lang w:val="en-GB" w:eastAsia="en-GB"/>
        </w:rPr>
        <w:t>TRiM</w:t>
      </w:r>
      <w:proofErr w:type="spellEnd"/>
      <w:r w:rsidRPr="00AA2EB0">
        <w:rPr>
          <w:rFonts w:ascii="Arial" w:eastAsia="Times New Roman" w:hAnsi="Arial" w:cs="Arial"/>
          <w:color w:val="323130"/>
          <w:sz w:val="22"/>
          <w:szCs w:val="22"/>
          <w:lang w:val="en-GB" w:eastAsia="en-GB"/>
        </w:rPr>
        <w:t xml:space="preserve"> (Trauma Risk Management) course (March on Stress, 2026), proved invaluable in creating a supportive environment where mentees felt heard and understood, particularly in high-pressure or traumatic situations. Through this process, I identified specific areas for personal growth, such as developing greater emotional resilience and empathy, which I have since integrated into my mentoring practice. The RAL journey thus deepened my reflective capacity and strengthened my ability to support others under pressure.</w:t>
      </w:r>
    </w:p>
    <w:p w14:paraId="69F93ED0"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Engaging with Gibbs’ Reflective Cycle as part of the RAL module challenged me to confront uncomfortable truths about my past practice, including instances where I could have been more proactive in addressing team conflicts or cultural misunderstandings. This structured reflection fostered humility and reinforced my commitment to continuous improvement, aligning closely with the military’s core values of self-awareness and accountability. The RAL process thus served as a catalyst for deeper personal insight and professional development.</w:t>
      </w:r>
    </w:p>
    <w:p w14:paraId="19EBAD46"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Moreover, I recognised that reflection is not a ‘one-size-fits-all’ process, a realisation that directly informed my approach to meeting the requirements of the RAL module. Different situations and individuals require different reflective approaches. While Kolb’s and Gibbs’ models provided valuable structure for academic reflection, I found that in fast-paced operational contexts, more flexible and rapid reflection techniques were necessary to capture learning effectively. This understanding helped me tailor my reflective submissions to balance </w:t>
      </w:r>
      <w:r w:rsidRPr="00AA2EB0">
        <w:rPr>
          <w:rFonts w:ascii="Arial" w:eastAsia="Times New Roman" w:hAnsi="Arial" w:cs="Arial"/>
          <w:color w:val="323130"/>
          <w:sz w:val="22"/>
          <w:szCs w:val="22"/>
          <w:lang w:val="en-GB" w:eastAsia="en-GB"/>
        </w:rPr>
        <w:lastRenderedPageBreak/>
        <w:t>academic rigour with practical relevance, ensuring that my portfolio demonstrated both depth of analysis and applicability to real-world military leadership. Consequently, this insight encouraged me to adapt my reflective practice not only to suit the demands of the operational environment but also to fulfil the RAL module’s expectations for critical, context-sensitive reflection.</w:t>
      </w:r>
    </w:p>
    <w:p w14:paraId="016305A3" w14:textId="77777777" w:rsidR="000F2684" w:rsidRPr="00AA2EB0" w:rsidRDefault="000F2684" w:rsidP="00AA2EB0">
      <w:pPr>
        <w:shd w:val="clear" w:color="auto" w:fill="FFFFFF"/>
        <w:spacing w:before="100" w:beforeAutospacing="1" w:after="100" w:afterAutospacing="1" w:line="360" w:lineRule="auto"/>
        <w:outlineLvl w:val="2"/>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Strategies for Identifying Themes for Learning Areas</w:t>
      </w:r>
    </w:p>
    <w:p w14:paraId="4EDC0253" w14:textId="22DE7379"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Faced with a vast array of experiences accumulated over </w:t>
      </w:r>
      <w:r w:rsidR="00E80546">
        <w:rPr>
          <w:rFonts w:ascii="Arial" w:eastAsia="Times New Roman" w:hAnsi="Arial" w:cs="Arial"/>
          <w:color w:val="323130"/>
          <w:sz w:val="22"/>
          <w:szCs w:val="22"/>
          <w:lang w:val="en-GB" w:eastAsia="en-GB"/>
        </w:rPr>
        <w:t>my military career</w:t>
      </w:r>
      <w:r w:rsidRPr="00AA2EB0">
        <w:rPr>
          <w:rFonts w:ascii="Arial" w:eastAsia="Times New Roman" w:hAnsi="Arial" w:cs="Arial"/>
          <w:color w:val="323130"/>
          <w:sz w:val="22"/>
          <w:szCs w:val="22"/>
          <w:lang w:val="en-GB" w:eastAsia="en-GB"/>
        </w:rPr>
        <w:t>, I needed a systematic approach to identify and prioritise themes for my RAL portfolio. I developed a three-step strategy: categorisation, prioritisation, and alignment with learning outcomes.</w:t>
      </w:r>
    </w:p>
    <w:p w14:paraId="69520843" w14:textId="77777777" w:rsidR="000F2684" w:rsidRPr="00AA2EB0" w:rsidRDefault="000F2684" w:rsidP="00AA2EB0">
      <w:pPr>
        <w:numPr>
          <w:ilvl w:val="0"/>
          <w:numId w:val="12"/>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b/>
          <w:bCs/>
          <w:color w:val="323130"/>
          <w:sz w:val="22"/>
          <w:szCs w:val="22"/>
          <w:lang w:val="en-GB" w:eastAsia="en-GB"/>
        </w:rPr>
        <w:t>Categorisation</w:t>
      </w:r>
      <w:r w:rsidRPr="00AA2EB0">
        <w:rPr>
          <w:rFonts w:ascii="Arial" w:eastAsia="Times New Roman" w:hAnsi="Arial" w:cs="Arial"/>
          <w:color w:val="323130"/>
          <w:sz w:val="22"/>
          <w:szCs w:val="22"/>
          <w:lang w:val="en-GB" w:eastAsia="en-GB"/>
        </w:rPr>
        <w:br/>
        <w:t>I began by grouping my experiences into broad themes reflecting my professional practice and the RAL Learning Areas. For Learning Area 1, I identified Command, Leadership, and Management (CLM); Safety, Health, Environment, and Fire (SHEF); Coaching and Mentoring (C&amp;M); and Equality, Diversity, and Inclusion (ED&amp;I). For Learning Area 2, I focused on my Communications/Engineering experience (IEng), Project and Facilities Management (P&amp;FM), and Multinational Logistic Operational Planning (MLOP).</w:t>
      </w:r>
    </w:p>
    <w:p w14:paraId="0B13DD0B" w14:textId="17910DC0"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This categorisation was informed by reviewing my CV, job descriptions, Serviceperson’s Joint Appraisal Reports (SJARs), and</w:t>
      </w:r>
      <w:r w:rsidR="008D72DE">
        <w:rPr>
          <w:rFonts w:ascii="Arial" w:eastAsia="Times New Roman" w:hAnsi="Arial" w:cs="Arial"/>
          <w:color w:val="323130"/>
          <w:sz w:val="22"/>
          <w:szCs w:val="22"/>
          <w:lang w:val="en-GB" w:eastAsia="en-GB"/>
        </w:rPr>
        <w:t xml:space="preserve"> my</w:t>
      </w:r>
      <w:r w:rsidRPr="00AA2EB0">
        <w:rPr>
          <w:rFonts w:ascii="Arial" w:eastAsia="Times New Roman" w:hAnsi="Arial" w:cs="Arial"/>
          <w:color w:val="323130"/>
          <w:sz w:val="22"/>
          <w:szCs w:val="22"/>
          <w:lang w:val="en-GB" w:eastAsia="en-GB"/>
        </w:rPr>
        <w:t xml:space="preserve"> personal </w:t>
      </w:r>
      <w:r w:rsidR="008D72DE">
        <w:rPr>
          <w:rFonts w:ascii="Arial" w:eastAsia="Times New Roman" w:hAnsi="Arial" w:cs="Arial"/>
          <w:color w:val="323130"/>
          <w:sz w:val="22"/>
          <w:szCs w:val="22"/>
          <w:lang w:val="en-GB" w:eastAsia="en-GB"/>
        </w:rPr>
        <w:t>thoughts/</w:t>
      </w:r>
      <w:r w:rsidRPr="00AA2EB0">
        <w:rPr>
          <w:rFonts w:ascii="Arial" w:eastAsia="Times New Roman" w:hAnsi="Arial" w:cs="Arial"/>
          <w:color w:val="323130"/>
          <w:sz w:val="22"/>
          <w:szCs w:val="22"/>
          <w:lang w:val="en-GB" w:eastAsia="en-GB"/>
        </w:rPr>
        <w:t>reflections. For instance, my experience of leading a multinational team during a high-pressure operational planning exercise was categorised under CLM, while my role in addressing non-compliance issues during a station safety audit was categorised under SHEF.</w:t>
      </w:r>
    </w:p>
    <w:p w14:paraId="1413954A" w14:textId="77777777" w:rsidR="000F2684" w:rsidRPr="00AA2EB0" w:rsidRDefault="000F2684" w:rsidP="00AA2EB0">
      <w:pPr>
        <w:numPr>
          <w:ilvl w:val="0"/>
          <w:numId w:val="13"/>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b/>
          <w:bCs/>
          <w:color w:val="323130"/>
          <w:sz w:val="22"/>
          <w:szCs w:val="22"/>
          <w:lang w:val="en-GB" w:eastAsia="en-GB"/>
        </w:rPr>
        <w:t>Prioritisation</w:t>
      </w:r>
      <w:r w:rsidRPr="00AA2EB0">
        <w:rPr>
          <w:rFonts w:ascii="Arial" w:eastAsia="Times New Roman" w:hAnsi="Arial" w:cs="Arial"/>
          <w:color w:val="323130"/>
          <w:sz w:val="22"/>
          <w:szCs w:val="22"/>
          <w:lang w:val="en-GB" w:eastAsia="en-GB"/>
        </w:rPr>
        <w:br/>
        <w:t>Next, I prioritised experiences based on their relevance, impact, and alignment with RAL learning outcomes. I asked myself whether each experience demonstrated clear learning, offered opportunities for critical reflection, and highlighted transferable skills.</w:t>
      </w:r>
    </w:p>
    <w:p w14:paraId="4E52E464"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High-pressure leadership scenarios, such as managing a multinational team during a live operational requirement, were prioritised for CLM due to their complexity and strong learning potential. Similarly, in ED&amp;I, I prioritised facilitating a cultural awareness workshop because of its significant impact on team cohesion and inclusivity. These experiences provided compelling </w:t>
      </w:r>
      <w:r w:rsidRPr="00AA2EB0">
        <w:rPr>
          <w:rFonts w:ascii="Arial" w:eastAsia="Times New Roman" w:hAnsi="Arial" w:cs="Arial"/>
          <w:color w:val="323130"/>
          <w:sz w:val="22"/>
          <w:szCs w:val="22"/>
          <w:lang w:val="en-GB" w:eastAsia="en-GB"/>
        </w:rPr>
        <w:lastRenderedPageBreak/>
        <w:t>evidence of my ability to lead effectively under challenging conditions and demonstrated my commitment to fostering an inclusive environment while addressing sensitive issues constructively.</w:t>
      </w:r>
    </w:p>
    <w:p w14:paraId="5D10A61F" w14:textId="77777777" w:rsidR="000F2684" w:rsidRPr="00AA2EB0" w:rsidRDefault="000F2684" w:rsidP="00AA2EB0">
      <w:pPr>
        <w:numPr>
          <w:ilvl w:val="0"/>
          <w:numId w:val="14"/>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b/>
          <w:bCs/>
          <w:color w:val="323130"/>
          <w:sz w:val="22"/>
          <w:szCs w:val="22"/>
          <w:lang w:val="en-GB" w:eastAsia="en-GB"/>
        </w:rPr>
        <w:t>Alignment with Learning Outcomes</w:t>
      </w:r>
      <w:r w:rsidRPr="00AA2EB0">
        <w:rPr>
          <w:rFonts w:ascii="Arial" w:eastAsia="Times New Roman" w:hAnsi="Arial" w:cs="Arial"/>
          <w:color w:val="323130"/>
          <w:sz w:val="22"/>
          <w:szCs w:val="22"/>
          <w:lang w:val="en-GB" w:eastAsia="en-GB"/>
        </w:rPr>
        <w:br/>
        <w:t>Finally, I mapped these experiences to specific learning outcomes, ensuring theoretical frameworks supported my reflections. For example:</w:t>
      </w:r>
    </w:p>
    <w:p w14:paraId="62C1CC46" w14:textId="77777777" w:rsidR="000F2684" w:rsidRPr="00AA2EB0" w:rsidRDefault="000F2684" w:rsidP="00AA2EB0">
      <w:pPr>
        <w:numPr>
          <w:ilvl w:val="0"/>
          <w:numId w:val="15"/>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For CLM, I aligned experiences with Kolb’s Experiential Learning Cycle and Goleman’s (2000) emotional intelligence, focusing on adapting leadership styles to multinational teams.</w:t>
      </w:r>
    </w:p>
    <w:p w14:paraId="3FC6918A" w14:textId="77777777" w:rsidR="000F2684" w:rsidRPr="00AA2EB0" w:rsidRDefault="000F2684" w:rsidP="00AA2EB0">
      <w:pPr>
        <w:numPr>
          <w:ilvl w:val="0"/>
          <w:numId w:val="15"/>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For SHEF, I applied the Deming Cycle and HSG65 (HSE, 2023) to analyse risk management and continuous improvement.</w:t>
      </w:r>
    </w:p>
    <w:p w14:paraId="3FCA3B7E" w14:textId="77777777" w:rsidR="000F2684" w:rsidRPr="00AA2EB0" w:rsidRDefault="000F2684" w:rsidP="00AA2EB0">
      <w:pPr>
        <w:numPr>
          <w:ilvl w:val="0"/>
          <w:numId w:val="15"/>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For C&amp;M, I used Whitmore’s GROW model (2009) and Gibbs’ Reflective Cycle to evaluate mentoring impact.</w:t>
      </w:r>
    </w:p>
    <w:p w14:paraId="4C591AE1" w14:textId="77777777" w:rsidR="000F2684" w:rsidRPr="00AA2EB0" w:rsidRDefault="000F2684" w:rsidP="00AA2EB0">
      <w:pPr>
        <w:numPr>
          <w:ilvl w:val="0"/>
          <w:numId w:val="15"/>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For ED&amp;I, I drew on Hofstede’s Cultural Dimensions Theory (2010) and the RAF’s Diversity and Inclusion Strategy (Ministry of Defence, 2021) to reflect on inclusivity efforts.</w:t>
      </w:r>
    </w:p>
    <w:p w14:paraId="1168F5DE" w14:textId="77777777" w:rsidR="000F2684" w:rsidRPr="00AA2EB0" w:rsidRDefault="000F2684" w:rsidP="00AA2EB0">
      <w:pPr>
        <w:numPr>
          <w:ilvl w:val="0"/>
          <w:numId w:val="15"/>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For IEng, I referenced UK-SPEC (Engineering Council, 2020) and Kolb’s cycle to validate professional engineering competence.</w:t>
      </w:r>
    </w:p>
    <w:p w14:paraId="02AD0E1C" w14:textId="77777777" w:rsidR="000F2684" w:rsidRPr="00AA2EB0" w:rsidRDefault="000F2684" w:rsidP="00AA2EB0">
      <w:pPr>
        <w:numPr>
          <w:ilvl w:val="0"/>
          <w:numId w:val="15"/>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For P&amp;FM, I integrated the APM’s Body of Knowledge (2019) and Deming’s cycle to reflect on project management adaptations.</w:t>
      </w:r>
    </w:p>
    <w:p w14:paraId="4402EE16" w14:textId="77777777" w:rsidR="000F2684" w:rsidRPr="00AA2EB0" w:rsidRDefault="000F2684" w:rsidP="00AA2EB0">
      <w:pPr>
        <w:numPr>
          <w:ilvl w:val="0"/>
          <w:numId w:val="15"/>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For MLOP, I applied NATO doctrines (AJP-4(B), 2019) and Kolb’s model to analyse multinational logistics challenges.</w:t>
      </w:r>
    </w:p>
    <w:p w14:paraId="3F749863"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This alignment process not only ensured that my portfolio met the academic requirements of the RAL process but also provided a clear structure for my reflections, making it easier to articulate my learning in a coherent and meaningful way.</w:t>
      </w:r>
    </w:p>
    <w:p w14:paraId="5F259970" w14:textId="65C6C67E" w:rsidR="000F2684" w:rsidRPr="00EE300A" w:rsidRDefault="000F2684" w:rsidP="00EE300A">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Ultimately, the RAL process has been more than an academic exercise; it has been a transformative experience that has reshaped how I view my professional journey. It has provided me with the confidence to articulate the value of my military experiences in an academic context and the tools to translate those experiences into meaningful contributions to my workplace. Moving forward, I am committed to continuing this reflective practice, using it to adapt to new challenges, foster team development, and contribute to the military’s success, and </w:t>
      </w:r>
      <w:r w:rsidRPr="00AA2EB0">
        <w:rPr>
          <w:rFonts w:ascii="Arial" w:eastAsia="Times New Roman" w:hAnsi="Arial" w:cs="Arial"/>
          <w:color w:val="323130"/>
          <w:sz w:val="22"/>
          <w:szCs w:val="22"/>
          <w:lang w:val="en-GB" w:eastAsia="en-GB"/>
        </w:rPr>
        <w:lastRenderedPageBreak/>
        <w:t>not just my own. The insights and skills I have gained through this process will undoubtedly serve as a foundation for my ongoing professional growth and development.</w:t>
      </w:r>
    </w:p>
    <w:p w14:paraId="407C4204" w14:textId="77777777"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5. Conclusion: What Else Could You Have Done? (Reflection on Learning and Professional Growth)</w:t>
      </w:r>
    </w:p>
    <w:p w14:paraId="79FD759B"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Reflecting on my RAL journey, I recognise that while I successfully navigated the challenges of articulating and evidencing my experiential learning, there remain areas where I could have enhanced my approach. For instance, earlier engagement with academic writing conventions and reflective models might have eased the initial transition from military to academic discourse. Developing a more structured plan for evidence gathering at the outset could have reduced time pressures later in the process.</w:t>
      </w:r>
    </w:p>
    <w:p w14:paraId="0B95B991"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Additionally, I could have sought more peer collaboration or academic mentorship to gain diverse perspectives and feedback, enriching my reflections and broadening my critical analysis. Embracing a wider range of reflective models earlier might have deepened my understanding of the complexities inherent in military leadership and learning.</w:t>
      </w:r>
    </w:p>
    <w:p w14:paraId="3C6D9C71" w14:textId="4AD70086" w:rsidR="000F2684" w:rsidRPr="0064256D" w:rsidRDefault="000F2684" w:rsidP="0064256D">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These reflections underscore the importance of continuous reflective practice</w:t>
      </w:r>
      <w:r w:rsidR="0064256D">
        <w:rPr>
          <w:rFonts w:ascii="Arial" w:eastAsia="Times New Roman" w:hAnsi="Arial" w:cs="Arial"/>
          <w:color w:val="323130"/>
          <w:sz w:val="22"/>
          <w:szCs w:val="22"/>
          <w:lang w:val="en-GB" w:eastAsia="en-GB"/>
        </w:rPr>
        <w:t xml:space="preserve">, </w:t>
      </w:r>
      <w:r w:rsidRPr="00AA2EB0">
        <w:rPr>
          <w:rFonts w:ascii="Arial" w:eastAsia="Times New Roman" w:hAnsi="Arial" w:cs="Arial"/>
          <w:color w:val="323130"/>
          <w:sz w:val="22"/>
          <w:szCs w:val="22"/>
          <w:lang w:val="en-GB" w:eastAsia="en-GB"/>
        </w:rPr>
        <w:t>not only as a module requirement but as an ongoing professional habit. The RAL process has fundamentally influenced my perspective on learning and development, highlighting that reflection is a dynamic, iterative process essential for adapting to evolving challenges and fostering lifelong growth.</w:t>
      </w:r>
    </w:p>
    <w:p w14:paraId="541781C7" w14:textId="77777777"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6. Action Plan: If It Arose Again, What Would You Do? (Application of Knowledge and Future Development)</w:t>
      </w:r>
    </w:p>
    <w:p w14:paraId="6FDCA0C5" w14:textId="77777777" w:rsidR="003F4A3B"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The knowledge and skills gained through the RAL process have equipped me to apply reflective practice more effectively within my professional context. I plan to integrate regular reflection sessions into my leadership and mentoring roles, using models like Kolb’s and </w:t>
      </w:r>
      <w:proofErr w:type="gramStart"/>
      <w:r w:rsidRPr="00AA2EB0">
        <w:rPr>
          <w:rFonts w:ascii="Arial" w:eastAsia="Times New Roman" w:hAnsi="Arial" w:cs="Arial"/>
          <w:color w:val="323130"/>
          <w:sz w:val="22"/>
          <w:szCs w:val="22"/>
          <w:lang w:val="en-GB" w:eastAsia="en-GB"/>
        </w:rPr>
        <w:t>Gibbs’</w:t>
      </w:r>
      <w:proofErr w:type="gramEnd"/>
      <w:r w:rsidRPr="00AA2EB0">
        <w:rPr>
          <w:rFonts w:ascii="Arial" w:eastAsia="Times New Roman" w:hAnsi="Arial" w:cs="Arial"/>
          <w:color w:val="323130"/>
          <w:sz w:val="22"/>
          <w:szCs w:val="22"/>
          <w:lang w:val="en-GB" w:eastAsia="en-GB"/>
        </w:rPr>
        <w:t xml:space="preserve"> to evaluate practice and inform decision-making. This will support evidence-based improvements and help identify future learning needs.</w:t>
      </w:r>
    </w:p>
    <w:p w14:paraId="6EF6CD15" w14:textId="65B1C4ED"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I also intend to continue developing my academic writing and critical thinking skills, seeking opportunities for further study and professional accreditation. The RAL experience has </w:t>
      </w:r>
      <w:r w:rsidRPr="00AA2EB0">
        <w:rPr>
          <w:rFonts w:ascii="Arial" w:eastAsia="Times New Roman" w:hAnsi="Arial" w:cs="Arial"/>
          <w:color w:val="323130"/>
          <w:sz w:val="22"/>
          <w:szCs w:val="22"/>
          <w:lang w:val="en-GB" w:eastAsia="en-GB"/>
        </w:rPr>
        <w:lastRenderedPageBreak/>
        <w:t>increased my confidence in pursuing advanced qualifications and has reinforced my commitment to lifelong learning.</w:t>
      </w:r>
    </w:p>
    <w:p w14:paraId="0D2686EF" w14:textId="532105EE"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In terms of career aspirations, I aim to leverage my enhanced reflective capacity and leadership insights to take on greater responsibilities within the RAF, particularly in multinational operational planning </w:t>
      </w:r>
      <w:r w:rsidR="00ED5265">
        <w:rPr>
          <w:rFonts w:ascii="Arial" w:eastAsia="Times New Roman" w:hAnsi="Arial" w:cs="Arial"/>
          <w:color w:val="323130"/>
          <w:sz w:val="22"/>
          <w:szCs w:val="22"/>
          <w:lang w:val="en-GB" w:eastAsia="en-GB"/>
        </w:rPr>
        <w:t xml:space="preserve">on Ops </w:t>
      </w:r>
      <w:r w:rsidRPr="00AA2EB0">
        <w:rPr>
          <w:rFonts w:ascii="Arial" w:eastAsia="Times New Roman" w:hAnsi="Arial" w:cs="Arial"/>
          <w:color w:val="323130"/>
          <w:sz w:val="22"/>
          <w:szCs w:val="22"/>
          <w:lang w:val="en-GB" w:eastAsia="en-GB"/>
        </w:rPr>
        <w:t>and engineering leadership. I will advocate for embedding reflective practice and ED&amp;I principles more deeply within my unit to foster a culture of continuous improvement and inclusivity.</w:t>
      </w:r>
    </w:p>
    <w:p w14:paraId="1A132C4F"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My clear action plan includes:</w:t>
      </w:r>
    </w:p>
    <w:p w14:paraId="6C978FFD" w14:textId="77777777" w:rsidR="000F2684" w:rsidRPr="00AA2EB0" w:rsidRDefault="000F2684" w:rsidP="00AA2EB0">
      <w:pPr>
        <w:numPr>
          <w:ilvl w:val="0"/>
          <w:numId w:val="16"/>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Continuing structured reflective practice to support professional growth.</w:t>
      </w:r>
    </w:p>
    <w:p w14:paraId="0D7BCD15" w14:textId="77777777" w:rsidR="000F2684" w:rsidRPr="00AA2EB0" w:rsidRDefault="000F2684" w:rsidP="00AA2EB0">
      <w:pPr>
        <w:numPr>
          <w:ilvl w:val="0"/>
          <w:numId w:val="16"/>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Applying experiential learning principles to adapt leadership approaches in complex environments.</w:t>
      </w:r>
    </w:p>
    <w:p w14:paraId="61774EF5" w14:textId="77777777" w:rsidR="000F2684" w:rsidRPr="00AA2EB0" w:rsidRDefault="000F2684" w:rsidP="00AA2EB0">
      <w:pPr>
        <w:numPr>
          <w:ilvl w:val="0"/>
          <w:numId w:val="16"/>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Pursuing further educational opportunities and professional development.</w:t>
      </w:r>
    </w:p>
    <w:p w14:paraId="25B993AB" w14:textId="641D6E47" w:rsidR="000F2684" w:rsidRPr="00C11BA5" w:rsidRDefault="000F2684" w:rsidP="00C11BA5">
      <w:pPr>
        <w:numPr>
          <w:ilvl w:val="0"/>
          <w:numId w:val="16"/>
        </w:num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Promoting mentoring and inclusive leadership within my </w:t>
      </w:r>
      <w:r w:rsidR="00C11BA5">
        <w:rPr>
          <w:rFonts w:ascii="Arial" w:eastAsia="Times New Roman" w:hAnsi="Arial" w:cs="Arial"/>
          <w:color w:val="323130"/>
          <w:sz w:val="22"/>
          <w:szCs w:val="22"/>
          <w:lang w:val="en-GB" w:eastAsia="en-GB"/>
        </w:rPr>
        <w:t xml:space="preserve">RAF </w:t>
      </w:r>
      <w:r w:rsidRPr="00AA2EB0">
        <w:rPr>
          <w:rFonts w:ascii="Arial" w:eastAsia="Times New Roman" w:hAnsi="Arial" w:cs="Arial"/>
          <w:color w:val="323130"/>
          <w:sz w:val="22"/>
          <w:szCs w:val="22"/>
          <w:lang w:val="en-GB" w:eastAsia="en-GB"/>
        </w:rPr>
        <w:t>organisation</w:t>
      </w:r>
      <w:r w:rsidR="00C11BA5">
        <w:rPr>
          <w:rFonts w:ascii="Arial" w:eastAsia="Times New Roman" w:hAnsi="Arial" w:cs="Arial"/>
          <w:color w:val="323130"/>
          <w:sz w:val="22"/>
          <w:szCs w:val="22"/>
          <w:lang w:val="en-GB" w:eastAsia="en-GB"/>
        </w:rPr>
        <w:t>.</w:t>
      </w:r>
    </w:p>
    <w:p w14:paraId="5B62C59C" w14:textId="2D566AA5"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Conclusion</w:t>
      </w:r>
    </w:p>
    <w:p w14:paraId="7743DE3D"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The RAL process has been a profoundly transformative journey, reshaping not only how I view my extensive professional experiences but also how I appreciate their academic value. Reflecting on nearly three decades of military service, I have been able to validate my expertise and achievements while simultaneously developing a more structured, analytical, and critical approach to learning. The application of Kolb’s Experiential Learning Cycle and Gibbs’ Reflective Cycle has provided me with robust frameworks to systematically dissect my experiences, explore their deeper significance, and translate them into actionable insights that enhance my professional practice.</w:t>
      </w:r>
    </w:p>
    <w:p w14:paraId="01B1D1EF"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This journey has reinforced for me the vital role of reflective practice as a dynamic bridge connecting past experiences with future challenges. Reflection, I have come to understand, is not merely a retrospective exercise but a forward-looking tool that fosters continuous personal growth, informs sound decision-making, and enhances leadership effectiveness in complex and evolving environments. It has enabled me to move beyond simply recounting what happened to critically analyse why and how events unfolded, and how I can adapt and improve my approach in future situations.</w:t>
      </w:r>
    </w:p>
    <w:p w14:paraId="1DCF7666"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lastRenderedPageBreak/>
        <w:t>Engaging critically with a range of theoretical frameworks has deepened my understanding across multiple domains, including leadership, safety management, coaching and mentoring, inclusivity, engineering professionalism, and operational planning. Importantly, I have recognised the limitations inherent in traditional reflective models, such as Kolb’s cyclical approach, particularly in accommodating the emotional complexity and hierarchical constraints characteristic of military leadership. This awareness has led me to embrace more adaptive, context-sensitive approaches that better reflect the realities of multinational military operations and diverse team dynamics.</w:t>
      </w:r>
    </w:p>
    <w:p w14:paraId="3AFDDFDA" w14:textId="7B102555"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The insights gained through this reflective process have tangibly improved my ability to lead diverse teams effectively, mentor junior personnel with greater empathy and structure, and contribute meaningfully to organisational development. I am now more confident in fostering a culture of continuous learning and inclusivity</w:t>
      </w:r>
      <w:r w:rsidR="007D51D2">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qualities that are essential for the military’s evolving operational</w:t>
      </w:r>
      <w:r w:rsidR="007D51D2">
        <w:rPr>
          <w:rFonts w:ascii="Arial" w:eastAsia="Times New Roman" w:hAnsi="Arial" w:cs="Arial"/>
          <w:color w:val="323130"/>
          <w:sz w:val="22"/>
          <w:szCs w:val="22"/>
          <w:lang w:val="en-GB" w:eastAsia="en-GB"/>
        </w:rPr>
        <w:t xml:space="preserve"> foreign</w:t>
      </w:r>
      <w:r w:rsidRPr="00AA2EB0">
        <w:rPr>
          <w:rFonts w:ascii="Arial" w:eastAsia="Times New Roman" w:hAnsi="Arial" w:cs="Arial"/>
          <w:color w:val="323130"/>
          <w:sz w:val="22"/>
          <w:szCs w:val="22"/>
          <w:lang w:val="en-GB" w:eastAsia="en-GB"/>
        </w:rPr>
        <w:t xml:space="preserve"> landscape</w:t>
      </w:r>
      <w:r w:rsidR="007D51D2">
        <w:rPr>
          <w:rFonts w:ascii="Arial" w:eastAsia="Times New Roman" w:hAnsi="Arial" w:cs="Arial"/>
          <w:color w:val="323130"/>
          <w:sz w:val="22"/>
          <w:szCs w:val="22"/>
          <w:lang w:val="en-GB" w:eastAsia="en-GB"/>
        </w:rPr>
        <w:t xml:space="preserve"> - </w:t>
      </w:r>
      <w:r w:rsidRPr="00AA2EB0">
        <w:rPr>
          <w:rFonts w:ascii="Arial" w:eastAsia="Times New Roman" w:hAnsi="Arial" w:cs="Arial"/>
          <w:color w:val="323130"/>
          <w:sz w:val="22"/>
          <w:szCs w:val="22"/>
          <w:lang w:val="en-GB" w:eastAsia="en-GB"/>
        </w:rPr>
        <w:t>where adaptability, cultural competence, and ethical leadership are paramount.</w:t>
      </w:r>
    </w:p>
    <w:p w14:paraId="388192E6"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Looking ahead, I intend to continue serving in the military until at least the age of 55, with the possibility of extending to 60, leveraging the skills, knowledge, and reflective capacity I have developed to inspire others, strengthen organisational resilience, and prepare for the complex challenges of future conflicts. The RAL process has equipped me not only with academic credentials but also with the confidence and critical insight necessary to make a lasting impact within the RAF and allied forces.</w:t>
      </w:r>
    </w:p>
    <w:p w14:paraId="5DED6030"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Ultimately, this journey has been far more than an academic accreditation exercise; it has been a catalyst for profound personal and professional growth. It has enabled me to lead with greater insight, emotional intelligence, and effectiveness, ensuring that I can contribute to the success and sustainability of military operations in an increasingly complex global environment. The reflective skills and theoretical understanding I have gained will continue to inform my leadership practice, mentoring, and commitment to fostering inclusive, high-performing teams.</w:t>
      </w:r>
    </w:p>
    <w:p w14:paraId="0CA0592E" w14:textId="68FACFFD" w:rsidR="000F2684" w:rsidRPr="00AF664F" w:rsidRDefault="000F2684" w:rsidP="00AF664F">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 xml:space="preserve">In summary, the RAL process has empowered me to transform my extensive military experience into validated academic learning, bridging the gap between practice and theory. It has reinforced my dedication to lifelong learning and continuous improvement, positioning me to meet future challenges with resilience, adaptability, and a deepened sense of purpose. I am confident that the knowledge and skills I have acquired will enable me to leave a meaningful </w:t>
      </w:r>
      <w:r w:rsidRPr="00AA2EB0">
        <w:rPr>
          <w:rFonts w:ascii="Arial" w:eastAsia="Times New Roman" w:hAnsi="Arial" w:cs="Arial"/>
          <w:color w:val="323130"/>
          <w:sz w:val="22"/>
          <w:szCs w:val="22"/>
          <w:lang w:val="en-GB" w:eastAsia="en-GB"/>
        </w:rPr>
        <w:lastRenderedPageBreak/>
        <w:t>legacy within the military, inspiring others and contributing to the ongoing evolution of military leadership and professionalism.</w:t>
      </w:r>
    </w:p>
    <w:p w14:paraId="7E89F99F" w14:textId="77777777" w:rsidR="000F2684" w:rsidRPr="00AA2EB0" w:rsidRDefault="000F2684" w:rsidP="00AA2EB0">
      <w:pPr>
        <w:shd w:val="clear" w:color="auto" w:fill="FFFFFF"/>
        <w:spacing w:before="100" w:beforeAutospacing="1" w:after="100" w:afterAutospacing="1" w:line="360" w:lineRule="auto"/>
        <w:outlineLvl w:val="1"/>
        <w:rPr>
          <w:rFonts w:ascii="Arial" w:eastAsia="Times New Roman" w:hAnsi="Arial" w:cs="Arial"/>
          <w:b/>
          <w:bCs/>
          <w:color w:val="323130"/>
          <w:sz w:val="22"/>
          <w:szCs w:val="22"/>
          <w:lang w:val="en-GB" w:eastAsia="en-GB"/>
        </w:rPr>
      </w:pPr>
      <w:r w:rsidRPr="00AA2EB0">
        <w:rPr>
          <w:rFonts w:ascii="Arial" w:eastAsia="Times New Roman" w:hAnsi="Arial" w:cs="Arial"/>
          <w:b/>
          <w:bCs/>
          <w:color w:val="323130"/>
          <w:sz w:val="22"/>
          <w:szCs w:val="22"/>
          <w:lang w:val="en-GB" w:eastAsia="en-GB"/>
        </w:rPr>
        <w:t>References</w:t>
      </w:r>
    </w:p>
    <w:p w14:paraId="0E3A46A5" w14:textId="77777777" w:rsidR="000F2684" w:rsidRPr="00AA2EB0" w:rsidRDefault="000F2684" w:rsidP="00AA2EB0">
      <w:pPr>
        <w:shd w:val="clear" w:color="auto" w:fill="FFFFFF"/>
        <w:spacing w:before="100" w:beforeAutospacing="1" w:after="100" w:afterAutospacing="1" w:line="360" w:lineRule="auto"/>
        <w:rPr>
          <w:rFonts w:ascii="Arial" w:eastAsia="Times New Roman" w:hAnsi="Arial" w:cs="Arial"/>
          <w:color w:val="323130"/>
          <w:sz w:val="22"/>
          <w:szCs w:val="22"/>
          <w:lang w:val="en-GB" w:eastAsia="en-GB"/>
        </w:rPr>
      </w:pPr>
      <w:r w:rsidRPr="00AA2EB0">
        <w:rPr>
          <w:rFonts w:ascii="Arial" w:eastAsia="Times New Roman" w:hAnsi="Arial" w:cs="Arial"/>
          <w:color w:val="323130"/>
          <w:sz w:val="22"/>
          <w:szCs w:val="22"/>
          <w:lang w:val="en-GB" w:eastAsia="en-GB"/>
        </w:rPr>
        <w:t>Boyd, R.D. and Fales, A.W. (1983) ‘Reflective learning: Key to learning from experience’, </w:t>
      </w:r>
      <w:r w:rsidRPr="00AA2EB0">
        <w:rPr>
          <w:rFonts w:ascii="Arial" w:eastAsia="Times New Roman" w:hAnsi="Arial" w:cs="Arial"/>
          <w:i/>
          <w:iCs/>
          <w:color w:val="323130"/>
          <w:sz w:val="22"/>
          <w:szCs w:val="22"/>
          <w:lang w:val="en-GB" w:eastAsia="en-GB"/>
        </w:rPr>
        <w:t>Journal of Humanistic Psychology</w:t>
      </w:r>
      <w:r w:rsidRPr="00AA2EB0">
        <w:rPr>
          <w:rFonts w:ascii="Arial" w:eastAsia="Times New Roman" w:hAnsi="Arial" w:cs="Arial"/>
          <w:color w:val="323130"/>
          <w:sz w:val="22"/>
          <w:szCs w:val="22"/>
          <w:lang w:val="en-GB" w:eastAsia="en-GB"/>
        </w:rPr>
        <w:t>, 23(2), pp. 99–117.</w:t>
      </w:r>
      <w:r w:rsidRPr="00AA2EB0">
        <w:rPr>
          <w:rFonts w:ascii="Arial" w:eastAsia="Times New Roman" w:hAnsi="Arial" w:cs="Arial"/>
          <w:color w:val="323130"/>
          <w:sz w:val="22"/>
          <w:szCs w:val="22"/>
          <w:lang w:val="en-GB" w:eastAsia="en-GB"/>
        </w:rPr>
        <w:br/>
        <w:t>Deming, W.E. (1986) </w:t>
      </w:r>
      <w:r w:rsidRPr="00AA2EB0">
        <w:rPr>
          <w:rFonts w:ascii="Arial" w:eastAsia="Times New Roman" w:hAnsi="Arial" w:cs="Arial"/>
          <w:i/>
          <w:iCs/>
          <w:color w:val="323130"/>
          <w:sz w:val="22"/>
          <w:szCs w:val="22"/>
          <w:lang w:val="en-GB" w:eastAsia="en-GB"/>
        </w:rPr>
        <w:t>Out of the Crisis</w:t>
      </w:r>
      <w:r w:rsidRPr="00AA2EB0">
        <w:rPr>
          <w:rFonts w:ascii="Arial" w:eastAsia="Times New Roman" w:hAnsi="Arial" w:cs="Arial"/>
          <w:color w:val="323130"/>
          <w:sz w:val="22"/>
          <w:szCs w:val="22"/>
          <w:lang w:val="en-GB" w:eastAsia="en-GB"/>
        </w:rPr>
        <w:t>. Cambridge, MA: MIT Press.</w:t>
      </w:r>
      <w:r w:rsidRPr="00AA2EB0">
        <w:rPr>
          <w:rFonts w:ascii="Arial" w:eastAsia="Times New Roman" w:hAnsi="Arial" w:cs="Arial"/>
          <w:color w:val="323130"/>
          <w:sz w:val="22"/>
          <w:szCs w:val="22"/>
          <w:lang w:val="en-GB" w:eastAsia="en-GB"/>
        </w:rPr>
        <w:br/>
        <w:t>Erikson, T. (2019) </w:t>
      </w:r>
      <w:r w:rsidRPr="00AA2EB0">
        <w:rPr>
          <w:rFonts w:ascii="Arial" w:eastAsia="Times New Roman" w:hAnsi="Arial" w:cs="Arial"/>
          <w:i/>
          <w:iCs/>
          <w:color w:val="323130"/>
          <w:sz w:val="22"/>
          <w:szCs w:val="22"/>
          <w:lang w:val="en-GB" w:eastAsia="en-GB"/>
        </w:rPr>
        <w:t>Surrounded by Idiots: The Four Types of Human Behaviour (or, How to Understand Those Who Cannot Be Understood)</w:t>
      </w:r>
      <w:r w:rsidRPr="00AA2EB0">
        <w:rPr>
          <w:rFonts w:ascii="Arial" w:eastAsia="Times New Roman" w:hAnsi="Arial" w:cs="Arial"/>
          <w:color w:val="323130"/>
          <w:sz w:val="22"/>
          <w:szCs w:val="22"/>
          <w:lang w:val="en-GB" w:eastAsia="en-GB"/>
        </w:rPr>
        <w:t>. London: Vermilion.</w:t>
      </w:r>
      <w:r w:rsidRPr="00AA2EB0">
        <w:rPr>
          <w:rFonts w:ascii="Arial" w:eastAsia="Times New Roman" w:hAnsi="Arial" w:cs="Arial"/>
          <w:color w:val="323130"/>
          <w:sz w:val="22"/>
          <w:szCs w:val="22"/>
          <w:lang w:val="en-GB" w:eastAsia="en-GB"/>
        </w:rPr>
        <w:br/>
        <w:t>Finlay, L. (2008) ‘Reflecting on “Reflective practice”’, Practice-based Professional Learning Centre, The Open University.</w:t>
      </w:r>
      <w:r w:rsidRPr="00AA2EB0">
        <w:rPr>
          <w:rFonts w:ascii="Arial" w:eastAsia="Times New Roman" w:hAnsi="Arial" w:cs="Arial"/>
          <w:color w:val="323130"/>
          <w:sz w:val="22"/>
          <w:szCs w:val="22"/>
          <w:lang w:val="en-GB" w:eastAsia="en-GB"/>
        </w:rPr>
        <w:br/>
        <w:t>Gibbs, G. (1988) </w:t>
      </w:r>
      <w:r w:rsidRPr="00AA2EB0">
        <w:rPr>
          <w:rFonts w:ascii="Arial" w:eastAsia="Times New Roman" w:hAnsi="Arial" w:cs="Arial"/>
          <w:i/>
          <w:iCs/>
          <w:color w:val="323130"/>
          <w:sz w:val="22"/>
          <w:szCs w:val="22"/>
          <w:lang w:val="en-GB" w:eastAsia="en-GB"/>
        </w:rPr>
        <w:t>Learning by Doing: A Guide to Teaching and Learning Methods</w:t>
      </w:r>
      <w:r w:rsidRPr="00AA2EB0">
        <w:rPr>
          <w:rFonts w:ascii="Arial" w:eastAsia="Times New Roman" w:hAnsi="Arial" w:cs="Arial"/>
          <w:color w:val="323130"/>
          <w:sz w:val="22"/>
          <w:szCs w:val="22"/>
          <w:lang w:val="en-GB" w:eastAsia="en-GB"/>
        </w:rPr>
        <w:t>. Oxford: Oxford Polytechnic.</w:t>
      </w:r>
      <w:r w:rsidRPr="00AA2EB0">
        <w:rPr>
          <w:rFonts w:ascii="Arial" w:eastAsia="Times New Roman" w:hAnsi="Arial" w:cs="Arial"/>
          <w:color w:val="323130"/>
          <w:sz w:val="22"/>
          <w:szCs w:val="22"/>
          <w:lang w:val="en-GB" w:eastAsia="en-GB"/>
        </w:rPr>
        <w:br/>
        <w:t>Goleman, D. (2000) ‘Leadership that gets results’, </w:t>
      </w:r>
      <w:r w:rsidRPr="00AA2EB0">
        <w:rPr>
          <w:rFonts w:ascii="Arial" w:eastAsia="Times New Roman" w:hAnsi="Arial" w:cs="Arial"/>
          <w:i/>
          <w:iCs/>
          <w:color w:val="323130"/>
          <w:sz w:val="22"/>
          <w:szCs w:val="22"/>
          <w:lang w:val="en-GB" w:eastAsia="en-GB"/>
        </w:rPr>
        <w:t>Harvard Business Review</w:t>
      </w:r>
      <w:r w:rsidRPr="00AA2EB0">
        <w:rPr>
          <w:rFonts w:ascii="Arial" w:eastAsia="Times New Roman" w:hAnsi="Arial" w:cs="Arial"/>
          <w:color w:val="323130"/>
          <w:sz w:val="22"/>
          <w:szCs w:val="22"/>
          <w:lang w:val="en-GB" w:eastAsia="en-GB"/>
        </w:rPr>
        <w:t>, 78(2), pp. 78–90.</w:t>
      </w:r>
      <w:r w:rsidRPr="00AA2EB0">
        <w:rPr>
          <w:rFonts w:ascii="Arial" w:eastAsia="Times New Roman" w:hAnsi="Arial" w:cs="Arial"/>
          <w:color w:val="323130"/>
          <w:sz w:val="22"/>
          <w:szCs w:val="22"/>
          <w:lang w:val="en-GB" w:eastAsia="en-GB"/>
        </w:rPr>
        <w:br/>
        <w:t>Hannah, S.T., Uhl-Bien, M., Avolio, B.J., and Cavarretta, F.L. (2019) ‘A framework for examining leadership in extreme contexts’, </w:t>
      </w:r>
      <w:r w:rsidRPr="00AA2EB0">
        <w:rPr>
          <w:rFonts w:ascii="Arial" w:eastAsia="Times New Roman" w:hAnsi="Arial" w:cs="Arial"/>
          <w:i/>
          <w:iCs/>
          <w:color w:val="323130"/>
          <w:sz w:val="22"/>
          <w:szCs w:val="22"/>
          <w:lang w:val="en-GB" w:eastAsia="en-GB"/>
        </w:rPr>
        <w:t>The Leadership Quarterly</w:t>
      </w:r>
      <w:r w:rsidRPr="00AA2EB0">
        <w:rPr>
          <w:rFonts w:ascii="Arial" w:eastAsia="Times New Roman" w:hAnsi="Arial" w:cs="Arial"/>
          <w:color w:val="323130"/>
          <w:sz w:val="22"/>
          <w:szCs w:val="22"/>
          <w:lang w:val="en-GB" w:eastAsia="en-GB"/>
        </w:rPr>
        <w:t>, 30(1), pp. 1–19.</w:t>
      </w:r>
      <w:r w:rsidRPr="00AA2EB0">
        <w:rPr>
          <w:rFonts w:ascii="Arial" w:eastAsia="Times New Roman" w:hAnsi="Arial" w:cs="Arial"/>
          <w:color w:val="323130"/>
          <w:sz w:val="22"/>
          <w:szCs w:val="22"/>
          <w:lang w:val="en-GB" w:eastAsia="en-GB"/>
        </w:rPr>
        <w:br/>
        <w:t>Hofstede, G. (2010) </w:t>
      </w:r>
      <w:r w:rsidRPr="00AA2EB0">
        <w:rPr>
          <w:rFonts w:ascii="Arial" w:eastAsia="Times New Roman" w:hAnsi="Arial" w:cs="Arial"/>
          <w:i/>
          <w:iCs/>
          <w:color w:val="323130"/>
          <w:sz w:val="22"/>
          <w:szCs w:val="22"/>
          <w:lang w:val="en-GB" w:eastAsia="en-GB"/>
        </w:rPr>
        <w:t>Cultures and Organizations: Software of the Mind</w:t>
      </w:r>
      <w:r w:rsidRPr="00AA2EB0">
        <w:rPr>
          <w:rFonts w:ascii="Arial" w:eastAsia="Times New Roman" w:hAnsi="Arial" w:cs="Arial"/>
          <w:color w:val="323130"/>
          <w:sz w:val="22"/>
          <w:szCs w:val="22"/>
          <w:lang w:val="en-GB" w:eastAsia="en-GB"/>
        </w:rPr>
        <w:t xml:space="preserve">. 3rd </w:t>
      </w:r>
      <w:proofErr w:type="spellStart"/>
      <w:r w:rsidRPr="00AA2EB0">
        <w:rPr>
          <w:rFonts w:ascii="Arial" w:eastAsia="Times New Roman" w:hAnsi="Arial" w:cs="Arial"/>
          <w:color w:val="323130"/>
          <w:sz w:val="22"/>
          <w:szCs w:val="22"/>
          <w:lang w:val="en-GB" w:eastAsia="en-GB"/>
        </w:rPr>
        <w:t>edn</w:t>
      </w:r>
      <w:proofErr w:type="spellEnd"/>
      <w:r w:rsidRPr="00AA2EB0">
        <w:rPr>
          <w:rFonts w:ascii="Arial" w:eastAsia="Times New Roman" w:hAnsi="Arial" w:cs="Arial"/>
          <w:color w:val="323130"/>
          <w:sz w:val="22"/>
          <w:szCs w:val="22"/>
          <w:lang w:val="en-GB" w:eastAsia="en-GB"/>
        </w:rPr>
        <w:t>. New York: McGraw-Hill.</w:t>
      </w:r>
      <w:r w:rsidRPr="00AA2EB0">
        <w:rPr>
          <w:rFonts w:ascii="Arial" w:eastAsia="Times New Roman" w:hAnsi="Arial" w:cs="Arial"/>
          <w:color w:val="323130"/>
          <w:sz w:val="22"/>
          <w:szCs w:val="22"/>
          <w:lang w:val="en-GB" w:eastAsia="en-GB"/>
        </w:rPr>
        <w:br/>
        <w:t>HSE (2023) </w:t>
      </w:r>
      <w:r w:rsidRPr="00AA2EB0">
        <w:rPr>
          <w:rFonts w:ascii="Arial" w:eastAsia="Times New Roman" w:hAnsi="Arial" w:cs="Arial"/>
          <w:i/>
          <w:iCs/>
          <w:color w:val="323130"/>
          <w:sz w:val="22"/>
          <w:szCs w:val="22"/>
          <w:lang w:val="en-GB" w:eastAsia="en-GB"/>
        </w:rPr>
        <w:t>Managing for Health and Safety (HSG65)</w:t>
      </w:r>
      <w:r w:rsidRPr="00AA2EB0">
        <w:rPr>
          <w:rFonts w:ascii="Arial" w:eastAsia="Times New Roman" w:hAnsi="Arial" w:cs="Arial"/>
          <w:color w:val="323130"/>
          <w:sz w:val="22"/>
          <w:szCs w:val="22"/>
          <w:lang w:val="en-GB" w:eastAsia="en-GB"/>
        </w:rPr>
        <w:t>. Available at: </w:t>
      </w:r>
      <w:hyperlink r:id="rId10" w:tgtFrame="_blank" w:history="1">
        <w:r w:rsidRPr="00AA2EB0">
          <w:rPr>
            <w:rFonts w:ascii="Arial" w:eastAsia="Times New Roman" w:hAnsi="Arial" w:cs="Arial"/>
            <w:color w:val="0000FF"/>
            <w:sz w:val="22"/>
            <w:szCs w:val="22"/>
            <w:u w:val="single"/>
            <w:lang w:val="en-GB" w:eastAsia="en-GB"/>
          </w:rPr>
          <w:t>https://www.hse.gov.uk/pubns/books/hsg65.htm</w:t>
        </w:r>
      </w:hyperlink>
      <w:r w:rsidRPr="00AA2EB0">
        <w:rPr>
          <w:rFonts w:ascii="Arial" w:eastAsia="Times New Roman" w:hAnsi="Arial" w:cs="Arial"/>
          <w:color w:val="323130"/>
          <w:sz w:val="22"/>
          <w:szCs w:val="22"/>
          <w:lang w:val="en-GB" w:eastAsia="en-GB"/>
        </w:rPr>
        <w:t> (Accessed: 07 July 2025).</w:t>
      </w:r>
      <w:r w:rsidRPr="00AA2EB0">
        <w:rPr>
          <w:rFonts w:ascii="Arial" w:eastAsia="Times New Roman" w:hAnsi="Arial" w:cs="Arial"/>
          <w:color w:val="323130"/>
          <w:sz w:val="22"/>
          <w:szCs w:val="22"/>
          <w:lang w:val="en-GB" w:eastAsia="en-GB"/>
        </w:rPr>
        <w:br/>
        <w:t>Jarvis, P. (2006) </w:t>
      </w:r>
      <w:r w:rsidRPr="00AA2EB0">
        <w:rPr>
          <w:rFonts w:ascii="Arial" w:eastAsia="Times New Roman" w:hAnsi="Arial" w:cs="Arial"/>
          <w:i/>
          <w:iCs/>
          <w:color w:val="323130"/>
          <w:sz w:val="22"/>
          <w:szCs w:val="22"/>
          <w:lang w:val="en-GB" w:eastAsia="en-GB"/>
        </w:rPr>
        <w:t>Towards a Comprehensive Theory of Human Learning</w:t>
      </w:r>
      <w:r w:rsidRPr="00AA2EB0">
        <w:rPr>
          <w:rFonts w:ascii="Arial" w:eastAsia="Times New Roman" w:hAnsi="Arial" w:cs="Arial"/>
          <w:color w:val="323130"/>
          <w:sz w:val="22"/>
          <w:szCs w:val="22"/>
          <w:lang w:val="en-GB" w:eastAsia="en-GB"/>
        </w:rPr>
        <w:t>. London: Routledge.</w:t>
      </w:r>
      <w:r w:rsidRPr="00AA2EB0">
        <w:rPr>
          <w:rFonts w:ascii="Arial" w:eastAsia="Times New Roman" w:hAnsi="Arial" w:cs="Arial"/>
          <w:color w:val="323130"/>
          <w:sz w:val="22"/>
          <w:szCs w:val="22"/>
          <w:lang w:val="en-GB" w:eastAsia="en-GB"/>
        </w:rPr>
        <w:br/>
        <w:t>Kolb, D.A. (1984) </w:t>
      </w:r>
      <w:r w:rsidRPr="00AA2EB0">
        <w:rPr>
          <w:rFonts w:ascii="Arial" w:eastAsia="Times New Roman" w:hAnsi="Arial" w:cs="Arial"/>
          <w:i/>
          <w:iCs/>
          <w:color w:val="323130"/>
          <w:sz w:val="22"/>
          <w:szCs w:val="22"/>
          <w:lang w:val="en-GB" w:eastAsia="en-GB"/>
        </w:rPr>
        <w:t>Experiential Learning: Experience as the Source of Learning and Development</w:t>
      </w:r>
      <w:r w:rsidRPr="00AA2EB0">
        <w:rPr>
          <w:rFonts w:ascii="Arial" w:eastAsia="Times New Roman" w:hAnsi="Arial" w:cs="Arial"/>
          <w:color w:val="323130"/>
          <w:sz w:val="22"/>
          <w:szCs w:val="22"/>
          <w:lang w:val="en-GB" w:eastAsia="en-GB"/>
        </w:rPr>
        <w:t>. Englewood Cliffs, NJ: Prentice Hall.</w:t>
      </w:r>
      <w:r w:rsidRPr="00AA2EB0">
        <w:rPr>
          <w:rFonts w:ascii="Arial" w:eastAsia="Times New Roman" w:hAnsi="Arial" w:cs="Arial"/>
          <w:color w:val="323130"/>
          <w:sz w:val="22"/>
          <w:szCs w:val="22"/>
          <w:lang w:val="en-GB" w:eastAsia="en-GB"/>
        </w:rPr>
        <w:br/>
        <w:t>March on Stress (2026) </w:t>
      </w:r>
      <w:r w:rsidRPr="00AA2EB0">
        <w:rPr>
          <w:rFonts w:ascii="Arial" w:eastAsia="Times New Roman" w:hAnsi="Arial" w:cs="Arial"/>
          <w:i/>
          <w:iCs/>
          <w:color w:val="323130"/>
          <w:sz w:val="22"/>
          <w:szCs w:val="22"/>
          <w:lang w:val="en-GB" w:eastAsia="en-GB"/>
        </w:rPr>
        <w:t>Trauma Risk Management (</w:t>
      </w:r>
      <w:proofErr w:type="spellStart"/>
      <w:r w:rsidRPr="00AA2EB0">
        <w:rPr>
          <w:rFonts w:ascii="Arial" w:eastAsia="Times New Roman" w:hAnsi="Arial" w:cs="Arial"/>
          <w:i/>
          <w:iCs/>
          <w:color w:val="323130"/>
          <w:sz w:val="22"/>
          <w:szCs w:val="22"/>
          <w:lang w:val="en-GB" w:eastAsia="en-GB"/>
        </w:rPr>
        <w:t>TRiM</w:t>
      </w:r>
      <w:proofErr w:type="spellEnd"/>
      <w:r w:rsidRPr="00AA2EB0">
        <w:rPr>
          <w:rFonts w:ascii="Arial" w:eastAsia="Times New Roman" w:hAnsi="Arial" w:cs="Arial"/>
          <w:i/>
          <w:iCs/>
          <w:color w:val="323130"/>
          <w:sz w:val="22"/>
          <w:szCs w:val="22"/>
          <w:lang w:val="en-GB" w:eastAsia="en-GB"/>
        </w:rPr>
        <w:t>)</w:t>
      </w:r>
      <w:r w:rsidRPr="00AA2EB0">
        <w:rPr>
          <w:rFonts w:ascii="Arial" w:eastAsia="Times New Roman" w:hAnsi="Arial" w:cs="Arial"/>
          <w:color w:val="323130"/>
          <w:sz w:val="22"/>
          <w:szCs w:val="22"/>
          <w:lang w:val="en-GB" w:eastAsia="en-GB"/>
        </w:rPr>
        <w:t>. Available at: </w:t>
      </w:r>
      <w:hyperlink r:id="rId11" w:tgtFrame="_blank" w:history="1">
        <w:r w:rsidRPr="00AA2EB0">
          <w:rPr>
            <w:rFonts w:ascii="Arial" w:eastAsia="Times New Roman" w:hAnsi="Arial" w:cs="Arial"/>
            <w:color w:val="0000FF"/>
            <w:sz w:val="22"/>
            <w:szCs w:val="22"/>
            <w:u w:val="single"/>
            <w:lang w:val="en-GB" w:eastAsia="en-GB"/>
          </w:rPr>
          <w:t>https://www.march-on-stress.co.uk</w:t>
        </w:r>
      </w:hyperlink>
      <w:r w:rsidRPr="00AA2EB0">
        <w:rPr>
          <w:rFonts w:ascii="Arial" w:eastAsia="Times New Roman" w:hAnsi="Arial" w:cs="Arial"/>
          <w:color w:val="323130"/>
          <w:sz w:val="22"/>
          <w:szCs w:val="22"/>
          <w:lang w:val="en-GB" w:eastAsia="en-GB"/>
        </w:rPr>
        <w:t> (Accessed: 09 June 2026).</w:t>
      </w:r>
      <w:r w:rsidRPr="00AA2EB0">
        <w:rPr>
          <w:rFonts w:ascii="Arial" w:eastAsia="Times New Roman" w:hAnsi="Arial" w:cs="Arial"/>
          <w:color w:val="323130"/>
          <w:sz w:val="22"/>
          <w:szCs w:val="22"/>
          <w:lang w:val="en-GB" w:eastAsia="en-GB"/>
        </w:rPr>
        <w:br/>
        <w:t>Ministry of Defence (2021) </w:t>
      </w:r>
      <w:r w:rsidRPr="00AA2EB0">
        <w:rPr>
          <w:rFonts w:ascii="Arial" w:eastAsia="Times New Roman" w:hAnsi="Arial" w:cs="Arial"/>
          <w:i/>
          <w:iCs/>
          <w:color w:val="323130"/>
          <w:sz w:val="22"/>
          <w:szCs w:val="22"/>
          <w:lang w:val="en-GB" w:eastAsia="en-GB"/>
        </w:rPr>
        <w:t>RAF Diversity and Inclusion Strategy 2021–2025</w:t>
      </w:r>
      <w:r w:rsidRPr="00AA2EB0">
        <w:rPr>
          <w:rFonts w:ascii="Arial" w:eastAsia="Times New Roman" w:hAnsi="Arial" w:cs="Arial"/>
          <w:color w:val="323130"/>
          <w:sz w:val="22"/>
          <w:szCs w:val="22"/>
          <w:lang w:val="en-GB" w:eastAsia="en-GB"/>
        </w:rPr>
        <w:t>. London: Ministry of Defence.</w:t>
      </w:r>
      <w:r w:rsidRPr="00AA2EB0">
        <w:rPr>
          <w:rFonts w:ascii="Arial" w:eastAsia="Times New Roman" w:hAnsi="Arial" w:cs="Arial"/>
          <w:color w:val="323130"/>
          <w:sz w:val="22"/>
          <w:szCs w:val="22"/>
          <w:lang w:val="en-GB" w:eastAsia="en-GB"/>
        </w:rPr>
        <w:br/>
        <w:t>Rolfe, G., Freshwater, D., and Jasper, M. (2010) </w:t>
      </w:r>
      <w:r w:rsidRPr="00AA2EB0">
        <w:rPr>
          <w:rFonts w:ascii="Arial" w:eastAsia="Times New Roman" w:hAnsi="Arial" w:cs="Arial"/>
          <w:i/>
          <w:iCs/>
          <w:color w:val="323130"/>
          <w:sz w:val="22"/>
          <w:szCs w:val="22"/>
          <w:lang w:val="en-GB" w:eastAsia="en-GB"/>
        </w:rPr>
        <w:t>Critical Reflection in Practice: Generating Knowledge for Care</w:t>
      </w:r>
      <w:r w:rsidRPr="00AA2EB0">
        <w:rPr>
          <w:rFonts w:ascii="Arial" w:eastAsia="Times New Roman" w:hAnsi="Arial" w:cs="Arial"/>
          <w:color w:val="323130"/>
          <w:sz w:val="22"/>
          <w:szCs w:val="22"/>
          <w:lang w:val="en-GB" w:eastAsia="en-GB"/>
        </w:rPr>
        <w:t xml:space="preserve">. 2nd </w:t>
      </w:r>
      <w:proofErr w:type="spellStart"/>
      <w:r w:rsidRPr="00AA2EB0">
        <w:rPr>
          <w:rFonts w:ascii="Arial" w:eastAsia="Times New Roman" w:hAnsi="Arial" w:cs="Arial"/>
          <w:color w:val="323130"/>
          <w:sz w:val="22"/>
          <w:szCs w:val="22"/>
          <w:lang w:val="en-GB" w:eastAsia="en-GB"/>
        </w:rPr>
        <w:t>edn</w:t>
      </w:r>
      <w:proofErr w:type="spellEnd"/>
      <w:r w:rsidRPr="00AA2EB0">
        <w:rPr>
          <w:rFonts w:ascii="Arial" w:eastAsia="Times New Roman" w:hAnsi="Arial" w:cs="Arial"/>
          <w:color w:val="323130"/>
          <w:sz w:val="22"/>
          <w:szCs w:val="22"/>
          <w:lang w:val="en-GB" w:eastAsia="en-GB"/>
        </w:rPr>
        <w:t>. Basingstoke: Palgrave Macmillan.</w:t>
      </w:r>
      <w:r w:rsidRPr="00AA2EB0">
        <w:rPr>
          <w:rFonts w:ascii="Arial" w:eastAsia="Times New Roman" w:hAnsi="Arial" w:cs="Arial"/>
          <w:color w:val="323130"/>
          <w:sz w:val="22"/>
          <w:szCs w:val="22"/>
          <w:lang w:val="en-GB" w:eastAsia="en-GB"/>
        </w:rPr>
        <w:br/>
        <w:t>Schön, D.A. (1983) </w:t>
      </w:r>
      <w:r w:rsidRPr="00AA2EB0">
        <w:rPr>
          <w:rFonts w:ascii="Arial" w:eastAsia="Times New Roman" w:hAnsi="Arial" w:cs="Arial"/>
          <w:i/>
          <w:iCs/>
          <w:color w:val="323130"/>
          <w:sz w:val="22"/>
          <w:szCs w:val="22"/>
          <w:lang w:val="en-GB" w:eastAsia="en-GB"/>
        </w:rPr>
        <w:t>The Reflective Practitioner: How Professionals Think in Action</w:t>
      </w:r>
      <w:r w:rsidRPr="00AA2EB0">
        <w:rPr>
          <w:rFonts w:ascii="Arial" w:eastAsia="Times New Roman" w:hAnsi="Arial" w:cs="Arial"/>
          <w:color w:val="323130"/>
          <w:sz w:val="22"/>
          <w:szCs w:val="22"/>
          <w:lang w:val="en-GB" w:eastAsia="en-GB"/>
        </w:rPr>
        <w:t>. New York: Basic Books.</w:t>
      </w:r>
      <w:r w:rsidRPr="00AA2EB0">
        <w:rPr>
          <w:rFonts w:ascii="Arial" w:eastAsia="Times New Roman" w:hAnsi="Arial" w:cs="Arial"/>
          <w:color w:val="323130"/>
          <w:sz w:val="22"/>
          <w:szCs w:val="22"/>
          <w:lang w:val="en-GB" w:eastAsia="en-GB"/>
        </w:rPr>
        <w:br/>
        <w:t xml:space="preserve">Stahl, G.K., </w:t>
      </w:r>
      <w:proofErr w:type="spellStart"/>
      <w:r w:rsidRPr="00AA2EB0">
        <w:rPr>
          <w:rFonts w:ascii="Arial" w:eastAsia="Times New Roman" w:hAnsi="Arial" w:cs="Arial"/>
          <w:color w:val="323130"/>
          <w:sz w:val="22"/>
          <w:szCs w:val="22"/>
          <w:lang w:val="en-GB" w:eastAsia="en-GB"/>
        </w:rPr>
        <w:t>Maznevski</w:t>
      </w:r>
      <w:proofErr w:type="spellEnd"/>
      <w:r w:rsidRPr="00AA2EB0">
        <w:rPr>
          <w:rFonts w:ascii="Arial" w:eastAsia="Times New Roman" w:hAnsi="Arial" w:cs="Arial"/>
          <w:color w:val="323130"/>
          <w:sz w:val="22"/>
          <w:szCs w:val="22"/>
          <w:lang w:val="en-GB" w:eastAsia="en-GB"/>
        </w:rPr>
        <w:t>, M.L., Voigt, A., and Jonsen, K. (2017) ‘</w:t>
      </w:r>
      <w:proofErr w:type="spellStart"/>
      <w:r w:rsidRPr="00AA2EB0">
        <w:rPr>
          <w:rFonts w:ascii="Arial" w:eastAsia="Times New Roman" w:hAnsi="Arial" w:cs="Arial"/>
          <w:color w:val="323130"/>
          <w:sz w:val="22"/>
          <w:szCs w:val="22"/>
          <w:lang w:val="en-GB" w:eastAsia="en-GB"/>
        </w:rPr>
        <w:t>Unraveling</w:t>
      </w:r>
      <w:proofErr w:type="spellEnd"/>
      <w:r w:rsidRPr="00AA2EB0">
        <w:rPr>
          <w:rFonts w:ascii="Arial" w:eastAsia="Times New Roman" w:hAnsi="Arial" w:cs="Arial"/>
          <w:color w:val="323130"/>
          <w:sz w:val="22"/>
          <w:szCs w:val="22"/>
          <w:lang w:val="en-GB" w:eastAsia="en-GB"/>
        </w:rPr>
        <w:t xml:space="preserve"> the effects of cultural diversity in teams: A meta-analysis of research on multicultural work groups’, </w:t>
      </w:r>
      <w:r w:rsidRPr="00AA2EB0">
        <w:rPr>
          <w:rFonts w:ascii="Arial" w:eastAsia="Times New Roman" w:hAnsi="Arial" w:cs="Arial"/>
          <w:i/>
          <w:iCs/>
          <w:color w:val="323130"/>
          <w:sz w:val="22"/>
          <w:szCs w:val="22"/>
          <w:lang w:val="en-GB" w:eastAsia="en-GB"/>
        </w:rPr>
        <w:t>Journal of International Business Studies</w:t>
      </w:r>
      <w:r w:rsidRPr="00AA2EB0">
        <w:rPr>
          <w:rFonts w:ascii="Arial" w:eastAsia="Times New Roman" w:hAnsi="Arial" w:cs="Arial"/>
          <w:color w:val="323130"/>
          <w:sz w:val="22"/>
          <w:szCs w:val="22"/>
          <w:lang w:val="en-GB" w:eastAsia="en-GB"/>
        </w:rPr>
        <w:t>, 48(6), pp. 697–723.</w:t>
      </w:r>
      <w:r w:rsidRPr="00AA2EB0">
        <w:rPr>
          <w:rFonts w:ascii="Arial" w:eastAsia="Times New Roman" w:hAnsi="Arial" w:cs="Arial"/>
          <w:color w:val="323130"/>
          <w:sz w:val="22"/>
          <w:szCs w:val="22"/>
          <w:lang w:val="en-GB" w:eastAsia="en-GB"/>
        </w:rPr>
        <w:br/>
      </w:r>
      <w:r w:rsidRPr="00AA2EB0">
        <w:rPr>
          <w:rFonts w:ascii="Arial" w:eastAsia="Times New Roman" w:hAnsi="Arial" w:cs="Arial"/>
          <w:color w:val="323130"/>
          <w:sz w:val="22"/>
          <w:szCs w:val="22"/>
          <w:lang w:val="en-GB" w:eastAsia="en-GB"/>
        </w:rPr>
        <w:lastRenderedPageBreak/>
        <w:t>Whitmore, J. (2009) </w:t>
      </w:r>
      <w:r w:rsidRPr="00AA2EB0">
        <w:rPr>
          <w:rFonts w:ascii="Arial" w:eastAsia="Times New Roman" w:hAnsi="Arial" w:cs="Arial"/>
          <w:i/>
          <w:iCs/>
          <w:color w:val="323130"/>
          <w:sz w:val="22"/>
          <w:szCs w:val="22"/>
          <w:lang w:val="en-GB" w:eastAsia="en-GB"/>
        </w:rPr>
        <w:t xml:space="preserve">Coaching for Performance: </w:t>
      </w:r>
      <w:proofErr w:type="spellStart"/>
      <w:r w:rsidRPr="00AA2EB0">
        <w:rPr>
          <w:rFonts w:ascii="Arial" w:eastAsia="Times New Roman" w:hAnsi="Arial" w:cs="Arial"/>
          <w:i/>
          <w:iCs/>
          <w:color w:val="323130"/>
          <w:sz w:val="22"/>
          <w:szCs w:val="22"/>
          <w:lang w:val="en-GB" w:eastAsia="en-GB"/>
        </w:rPr>
        <w:t>GROWing</w:t>
      </w:r>
      <w:proofErr w:type="spellEnd"/>
      <w:r w:rsidRPr="00AA2EB0">
        <w:rPr>
          <w:rFonts w:ascii="Arial" w:eastAsia="Times New Roman" w:hAnsi="Arial" w:cs="Arial"/>
          <w:i/>
          <w:iCs/>
          <w:color w:val="323130"/>
          <w:sz w:val="22"/>
          <w:szCs w:val="22"/>
          <w:lang w:val="en-GB" w:eastAsia="en-GB"/>
        </w:rPr>
        <w:t xml:space="preserve"> Human Potential and Purpose</w:t>
      </w:r>
      <w:r w:rsidRPr="00AA2EB0">
        <w:rPr>
          <w:rFonts w:ascii="Arial" w:eastAsia="Times New Roman" w:hAnsi="Arial" w:cs="Arial"/>
          <w:color w:val="323130"/>
          <w:sz w:val="22"/>
          <w:szCs w:val="22"/>
          <w:lang w:val="en-GB" w:eastAsia="en-GB"/>
        </w:rPr>
        <w:t xml:space="preserve">. 4th </w:t>
      </w:r>
      <w:proofErr w:type="spellStart"/>
      <w:r w:rsidRPr="00AA2EB0">
        <w:rPr>
          <w:rFonts w:ascii="Arial" w:eastAsia="Times New Roman" w:hAnsi="Arial" w:cs="Arial"/>
          <w:color w:val="323130"/>
          <w:sz w:val="22"/>
          <w:szCs w:val="22"/>
          <w:lang w:val="en-GB" w:eastAsia="en-GB"/>
        </w:rPr>
        <w:t>edn</w:t>
      </w:r>
      <w:proofErr w:type="spellEnd"/>
      <w:r w:rsidRPr="00AA2EB0">
        <w:rPr>
          <w:rFonts w:ascii="Arial" w:eastAsia="Times New Roman" w:hAnsi="Arial" w:cs="Arial"/>
          <w:color w:val="323130"/>
          <w:sz w:val="22"/>
          <w:szCs w:val="22"/>
          <w:lang w:val="en-GB" w:eastAsia="en-GB"/>
        </w:rPr>
        <w:t>. London: Nicholas Brealey Publishing.</w:t>
      </w:r>
      <w:r w:rsidRPr="00AA2EB0">
        <w:rPr>
          <w:rFonts w:ascii="Arial" w:eastAsia="Times New Roman" w:hAnsi="Arial" w:cs="Arial"/>
          <w:color w:val="323130"/>
          <w:sz w:val="22"/>
          <w:szCs w:val="22"/>
          <w:lang w:val="en-GB" w:eastAsia="en-GB"/>
        </w:rPr>
        <w:br/>
        <w:t>Yukl, G. (2013) </w:t>
      </w:r>
      <w:r w:rsidRPr="00AA2EB0">
        <w:rPr>
          <w:rFonts w:ascii="Arial" w:eastAsia="Times New Roman" w:hAnsi="Arial" w:cs="Arial"/>
          <w:i/>
          <w:iCs/>
          <w:color w:val="323130"/>
          <w:sz w:val="22"/>
          <w:szCs w:val="22"/>
          <w:lang w:val="en-GB" w:eastAsia="en-GB"/>
        </w:rPr>
        <w:t>Leadership in Organizations</w:t>
      </w:r>
      <w:r w:rsidRPr="00AA2EB0">
        <w:rPr>
          <w:rFonts w:ascii="Arial" w:eastAsia="Times New Roman" w:hAnsi="Arial" w:cs="Arial"/>
          <w:color w:val="323130"/>
          <w:sz w:val="22"/>
          <w:szCs w:val="22"/>
          <w:lang w:val="en-GB" w:eastAsia="en-GB"/>
        </w:rPr>
        <w:t xml:space="preserve">. 8th </w:t>
      </w:r>
      <w:proofErr w:type="spellStart"/>
      <w:r w:rsidRPr="00AA2EB0">
        <w:rPr>
          <w:rFonts w:ascii="Arial" w:eastAsia="Times New Roman" w:hAnsi="Arial" w:cs="Arial"/>
          <w:color w:val="323130"/>
          <w:sz w:val="22"/>
          <w:szCs w:val="22"/>
          <w:lang w:val="en-GB" w:eastAsia="en-GB"/>
        </w:rPr>
        <w:t>edn</w:t>
      </w:r>
      <w:proofErr w:type="spellEnd"/>
      <w:r w:rsidRPr="00AA2EB0">
        <w:rPr>
          <w:rFonts w:ascii="Arial" w:eastAsia="Times New Roman" w:hAnsi="Arial" w:cs="Arial"/>
          <w:color w:val="323130"/>
          <w:sz w:val="22"/>
          <w:szCs w:val="22"/>
          <w:lang w:val="en-GB" w:eastAsia="en-GB"/>
        </w:rPr>
        <w:t>. Boston: Pearson.</w:t>
      </w:r>
    </w:p>
    <w:p w14:paraId="5C49B183" w14:textId="77777777" w:rsidR="0079630B" w:rsidRPr="00AA2EB0" w:rsidRDefault="0079630B" w:rsidP="00AA2EB0">
      <w:pPr>
        <w:spacing w:line="360" w:lineRule="auto"/>
        <w:rPr>
          <w:rFonts w:ascii="Arial" w:hAnsi="Arial" w:cs="Arial"/>
          <w:sz w:val="22"/>
          <w:szCs w:val="22"/>
        </w:rPr>
      </w:pPr>
    </w:p>
    <w:sectPr w:rsidR="0079630B" w:rsidRPr="00AA2EB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AB01B" w14:textId="77777777" w:rsidR="00161C61" w:rsidRDefault="00161C61" w:rsidP="0013751A">
      <w:pPr>
        <w:spacing w:after="0" w:line="240" w:lineRule="auto"/>
      </w:pPr>
      <w:r>
        <w:separator/>
      </w:r>
    </w:p>
  </w:endnote>
  <w:endnote w:type="continuationSeparator" w:id="0">
    <w:p w14:paraId="4966B1AB" w14:textId="77777777" w:rsidR="00161C61" w:rsidRDefault="00161C61" w:rsidP="00137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1789469342"/>
      <w:docPartObj>
        <w:docPartGallery w:val="Page Numbers (Bottom of Page)"/>
        <w:docPartUnique/>
      </w:docPartObj>
    </w:sdtPr>
    <w:sdtEndPr>
      <w:rPr>
        <w:color w:val="7F7F7F" w:themeColor="background1" w:themeShade="7F"/>
        <w:spacing w:val="60"/>
      </w:rPr>
    </w:sdtEndPr>
    <w:sdtContent>
      <w:p w14:paraId="3CCBF39B" w14:textId="0DA95CAB" w:rsidR="0013751A" w:rsidRPr="0013751A" w:rsidRDefault="0013751A">
        <w:pPr>
          <w:pStyle w:val="Footer"/>
          <w:pBdr>
            <w:top w:val="single" w:sz="4" w:space="1" w:color="D9D9D9" w:themeColor="background1" w:themeShade="D9"/>
          </w:pBdr>
          <w:jc w:val="right"/>
          <w:rPr>
            <w:rFonts w:ascii="Arial" w:hAnsi="Arial" w:cs="Arial"/>
            <w:sz w:val="22"/>
            <w:szCs w:val="22"/>
          </w:rPr>
        </w:pPr>
        <w:r w:rsidRPr="0013751A">
          <w:rPr>
            <w:rFonts w:ascii="Arial" w:hAnsi="Arial" w:cs="Arial"/>
            <w:sz w:val="22"/>
            <w:szCs w:val="22"/>
          </w:rPr>
          <w:fldChar w:fldCharType="begin"/>
        </w:r>
        <w:r w:rsidRPr="0013751A">
          <w:rPr>
            <w:rFonts w:ascii="Arial" w:hAnsi="Arial" w:cs="Arial"/>
            <w:sz w:val="22"/>
            <w:szCs w:val="22"/>
          </w:rPr>
          <w:instrText xml:space="preserve"> PAGE   \* MERGEFORMAT </w:instrText>
        </w:r>
        <w:r w:rsidRPr="0013751A">
          <w:rPr>
            <w:rFonts w:ascii="Arial" w:hAnsi="Arial" w:cs="Arial"/>
            <w:sz w:val="22"/>
            <w:szCs w:val="22"/>
          </w:rPr>
          <w:fldChar w:fldCharType="separate"/>
        </w:r>
        <w:r w:rsidRPr="0013751A">
          <w:rPr>
            <w:rFonts w:ascii="Arial" w:hAnsi="Arial" w:cs="Arial"/>
            <w:noProof/>
            <w:sz w:val="22"/>
            <w:szCs w:val="22"/>
          </w:rPr>
          <w:t>2</w:t>
        </w:r>
        <w:r w:rsidRPr="0013751A">
          <w:rPr>
            <w:rFonts w:ascii="Arial" w:hAnsi="Arial" w:cs="Arial"/>
            <w:noProof/>
            <w:sz w:val="22"/>
            <w:szCs w:val="22"/>
          </w:rPr>
          <w:fldChar w:fldCharType="end"/>
        </w:r>
        <w:r w:rsidRPr="0013751A">
          <w:rPr>
            <w:rFonts w:ascii="Arial" w:hAnsi="Arial" w:cs="Arial"/>
            <w:sz w:val="22"/>
            <w:szCs w:val="22"/>
          </w:rPr>
          <w:t xml:space="preserve"> | </w:t>
        </w:r>
        <w:r w:rsidRPr="0013751A">
          <w:rPr>
            <w:rFonts w:ascii="Arial" w:hAnsi="Arial" w:cs="Arial"/>
            <w:color w:val="7F7F7F" w:themeColor="background1" w:themeShade="7F"/>
            <w:spacing w:val="60"/>
            <w:sz w:val="22"/>
            <w:szCs w:val="22"/>
          </w:rPr>
          <w:t>Page</w:t>
        </w:r>
      </w:p>
    </w:sdtContent>
  </w:sdt>
  <w:p w14:paraId="2BAE39A3" w14:textId="77777777" w:rsidR="0013751A" w:rsidRDefault="00137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00552" w14:textId="77777777" w:rsidR="00161C61" w:rsidRDefault="00161C61" w:rsidP="0013751A">
      <w:pPr>
        <w:spacing w:after="0" w:line="240" w:lineRule="auto"/>
      </w:pPr>
      <w:r>
        <w:separator/>
      </w:r>
    </w:p>
  </w:footnote>
  <w:footnote w:type="continuationSeparator" w:id="0">
    <w:p w14:paraId="58D7BFB6" w14:textId="77777777" w:rsidR="00161C61" w:rsidRDefault="00161C61" w:rsidP="001375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205D2"/>
    <w:multiLevelType w:val="multilevel"/>
    <w:tmpl w:val="F5D8E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3424D"/>
    <w:multiLevelType w:val="multilevel"/>
    <w:tmpl w:val="9E7CA2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377DE"/>
    <w:multiLevelType w:val="multilevel"/>
    <w:tmpl w:val="AC408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571865"/>
    <w:multiLevelType w:val="multilevel"/>
    <w:tmpl w:val="4404D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A8276C"/>
    <w:multiLevelType w:val="multilevel"/>
    <w:tmpl w:val="268A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34FEB"/>
    <w:multiLevelType w:val="multilevel"/>
    <w:tmpl w:val="3DFC36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C831D9"/>
    <w:multiLevelType w:val="multilevel"/>
    <w:tmpl w:val="1E642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876FC0"/>
    <w:multiLevelType w:val="multilevel"/>
    <w:tmpl w:val="E064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522F92"/>
    <w:multiLevelType w:val="multilevel"/>
    <w:tmpl w:val="6A909C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050836"/>
    <w:multiLevelType w:val="multilevel"/>
    <w:tmpl w:val="4C745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164229"/>
    <w:multiLevelType w:val="multilevel"/>
    <w:tmpl w:val="BE22A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6D78F0"/>
    <w:multiLevelType w:val="multilevel"/>
    <w:tmpl w:val="DA709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F8111E"/>
    <w:multiLevelType w:val="multilevel"/>
    <w:tmpl w:val="C25253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1D1651"/>
    <w:multiLevelType w:val="multilevel"/>
    <w:tmpl w:val="B510BD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C63620"/>
    <w:multiLevelType w:val="multilevel"/>
    <w:tmpl w:val="2EA000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674DE7"/>
    <w:multiLevelType w:val="multilevel"/>
    <w:tmpl w:val="C9E4C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4389264">
    <w:abstractNumId w:val="2"/>
  </w:num>
  <w:num w:numId="2" w16cid:durableId="785807957">
    <w:abstractNumId w:val="9"/>
  </w:num>
  <w:num w:numId="3" w16cid:durableId="453181523">
    <w:abstractNumId w:val="12"/>
  </w:num>
  <w:num w:numId="4" w16cid:durableId="82070540">
    <w:abstractNumId w:val="5"/>
  </w:num>
  <w:num w:numId="5" w16cid:durableId="465978185">
    <w:abstractNumId w:val="6"/>
  </w:num>
  <w:num w:numId="6" w16cid:durableId="1980114399">
    <w:abstractNumId w:val="3"/>
  </w:num>
  <w:num w:numId="7" w16cid:durableId="1448427415">
    <w:abstractNumId w:val="10"/>
  </w:num>
  <w:num w:numId="8" w16cid:durableId="98766247">
    <w:abstractNumId w:val="8"/>
  </w:num>
  <w:num w:numId="9" w16cid:durableId="1456950435">
    <w:abstractNumId w:val="13"/>
  </w:num>
  <w:num w:numId="10" w16cid:durableId="799765876">
    <w:abstractNumId w:val="11"/>
  </w:num>
  <w:num w:numId="11" w16cid:durableId="1801799953">
    <w:abstractNumId w:val="7"/>
  </w:num>
  <w:num w:numId="12" w16cid:durableId="1977490846">
    <w:abstractNumId w:val="15"/>
  </w:num>
  <w:num w:numId="13" w16cid:durableId="258294164">
    <w:abstractNumId w:val="14"/>
  </w:num>
  <w:num w:numId="14" w16cid:durableId="1245450721">
    <w:abstractNumId w:val="1"/>
  </w:num>
  <w:num w:numId="15" w16cid:durableId="1339385078">
    <w:abstractNumId w:val="4"/>
  </w:num>
  <w:num w:numId="16" w16cid:durableId="776292483">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B5FCDC"/>
    <w:rsid w:val="000049FF"/>
    <w:rsid w:val="00004FEC"/>
    <w:rsid w:val="0002114E"/>
    <w:rsid w:val="00022DDF"/>
    <w:rsid w:val="0002460F"/>
    <w:rsid w:val="000352DC"/>
    <w:rsid w:val="00040200"/>
    <w:rsid w:val="00071A83"/>
    <w:rsid w:val="0007415F"/>
    <w:rsid w:val="0008039A"/>
    <w:rsid w:val="0008504B"/>
    <w:rsid w:val="000B0262"/>
    <w:rsid w:val="000B7B18"/>
    <w:rsid w:val="000D26A8"/>
    <w:rsid w:val="000F2684"/>
    <w:rsid w:val="000F5A7F"/>
    <w:rsid w:val="000F70AA"/>
    <w:rsid w:val="00102942"/>
    <w:rsid w:val="0010329A"/>
    <w:rsid w:val="001046EB"/>
    <w:rsid w:val="00107472"/>
    <w:rsid w:val="001226A6"/>
    <w:rsid w:val="0013102A"/>
    <w:rsid w:val="0013413F"/>
    <w:rsid w:val="00135921"/>
    <w:rsid w:val="0013751A"/>
    <w:rsid w:val="0014055D"/>
    <w:rsid w:val="0014085F"/>
    <w:rsid w:val="00141BC3"/>
    <w:rsid w:val="0014443B"/>
    <w:rsid w:val="0014627F"/>
    <w:rsid w:val="00147809"/>
    <w:rsid w:val="00161C61"/>
    <w:rsid w:val="001670EE"/>
    <w:rsid w:val="001A53A5"/>
    <w:rsid w:val="001D4FBB"/>
    <w:rsid w:val="002002B0"/>
    <w:rsid w:val="002105EE"/>
    <w:rsid w:val="0022186F"/>
    <w:rsid w:val="00221A8F"/>
    <w:rsid w:val="00237D8E"/>
    <w:rsid w:val="00243041"/>
    <w:rsid w:val="0024460D"/>
    <w:rsid w:val="00250AAF"/>
    <w:rsid w:val="0025179A"/>
    <w:rsid w:val="0025731B"/>
    <w:rsid w:val="002873A3"/>
    <w:rsid w:val="00293EFB"/>
    <w:rsid w:val="00295912"/>
    <w:rsid w:val="002A0021"/>
    <w:rsid w:val="002A59E2"/>
    <w:rsid w:val="002A7660"/>
    <w:rsid w:val="002B2413"/>
    <w:rsid w:val="002E49C2"/>
    <w:rsid w:val="002E5567"/>
    <w:rsid w:val="002F087E"/>
    <w:rsid w:val="002F476A"/>
    <w:rsid w:val="00301721"/>
    <w:rsid w:val="003207BA"/>
    <w:rsid w:val="00336C59"/>
    <w:rsid w:val="00343616"/>
    <w:rsid w:val="00345378"/>
    <w:rsid w:val="0036412B"/>
    <w:rsid w:val="0037044B"/>
    <w:rsid w:val="003716B8"/>
    <w:rsid w:val="0037318B"/>
    <w:rsid w:val="00380E3F"/>
    <w:rsid w:val="00382979"/>
    <w:rsid w:val="00396457"/>
    <w:rsid w:val="003B00E0"/>
    <w:rsid w:val="003B34B1"/>
    <w:rsid w:val="003B4E3F"/>
    <w:rsid w:val="003C5427"/>
    <w:rsid w:val="003C60A2"/>
    <w:rsid w:val="003E6748"/>
    <w:rsid w:val="003F4A3B"/>
    <w:rsid w:val="00440886"/>
    <w:rsid w:val="00445CAA"/>
    <w:rsid w:val="004506DB"/>
    <w:rsid w:val="004506FF"/>
    <w:rsid w:val="00450CDC"/>
    <w:rsid w:val="0045192C"/>
    <w:rsid w:val="004527A7"/>
    <w:rsid w:val="00454339"/>
    <w:rsid w:val="0048424B"/>
    <w:rsid w:val="00496FEE"/>
    <w:rsid w:val="004A2F3E"/>
    <w:rsid w:val="004A553F"/>
    <w:rsid w:val="004B42EE"/>
    <w:rsid w:val="004C51E0"/>
    <w:rsid w:val="004E1D8B"/>
    <w:rsid w:val="004F3918"/>
    <w:rsid w:val="00512645"/>
    <w:rsid w:val="0052756C"/>
    <w:rsid w:val="005363B9"/>
    <w:rsid w:val="00537B81"/>
    <w:rsid w:val="00540764"/>
    <w:rsid w:val="00544077"/>
    <w:rsid w:val="00567387"/>
    <w:rsid w:val="00577EA1"/>
    <w:rsid w:val="00595841"/>
    <w:rsid w:val="005B6169"/>
    <w:rsid w:val="005B6742"/>
    <w:rsid w:val="005D015D"/>
    <w:rsid w:val="005D2BE9"/>
    <w:rsid w:val="005F6E2B"/>
    <w:rsid w:val="005F775B"/>
    <w:rsid w:val="00602F81"/>
    <w:rsid w:val="0060623E"/>
    <w:rsid w:val="00606A10"/>
    <w:rsid w:val="006207A6"/>
    <w:rsid w:val="00627C5D"/>
    <w:rsid w:val="0063511C"/>
    <w:rsid w:val="0064256D"/>
    <w:rsid w:val="00644BB0"/>
    <w:rsid w:val="00651DCD"/>
    <w:rsid w:val="006659A5"/>
    <w:rsid w:val="00673705"/>
    <w:rsid w:val="0067556D"/>
    <w:rsid w:val="00676BFE"/>
    <w:rsid w:val="006849F9"/>
    <w:rsid w:val="006904CC"/>
    <w:rsid w:val="00697719"/>
    <w:rsid w:val="006B2635"/>
    <w:rsid w:val="006C1DD0"/>
    <w:rsid w:val="006D7BFE"/>
    <w:rsid w:val="006E13E9"/>
    <w:rsid w:val="006F2EB7"/>
    <w:rsid w:val="006F4845"/>
    <w:rsid w:val="006F7D73"/>
    <w:rsid w:val="00704492"/>
    <w:rsid w:val="00706793"/>
    <w:rsid w:val="0070735D"/>
    <w:rsid w:val="007117D4"/>
    <w:rsid w:val="00712AF9"/>
    <w:rsid w:val="00712B36"/>
    <w:rsid w:val="00714876"/>
    <w:rsid w:val="00716BB6"/>
    <w:rsid w:val="0072378E"/>
    <w:rsid w:val="00733395"/>
    <w:rsid w:val="00752FB7"/>
    <w:rsid w:val="0077015F"/>
    <w:rsid w:val="00771C60"/>
    <w:rsid w:val="007757F8"/>
    <w:rsid w:val="007817F8"/>
    <w:rsid w:val="0079630B"/>
    <w:rsid w:val="00797235"/>
    <w:rsid w:val="007B59D9"/>
    <w:rsid w:val="007B5FD4"/>
    <w:rsid w:val="007D51D2"/>
    <w:rsid w:val="007D6167"/>
    <w:rsid w:val="007E727A"/>
    <w:rsid w:val="007F776A"/>
    <w:rsid w:val="00810BBE"/>
    <w:rsid w:val="008225E5"/>
    <w:rsid w:val="00870E3C"/>
    <w:rsid w:val="00876FB9"/>
    <w:rsid w:val="008810F7"/>
    <w:rsid w:val="008945EA"/>
    <w:rsid w:val="008B2755"/>
    <w:rsid w:val="008C14F2"/>
    <w:rsid w:val="008C2C41"/>
    <w:rsid w:val="008D4957"/>
    <w:rsid w:val="008D72DE"/>
    <w:rsid w:val="008E76D0"/>
    <w:rsid w:val="008E7CD0"/>
    <w:rsid w:val="008F283F"/>
    <w:rsid w:val="008F7432"/>
    <w:rsid w:val="0090073A"/>
    <w:rsid w:val="00906C2C"/>
    <w:rsid w:val="00907267"/>
    <w:rsid w:val="00913343"/>
    <w:rsid w:val="00914BA5"/>
    <w:rsid w:val="00943406"/>
    <w:rsid w:val="00963CCE"/>
    <w:rsid w:val="00976012"/>
    <w:rsid w:val="00977B70"/>
    <w:rsid w:val="0098251F"/>
    <w:rsid w:val="0099624D"/>
    <w:rsid w:val="009A64AF"/>
    <w:rsid w:val="009B167F"/>
    <w:rsid w:val="009C6CD1"/>
    <w:rsid w:val="009D35FA"/>
    <w:rsid w:val="009E4A58"/>
    <w:rsid w:val="009F104C"/>
    <w:rsid w:val="009F16AB"/>
    <w:rsid w:val="00A02149"/>
    <w:rsid w:val="00A03123"/>
    <w:rsid w:val="00A06B17"/>
    <w:rsid w:val="00A20429"/>
    <w:rsid w:val="00A25551"/>
    <w:rsid w:val="00A36441"/>
    <w:rsid w:val="00A55528"/>
    <w:rsid w:val="00A6160F"/>
    <w:rsid w:val="00A63471"/>
    <w:rsid w:val="00A66254"/>
    <w:rsid w:val="00A72D89"/>
    <w:rsid w:val="00A902B5"/>
    <w:rsid w:val="00A942B7"/>
    <w:rsid w:val="00A96C72"/>
    <w:rsid w:val="00AA0E15"/>
    <w:rsid w:val="00AA2EB0"/>
    <w:rsid w:val="00AB0BB3"/>
    <w:rsid w:val="00AB2102"/>
    <w:rsid w:val="00AB24DD"/>
    <w:rsid w:val="00AC3B0B"/>
    <w:rsid w:val="00AD63F1"/>
    <w:rsid w:val="00AD66BB"/>
    <w:rsid w:val="00AF3157"/>
    <w:rsid w:val="00AF664F"/>
    <w:rsid w:val="00AF7E05"/>
    <w:rsid w:val="00B0257A"/>
    <w:rsid w:val="00B04027"/>
    <w:rsid w:val="00B15B88"/>
    <w:rsid w:val="00B17860"/>
    <w:rsid w:val="00B2541E"/>
    <w:rsid w:val="00B25CE8"/>
    <w:rsid w:val="00B26E89"/>
    <w:rsid w:val="00B33BC3"/>
    <w:rsid w:val="00B43784"/>
    <w:rsid w:val="00B65A8A"/>
    <w:rsid w:val="00B833F9"/>
    <w:rsid w:val="00B83CB2"/>
    <w:rsid w:val="00B86A77"/>
    <w:rsid w:val="00B902B3"/>
    <w:rsid w:val="00BA1828"/>
    <w:rsid w:val="00BA2BBE"/>
    <w:rsid w:val="00BA4AF3"/>
    <w:rsid w:val="00BB15F4"/>
    <w:rsid w:val="00BB4107"/>
    <w:rsid w:val="00BC5288"/>
    <w:rsid w:val="00BD0191"/>
    <w:rsid w:val="00BE3335"/>
    <w:rsid w:val="00BF03F5"/>
    <w:rsid w:val="00C023E3"/>
    <w:rsid w:val="00C0388E"/>
    <w:rsid w:val="00C11BA5"/>
    <w:rsid w:val="00C30105"/>
    <w:rsid w:val="00C43FBC"/>
    <w:rsid w:val="00C4756C"/>
    <w:rsid w:val="00C62B17"/>
    <w:rsid w:val="00C67258"/>
    <w:rsid w:val="00C72314"/>
    <w:rsid w:val="00C73BBA"/>
    <w:rsid w:val="00C8450D"/>
    <w:rsid w:val="00C94B4A"/>
    <w:rsid w:val="00C9522D"/>
    <w:rsid w:val="00CA264F"/>
    <w:rsid w:val="00CA2C33"/>
    <w:rsid w:val="00CA61EA"/>
    <w:rsid w:val="00CA6656"/>
    <w:rsid w:val="00CB08BC"/>
    <w:rsid w:val="00CB12A2"/>
    <w:rsid w:val="00CB7EE4"/>
    <w:rsid w:val="00CC09D5"/>
    <w:rsid w:val="00CC2078"/>
    <w:rsid w:val="00CF527A"/>
    <w:rsid w:val="00D01BFE"/>
    <w:rsid w:val="00D127B6"/>
    <w:rsid w:val="00D16C6E"/>
    <w:rsid w:val="00D25409"/>
    <w:rsid w:val="00D32FC9"/>
    <w:rsid w:val="00D44E47"/>
    <w:rsid w:val="00D57E05"/>
    <w:rsid w:val="00D73E55"/>
    <w:rsid w:val="00D74562"/>
    <w:rsid w:val="00D87559"/>
    <w:rsid w:val="00D958AF"/>
    <w:rsid w:val="00D976C6"/>
    <w:rsid w:val="00DA3B58"/>
    <w:rsid w:val="00DA7998"/>
    <w:rsid w:val="00DB19CB"/>
    <w:rsid w:val="00DC1A5A"/>
    <w:rsid w:val="00DD23A6"/>
    <w:rsid w:val="00DD7EE5"/>
    <w:rsid w:val="00DE126F"/>
    <w:rsid w:val="00DE32D2"/>
    <w:rsid w:val="00DF02B4"/>
    <w:rsid w:val="00DF563A"/>
    <w:rsid w:val="00DF79C3"/>
    <w:rsid w:val="00E15D2D"/>
    <w:rsid w:val="00E22CD8"/>
    <w:rsid w:val="00E24685"/>
    <w:rsid w:val="00E2595F"/>
    <w:rsid w:val="00E26F4B"/>
    <w:rsid w:val="00E338C5"/>
    <w:rsid w:val="00E35CD9"/>
    <w:rsid w:val="00E5396A"/>
    <w:rsid w:val="00E64A79"/>
    <w:rsid w:val="00E7619A"/>
    <w:rsid w:val="00E76B4A"/>
    <w:rsid w:val="00E80546"/>
    <w:rsid w:val="00E926AD"/>
    <w:rsid w:val="00E9275E"/>
    <w:rsid w:val="00EA4622"/>
    <w:rsid w:val="00EB09C4"/>
    <w:rsid w:val="00EB24C1"/>
    <w:rsid w:val="00EB771E"/>
    <w:rsid w:val="00EB7DA6"/>
    <w:rsid w:val="00EC0CB8"/>
    <w:rsid w:val="00ED5265"/>
    <w:rsid w:val="00EE300A"/>
    <w:rsid w:val="00F04B6E"/>
    <w:rsid w:val="00F118FC"/>
    <w:rsid w:val="00F11C35"/>
    <w:rsid w:val="00F17B1E"/>
    <w:rsid w:val="00F35B13"/>
    <w:rsid w:val="00F45E4B"/>
    <w:rsid w:val="00F846C3"/>
    <w:rsid w:val="00F85A5F"/>
    <w:rsid w:val="00F95ECA"/>
    <w:rsid w:val="00FA7D9D"/>
    <w:rsid w:val="00FA7EFE"/>
    <w:rsid w:val="00FB126E"/>
    <w:rsid w:val="00FB5288"/>
    <w:rsid w:val="00FB777F"/>
    <w:rsid w:val="00FC4A0D"/>
    <w:rsid w:val="00FE5326"/>
    <w:rsid w:val="00FE70B6"/>
    <w:rsid w:val="02571733"/>
    <w:rsid w:val="05CE80A0"/>
    <w:rsid w:val="066056F7"/>
    <w:rsid w:val="06ED7E83"/>
    <w:rsid w:val="0BA62B64"/>
    <w:rsid w:val="0CF250CE"/>
    <w:rsid w:val="10A2E41B"/>
    <w:rsid w:val="10E268A9"/>
    <w:rsid w:val="1B17E356"/>
    <w:rsid w:val="24FEC40F"/>
    <w:rsid w:val="2A83569C"/>
    <w:rsid w:val="2BFFDDD9"/>
    <w:rsid w:val="2F0330A2"/>
    <w:rsid w:val="3630211D"/>
    <w:rsid w:val="40B5FCDC"/>
    <w:rsid w:val="4115490A"/>
    <w:rsid w:val="4257E62F"/>
    <w:rsid w:val="43326CB7"/>
    <w:rsid w:val="4B0212F5"/>
    <w:rsid w:val="4CBABD8B"/>
    <w:rsid w:val="4ECD6944"/>
    <w:rsid w:val="5441847E"/>
    <w:rsid w:val="56372A24"/>
    <w:rsid w:val="57543FEB"/>
    <w:rsid w:val="60472261"/>
    <w:rsid w:val="686EB269"/>
    <w:rsid w:val="69DB99C2"/>
    <w:rsid w:val="6B0FD8ED"/>
    <w:rsid w:val="6F786642"/>
    <w:rsid w:val="6FA0C2EC"/>
    <w:rsid w:val="7030D0B6"/>
    <w:rsid w:val="7053E96F"/>
    <w:rsid w:val="719D7BF4"/>
    <w:rsid w:val="74B35849"/>
    <w:rsid w:val="77FC8759"/>
    <w:rsid w:val="7E2D1F2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5FCDC"/>
  <w15:chartTrackingRefBased/>
  <w15:docId w15:val="{9904DCF8-0C2D-47EC-B2C2-09E94F3B8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147809"/>
    <w:pPr>
      <w:spacing w:before="100" w:beforeAutospacing="1" w:after="100" w:afterAutospacing="1" w:line="240" w:lineRule="auto"/>
    </w:pPr>
    <w:rPr>
      <w:rFonts w:ascii="Times New Roman" w:eastAsia="Times New Roman" w:hAnsi="Times New Roman" w:cs="Times New Roman"/>
      <w:lang w:val="en-GB" w:eastAsia="en-GB"/>
    </w:rPr>
  </w:style>
  <w:style w:type="paragraph" w:styleId="Header">
    <w:name w:val="header"/>
    <w:basedOn w:val="Normal"/>
    <w:link w:val="HeaderChar"/>
    <w:uiPriority w:val="99"/>
    <w:unhideWhenUsed/>
    <w:rsid w:val="00137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51A"/>
  </w:style>
  <w:style w:type="paragraph" w:styleId="Footer">
    <w:name w:val="footer"/>
    <w:basedOn w:val="Normal"/>
    <w:link w:val="FooterChar"/>
    <w:uiPriority w:val="99"/>
    <w:unhideWhenUsed/>
    <w:rsid w:val="00137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51A"/>
  </w:style>
  <w:style w:type="character" w:styleId="Hyperlink">
    <w:name w:val="Hyperlink"/>
    <w:basedOn w:val="DefaultParagraphFont"/>
    <w:uiPriority w:val="99"/>
    <w:unhideWhenUsed/>
    <w:rsid w:val="007757F8"/>
    <w:rPr>
      <w:color w:val="467886" w:themeColor="hyperlink"/>
      <w:u w:val="single"/>
    </w:rPr>
  </w:style>
  <w:style w:type="character" w:styleId="UnresolvedMention">
    <w:name w:val="Unresolved Mention"/>
    <w:basedOn w:val="DefaultParagraphFont"/>
    <w:uiPriority w:val="99"/>
    <w:semiHidden/>
    <w:unhideWhenUsed/>
    <w:rsid w:val="007757F8"/>
    <w:rPr>
      <w:color w:val="605E5C"/>
      <w:shd w:val="clear" w:color="auto" w:fill="E1DFDD"/>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876FB9"/>
    <w:rPr>
      <w:b/>
      <w:bCs/>
    </w:rPr>
  </w:style>
  <w:style w:type="character" w:customStyle="1" w:styleId="CommentSubjectChar">
    <w:name w:val="Comment Subject Char"/>
    <w:basedOn w:val="CommentTextChar"/>
    <w:link w:val="CommentSubject"/>
    <w:uiPriority w:val="99"/>
    <w:semiHidden/>
    <w:rsid w:val="00876FB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6560">
      <w:bodyDiv w:val="1"/>
      <w:marLeft w:val="0"/>
      <w:marRight w:val="0"/>
      <w:marTop w:val="0"/>
      <w:marBottom w:val="0"/>
      <w:divBdr>
        <w:top w:val="none" w:sz="0" w:space="0" w:color="auto"/>
        <w:left w:val="none" w:sz="0" w:space="0" w:color="auto"/>
        <w:bottom w:val="none" w:sz="0" w:space="0" w:color="auto"/>
        <w:right w:val="none" w:sz="0" w:space="0" w:color="auto"/>
      </w:divBdr>
    </w:div>
    <w:div w:id="116487762">
      <w:bodyDiv w:val="1"/>
      <w:marLeft w:val="0"/>
      <w:marRight w:val="0"/>
      <w:marTop w:val="0"/>
      <w:marBottom w:val="0"/>
      <w:divBdr>
        <w:top w:val="none" w:sz="0" w:space="0" w:color="auto"/>
        <w:left w:val="none" w:sz="0" w:space="0" w:color="auto"/>
        <w:bottom w:val="none" w:sz="0" w:space="0" w:color="auto"/>
        <w:right w:val="none" w:sz="0" w:space="0" w:color="auto"/>
      </w:divBdr>
    </w:div>
    <w:div w:id="165248647">
      <w:bodyDiv w:val="1"/>
      <w:marLeft w:val="0"/>
      <w:marRight w:val="0"/>
      <w:marTop w:val="0"/>
      <w:marBottom w:val="0"/>
      <w:divBdr>
        <w:top w:val="none" w:sz="0" w:space="0" w:color="auto"/>
        <w:left w:val="none" w:sz="0" w:space="0" w:color="auto"/>
        <w:bottom w:val="none" w:sz="0" w:space="0" w:color="auto"/>
        <w:right w:val="none" w:sz="0" w:space="0" w:color="auto"/>
      </w:divBdr>
    </w:div>
    <w:div w:id="290290686">
      <w:bodyDiv w:val="1"/>
      <w:marLeft w:val="0"/>
      <w:marRight w:val="0"/>
      <w:marTop w:val="0"/>
      <w:marBottom w:val="0"/>
      <w:divBdr>
        <w:top w:val="none" w:sz="0" w:space="0" w:color="auto"/>
        <w:left w:val="none" w:sz="0" w:space="0" w:color="auto"/>
        <w:bottom w:val="none" w:sz="0" w:space="0" w:color="auto"/>
        <w:right w:val="none" w:sz="0" w:space="0" w:color="auto"/>
      </w:divBdr>
    </w:div>
    <w:div w:id="302545188">
      <w:bodyDiv w:val="1"/>
      <w:marLeft w:val="0"/>
      <w:marRight w:val="0"/>
      <w:marTop w:val="0"/>
      <w:marBottom w:val="0"/>
      <w:divBdr>
        <w:top w:val="none" w:sz="0" w:space="0" w:color="auto"/>
        <w:left w:val="none" w:sz="0" w:space="0" w:color="auto"/>
        <w:bottom w:val="none" w:sz="0" w:space="0" w:color="auto"/>
        <w:right w:val="none" w:sz="0" w:space="0" w:color="auto"/>
      </w:divBdr>
    </w:div>
    <w:div w:id="400448904">
      <w:bodyDiv w:val="1"/>
      <w:marLeft w:val="0"/>
      <w:marRight w:val="0"/>
      <w:marTop w:val="0"/>
      <w:marBottom w:val="0"/>
      <w:divBdr>
        <w:top w:val="none" w:sz="0" w:space="0" w:color="auto"/>
        <w:left w:val="none" w:sz="0" w:space="0" w:color="auto"/>
        <w:bottom w:val="none" w:sz="0" w:space="0" w:color="auto"/>
        <w:right w:val="none" w:sz="0" w:space="0" w:color="auto"/>
      </w:divBdr>
    </w:div>
    <w:div w:id="425227135">
      <w:bodyDiv w:val="1"/>
      <w:marLeft w:val="0"/>
      <w:marRight w:val="0"/>
      <w:marTop w:val="0"/>
      <w:marBottom w:val="0"/>
      <w:divBdr>
        <w:top w:val="none" w:sz="0" w:space="0" w:color="auto"/>
        <w:left w:val="none" w:sz="0" w:space="0" w:color="auto"/>
        <w:bottom w:val="none" w:sz="0" w:space="0" w:color="auto"/>
        <w:right w:val="none" w:sz="0" w:space="0" w:color="auto"/>
      </w:divBdr>
    </w:div>
    <w:div w:id="436943635">
      <w:bodyDiv w:val="1"/>
      <w:marLeft w:val="0"/>
      <w:marRight w:val="0"/>
      <w:marTop w:val="0"/>
      <w:marBottom w:val="0"/>
      <w:divBdr>
        <w:top w:val="none" w:sz="0" w:space="0" w:color="auto"/>
        <w:left w:val="none" w:sz="0" w:space="0" w:color="auto"/>
        <w:bottom w:val="none" w:sz="0" w:space="0" w:color="auto"/>
        <w:right w:val="none" w:sz="0" w:space="0" w:color="auto"/>
      </w:divBdr>
    </w:div>
    <w:div w:id="501699014">
      <w:bodyDiv w:val="1"/>
      <w:marLeft w:val="0"/>
      <w:marRight w:val="0"/>
      <w:marTop w:val="0"/>
      <w:marBottom w:val="0"/>
      <w:divBdr>
        <w:top w:val="none" w:sz="0" w:space="0" w:color="auto"/>
        <w:left w:val="none" w:sz="0" w:space="0" w:color="auto"/>
        <w:bottom w:val="none" w:sz="0" w:space="0" w:color="auto"/>
        <w:right w:val="none" w:sz="0" w:space="0" w:color="auto"/>
      </w:divBdr>
    </w:div>
    <w:div w:id="526335736">
      <w:bodyDiv w:val="1"/>
      <w:marLeft w:val="0"/>
      <w:marRight w:val="0"/>
      <w:marTop w:val="0"/>
      <w:marBottom w:val="0"/>
      <w:divBdr>
        <w:top w:val="none" w:sz="0" w:space="0" w:color="auto"/>
        <w:left w:val="none" w:sz="0" w:space="0" w:color="auto"/>
        <w:bottom w:val="none" w:sz="0" w:space="0" w:color="auto"/>
        <w:right w:val="none" w:sz="0" w:space="0" w:color="auto"/>
      </w:divBdr>
    </w:div>
    <w:div w:id="536819257">
      <w:bodyDiv w:val="1"/>
      <w:marLeft w:val="0"/>
      <w:marRight w:val="0"/>
      <w:marTop w:val="0"/>
      <w:marBottom w:val="0"/>
      <w:divBdr>
        <w:top w:val="none" w:sz="0" w:space="0" w:color="auto"/>
        <w:left w:val="none" w:sz="0" w:space="0" w:color="auto"/>
        <w:bottom w:val="none" w:sz="0" w:space="0" w:color="auto"/>
        <w:right w:val="none" w:sz="0" w:space="0" w:color="auto"/>
      </w:divBdr>
    </w:div>
    <w:div w:id="550582077">
      <w:bodyDiv w:val="1"/>
      <w:marLeft w:val="0"/>
      <w:marRight w:val="0"/>
      <w:marTop w:val="0"/>
      <w:marBottom w:val="0"/>
      <w:divBdr>
        <w:top w:val="none" w:sz="0" w:space="0" w:color="auto"/>
        <w:left w:val="none" w:sz="0" w:space="0" w:color="auto"/>
        <w:bottom w:val="none" w:sz="0" w:space="0" w:color="auto"/>
        <w:right w:val="none" w:sz="0" w:space="0" w:color="auto"/>
      </w:divBdr>
    </w:div>
    <w:div w:id="675575138">
      <w:bodyDiv w:val="1"/>
      <w:marLeft w:val="0"/>
      <w:marRight w:val="0"/>
      <w:marTop w:val="0"/>
      <w:marBottom w:val="0"/>
      <w:divBdr>
        <w:top w:val="none" w:sz="0" w:space="0" w:color="auto"/>
        <w:left w:val="none" w:sz="0" w:space="0" w:color="auto"/>
        <w:bottom w:val="none" w:sz="0" w:space="0" w:color="auto"/>
        <w:right w:val="none" w:sz="0" w:space="0" w:color="auto"/>
      </w:divBdr>
    </w:div>
    <w:div w:id="770080470">
      <w:bodyDiv w:val="1"/>
      <w:marLeft w:val="0"/>
      <w:marRight w:val="0"/>
      <w:marTop w:val="0"/>
      <w:marBottom w:val="0"/>
      <w:divBdr>
        <w:top w:val="none" w:sz="0" w:space="0" w:color="auto"/>
        <w:left w:val="none" w:sz="0" w:space="0" w:color="auto"/>
        <w:bottom w:val="none" w:sz="0" w:space="0" w:color="auto"/>
        <w:right w:val="none" w:sz="0" w:space="0" w:color="auto"/>
      </w:divBdr>
    </w:div>
    <w:div w:id="816872402">
      <w:bodyDiv w:val="1"/>
      <w:marLeft w:val="0"/>
      <w:marRight w:val="0"/>
      <w:marTop w:val="0"/>
      <w:marBottom w:val="0"/>
      <w:divBdr>
        <w:top w:val="none" w:sz="0" w:space="0" w:color="auto"/>
        <w:left w:val="none" w:sz="0" w:space="0" w:color="auto"/>
        <w:bottom w:val="none" w:sz="0" w:space="0" w:color="auto"/>
        <w:right w:val="none" w:sz="0" w:space="0" w:color="auto"/>
      </w:divBdr>
    </w:div>
    <w:div w:id="934561132">
      <w:bodyDiv w:val="1"/>
      <w:marLeft w:val="0"/>
      <w:marRight w:val="0"/>
      <w:marTop w:val="0"/>
      <w:marBottom w:val="0"/>
      <w:divBdr>
        <w:top w:val="none" w:sz="0" w:space="0" w:color="auto"/>
        <w:left w:val="none" w:sz="0" w:space="0" w:color="auto"/>
        <w:bottom w:val="none" w:sz="0" w:space="0" w:color="auto"/>
        <w:right w:val="none" w:sz="0" w:space="0" w:color="auto"/>
      </w:divBdr>
    </w:div>
    <w:div w:id="1127041563">
      <w:bodyDiv w:val="1"/>
      <w:marLeft w:val="0"/>
      <w:marRight w:val="0"/>
      <w:marTop w:val="0"/>
      <w:marBottom w:val="0"/>
      <w:divBdr>
        <w:top w:val="none" w:sz="0" w:space="0" w:color="auto"/>
        <w:left w:val="none" w:sz="0" w:space="0" w:color="auto"/>
        <w:bottom w:val="none" w:sz="0" w:space="0" w:color="auto"/>
        <w:right w:val="none" w:sz="0" w:space="0" w:color="auto"/>
      </w:divBdr>
    </w:div>
    <w:div w:id="1261794139">
      <w:bodyDiv w:val="1"/>
      <w:marLeft w:val="0"/>
      <w:marRight w:val="0"/>
      <w:marTop w:val="0"/>
      <w:marBottom w:val="0"/>
      <w:divBdr>
        <w:top w:val="none" w:sz="0" w:space="0" w:color="auto"/>
        <w:left w:val="none" w:sz="0" w:space="0" w:color="auto"/>
        <w:bottom w:val="none" w:sz="0" w:space="0" w:color="auto"/>
        <w:right w:val="none" w:sz="0" w:space="0" w:color="auto"/>
      </w:divBdr>
    </w:div>
    <w:div w:id="1358390469">
      <w:bodyDiv w:val="1"/>
      <w:marLeft w:val="0"/>
      <w:marRight w:val="0"/>
      <w:marTop w:val="0"/>
      <w:marBottom w:val="0"/>
      <w:divBdr>
        <w:top w:val="none" w:sz="0" w:space="0" w:color="auto"/>
        <w:left w:val="none" w:sz="0" w:space="0" w:color="auto"/>
        <w:bottom w:val="none" w:sz="0" w:space="0" w:color="auto"/>
        <w:right w:val="none" w:sz="0" w:space="0" w:color="auto"/>
      </w:divBdr>
    </w:div>
    <w:div w:id="1458983781">
      <w:bodyDiv w:val="1"/>
      <w:marLeft w:val="0"/>
      <w:marRight w:val="0"/>
      <w:marTop w:val="0"/>
      <w:marBottom w:val="0"/>
      <w:divBdr>
        <w:top w:val="none" w:sz="0" w:space="0" w:color="auto"/>
        <w:left w:val="none" w:sz="0" w:space="0" w:color="auto"/>
        <w:bottom w:val="none" w:sz="0" w:space="0" w:color="auto"/>
        <w:right w:val="none" w:sz="0" w:space="0" w:color="auto"/>
      </w:divBdr>
    </w:div>
    <w:div w:id="1595361444">
      <w:bodyDiv w:val="1"/>
      <w:marLeft w:val="0"/>
      <w:marRight w:val="0"/>
      <w:marTop w:val="0"/>
      <w:marBottom w:val="0"/>
      <w:divBdr>
        <w:top w:val="none" w:sz="0" w:space="0" w:color="auto"/>
        <w:left w:val="none" w:sz="0" w:space="0" w:color="auto"/>
        <w:bottom w:val="none" w:sz="0" w:space="0" w:color="auto"/>
        <w:right w:val="none" w:sz="0" w:space="0" w:color="auto"/>
      </w:divBdr>
    </w:div>
    <w:div w:id="1675575110">
      <w:bodyDiv w:val="1"/>
      <w:marLeft w:val="0"/>
      <w:marRight w:val="0"/>
      <w:marTop w:val="0"/>
      <w:marBottom w:val="0"/>
      <w:divBdr>
        <w:top w:val="none" w:sz="0" w:space="0" w:color="auto"/>
        <w:left w:val="none" w:sz="0" w:space="0" w:color="auto"/>
        <w:bottom w:val="none" w:sz="0" w:space="0" w:color="auto"/>
        <w:right w:val="none" w:sz="0" w:space="0" w:color="auto"/>
      </w:divBdr>
    </w:div>
    <w:div w:id="2059551755">
      <w:bodyDiv w:val="1"/>
      <w:marLeft w:val="0"/>
      <w:marRight w:val="0"/>
      <w:marTop w:val="0"/>
      <w:marBottom w:val="0"/>
      <w:divBdr>
        <w:top w:val="none" w:sz="0" w:space="0" w:color="auto"/>
        <w:left w:val="none" w:sz="0" w:space="0" w:color="auto"/>
        <w:bottom w:val="none" w:sz="0" w:space="0" w:color="auto"/>
        <w:right w:val="none" w:sz="0" w:space="0" w:color="auto"/>
      </w:divBdr>
    </w:div>
    <w:div w:id="2061662785">
      <w:bodyDiv w:val="1"/>
      <w:marLeft w:val="0"/>
      <w:marRight w:val="0"/>
      <w:marTop w:val="0"/>
      <w:marBottom w:val="0"/>
      <w:divBdr>
        <w:top w:val="none" w:sz="0" w:space="0" w:color="auto"/>
        <w:left w:val="none" w:sz="0" w:space="0" w:color="auto"/>
        <w:bottom w:val="none" w:sz="0" w:space="0" w:color="auto"/>
        <w:right w:val="none" w:sz="0" w:space="0" w:color="auto"/>
      </w:divBdr>
    </w:div>
    <w:div w:id="2144425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rch-on-stress.co.uk/" TargetMode="External"/><Relationship Id="rId5" Type="http://schemas.openxmlformats.org/officeDocument/2006/relationships/styles" Target="styles.xml"/><Relationship Id="rId10" Type="http://schemas.openxmlformats.org/officeDocument/2006/relationships/hyperlink" Target="https://www.hse.gov.uk/pubns/books/hsg65.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88C4CFA-7CF6-4030-A97D-A3DC3FB7EA68}">
  <ds:schemaRefs>
    <ds:schemaRef ds:uri="http://schemas.microsoft.com/sharepoint/v3/contenttype/forms"/>
  </ds:schemaRefs>
</ds:datastoreItem>
</file>

<file path=customXml/itemProps2.xml><?xml version="1.0" encoding="utf-8"?>
<ds:datastoreItem xmlns:ds="http://schemas.openxmlformats.org/officeDocument/2006/customXml" ds:itemID="{C922C5C8-DB69-4098-AC36-D0F7CB1C30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22B00D-AE90-42E8-9685-426562857354}">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5787</Words>
  <Characters>32986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Harris</dc:creator>
  <cp:keywords/>
  <dc:description/>
  <cp:lastModifiedBy>Lane, Mark Sgt (Air-CySC-BEN-DSF-DCPTSNCO)</cp:lastModifiedBy>
  <cp:revision>2</cp:revision>
  <cp:lastPrinted>2026-06-09T18:17:00Z</cp:lastPrinted>
  <dcterms:created xsi:type="dcterms:W3CDTF">2026-06-15T19:46:00Z</dcterms:created>
  <dcterms:modified xsi:type="dcterms:W3CDTF">2026-06-15T19:46:00Z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y fmtid="{D5CDD505-2E9C-101B-9397-08002B2CF9AE}" pid="4" name="MSIP_Label_d8a60473-494b-4586-a1bb-b0e663054676_Enabled">
    <vt:lpwstr>true</vt:lpwstr>
  </property>
  <property fmtid="{D5CDD505-2E9C-101B-9397-08002B2CF9AE}" pid="5" name="MSIP_Label_d8a60473-494b-4586-a1bb-b0e663054676_SetDate">
    <vt:lpwstr>2025-07-14T14:27:46Z</vt:lpwstr>
  </property>
  <property fmtid="{D5CDD505-2E9C-101B-9397-08002B2CF9AE}" pid="6" name="MSIP_Label_d8a60473-494b-4586-a1bb-b0e663054676_Method">
    <vt:lpwstr>Privileged</vt:lpwstr>
  </property>
  <property fmtid="{D5CDD505-2E9C-101B-9397-08002B2CF9AE}" pid="7" name="MSIP_Label_d8a60473-494b-4586-a1bb-b0e663054676_Name">
    <vt:lpwstr>MOD-1-O-‘UNMARKED’</vt:lpwstr>
  </property>
  <property fmtid="{D5CDD505-2E9C-101B-9397-08002B2CF9AE}" pid="8" name="MSIP_Label_d8a60473-494b-4586-a1bb-b0e663054676_SiteId">
    <vt:lpwstr>be7760ed-5953-484b-ae95-d0a16dfa09e5</vt:lpwstr>
  </property>
  <property fmtid="{D5CDD505-2E9C-101B-9397-08002B2CF9AE}" pid="9" name="MSIP_Label_d8a60473-494b-4586-a1bb-b0e663054676_ActionId">
    <vt:lpwstr>1320be3d-c2b7-4a54-9fb0-b39754851fb5</vt:lpwstr>
  </property>
  <property fmtid="{D5CDD505-2E9C-101B-9397-08002B2CF9AE}" pid="10" name="MSIP_Label_d8a60473-494b-4586-a1bb-b0e663054676_ContentBits">
    <vt:lpwstr>0</vt:lpwstr>
  </property>
</Properties>
</file>