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11B870" w14:textId="1157455D" w:rsidR="00684A34" w:rsidRPr="00863BFF" w:rsidRDefault="00D26C7C" w:rsidP="00D26C7C">
      <w:pPr>
        <w:spacing w:line="360" w:lineRule="auto"/>
        <w:jc w:val="center"/>
        <w:rPr>
          <w:rFonts w:ascii="Times New Roman" w:hAnsi="Times New Roman" w:cs="Times New Roman"/>
          <w:color w:val="000000" w:themeColor="text1"/>
        </w:rPr>
      </w:pPr>
      <w:r>
        <w:rPr>
          <w:noProof/>
        </w:rPr>
        <w:drawing>
          <wp:inline distT="0" distB="0" distL="0" distR="0" wp14:anchorId="1438F718" wp14:editId="757929D2">
            <wp:extent cx="3611880" cy="2007667"/>
            <wp:effectExtent l="0" t="0" r="0" b="0"/>
            <wp:docPr id="1765151326" name="Picture 1" descr="University of Wales Trinity Saint David | World-Class Education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orld-Class Education in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20679" cy="2012558"/>
                    </a:xfrm>
                    <a:prstGeom prst="rect">
                      <a:avLst/>
                    </a:prstGeom>
                    <a:noFill/>
                    <a:ln>
                      <a:noFill/>
                    </a:ln>
                  </pic:spPr>
                </pic:pic>
              </a:graphicData>
            </a:graphic>
          </wp:inline>
        </w:drawing>
      </w:r>
    </w:p>
    <w:p w14:paraId="18DD8F36" w14:textId="77777777" w:rsidR="00684A34" w:rsidRPr="00D26C7C" w:rsidRDefault="006A1283" w:rsidP="00D26C7C">
      <w:pPr>
        <w:spacing w:line="360" w:lineRule="auto"/>
        <w:jc w:val="center"/>
        <w:rPr>
          <w:rFonts w:ascii="Times New Roman" w:hAnsi="Times New Roman" w:cs="Times New Roman"/>
          <w:b/>
          <w:bCs/>
          <w:color w:val="000000" w:themeColor="text1"/>
        </w:rPr>
      </w:pPr>
      <w:r w:rsidRPr="00D26C7C">
        <w:rPr>
          <w:rFonts w:ascii="Times New Roman" w:hAnsi="Times New Roman" w:cs="Times New Roman"/>
          <w:b/>
          <w:bCs/>
          <w:color w:val="000000" w:themeColor="text1"/>
        </w:rPr>
        <w:t>Master of Business Administration (MBA)</w:t>
      </w:r>
    </w:p>
    <w:p w14:paraId="06CBBB06" w14:textId="77777777" w:rsidR="00684A34" w:rsidRPr="00D26C7C" w:rsidRDefault="006A1283" w:rsidP="00D26C7C">
      <w:pPr>
        <w:spacing w:line="360" w:lineRule="auto"/>
        <w:jc w:val="center"/>
        <w:rPr>
          <w:rFonts w:ascii="Times New Roman" w:hAnsi="Times New Roman" w:cs="Times New Roman"/>
          <w:b/>
          <w:bCs/>
          <w:color w:val="000000" w:themeColor="text1"/>
        </w:rPr>
      </w:pPr>
      <w:r w:rsidRPr="00D26C7C">
        <w:rPr>
          <w:rFonts w:ascii="Times New Roman" w:hAnsi="Times New Roman" w:cs="Times New Roman"/>
          <w:b/>
          <w:bCs/>
          <w:color w:val="000000" w:themeColor="text1"/>
        </w:rPr>
        <w:t>Module: Financial Management</w:t>
      </w:r>
    </w:p>
    <w:p w14:paraId="50D295B1" w14:textId="77777777" w:rsidR="00684A34" w:rsidRDefault="006A1283" w:rsidP="00D26C7C">
      <w:pPr>
        <w:spacing w:line="360" w:lineRule="auto"/>
        <w:jc w:val="center"/>
        <w:rPr>
          <w:rFonts w:ascii="Times New Roman" w:hAnsi="Times New Roman" w:cs="Times New Roman"/>
          <w:b/>
          <w:bCs/>
          <w:color w:val="000000" w:themeColor="text1"/>
        </w:rPr>
      </w:pPr>
      <w:r w:rsidRPr="00D26C7C">
        <w:rPr>
          <w:rFonts w:ascii="Times New Roman" w:hAnsi="Times New Roman" w:cs="Times New Roman"/>
          <w:b/>
          <w:bCs/>
          <w:color w:val="000000" w:themeColor="text1"/>
        </w:rPr>
        <w:t>Module Code: LCMB7002</w:t>
      </w:r>
    </w:p>
    <w:p w14:paraId="379BE096" w14:textId="77777777" w:rsidR="00D26C7C" w:rsidRPr="00D26C7C" w:rsidRDefault="00D26C7C" w:rsidP="00D26C7C">
      <w:pPr>
        <w:spacing w:line="360" w:lineRule="auto"/>
        <w:jc w:val="center"/>
        <w:rPr>
          <w:rFonts w:ascii="Times New Roman" w:hAnsi="Times New Roman" w:cs="Times New Roman"/>
          <w:b/>
          <w:bCs/>
          <w:color w:val="000000" w:themeColor="text1"/>
        </w:rPr>
      </w:pPr>
    </w:p>
    <w:p w14:paraId="39C59033" w14:textId="77777777" w:rsidR="00684A34" w:rsidRPr="00D26C7C" w:rsidRDefault="006A1283" w:rsidP="00D26C7C">
      <w:pPr>
        <w:spacing w:line="360" w:lineRule="auto"/>
        <w:jc w:val="center"/>
        <w:rPr>
          <w:rFonts w:ascii="Times New Roman" w:hAnsi="Times New Roman" w:cs="Times New Roman"/>
          <w:b/>
          <w:bCs/>
          <w:color w:val="000000" w:themeColor="text1"/>
        </w:rPr>
      </w:pPr>
      <w:r w:rsidRPr="00D26C7C">
        <w:rPr>
          <w:rFonts w:ascii="Times New Roman" w:hAnsi="Times New Roman" w:cs="Times New Roman"/>
          <w:b/>
          <w:bCs/>
          <w:color w:val="000000" w:themeColor="text1"/>
        </w:rPr>
        <w:t>Individual Report:</w:t>
      </w:r>
    </w:p>
    <w:p w14:paraId="6B39D9C1" w14:textId="77777777" w:rsidR="00684A34" w:rsidRPr="00D26C7C" w:rsidRDefault="006A1283" w:rsidP="00D26C7C">
      <w:pPr>
        <w:spacing w:line="360" w:lineRule="auto"/>
        <w:jc w:val="center"/>
        <w:rPr>
          <w:rFonts w:ascii="Times New Roman" w:hAnsi="Times New Roman" w:cs="Times New Roman"/>
          <w:b/>
          <w:bCs/>
          <w:color w:val="000000" w:themeColor="text1"/>
        </w:rPr>
      </w:pPr>
      <w:r w:rsidRPr="00D26C7C">
        <w:rPr>
          <w:rFonts w:ascii="Times New Roman" w:hAnsi="Times New Roman" w:cs="Times New Roman"/>
          <w:b/>
          <w:bCs/>
          <w:color w:val="000000" w:themeColor="text1"/>
        </w:rPr>
        <w:t>Financial Performance and Management of</w:t>
      </w:r>
    </w:p>
    <w:p w14:paraId="2563AA2A" w14:textId="77777777" w:rsidR="00684A34" w:rsidRPr="00D26C7C" w:rsidRDefault="006A1283" w:rsidP="00D26C7C">
      <w:pPr>
        <w:spacing w:line="360" w:lineRule="auto"/>
        <w:jc w:val="center"/>
        <w:rPr>
          <w:rFonts w:ascii="Times New Roman" w:hAnsi="Times New Roman" w:cs="Times New Roman"/>
          <w:b/>
          <w:bCs/>
          <w:color w:val="000000" w:themeColor="text1"/>
        </w:rPr>
      </w:pPr>
      <w:r w:rsidRPr="00D26C7C">
        <w:rPr>
          <w:rFonts w:ascii="Times New Roman" w:hAnsi="Times New Roman" w:cs="Times New Roman"/>
          <w:b/>
          <w:bCs/>
          <w:color w:val="000000" w:themeColor="text1"/>
        </w:rPr>
        <w:t>InterContinental Hotels Group PLC (IHG)</w:t>
      </w:r>
    </w:p>
    <w:p w14:paraId="7B83DA35" w14:textId="77777777" w:rsidR="00684A34" w:rsidRPr="00D26C7C" w:rsidRDefault="00684A34" w:rsidP="00D26C7C">
      <w:pPr>
        <w:spacing w:line="360" w:lineRule="auto"/>
        <w:jc w:val="center"/>
        <w:rPr>
          <w:rFonts w:ascii="Times New Roman" w:hAnsi="Times New Roman" w:cs="Times New Roman"/>
          <w:b/>
          <w:bCs/>
          <w:color w:val="000000" w:themeColor="text1"/>
        </w:rPr>
      </w:pPr>
    </w:p>
    <w:p w14:paraId="0C571200" w14:textId="1FAEC76F" w:rsidR="00684A34" w:rsidRPr="00D26C7C" w:rsidRDefault="006A1283" w:rsidP="00D26C7C">
      <w:pPr>
        <w:spacing w:line="360" w:lineRule="auto"/>
        <w:jc w:val="center"/>
        <w:rPr>
          <w:rFonts w:ascii="Times New Roman" w:hAnsi="Times New Roman" w:cs="Times New Roman"/>
          <w:b/>
          <w:bCs/>
          <w:color w:val="000000" w:themeColor="text1"/>
        </w:rPr>
      </w:pPr>
      <w:r w:rsidRPr="00D26C7C">
        <w:rPr>
          <w:rFonts w:ascii="Times New Roman" w:hAnsi="Times New Roman" w:cs="Times New Roman"/>
          <w:b/>
          <w:bCs/>
          <w:color w:val="000000" w:themeColor="text1"/>
        </w:rPr>
        <w:t xml:space="preserve">Student Name: </w:t>
      </w:r>
      <w:r w:rsidR="00AE1FB9">
        <w:rPr>
          <w:rFonts w:ascii="Times New Roman" w:hAnsi="Times New Roman" w:cs="Times New Roman"/>
          <w:b/>
          <w:bCs/>
          <w:color w:val="000000" w:themeColor="text1"/>
        </w:rPr>
        <w:t>D</w:t>
      </w:r>
      <w:r w:rsidR="00AE1FB9" w:rsidRPr="00AE1FB9">
        <w:rPr>
          <w:rFonts w:ascii="Times New Roman" w:hAnsi="Times New Roman" w:cs="Times New Roman"/>
          <w:b/>
          <w:bCs/>
          <w:color w:val="000000" w:themeColor="text1"/>
        </w:rPr>
        <w:t>ishaben nirav goyani</w:t>
      </w:r>
    </w:p>
    <w:p w14:paraId="035A4F76" w14:textId="2593519D" w:rsidR="00684A34" w:rsidRPr="00D26C7C" w:rsidRDefault="006A1283" w:rsidP="00D26C7C">
      <w:pPr>
        <w:spacing w:line="360" w:lineRule="auto"/>
        <w:jc w:val="center"/>
        <w:rPr>
          <w:rFonts w:ascii="Times New Roman" w:hAnsi="Times New Roman" w:cs="Times New Roman"/>
          <w:b/>
          <w:bCs/>
          <w:color w:val="000000" w:themeColor="text1"/>
        </w:rPr>
      </w:pPr>
      <w:r w:rsidRPr="00D26C7C">
        <w:rPr>
          <w:rFonts w:ascii="Times New Roman" w:hAnsi="Times New Roman" w:cs="Times New Roman"/>
          <w:b/>
          <w:bCs/>
          <w:color w:val="000000" w:themeColor="text1"/>
        </w:rPr>
        <w:t xml:space="preserve">Student ID Number: </w:t>
      </w:r>
      <w:r w:rsidR="00AE1FB9" w:rsidRPr="00AE1FB9">
        <w:rPr>
          <w:rFonts w:ascii="Times New Roman" w:hAnsi="Times New Roman" w:cs="Times New Roman"/>
          <w:b/>
          <w:bCs/>
          <w:color w:val="000000" w:themeColor="text1"/>
        </w:rPr>
        <w:t>2536657</w:t>
      </w:r>
    </w:p>
    <w:p w14:paraId="3AA723F4" w14:textId="70C15AF9" w:rsidR="00684A34" w:rsidRPr="00D26C7C" w:rsidRDefault="006A1283" w:rsidP="00D26C7C">
      <w:pPr>
        <w:spacing w:line="360" w:lineRule="auto"/>
        <w:jc w:val="center"/>
        <w:rPr>
          <w:rFonts w:ascii="Times New Roman" w:hAnsi="Times New Roman" w:cs="Times New Roman"/>
          <w:b/>
          <w:bCs/>
          <w:color w:val="000000" w:themeColor="text1"/>
        </w:rPr>
      </w:pPr>
      <w:r w:rsidRPr="00D26C7C">
        <w:rPr>
          <w:rFonts w:ascii="Times New Roman" w:hAnsi="Times New Roman" w:cs="Times New Roman"/>
          <w:b/>
          <w:bCs/>
          <w:color w:val="000000" w:themeColor="text1"/>
        </w:rPr>
        <w:t xml:space="preserve">Lecturer: </w:t>
      </w:r>
      <w:r w:rsidR="00AE1FB9" w:rsidRPr="00AE1FB9">
        <w:rPr>
          <w:rFonts w:ascii="Times New Roman" w:hAnsi="Times New Roman" w:cs="Times New Roman"/>
          <w:b/>
          <w:bCs/>
          <w:color w:val="000000" w:themeColor="text1"/>
        </w:rPr>
        <w:t>Ghulam Mujtaba</w:t>
      </w:r>
    </w:p>
    <w:p w14:paraId="391B296C" w14:textId="77777777" w:rsidR="00684A34" w:rsidRPr="00D26C7C" w:rsidRDefault="006A1283" w:rsidP="00D26C7C">
      <w:pPr>
        <w:spacing w:line="360" w:lineRule="auto"/>
        <w:jc w:val="center"/>
        <w:rPr>
          <w:rFonts w:ascii="Times New Roman" w:hAnsi="Times New Roman" w:cs="Times New Roman"/>
          <w:b/>
          <w:bCs/>
          <w:color w:val="000000" w:themeColor="text1"/>
        </w:rPr>
      </w:pPr>
      <w:r w:rsidRPr="00D26C7C">
        <w:rPr>
          <w:rFonts w:ascii="Times New Roman" w:hAnsi="Times New Roman" w:cs="Times New Roman"/>
          <w:b/>
          <w:bCs/>
          <w:color w:val="000000" w:themeColor="text1"/>
        </w:rPr>
        <w:t>Assessment:  Individual Report – IHG PLC</w:t>
      </w:r>
    </w:p>
    <w:p w14:paraId="6210EFA5" w14:textId="04239798" w:rsidR="00684A34" w:rsidRPr="00D26C7C" w:rsidRDefault="006A1283" w:rsidP="00D26C7C">
      <w:pPr>
        <w:spacing w:line="360" w:lineRule="auto"/>
        <w:jc w:val="center"/>
        <w:rPr>
          <w:rFonts w:ascii="Times New Roman" w:hAnsi="Times New Roman" w:cs="Times New Roman"/>
          <w:b/>
          <w:bCs/>
          <w:color w:val="000000" w:themeColor="text1"/>
        </w:rPr>
      </w:pPr>
      <w:r w:rsidRPr="00D26C7C">
        <w:rPr>
          <w:rFonts w:ascii="Times New Roman" w:hAnsi="Times New Roman" w:cs="Times New Roman"/>
          <w:b/>
          <w:bCs/>
          <w:color w:val="000000" w:themeColor="text1"/>
        </w:rPr>
        <w:t xml:space="preserve">Word Count:  </w:t>
      </w:r>
      <w:r w:rsidR="00D26C7C">
        <w:rPr>
          <w:rFonts w:ascii="Times New Roman" w:hAnsi="Times New Roman" w:cs="Times New Roman"/>
          <w:b/>
          <w:bCs/>
          <w:color w:val="000000" w:themeColor="text1"/>
        </w:rPr>
        <w:t>5000</w:t>
      </w:r>
    </w:p>
    <w:p w14:paraId="3EC67DDC" w14:textId="647B4FFF" w:rsidR="00684A34" w:rsidRPr="00D26C7C" w:rsidRDefault="006A1283" w:rsidP="00D26C7C">
      <w:pPr>
        <w:spacing w:line="360" w:lineRule="auto"/>
        <w:jc w:val="center"/>
        <w:rPr>
          <w:rFonts w:ascii="Times New Roman" w:hAnsi="Times New Roman" w:cs="Times New Roman"/>
          <w:b/>
          <w:bCs/>
          <w:color w:val="000000" w:themeColor="text1"/>
        </w:rPr>
      </w:pPr>
      <w:r w:rsidRPr="00D26C7C">
        <w:rPr>
          <w:rFonts w:ascii="Times New Roman" w:hAnsi="Times New Roman" w:cs="Times New Roman"/>
          <w:b/>
          <w:bCs/>
          <w:color w:val="000000" w:themeColor="text1"/>
        </w:rPr>
        <w:t>Submission Date: 13 August 2026</w:t>
      </w:r>
    </w:p>
    <w:p w14:paraId="5FD7307E" w14:textId="77777777" w:rsidR="00684A34" w:rsidRPr="00863BFF" w:rsidRDefault="006A1283" w:rsidP="00D26C7C">
      <w:pPr>
        <w:spacing w:line="360" w:lineRule="auto"/>
        <w:jc w:val="center"/>
        <w:rPr>
          <w:rFonts w:ascii="Times New Roman" w:hAnsi="Times New Roman" w:cs="Times New Roman"/>
          <w:color w:val="000000" w:themeColor="text1"/>
        </w:rPr>
      </w:pPr>
      <w:r w:rsidRPr="00863BFF">
        <w:rPr>
          <w:rFonts w:ascii="Times New Roman" w:hAnsi="Times New Roman" w:cs="Times New Roman"/>
          <w:color w:val="000000" w:themeColor="text1"/>
        </w:rPr>
        <w:br w:type="page"/>
      </w:r>
    </w:p>
    <w:sdt>
      <w:sdtPr>
        <w:rPr>
          <w:rFonts w:ascii="Arial" w:eastAsia="Arial" w:hAnsi="Arial" w:cs="Arial"/>
          <w:color w:val="1A1A1A"/>
          <w:sz w:val="24"/>
          <w:szCs w:val="24"/>
          <w:lang w:eastAsia="zh-CN" w:bidi="hi-IN"/>
        </w:rPr>
        <w:id w:val="-795443089"/>
        <w:docPartObj>
          <w:docPartGallery w:val="Table of Contents"/>
          <w:docPartUnique/>
        </w:docPartObj>
      </w:sdtPr>
      <w:sdtEndPr>
        <w:rPr>
          <w:b/>
          <w:bCs/>
          <w:noProof/>
        </w:rPr>
      </w:sdtEndPr>
      <w:sdtContent>
        <w:p w14:paraId="6B899C80" w14:textId="40644F44" w:rsidR="00D26C7C" w:rsidRPr="00D26C7C" w:rsidRDefault="00D26C7C" w:rsidP="00D26C7C">
          <w:pPr>
            <w:pStyle w:val="TOCHeading"/>
            <w:jc w:val="center"/>
            <w:rPr>
              <w:rFonts w:ascii="Times New Roman" w:hAnsi="Times New Roman" w:cs="Times New Roman"/>
              <w:b/>
              <w:bCs/>
              <w:color w:val="auto"/>
              <w:sz w:val="28"/>
              <w:szCs w:val="28"/>
            </w:rPr>
          </w:pPr>
          <w:r w:rsidRPr="00D26C7C">
            <w:rPr>
              <w:rFonts w:ascii="Times New Roman" w:hAnsi="Times New Roman" w:cs="Times New Roman"/>
              <w:b/>
              <w:bCs/>
              <w:color w:val="auto"/>
              <w:sz w:val="28"/>
              <w:szCs w:val="28"/>
            </w:rPr>
            <w:t>Table of Contents</w:t>
          </w:r>
        </w:p>
        <w:p w14:paraId="7A23B6AF" w14:textId="52984C37" w:rsidR="00D26C7C" w:rsidRPr="00D26C7C" w:rsidRDefault="00D26C7C" w:rsidP="00D26C7C">
          <w:pPr>
            <w:pStyle w:val="TOC1"/>
            <w:tabs>
              <w:tab w:val="left" w:pos="480"/>
              <w:tab w:val="right" w:leader="dot" w:pos="9350"/>
            </w:tabs>
            <w:spacing w:line="360" w:lineRule="auto"/>
            <w:rPr>
              <w:rFonts w:ascii="Times New Roman" w:hAnsi="Times New Roman" w:cs="Times New Roman"/>
              <w:noProof/>
            </w:rPr>
          </w:pPr>
          <w:r>
            <w:fldChar w:fldCharType="begin"/>
          </w:r>
          <w:r>
            <w:instrText xml:space="preserve"> TOC \o "1-3" \h \z \u </w:instrText>
          </w:r>
          <w:r>
            <w:fldChar w:fldCharType="separate"/>
          </w:r>
          <w:hyperlink w:anchor="_Toc237448028" w:history="1">
            <w:r w:rsidRPr="00D26C7C">
              <w:rPr>
                <w:rStyle w:val="Hyperlink"/>
                <w:rFonts w:ascii="Times New Roman" w:hAnsi="Times New Roman" w:cs="Times New Roman"/>
                <w:noProof/>
              </w:rPr>
              <w:t>1</w:t>
            </w:r>
            <w:r w:rsidRPr="00D26C7C">
              <w:rPr>
                <w:rFonts w:ascii="Times New Roman" w:hAnsi="Times New Roman" w:cs="Times New Roman"/>
                <w:noProof/>
              </w:rPr>
              <w:tab/>
            </w:r>
            <w:r w:rsidRPr="00D26C7C">
              <w:rPr>
                <w:rStyle w:val="Hyperlink"/>
                <w:rFonts w:ascii="Times New Roman" w:hAnsi="Times New Roman" w:cs="Times New Roman"/>
                <w:noProof/>
              </w:rPr>
              <w:t>Introduction</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_Toc237448028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5</w:t>
            </w:r>
            <w:r w:rsidRPr="00D26C7C">
              <w:rPr>
                <w:rFonts w:ascii="Times New Roman" w:hAnsi="Times New Roman" w:cs="Times New Roman"/>
                <w:noProof/>
                <w:webHidden/>
              </w:rPr>
              <w:fldChar w:fldCharType="end"/>
            </w:r>
          </w:hyperlink>
        </w:p>
        <w:p w14:paraId="472458D3" w14:textId="122E629C" w:rsidR="00D26C7C" w:rsidRPr="00D26C7C" w:rsidRDefault="00D26C7C" w:rsidP="00D26C7C">
          <w:pPr>
            <w:pStyle w:val="TOC1"/>
            <w:tabs>
              <w:tab w:val="left" w:pos="480"/>
              <w:tab w:val="right" w:leader="dot" w:pos="9350"/>
            </w:tabs>
            <w:spacing w:line="360" w:lineRule="auto"/>
            <w:rPr>
              <w:rFonts w:ascii="Times New Roman" w:hAnsi="Times New Roman" w:cs="Times New Roman"/>
              <w:noProof/>
            </w:rPr>
          </w:pPr>
          <w:hyperlink w:anchor="_Toc237448029" w:history="1">
            <w:r w:rsidRPr="00D26C7C">
              <w:rPr>
                <w:rStyle w:val="Hyperlink"/>
                <w:rFonts w:ascii="Times New Roman" w:hAnsi="Times New Roman" w:cs="Times New Roman"/>
                <w:noProof/>
              </w:rPr>
              <w:t>2</w:t>
            </w:r>
            <w:r w:rsidRPr="00D26C7C">
              <w:rPr>
                <w:rFonts w:ascii="Times New Roman" w:hAnsi="Times New Roman" w:cs="Times New Roman"/>
                <w:noProof/>
              </w:rPr>
              <w:tab/>
            </w:r>
            <w:r w:rsidRPr="00D26C7C">
              <w:rPr>
                <w:rStyle w:val="Hyperlink"/>
                <w:rFonts w:ascii="Times New Roman" w:hAnsi="Times New Roman" w:cs="Times New Roman"/>
                <w:noProof/>
              </w:rPr>
              <w:t>Financial Health Check</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_Toc237448029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5</w:t>
            </w:r>
            <w:r w:rsidRPr="00D26C7C">
              <w:rPr>
                <w:rFonts w:ascii="Times New Roman" w:hAnsi="Times New Roman" w:cs="Times New Roman"/>
                <w:noProof/>
                <w:webHidden/>
              </w:rPr>
              <w:fldChar w:fldCharType="end"/>
            </w:r>
          </w:hyperlink>
        </w:p>
        <w:p w14:paraId="58707D3A" w14:textId="75499535" w:rsidR="00D26C7C" w:rsidRPr="00D26C7C" w:rsidRDefault="00D26C7C" w:rsidP="00D26C7C">
          <w:pPr>
            <w:pStyle w:val="TOC2"/>
            <w:tabs>
              <w:tab w:val="left" w:pos="960"/>
              <w:tab w:val="right" w:leader="dot" w:pos="9350"/>
            </w:tabs>
            <w:spacing w:line="360" w:lineRule="auto"/>
            <w:rPr>
              <w:rFonts w:ascii="Times New Roman" w:hAnsi="Times New Roman" w:cs="Times New Roman"/>
              <w:noProof/>
            </w:rPr>
          </w:pPr>
          <w:hyperlink w:anchor="_Toc237448030" w:history="1">
            <w:r w:rsidRPr="00D26C7C">
              <w:rPr>
                <w:rStyle w:val="Hyperlink"/>
                <w:rFonts w:ascii="Times New Roman" w:hAnsi="Times New Roman" w:cs="Times New Roman"/>
                <w:noProof/>
              </w:rPr>
              <w:t>2.1</w:t>
            </w:r>
            <w:r w:rsidRPr="00D26C7C">
              <w:rPr>
                <w:rFonts w:ascii="Times New Roman" w:hAnsi="Times New Roman" w:cs="Times New Roman"/>
                <w:noProof/>
              </w:rPr>
              <w:tab/>
            </w:r>
            <w:r w:rsidRPr="00D26C7C">
              <w:rPr>
                <w:rStyle w:val="Hyperlink"/>
                <w:rFonts w:ascii="Times New Roman" w:hAnsi="Times New Roman" w:cs="Times New Roman"/>
                <w:noProof/>
              </w:rPr>
              <w:t>Overview of Financial Performance</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_Toc237448030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5</w:t>
            </w:r>
            <w:r w:rsidRPr="00D26C7C">
              <w:rPr>
                <w:rFonts w:ascii="Times New Roman" w:hAnsi="Times New Roman" w:cs="Times New Roman"/>
                <w:noProof/>
                <w:webHidden/>
              </w:rPr>
              <w:fldChar w:fldCharType="end"/>
            </w:r>
          </w:hyperlink>
        </w:p>
        <w:p w14:paraId="6E810D75" w14:textId="1F13A930" w:rsidR="00D26C7C" w:rsidRPr="00D26C7C" w:rsidRDefault="00D26C7C" w:rsidP="00D26C7C">
          <w:pPr>
            <w:pStyle w:val="TOC2"/>
            <w:tabs>
              <w:tab w:val="left" w:pos="960"/>
              <w:tab w:val="right" w:leader="dot" w:pos="9350"/>
            </w:tabs>
            <w:spacing w:line="360" w:lineRule="auto"/>
            <w:rPr>
              <w:rFonts w:ascii="Times New Roman" w:hAnsi="Times New Roman" w:cs="Times New Roman"/>
              <w:noProof/>
            </w:rPr>
          </w:pPr>
          <w:hyperlink w:anchor="_Toc237448031" w:history="1">
            <w:r w:rsidRPr="00D26C7C">
              <w:rPr>
                <w:rStyle w:val="Hyperlink"/>
                <w:rFonts w:ascii="Times New Roman" w:hAnsi="Times New Roman" w:cs="Times New Roman"/>
                <w:noProof/>
              </w:rPr>
              <w:t>2.2</w:t>
            </w:r>
            <w:r w:rsidRPr="00D26C7C">
              <w:rPr>
                <w:rFonts w:ascii="Times New Roman" w:hAnsi="Times New Roman" w:cs="Times New Roman"/>
                <w:noProof/>
              </w:rPr>
              <w:tab/>
            </w:r>
            <w:r w:rsidRPr="00D26C7C">
              <w:rPr>
                <w:rStyle w:val="Hyperlink"/>
                <w:rFonts w:ascii="Times New Roman" w:hAnsi="Times New Roman" w:cs="Times New Roman"/>
                <w:noProof/>
              </w:rPr>
              <w:t>Profitability Analysis</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_Toc237448031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7</w:t>
            </w:r>
            <w:r w:rsidRPr="00D26C7C">
              <w:rPr>
                <w:rFonts w:ascii="Times New Roman" w:hAnsi="Times New Roman" w:cs="Times New Roman"/>
                <w:noProof/>
                <w:webHidden/>
              </w:rPr>
              <w:fldChar w:fldCharType="end"/>
            </w:r>
          </w:hyperlink>
        </w:p>
        <w:p w14:paraId="67EE3737" w14:textId="664589E0" w:rsidR="00D26C7C" w:rsidRPr="00D26C7C" w:rsidRDefault="00D26C7C" w:rsidP="00D26C7C">
          <w:pPr>
            <w:pStyle w:val="TOC2"/>
            <w:tabs>
              <w:tab w:val="left" w:pos="960"/>
              <w:tab w:val="right" w:leader="dot" w:pos="9350"/>
            </w:tabs>
            <w:spacing w:line="360" w:lineRule="auto"/>
            <w:rPr>
              <w:rFonts w:ascii="Times New Roman" w:hAnsi="Times New Roman" w:cs="Times New Roman"/>
              <w:noProof/>
            </w:rPr>
          </w:pPr>
          <w:hyperlink w:anchor="_Toc237448032" w:history="1">
            <w:r w:rsidRPr="00D26C7C">
              <w:rPr>
                <w:rStyle w:val="Hyperlink"/>
                <w:rFonts w:ascii="Times New Roman" w:hAnsi="Times New Roman" w:cs="Times New Roman"/>
                <w:noProof/>
              </w:rPr>
              <w:t>2.3</w:t>
            </w:r>
            <w:r w:rsidRPr="00D26C7C">
              <w:rPr>
                <w:rFonts w:ascii="Times New Roman" w:hAnsi="Times New Roman" w:cs="Times New Roman"/>
                <w:noProof/>
              </w:rPr>
              <w:tab/>
            </w:r>
            <w:r w:rsidRPr="00D26C7C">
              <w:rPr>
                <w:rStyle w:val="Hyperlink"/>
                <w:rFonts w:ascii="Times New Roman" w:hAnsi="Times New Roman" w:cs="Times New Roman"/>
                <w:noProof/>
              </w:rPr>
              <w:t>Liquidity Analysis and Industry Benchmarking</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_Toc237448032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8</w:t>
            </w:r>
            <w:r w:rsidRPr="00D26C7C">
              <w:rPr>
                <w:rFonts w:ascii="Times New Roman" w:hAnsi="Times New Roman" w:cs="Times New Roman"/>
                <w:noProof/>
                <w:webHidden/>
              </w:rPr>
              <w:fldChar w:fldCharType="end"/>
            </w:r>
          </w:hyperlink>
        </w:p>
        <w:p w14:paraId="38C9209B" w14:textId="3D4029B9" w:rsidR="00D26C7C" w:rsidRPr="00D26C7C" w:rsidRDefault="00D26C7C" w:rsidP="00D26C7C">
          <w:pPr>
            <w:pStyle w:val="TOC2"/>
            <w:tabs>
              <w:tab w:val="left" w:pos="960"/>
              <w:tab w:val="right" w:leader="dot" w:pos="9350"/>
            </w:tabs>
            <w:spacing w:line="360" w:lineRule="auto"/>
            <w:rPr>
              <w:rFonts w:ascii="Times New Roman" w:hAnsi="Times New Roman" w:cs="Times New Roman"/>
              <w:noProof/>
            </w:rPr>
          </w:pPr>
          <w:hyperlink w:anchor="_Toc237448033" w:history="1">
            <w:r w:rsidRPr="00D26C7C">
              <w:rPr>
                <w:rStyle w:val="Hyperlink"/>
                <w:rFonts w:ascii="Times New Roman" w:hAnsi="Times New Roman" w:cs="Times New Roman"/>
                <w:noProof/>
              </w:rPr>
              <w:t>2.4</w:t>
            </w:r>
            <w:r w:rsidRPr="00D26C7C">
              <w:rPr>
                <w:rFonts w:ascii="Times New Roman" w:hAnsi="Times New Roman" w:cs="Times New Roman"/>
                <w:noProof/>
              </w:rPr>
              <w:tab/>
            </w:r>
            <w:r w:rsidRPr="00D26C7C">
              <w:rPr>
                <w:rStyle w:val="Hyperlink"/>
                <w:rFonts w:ascii="Times New Roman" w:hAnsi="Times New Roman" w:cs="Times New Roman"/>
                <w:noProof/>
              </w:rPr>
              <w:t>Gearing and Solvency Analysis</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_Toc237448033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9</w:t>
            </w:r>
            <w:r w:rsidRPr="00D26C7C">
              <w:rPr>
                <w:rFonts w:ascii="Times New Roman" w:hAnsi="Times New Roman" w:cs="Times New Roman"/>
                <w:noProof/>
                <w:webHidden/>
              </w:rPr>
              <w:fldChar w:fldCharType="end"/>
            </w:r>
          </w:hyperlink>
        </w:p>
        <w:p w14:paraId="16F4BC2B" w14:textId="0C5FC93B" w:rsidR="00D26C7C" w:rsidRPr="00D26C7C" w:rsidRDefault="00D26C7C" w:rsidP="00D26C7C">
          <w:pPr>
            <w:pStyle w:val="TOC2"/>
            <w:tabs>
              <w:tab w:val="left" w:pos="960"/>
              <w:tab w:val="right" w:leader="dot" w:pos="9350"/>
            </w:tabs>
            <w:spacing w:line="360" w:lineRule="auto"/>
            <w:rPr>
              <w:rFonts w:ascii="Times New Roman" w:hAnsi="Times New Roman" w:cs="Times New Roman"/>
              <w:noProof/>
            </w:rPr>
          </w:pPr>
          <w:hyperlink w:anchor="_Toc237448034" w:history="1">
            <w:r w:rsidRPr="00D26C7C">
              <w:rPr>
                <w:rStyle w:val="Hyperlink"/>
                <w:rFonts w:ascii="Times New Roman" w:hAnsi="Times New Roman" w:cs="Times New Roman"/>
                <w:noProof/>
              </w:rPr>
              <w:t>2.5</w:t>
            </w:r>
            <w:r w:rsidRPr="00D26C7C">
              <w:rPr>
                <w:rFonts w:ascii="Times New Roman" w:hAnsi="Times New Roman" w:cs="Times New Roman"/>
                <w:noProof/>
              </w:rPr>
              <w:tab/>
            </w:r>
            <w:r w:rsidRPr="00D26C7C">
              <w:rPr>
                <w:rStyle w:val="Hyperlink"/>
                <w:rFonts w:ascii="Times New Roman" w:hAnsi="Times New Roman" w:cs="Times New Roman"/>
                <w:noProof/>
              </w:rPr>
              <w:t>Cash-Flow Analysis</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_Toc237448034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10</w:t>
            </w:r>
            <w:r w:rsidRPr="00D26C7C">
              <w:rPr>
                <w:rFonts w:ascii="Times New Roman" w:hAnsi="Times New Roman" w:cs="Times New Roman"/>
                <w:noProof/>
                <w:webHidden/>
              </w:rPr>
              <w:fldChar w:fldCharType="end"/>
            </w:r>
          </w:hyperlink>
        </w:p>
        <w:p w14:paraId="45E379A3" w14:textId="0C20F7E9" w:rsidR="00D26C7C" w:rsidRPr="00D26C7C" w:rsidRDefault="00D26C7C" w:rsidP="00D26C7C">
          <w:pPr>
            <w:pStyle w:val="TOC2"/>
            <w:tabs>
              <w:tab w:val="left" w:pos="960"/>
              <w:tab w:val="right" w:leader="dot" w:pos="9350"/>
            </w:tabs>
            <w:spacing w:line="360" w:lineRule="auto"/>
            <w:rPr>
              <w:rFonts w:ascii="Times New Roman" w:hAnsi="Times New Roman" w:cs="Times New Roman"/>
              <w:noProof/>
            </w:rPr>
          </w:pPr>
          <w:hyperlink w:anchor="_Toc237448035" w:history="1">
            <w:r w:rsidRPr="00D26C7C">
              <w:rPr>
                <w:rStyle w:val="Hyperlink"/>
                <w:rFonts w:ascii="Times New Roman" w:hAnsi="Times New Roman" w:cs="Times New Roman"/>
                <w:noProof/>
              </w:rPr>
              <w:t>2.6</w:t>
            </w:r>
            <w:r w:rsidRPr="00D26C7C">
              <w:rPr>
                <w:rFonts w:ascii="Times New Roman" w:hAnsi="Times New Roman" w:cs="Times New Roman"/>
                <w:noProof/>
              </w:rPr>
              <w:tab/>
            </w:r>
            <w:r w:rsidRPr="00D26C7C">
              <w:rPr>
                <w:rStyle w:val="Hyperlink"/>
                <w:rFonts w:ascii="Times New Roman" w:hAnsi="Times New Roman" w:cs="Times New Roman"/>
                <w:noProof/>
              </w:rPr>
              <w:t>Trends, Strengths and Threats</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_Toc237448035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11</w:t>
            </w:r>
            <w:r w:rsidRPr="00D26C7C">
              <w:rPr>
                <w:rFonts w:ascii="Times New Roman" w:hAnsi="Times New Roman" w:cs="Times New Roman"/>
                <w:noProof/>
                <w:webHidden/>
              </w:rPr>
              <w:fldChar w:fldCharType="end"/>
            </w:r>
          </w:hyperlink>
        </w:p>
        <w:p w14:paraId="42BE4F03" w14:textId="3530C7DA" w:rsidR="00D26C7C" w:rsidRPr="00D26C7C" w:rsidRDefault="00D26C7C" w:rsidP="00D26C7C">
          <w:pPr>
            <w:pStyle w:val="TOC1"/>
            <w:tabs>
              <w:tab w:val="left" w:pos="480"/>
              <w:tab w:val="right" w:leader="dot" w:pos="9350"/>
            </w:tabs>
            <w:spacing w:line="360" w:lineRule="auto"/>
            <w:rPr>
              <w:rFonts w:ascii="Times New Roman" w:hAnsi="Times New Roman" w:cs="Times New Roman"/>
              <w:noProof/>
            </w:rPr>
          </w:pPr>
          <w:hyperlink w:anchor="_Toc237448036" w:history="1">
            <w:r w:rsidRPr="00D26C7C">
              <w:rPr>
                <w:rStyle w:val="Hyperlink"/>
                <w:rFonts w:ascii="Times New Roman" w:hAnsi="Times New Roman" w:cs="Times New Roman"/>
                <w:noProof/>
              </w:rPr>
              <w:t>3</w:t>
            </w:r>
            <w:r w:rsidRPr="00D26C7C">
              <w:rPr>
                <w:rFonts w:ascii="Times New Roman" w:hAnsi="Times New Roman" w:cs="Times New Roman"/>
                <w:noProof/>
              </w:rPr>
              <w:tab/>
            </w:r>
            <w:r w:rsidRPr="00D26C7C">
              <w:rPr>
                <w:rStyle w:val="Hyperlink"/>
                <w:rFonts w:ascii="Times New Roman" w:hAnsi="Times New Roman" w:cs="Times New Roman"/>
                <w:noProof/>
              </w:rPr>
              <w:t>Working Capital Management Analysis</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_Toc237448036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11</w:t>
            </w:r>
            <w:r w:rsidRPr="00D26C7C">
              <w:rPr>
                <w:rFonts w:ascii="Times New Roman" w:hAnsi="Times New Roman" w:cs="Times New Roman"/>
                <w:noProof/>
                <w:webHidden/>
              </w:rPr>
              <w:fldChar w:fldCharType="end"/>
            </w:r>
          </w:hyperlink>
        </w:p>
        <w:p w14:paraId="19E9F60A" w14:textId="7BA699C6" w:rsidR="00D26C7C" w:rsidRPr="00D26C7C" w:rsidRDefault="00D26C7C" w:rsidP="00D26C7C">
          <w:pPr>
            <w:pStyle w:val="TOC2"/>
            <w:tabs>
              <w:tab w:val="left" w:pos="960"/>
              <w:tab w:val="right" w:leader="dot" w:pos="9350"/>
            </w:tabs>
            <w:spacing w:line="360" w:lineRule="auto"/>
            <w:rPr>
              <w:rFonts w:ascii="Times New Roman" w:hAnsi="Times New Roman" w:cs="Times New Roman"/>
              <w:noProof/>
            </w:rPr>
          </w:pPr>
          <w:hyperlink w:anchor="_Toc237448037" w:history="1">
            <w:r w:rsidRPr="00D26C7C">
              <w:rPr>
                <w:rStyle w:val="Hyperlink"/>
                <w:rFonts w:ascii="Times New Roman" w:hAnsi="Times New Roman" w:cs="Times New Roman"/>
                <w:noProof/>
              </w:rPr>
              <w:t>3.1</w:t>
            </w:r>
            <w:r w:rsidRPr="00D26C7C">
              <w:rPr>
                <w:rFonts w:ascii="Times New Roman" w:hAnsi="Times New Roman" w:cs="Times New Roman"/>
                <w:noProof/>
              </w:rPr>
              <w:tab/>
            </w:r>
            <w:r w:rsidRPr="00D26C7C">
              <w:rPr>
                <w:rStyle w:val="Hyperlink"/>
                <w:rFonts w:ascii="Times New Roman" w:hAnsi="Times New Roman" w:cs="Times New Roman"/>
                <w:noProof/>
              </w:rPr>
              <w:t>The Cash Operating Cycle</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_Toc237448037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11</w:t>
            </w:r>
            <w:r w:rsidRPr="00D26C7C">
              <w:rPr>
                <w:rFonts w:ascii="Times New Roman" w:hAnsi="Times New Roman" w:cs="Times New Roman"/>
                <w:noProof/>
                <w:webHidden/>
              </w:rPr>
              <w:fldChar w:fldCharType="end"/>
            </w:r>
          </w:hyperlink>
        </w:p>
        <w:p w14:paraId="3F90B034" w14:textId="0AFD25C1" w:rsidR="00D26C7C" w:rsidRPr="00D26C7C" w:rsidRDefault="00D26C7C" w:rsidP="00D26C7C">
          <w:pPr>
            <w:pStyle w:val="TOC2"/>
            <w:tabs>
              <w:tab w:val="left" w:pos="960"/>
              <w:tab w:val="right" w:leader="dot" w:pos="9350"/>
            </w:tabs>
            <w:spacing w:line="360" w:lineRule="auto"/>
            <w:rPr>
              <w:rFonts w:ascii="Times New Roman" w:hAnsi="Times New Roman" w:cs="Times New Roman"/>
              <w:noProof/>
            </w:rPr>
          </w:pPr>
          <w:hyperlink w:anchor="_Toc237448038" w:history="1">
            <w:r w:rsidRPr="00D26C7C">
              <w:rPr>
                <w:rStyle w:val="Hyperlink"/>
                <w:rFonts w:ascii="Times New Roman" w:hAnsi="Times New Roman" w:cs="Times New Roman"/>
                <w:noProof/>
              </w:rPr>
              <w:t>3.2</w:t>
            </w:r>
            <w:r w:rsidRPr="00D26C7C">
              <w:rPr>
                <w:rFonts w:ascii="Times New Roman" w:hAnsi="Times New Roman" w:cs="Times New Roman"/>
                <w:noProof/>
              </w:rPr>
              <w:tab/>
            </w:r>
            <w:r w:rsidRPr="00D26C7C">
              <w:rPr>
                <w:rStyle w:val="Hyperlink"/>
                <w:rFonts w:ascii="Times New Roman" w:hAnsi="Times New Roman" w:cs="Times New Roman"/>
                <w:noProof/>
              </w:rPr>
              <w:t>Strategies to Improve Liquidity through Working Capital Reform</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_Toc237448038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13</w:t>
            </w:r>
            <w:r w:rsidRPr="00D26C7C">
              <w:rPr>
                <w:rFonts w:ascii="Times New Roman" w:hAnsi="Times New Roman" w:cs="Times New Roman"/>
                <w:noProof/>
                <w:webHidden/>
              </w:rPr>
              <w:fldChar w:fldCharType="end"/>
            </w:r>
          </w:hyperlink>
        </w:p>
        <w:p w14:paraId="2CC49B2D" w14:textId="47E95747" w:rsidR="00D26C7C" w:rsidRPr="00D26C7C" w:rsidRDefault="00D26C7C" w:rsidP="00D26C7C">
          <w:pPr>
            <w:pStyle w:val="TOC2"/>
            <w:tabs>
              <w:tab w:val="left" w:pos="960"/>
              <w:tab w:val="right" w:leader="dot" w:pos="9350"/>
            </w:tabs>
            <w:spacing w:line="360" w:lineRule="auto"/>
            <w:rPr>
              <w:rFonts w:ascii="Times New Roman" w:hAnsi="Times New Roman" w:cs="Times New Roman"/>
              <w:noProof/>
            </w:rPr>
          </w:pPr>
          <w:hyperlink w:anchor="_Toc237448039" w:history="1">
            <w:r w:rsidRPr="00D26C7C">
              <w:rPr>
                <w:rStyle w:val="Hyperlink"/>
                <w:rFonts w:ascii="Times New Roman" w:hAnsi="Times New Roman" w:cs="Times New Roman"/>
                <w:noProof/>
              </w:rPr>
              <w:t>3.3</w:t>
            </w:r>
            <w:r w:rsidRPr="00D26C7C">
              <w:rPr>
                <w:rFonts w:ascii="Times New Roman" w:hAnsi="Times New Roman" w:cs="Times New Roman"/>
                <w:noProof/>
              </w:rPr>
              <w:tab/>
            </w:r>
            <w:r w:rsidRPr="00D26C7C">
              <w:rPr>
                <w:rStyle w:val="Hyperlink"/>
                <w:rFonts w:ascii="Times New Roman" w:hAnsi="Times New Roman" w:cs="Times New Roman"/>
                <w:noProof/>
              </w:rPr>
              <w:t>Short-Term versus Long-Term Financing.</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_Toc237448039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13</w:t>
            </w:r>
            <w:r w:rsidRPr="00D26C7C">
              <w:rPr>
                <w:rFonts w:ascii="Times New Roman" w:hAnsi="Times New Roman" w:cs="Times New Roman"/>
                <w:noProof/>
                <w:webHidden/>
              </w:rPr>
              <w:fldChar w:fldCharType="end"/>
            </w:r>
          </w:hyperlink>
        </w:p>
        <w:p w14:paraId="0D81D07D" w14:textId="119DC831" w:rsidR="00D26C7C" w:rsidRPr="00D26C7C" w:rsidRDefault="00D26C7C" w:rsidP="00D26C7C">
          <w:pPr>
            <w:pStyle w:val="TOC1"/>
            <w:tabs>
              <w:tab w:val="left" w:pos="480"/>
              <w:tab w:val="right" w:leader="dot" w:pos="9350"/>
            </w:tabs>
            <w:spacing w:line="360" w:lineRule="auto"/>
            <w:rPr>
              <w:rFonts w:ascii="Times New Roman" w:hAnsi="Times New Roman" w:cs="Times New Roman"/>
              <w:noProof/>
            </w:rPr>
          </w:pPr>
          <w:hyperlink w:anchor="_Toc237448040" w:history="1">
            <w:r w:rsidRPr="00D26C7C">
              <w:rPr>
                <w:rStyle w:val="Hyperlink"/>
                <w:rFonts w:ascii="Times New Roman" w:hAnsi="Times New Roman" w:cs="Times New Roman"/>
                <w:noProof/>
              </w:rPr>
              <w:t>4</w:t>
            </w:r>
            <w:r w:rsidRPr="00D26C7C">
              <w:rPr>
                <w:rFonts w:ascii="Times New Roman" w:hAnsi="Times New Roman" w:cs="Times New Roman"/>
                <w:noProof/>
              </w:rPr>
              <w:tab/>
            </w:r>
            <w:r w:rsidRPr="00D26C7C">
              <w:rPr>
                <w:rStyle w:val="Hyperlink"/>
                <w:rFonts w:ascii="Times New Roman" w:hAnsi="Times New Roman" w:cs="Times New Roman"/>
                <w:noProof/>
              </w:rPr>
              <w:t>Strategic Financial Restructuring Plan</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_Toc237448040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14</w:t>
            </w:r>
            <w:r w:rsidRPr="00D26C7C">
              <w:rPr>
                <w:rFonts w:ascii="Times New Roman" w:hAnsi="Times New Roman" w:cs="Times New Roman"/>
                <w:noProof/>
                <w:webHidden/>
              </w:rPr>
              <w:fldChar w:fldCharType="end"/>
            </w:r>
          </w:hyperlink>
        </w:p>
        <w:p w14:paraId="4827F54B" w14:textId="7842F1A8" w:rsidR="00D26C7C" w:rsidRPr="00D26C7C" w:rsidRDefault="00D26C7C" w:rsidP="00D26C7C">
          <w:pPr>
            <w:pStyle w:val="TOC2"/>
            <w:tabs>
              <w:tab w:val="left" w:pos="960"/>
              <w:tab w:val="right" w:leader="dot" w:pos="9350"/>
            </w:tabs>
            <w:spacing w:line="360" w:lineRule="auto"/>
            <w:rPr>
              <w:rFonts w:ascii="Times New Roman" w:hAnsi="Times New Roman" w:cs="Times New Roman"/>
              <w:noProof/>
            </w:rPr>
          </w:pPr>
          <w:hyperlink w:anchor="_Toc237448041" w:history="1">
            <w:r w:rsidRPr="00D26C7C">
              <w:rPr>
                <w:rStyle w:val="Hyperlink"/>
                <w:rFonts w:ascii="Times New Roman" w:hAnsi="Times New Roman" w:cs="Times New Roman"/>
                <w:noProof/>
              </w:rPr>
              <w:t>4.1</w:t>
            </w:r>
            <w:r w:rsidRPr="00D26C7C">
              <w:rPr>
                <w:rFonts w:ascii="Times New Roman" w:hAnsi="Times New Roman" w:cs="Times New Roman"/>
                <w:noProof/>
              </w:rPr>
              <w:tab/>
            </w:r>
            <w:r w:rsidRPr="00D26C7C">
              <w:rPr>
                <w:rStyle w:val="Hyperlink"/>
                <w:rFonts w:ascii="Times New Roman" w:hAnsi="Times New Roman" w:cs="Times New Roman"/>
                <w:noProof/>
              </w:rPr>
              <w:t>Restructuring Options</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_Toc237448041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14</w:t>
            </w:r>
            <w:r w:rsidRPr="00D26C7C">
              <w:rPr>
                <w:rFonts w:ascii="Times New Roman" w:hAnsi="Times New Roman" w:cs="Times New Roman"/>
                <w:noProof/>
                <w:webHidden/>
              </w:rPr>
              <w:fldChar w:fldCharType="end"/>
            </w:r>
          </w:hyperlink>
        </w:p>
        <w:p w14:paraId="3FFA2CB1" w14:textId="46DCC70C" w:rsidR="00D26C7C" w:rsidRPr="00D26C7C" w:rsidRDefault="00D26C7C" w:rsidP="00D26C7C">
          <w:pPr>
            <w:pStyle w:val="TOC2"/>
            <w:tabs>
              <w:tab w:val="left" w:pos="960"/>
              <w:tab w:val="right" w:leader="dot" w:pos="9350"/>
            </w:tabs>
            <w:spacing w:line="360" w:lineRule="auto"/>
            <w:rPr>
              <w:rFonts w:ascii="Times New Roman" w:hAnsi="Times New Roman" w:cs="Times New Roman"/>
              <w:noProof/>
            </w:rPr>
          </w:pPr>
          <w:hyperlink w:anchor="_Toc237448042" w:history="1">
            <w:r w:rsidRPr="00D26C7C">
              <w:rPr>
                <w:rStyle w:val="Hyperlink"/>
                <w:rFonts w:ascii="Times New Roman" w:hAnsi="Times New Roman" w:cs="Times New Roman"/>
                <w:noProof/>
              </w:rPr>
              <w:t>4.2</w:t>
            </w:r>
            <w:r w:rsidRPr="00D26C7C">
              <w:rPr>
                <w:rFonts w:ascii="Times New Roman" w:hAnsi="Times New Roman" w:cs="Times New Roman"/>
                <w:noProof/>
              </w:rPr>
              <w:tab/>
            </w:r>
            <w:r w:rsidRPr="00D26C7C">
              <w:rPr>
                <w:rStyle w:val="Hyperlink"/>
                <w:rFonts w:ascii="Times New Roman" w:hAnsi="Times New Roman" w:cs="Times New Roman"/>
                <w:noProof/>
              </w:rPr>
              <w:t>Shareholder Value, Debt structure and flexibility</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_Toc237448042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15</w:t>
            </w:r>
            <w:r w:rsidRPr="00D26C7C">
              <w:rPr>
                <w:rFonts w:ascii="Times New Roman" w:hAnsi="Times New Roman" w:cs="Times New Roman"/>
                <w:noProof/>
                <w:webHidden/>
              </w:rPr>
              <w:fldChar w:fldCharType="end"/>
            </w:r>
          </w:hyperlink>
        </w:p>
        <w:p w14:paraId="7B915219" w14:textId="39284DDC" w:rsidR="00D26C7C" w:rsidRPr="00D26C7C" w:rsidRDefault="00D26C7C" w:rsidP="00D26C7C">
          <w:pPr>
            <w:pStyle w:val="TOC2"/>
            <w:tabs>
              <w:tab w:val="left" w:pos="960"/>
              <w:tab w:val="right" w:leader="dot" w:pos="9350"/>
            </w:tabs>
            <w:spacing w:line="360" w:lineRule="auto"/>
            <w:rPr>
              <w:rFonts w:ascii="Times New Roman" w:hAnsi="Times New Roman" w:cs="Times New Roman"/>
              <w:noProof/>
            </w:rPr>
          </w:pPr>
          <w:hyperlink w:anchor="_Toc237448043" w:history="1">
            <w:r w:rsidRPr="00D26C7C">
              <w:rPr>
                <w:rStyle w:val="Hyperlink"/>
                <w:rFonts w:ascii="Times New Roman" w:hAnsi="Times New Roman" w:cs="Times New Roman"/>
                <w:noProof/>
              </w:rPr>
              <w:t>4.3</w:t>
            </w:r>
            <w:r w:rsidRPr="00D26C7C">
              <w:rPr>
                <w:rFonts w:ascii="Times New Roman" w:hAnsi="Times New Roman" w:cs="Times New Roman"/>
                <w:noProof/>
              </w:rPr>
              <w:tab/>
            </w:r>
            <w:r w:rsidRPr="00D26C7C">
              <w:rPr>
                <w:rStyle w:val="Hyperlink"/>
                <w:rFonts w:ascii="Times New Roman" w:hAnsi="Times New Roman" w:cs="Times New Roman"/>
                <w:noProof/>
              </w:rPr>
              <w:t>International, Ethical and ESG Considerations</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_Toc237448043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15</w:t>
            </w:r>
            <w:r w:rsidRPr="00D26C7C">
              <w:rPr>
                <w:rFonts w:ascii="Times New Roman" w:hAnsi="Times New Roman" w:cs="Times New Roman"/>
                <w:noProof/>
                <w:webHidden/>
              </w:rPr>
              <w:fldChar w:fldCharType="end"/>
            </w:r>
          </w:hyperlink>
        </w:p>
        <w:p w14:paraId="11077415" w14:textId="5DD67B0D" w:rsidR="00D26C7C" w:rsidRPr="00D26C7C" w:rsidRDefault="00D26C7C" w:rsidP="00D26C7C">
          <w:pPr>
            <w:pStyle w:val="TOC1"/>
            <w:tabs>
              <w:tab w:val="left" w:pos="480"/>
              <w:tab w:val="right" w:leader="dot" w:pos="9350"/>
            </w:tabs>
            <w:spacing w:line="360" w:lineRule="auto"/>
            <w:rPr>
              <w:rFonts w:ascii="Times New Roman" w:hAnsi="Times New Roman" w:cs="Times New Roman"/>
              <w:noProof/>
            </w:rPr>
          </w:pPr>
          <w:hyperlink w:anchor="_Toc237448044" w:history="1">
            <w:r w:rsidRPr="00D26C7C">
              <w:rPr>
                <w:rStyle w:val="Hyperlink"/>
                <w:rFonts w:ascii="Times New Roman" w:hAnsi="Times New Roman" w:cs="Times New Roman"/>
                <w:noProof/>
              </w:rPr>
              <w:t>5</w:t>
            </w:r>
            <w:r w:rsidRPr="00D26C7C">
              <w:rPr>
                <w:rFonts w:ascii="Times New Roman" w:hAnsi="Times New Roman" w:cs="Times New Roman"/>
                <w:noProof/>
              </w:rPr>
              <w:tab/>
            </w:r>
            <w:r w:rsidRPr="00D26C7C">
              <w:rPr>
                <w:rStyle w:val="Hyperlink"/>
                <w:rFonts w:ascii="Times New Roman" w:hAnsi="Times New Roman" w:cs="Times New Roman"/>
                <w:noProof/>
              </w:rPr>
              <w:t>Investment Appraisal and Capital Budgeting</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_Toc237448044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16</w:t>
            </w:r>
            <w:r w:rsidRPr="00D26C7C">
              <w:rPr>
                <w:rFonts w:ascii="Times New Roman" w:hAnsi="Times New Roman" w:cs="Times New Roman"/>
                <w:noProof/>
                <w:webHidden/>
              </w:rPr>
              <w:fldChar w:fldCharType="end"/>
            </w:r>
          </w:hyperlink>
        </w:p>
        <w:p w14:paraId="65FD0BCA" w14:textId="6FCBD4C8" w:rsidR="00D26C7C" w:rsidRPr="00D26C7C" w:rsidRDefault="00D26C7C" w:rsidP="00D26C7C">
          <w:pPr>
            <w:pStyle w:val="TOC2"/>
            <w:tabs>
              <w:tab w:val="left" w:pos="960"/>
              <w:tab w:val="right" w:leader="dot" w:pos="9350"/>
            </w:tabs>
            <w:spacing w:line="360" w:lineRule="auto"/>
            <w:rPr>
              <w:rFonts w:ascii="Times New Roman" w:hAnsi="Times New Roman" w:cs="Times New Roman"/>
              <w:noProof/>
            </w:rPr>
          </w:pPr>
          <w:hyperlink w:anchor="_Toc237448045" w:history="1">
            <w:r w:rsidRPr="00D26C7C">
              <w:rPr>
                <w:rStyle w:val="Hyperlink"/>
                <w:rFonts w:ascii="Times New Roman" w:hAnsi="Times New Roman" w:cs="Times New Roman"/>
                <w:noProof/>
              </w:rPr>
              <w:t>5.1</w:t>
            </w:r>
            <w:r w:rsidRPr="00D26C7C">
              <w:rPr>
                <w:rFonts w:ascii="Times New Roman" w:hAnsi="Times New Roman" w:cs="Times New Roman"/>
                <w:noProof/>
              </w:rPr>
              <w:tab/>
            </w:r>
            <w:r w:rsidRPr="00D26C7C">
              <w:rPr>
                <w:rStyle w:val="Hyperlink"/>
                <w:rFonts w:ascii="Times New Roman" w:hAnsi="Times New Roman" w:cs="Times New Roman"/>
                <w:noProof/>
              </w:rPr>
              <w:t>Appraisal Results</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_Toc237448045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16</w:t>
            </w:r>
            <w:r w:rsidRPr="00D26C7C">
              <w:rPr>
                <w:rFonts w:ascii="Times New Roman" w:hAnsi="Times New Roman" w:cs="Times New Roman"/>
                <w:noProof/>
                <w:webHidden/>
              </w:rPr>
              <w:fldChar w:fldCharType="end"/>
            </w:r>
          </w:hyperlink>
        </w:p>
        <w:p w14:paraId="37BA2D22" w14:textId="44C9280D" w:rsidR="00D26C7C" w:rsidRPr="00D26C7C" w:rsidRDefault="00D26C7C" w:rsidP="00D26C7C">
          <w:pPr>
            <w:pStyle w:val="TOC2"/>
            <w:tabs>
              <w:tab w:val="left" w:pos="960"/>
              <w:tab w:val="right" w:leader="dot" w:pos="9350"/>
            </w:tabs>
            <w:spacing w:line="360" w:lineRule="auto"/>
            <w:rPr>
              <w:rFonts w:ascii="Times New Roman" w:hAnsi="Times New Roman" w:cs="Times New Roman"/>
              <w:noProof/>
            </w:rPr>
          </w:pPr>
          <w:hyperlink w:anchor="_Toc237448046" w:history="1">
            <w:r w:rsidRPr="00D26C7C">
              <w:rPr>
                <w:rStyle w:val="Hyperlink"/>
                <w:rFonts w:ascii="Times New Roman" w:hAnsi="Times New Roman" w:cs="Times New Roman"/>
                <w:noProof/>
              </w:rPr>
              <w:t>5.2</w:t>
            </w:r>
            <w:r w:rsidRPr="00D26C7C">
              <w:rPr>
                <w:rFonts w:ascii="Times New Roman" w:hAnsi="Times New Roman" w:cs="Times New Roman"/>
                <w:noProof/>
              </w:rPr>
              <w:tab/>
            </w:r>
            <w:r w:rsidRPr="00D26C7C">
              <w:rPr>
                <w:rStyle w:val="Hyperlink"/>
                <w:rFonts w:ascii="Times New Roman" w:hAnsi="Times New Roman" w:cs="Times New Roman"/>
                <w:noProof/>
              </w:rPr>
              <w:t>Reconciling the Techniques</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_Toc237448046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18</w:t>
            </w:r>
            <w:r w:rsidRPr="00D26C7C">
              <w:rPr>
                <w:rFonts w:ascii="Times New Roman" w:hAnsi="Times New Roman" w:cs="Times New Roman"/>
                <w:noProof/>
                <w:webHidden/>
              </w:rPr>
              <w:fldChar w:fldCharType="end"/>
            </w:r>
          </w:hyperlink>
        </w:p>
        <w:p w14:paraId="7C6248A4" w14:textId="7F11E0AB" w:rsidR="00D26C7C" w:rsidRPr="00D26C7C" w:rsidRDefault="00D26C7C" w:rsidP="00D26C7C">
          <w:pPr>
            <w:pStyle w:val="TOC2"/>
            <w:tabs>
              <w:tab w:val="left" w:pos="960"/>
              <w:tab w:val="right" w:leader="dot" w:pos="9350"/>
            </w:tabs>
            <w:spacing w:line="360" w:lineRule="auto"/>
            <w:rPr>
              <w:rFonts w:ascii="Times New Roman" w:hAnsi="Times New Roman" w:cs="Times New Roman"/>
              <w:noProof/>
            </w:rPr>
          </w:pPr>
          <w:hyperlink w:anchor="_Toc237448047" w:history="1">
            <w:r w:rsidRPr="00D26C7C">
              <w:rPr>
                <w:rStyle w:val="Hyperlink"/>
                <w:rFonts w:ascii="Times New Roman" w:hAnsi="Times New Roman" w:cs="Times New Roman"/>
                <w:noProof/>
              </w:rPr>
              <w:t>5.3</w:t>
            </w:r>
            <w:r w:rsidRPr="00D26C7C">
              <w:rPr>
                <w:rFonts w:ascii="Times New Roman" w:hAnsi="Times New Roman" w:cs="Times New Roman"/>
                <w:noProof/>
              </w:rPr>
              <w:tab/>
            </w:r>
            <w:r w:rsidRPr="00D26C7C">
              <w:rPr>
                <w:rStyle w:val="Hyperlink"/>
                <w:rFonts w:ascii="Times New Roman" w:hAnsi="Times New Roman" w:cs="Times New Roman"/>
                <w:noProof/>
              </w:rPr>
              <w:t>Recommendation with Financial and Non-Financial Justification</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_Toc237448047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18</w:t>
            </w:r>
            <w:r w:rsidRPr="00D26C7C">
              <w:rPr>
                <w:rFonts w:ascii="Times New Roman" w:hAnsi="Times New Roman" w:cs="Times New Roman"/>
                <w:noProof/>
                <w:webHidden/>
              </w:rPr>
              <w:fldChar w:fldCharType="end"/>
            </w:r>
          </w:hyperlink>
        </w:p>
        <w:p w14:paraId="6189ACDE" w14:textId="4CC5B0D4" w:rsidR="00D26C7C" w:rsidRPr="00D26C7C" w:rsidRDefault="00D26C7C" w:rsidP="00D26C7C">
          <w:pPr>
            <w:pStyle w:val="TOC2"/>
            <w:tabs>
              <w:tab w:val="left" w:pos="960"/>
              <w:tab w:val="right" w:leader="dot" w:pos="9350"/>
            </w:tabs>
            <w:spacing w:line="360" w:lineRule="auto"/>
            <w:rPr>
              <w:rFonts w:ascii="Times New Roman" w:hAnsi="Times New Roman" w:cs="Times New Roman"/>
              <w:noProof/>
            </w:rPr>
          </w:pPr>
          <w:hyperlink w:anchor="_Toc237448048" w:history="1">
            <w:r w:rsidRPr="00D26C7C">
              <w:rPr>
                <w:rStyle w:val="Hyperlink"/>
                <w:rFonts w:ascii="Times New Roman" w:hAnsi="Times New Roman" w:cs="Times New Roman"/>
                <w:noProof/>
              </w:rPr>
              <w:t>5.4</w:t>
            </w:r>
            <w:r w:rsidRPr="00D26C7C">
              <w:rPr>
                <w:rFonts w:ascii="Times New Roman" w:hAnsi="Times New Roman" w:cs="Times New Roman"/>
                <w:noProof/>
              </w:rPr>
              <w:tab/>
            </w:r>
            <w:r w:rsidRPr="00D26C7C">
              <w:rPr>
                <w:rStyle w:val="Hyperlink"/>
                <w:rFonts w:ascii="Times New Roman" w:hAnsi="Times New Roman" w:cs="Times New Roman"/>
                <w:noProof/>
              </w:rPr>
              <w:t>Capital Rationing</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_Toc237448048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19</w:t>
            </w:r>
            <w:r w:rsidRPr="00D26C7C">
              <w:rPr>
                <w:rFonts w:ascii="Times New Roman" w:hAnsi="Times New Roman" w:cs="Times New Roman"/>
                <w:noProof/>
                <w:webHidden/>
              </w:rPr>
              <w:fldChar w:fldCharType="end"/>
            </w:r>
          </w:hyperlink>
        </w:p>
        <w:p w14:paraId="79B9B310" w14:textId="23F2B9C0" w:rsidR="00D26C7C" w:rsidRPr="00D26C7C" w:rsidRDefault="00D26C7C" w:rsidP="00D26C7C">
          <w:pPr>
            <w:pStyle w:val="TOC1"/>
            <w:tabs>
              <w:tab w:val="left" w:pos="480"/>
              <w:tab w:val="right" w:leader="dot" w:pos="9350"/>
            </w:tabs>
            <w:spacing w:line="360" w:lineRule="auto"/>
            <w:rPr>
              <w:rFonts w:ascii="Times New Roman" w:hAnsi="Times New Roman" w:cs="Times New Roman"/>
              <w:noProof/>
            </w:rPr>
          </w:pPr>
          <w:hyperlink w:anchor="_Toc237448049" w:history="1">
            <w:r w:rsidRPr="00D26C7C">
              <w:rPr>
                <w:rStyle w:val="Hyperlink"/>
                <w:rFonts w:ascii="Times New Roman" w:hAnsi="Times New Roman" w:cs="Times New Roman"/>
                <w:noProof/>
              </w:rPr>
              <w:t>6</w:t>
            </w:r>
            <w:r w:rsidRPr="00D26C7C">
              <w:rPr>
                <w:rFonts w:ascii="Times New Roman" w:hAnsi="Times New Roman" w:cs="Times New Roman"/>
                <w:noProof/>
              </w:rPr>
              <w:tab/>
            </w:r>
            <w:r w:rsidRPr="00D26C7C">
              <w:rPr>
                <w:rStyle w:val="Hyperlink"/>
                <w:rFonts w:ascii="Times New Roman" w:hAnsi="Times New Roman" w:cs="Times New Roman"/>
                <w:noProof/>
              </w:rPr>
              <w:t>Critical Reflection on AI Usage.</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_Toc237448049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19</w:t>
            </w:r>
            <w:r w:rsidRPr="00D26C7C">
              <w:rPr>
                <w:rFonts w:ascii="Times New Roman" w:hAnsi="Times New Roman" w:cs="Times New Roman"/>
                <w:noProof/>
                <w:webHidden/>
              </w:rPr>
              <w:fldChar w:fldCharType="end"/>
            </w:r>
          </w:hyperlink>
        </w:p>
        <w:p w14:paraId="641754A9" w14:textId="16ABDD12" w:rsidR="00D26C7C" w:rsidRPr="00D26C7C" w:rsidRDefault="00D26C7C" w:rsidP="00D26C7C">
          <w:pPr>
            <w:pStyle w:val="TOC2"/>
            <w:tabs>
              <w:tab w:val="left" w:pos="960"/>
              <w:tab w:val="right" w:leader="dot" w:pos="9350"/>
            </w:tabs>
            <w:spacing w:line="360" w:lineRule="auto"/>
            <w:rPr>
              <w:rFonts w:ascii="Times New Roman" w:hAnsi="Times New Roman" w:cs="Times New Roman"/>
              <w:noProof/>
            </w:rPr>
          </w:pPr>
          <w:hyperlink w:anchor="_Toc237448050" w:history="1">
            <w:r w:rsidRPr="00D26C7C">
              <w:rPr>
                <w:rStyle w:val="Hyperlink"/>
                <w:rFonts w:ascii="Times New Roman" w:hAnsi="Times New Roman" w:cs="Times New Roman"/>
                <w:noProof/>
              </w:rPr>
              <w:t>6.1</w:t>
            </w:r>
            <w:r w:rsidRPr="00D26C7C">
              <w:rPr>
                <w:rFonts w:ascii="Times New Roman" w:hAnsi="Times New Roman" w:cs="Times New Roman"/>
                <w:noProof/>
              </w:rPr>
              <w:tab/>
            </w:r>
            <w:r w:rsidRPr="00D26C7C">
              <w:rPr>
                <w:rStyle w:val="Hyperlink"/>
                <w:rFonts w:ascii="Times New Roman" w:hAnsi="Times New Roman" w:cs="Times New Roman"/>
                <w:noProof/>
              </w:rPr>
              <w:t>Tool Disclosure</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_Toc237448050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19</w:t>
            </w:r>
            <w:r w:rsidRPr="00D26C7C">
              <w:rPr>
                <w:rFonts w:ascii="Times New Roman" w:hAnsi="Times New Roman" w:cs="Times New Roman"/>
                <w:noProof/>
                <w:webHidden/>
              </w:rPr>
              <w:fldChar w:fldCharType="end"/>
            </w:r>
          </w:hyperlink>
        </w:p>
        <w:p w14:paraId="6E17CE4E" w14:textId="4AE2FE20" w:rsidR="00D26C7C" w:rsidRPr="00D26C7C" w:rsidRDefault="00D26C7C" w:rsidP="00D26C7C">
          <w:pPr>
            <w:pStyle w:val="TOC2"/>
            <w:tabs>
              <w:tab w:val="left" w:pos="960"/>
              <w:tab w:val="right" w:leader="dot" w:pos="9350"/>
            </w:tabs>
            <w:spacing w:line="360" w:lineRule="auto"/>
            <w:rPr>
              <w:rFonts w:ascii="Times New Roman" w:hAnsi="Times New Roman" w:cs="Times New Roman"/>
              <w:noProof/>
            </w:rPr>
          </w:pPr>
          <w:hyperlink w:anchor="_Toc237448051" w:history="1">
            <w:r w:rsidRPr="00D26C7C">
              <w:rPr>
                <w:rStyle w:val="Hyperlink"/>
                <w:rFonts w:ascii="Times New Roman" w:hAnsi="Times New Roman" w:cs="Times New Roman"/>
                <w:noProof/>
              </w:rPr>
              <w:t>6.2</w:t>
            </w:r>
            <w:r w:rsidRPr="00D26C7C">
              <w:rPr>
                <w:rFonts w:ascii="Times New Roman" w:hAnsi="Times New Roman" w:cs="Times New Roman"/>
                <w:noProof/>
              </w:rPr>
              <w:tab/>
            </w:r>
            <w:r w:rsidRPr="00D26C7C">
              <w:rPr>
                <w:rStyle w:val="Hyperlink"/>
                <w:rFonts w:ascii="Times New Roman" w:hAnsi="Times New Roman" w:cs="Times New Roman"/>
                <w:noProof/>
              </w:rPr>
              <w:t>Critically evaluate AI output</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_Toc237448051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20</w:t>
            </w:r>
            <w:r w:rsidRPr="00D26C7C">
              <w:rPr>
                <w:rFonts w:ascii="Times New Roman" w:hAnsi="Times New Roman" w:cs="Times New Roman"/>
                <w:noProof/>
                <w:webHidden/>
              </w:rPr>
              <w:fldChar w:fldCharType="end"/>
            </w:r>
          </w:hyperlink>
        </w:p>
        <w:p w14:paraId="22526A4B" w14:textId="72B3C6AD" w:rsidR="00D26C7C" w:rsidRPr="00D26C7C" w:rsidRDefault="00D26C7C" w:rsidP="00D26C7C">
          <w:pPr>
            <w:pStyle w:val="TOC2"/>
            <w:tabs>
              <w:tab w:val="left" w:pos="960"/>
              <w:tab w:val="right" w:leader="dot" w:pos="9350"/>
            </w:tabs>
            <w:spacing w:line="360" w:lineRule="auto"/>
            <w:rPr>
              <w:rFonts w:ascii="Times New Roman" w:hAnsi="Times New Roman" w:cs="Times New Roman"/>
              <w:noProof/>
            </w:rPr>
          </w:pPr>
          <w:hyperlink w:anchor="_Toc237448052" w:history="1">
            <w:r w:rsidRPr="00D26C7C">
              <w:rPr>
                <w:rStyle w:val="Hyperlink"/>
                <w:rFonts w:ascii="Times New Roman" w:hAnsi="Times New Roman" w:cs="Times New Roman"/>
                <w:noProof/>
              </w:rPr>
              <w:t>6.3</w:t>
            </w:r>
            <w:r w:rsidRPr="00D26C7C">
              <w:rPr>
                <w:rFonts w:ascii="Times New Roman" w:hAnsi="Times New Roman" w:cs="Times New Roman"/>
                <w:noProof/>
              </w:rPr>
              <w:tab/>
            </w:r>
            <w:r w:rsidRPr="00D26C7C">
              <w:rPr>
                <w:rStyle w:val="Hyperlink"/>
                <w:rFonts w:ascii="Times New Roman" w:hAnsi="Times New Roman" w:cs="Times New Roman"/>
                <w:noProof/>
              </w:rPr>
              <w:t>Contribution Analysis</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_Toc237448052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20</w:t>
            </w:r>
            <w:r w:rsidRPr="00D26C7C">
              <w:rPr>
                <w:rFonts w:ascii="Times New Roman" w:hAnsi="Times New Roman" w:cs="Times New Roman"/>
                <w:noProof/>
                <w:webHidden/>
              </w:rPr>
              <w:fldChar w:fldCharType="end"/>
            </w:r>
          </w:hyperlink>
        </w:p>
        <w:p w14:paraId="4EC47EB6" w14:textId="3F98F752" w:rsidR="00D26C7C" w:rsidRPr="00D26C7C" w:rsidRDefault="00D26C7C" w:rsidP="00D26C7C">
          <w:pPr>
            <w:pStyle w:val="TOC2"/>
            <w:tabs>
              <w:tab w:val="left" w:pos="960"/>
              <w:tab w:val="right" w:leader="dot" w:pos="9350"/>
            </w:tabs>
            <w:spacing w:line="360" w:lineRule="auto"/>
            <w:rPr>
              <w:rFonts w:ascii="Times New Roman" w:hAnsi="Times New Roman" w:cs="Times New Roman"/>
              <w:noProof/>
            </w:rPr>
          </w:pPr>
          <w:hyperlink w:anchor="_Toc237448053" w:history="1">
            <w:r w:rsidRPr="00D26C7C">
              <w:rPr>
                <w:rStyle w:val="Hyperlink"/>
                <w:rFonts w:ascii="Times New Roman" w:hAnsi="Times New Roman" w:cs="Times New Roman"/>
                <w:noProof/>
              </w:rPr>
              <w:t>6.4</w:t>
            </w:r>
            <w:r w:rsidRPr="00D26C7C">
              <w:rPr>
                <w:rFonts w:ascii="Times New Roman" w:hAnsi="Times New Roman" w:cs="Times New Roman"/>
                <w:noProof/>
              </w:rPr>
              <w:tab/>
            </w:r>
            <w:r w:rsidRPr="00D26C7C">
              <w:rPr>
                <w:rStyle w:val="Hyperlink"/>
                <w:rFonts w:ascii="Times New Roman" w:hAnsi="Times New Roman" w:cs="Times New Roman"/>
                <w:noProof/>
              </w:rPr>
              <w:t>Ethical and professional reflection.</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_Toc237448053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20</w:t>
            </w:r>
            <w:r w:rsidRPr="00D26C7C">
              <w:rPr>
                <w:rFonts w:ascii="Times New Roman" w:hAnsi="Times New Roman" w:cs="Times New Roman"/>
                <w:noProof/>
                <w:webHidden/>
              </w:rPr>
              <w:fldChar w:fldCharType="end"/>
            </w:r>
          </w:hyperlink>
        </w:p>
        <w:p w14:paraId="633DE02F" w14:textId="56E1C1A8" w:rsidR="00D26C7C" w:rsidRPr="00D26C7C" w:rsidRDefault="00D26C7C" w:rsidP="00D26C7C">
          <w:pPr>
            <w:pStyle w:val="TOC1"/>
            <w:tabs>
              <w:tab w:val="left" w:pos="480"/>
              <w:tab w:val="right" w:leader="dot" w:pos="9350"/>
            </w:tabs>
            <w:spacing w:line="360" w:lineRule="auto"/>
            <w:rPr>
              <w:rFonts w:ascii="Times New Roman" w:hAnsi="Times New Roman" w:cs="Times New Roman"/>
              <w:noProof/>
            </w:rPr>
          </w:pPr>
          <w:hyperlink w:anchor="_Toc237448054" w:history="1">
            <w:r w:rsidRPr="00D26C7C">
              <w:rPr>
                <w:rStyle w:val="Hyperlink"/>
                <w:rFonts w:ascii="Times New Roman" w:hAnsi="Times New Roman" w:cs="Times New Roman"/>
                <w:noProof/>
              </w:rPr>
              <w:t>7</w:t>
            </w:r>
            <w:r w:rsidRPr="00D26C7C">
              <w:rPr>
                <w:rFonts w:ascii="Times New Roman" w:hAnsi="Times New Roman" w:cs="Times New Roman"/>
                <w:noProof/>
              </w:rPr>
              <w:tab/>
            </w:r>
            <w:r w:rsidRPr="00D26C7C">
              <w:rPr>
                <w:rStyle w:val="Hyperlink"/>
                <w:rFonts w:ascii="Times New Roman" w:hAnsi="Times New Roman" w:cs="Times New Roman"/>
                <w:noProof/>
              </w:rPr>
              <w:t>Conclusion</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_Toc237448054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21</w:t>
            </w:r>
            <w:r w:rsidRPr="00D26C7C">
              <w:rPr>
                <w:rFonts w:ascii="Times New Roman" w:hAnsi="Times New Roman" w:cs="Times New Roman"/>
                <w:noProof/>
                <w:webHidden/>
              </w:rPr>
              <w:fldChar w:fldCharType="end"/>
            </w:r>
          </w:hyperlink>
        </w:p>
        <w:p w14:paraId="57CE63A2" w14:textId="0054E008" w:rsidR="00D26C7C" w:rsidRPr="00D26C7C" w:rsidRDefault="00D26C7C" w:rsidP="00D26C7C">
          <w:pPr>
            <w:pStyle w:val="TOC1"/>
            <w:tabs>
              <w:tab w:val="left" w:pos="480"/>
              <w:tab w:val="right" w:leader="dot" w:pos="9350"/>
            </w:tabs>
            <w:spacing w:line="360" w:lineRule="auto"/>
            <w:rPr>
              <w:rFonts w:ascii="Times New Roman" w:hAnsi="Times New Roman" w:cs="Times New Roman"/>
              <w:noProof/>
            </w:rPr>
          </w:pPr>
          <w:hyperlink w:anchor="_Toc237448055" w:history="1">
            <w:r w:rsidRPr="00D26C7C">
              <w:rPr>
                <w:rStyle w:val="Hyperlink"/>
                <w:rFonts w:ascii="Times New Roman" w:hAnsi="Times New Roman" w:cs="Times New Roman"/>
                <w:noProof/>
              </w:rPr>
              <w:t>8</w:t>
            </w:r>
            <w:r w:rsidRPr="00D26C7C">
              <w:rPr>
                <w:rFonts w:ascii="Times New Roman" w:hAnsi="Times New Roman" w:cs="Times New Roman"/>
                <w:noProof/>
              </w:rPr>
              <w:tab/>
            </w:r>
            <w:r w:rsidRPr="00D26C7C">
              <w:rPr>
                <w:rStyle w:val="Hyperlink"/>
                <w:rFonts w:ascii="Times New Roman" w:hAnsi="Times New Roman" w:cs="Times New Roman"/>
                <w:noProof/>
              </w:rPr>
              <w:t>References</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_Toc237448055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22</w:t>
            </w:r>
            <w:r w:rsidRPr="00D26C7C">
              <w:rPr>
                <w:rFonts w:ascii="Times New Roman" w:hAnsi="Times New Roman" w:cs="Times New Roman"/>
                <w:noProof/>
                <w:webHidden/>
              </w:rPr>
              <w:fldChar w:fldCharType="end"/>
            </w:r>
          </w:hyperlink>
        </w:p>
        <w:p w14:paraId="23D121A8" w14:textId="095BC5C8" w:rsidR="00D26C7C" w:rsidRPr="00D26C7C" w:rsidRDefault="00D26C7C" w:rsidP="00D26C7C">
          <w:pPr>
            <w:pStyle w:val="TOC1"/>
            <w:tabs>
              <w:tab w:val="left" w:pos="480"/>
              <w:tab w:val="right" w:leader="dot" w:pos="9350"/>
            </w:tabs>
            <w:spacing w:line="360" w:lineRule="auto"/>
            <w:rPr>
              <w:rFonts w:ascii="Times New Roman" w:hAnsi="Times New Roman" w:cs="Times New Roman"/>
              <w:noProof/>
            </w:rPr>
          </w:pPr>
          <w:hyperlink w:anchor="_Toc237448056" w:history="1">
            <w:r w:rsidRPr="00D26C7C">
              <w:rPr>
                <w:rStyle w:val="Hyperlink"/>
                <w:rFonts w:ascii="Times New Roman" w:hAnsi="Times New Roman" w:cs="Times New Roman"/>
                <w:noProof/>
              </w:rPr>
              <w:t>9</w:t>
            </w:r>
            <w:r w:rsidRPr="00D26C7C">
              <w:rPr>
                <w:rFonts w:ascii="Times New Roman" w:hAnsi="Times New Roman" w:cs="Times New Roman"/>
                <w:noProof/>
              </w:rPr>
              <w:tab/>
            </w:r>
            <w:r w:rsidRPr="00D26C7C">
              <w:rPr>
                <w:rStyle w:val="Hyperlink"/>
                <w:rFonts w:ascii="Times New Roman" w:hAnsi="Times New Roman" w:cs="Times New Roman"/>
                <w:noProof/>
              </w:rPr>
              <w:t>Appendices</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_Toc237448056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26</w:t>
            </w:r>
            <w:r w:rsidRPr="00D26C7C">
              <w:rPr>
                <w:rFonts w:ascii="Times New Roman" w:hAnsi="Times New Roman" w:cs="Times New Roman"/>
                <w:noProof/>
                <w:webHidden/>
              </w:rPr>
              <w:fldChar w:fldCharType="end"/>
            </w:r>
          </w:hyperlink>
        </w:p>
        <w:p w14:paraId="290501C6" w14:textId="63E98F67" w:rsidR="00D26C7C" w:rsidRPr="00D26C7C" w:rsidRDefault="00D26C7C" w:rsidP="00D26C7C">
          <w:pPr>
            <w:pStyle w:val="TOC2"/>
            <w:tabs>
              <w:tab w:val="left" w:pos="960"/>
              <w:tab w:val="right" w:leader="dot" w:pos="9350"/>
            </w:tabs>
            <w:spacing w:line="360" w:lineRule="auto"/>
            <w:rPr>
              <w:rFonts w:ascii="Times New Roman" w:hAnsi="Times New Roman" w:cs="Times New Roman"/>
              <w:noProof/>
            </w:rPr>
          </w:pPr>
          <w:hyperlink w:anchor="_Toc237448057" w:history="1">
            <w:r w:rsidRPr="00D26C7C">
              <w:rPr>
                <w:rStyle w:val="Hyperlink"/>
                <w:rFonts w:ascii="Times New Roman" w:hAnsi="Times New Roman" w:cs="Times New Roman"/>
                <w:noProof/>
              </w:rPr>
              <w:t>9.1</w:t>
            </w:r>
            <w:r w:rsidRPr="00D26C7C">
              <w:rPr>
                <w:rFonts w:ascii="Times New Roman" w:hAnsi="Times New Roman" w:cs="Times New Roman"/>
                <w:noProof/>
              </w:rPr>
              <w:tab/>
            </w:r>
            <w:r w:rsidRPr="00D26C7C">
              <w:rPr>
                <w:rStyle w:val="Hyperlink"/>
                <w:rFonts w:ascii="Times New Roman" w:hAnsi="Times New Roman" w:cs="Times New Roman"/>
                <w:noProof/>
              </w:rPr>
              <w:t>Appendix A: Ratio Summary Table</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_Toc237448057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26</w:t>
            </w:r>
            <w:r w:rsidRPr="00D26C7C">
              <w:rPr>
                <w:rFonts w:ascii="Times New Roman" w:hAnsi="Times New Roman" w:cs="Times New Roman"/>
                <w:noProof/>
                <w:webHidden/>
              </w:rPr>
              <w:fldChar w:fldCharType="end"/>
            </w:r>
          </w:hyperlink>
        </w:p>
        <w:p w14:paraId="4021D74E" w14:textId="390AC2F1" w:rsidR="00D26C7C" w:rsidRDefault="00D26C7C" w:rsidP="00D26C7C">
          <w:pPr>
            <w:pStyle w:val="TOC2"/>
            <w:tabs>
              <w:tab w:val="left" w:pos="960"/>
              <w:tab w:val="right" w:leader="dot" w:pos="9350"/>
            </w:tabs>
            <w:spacing w:line="360" w:lineRule="auto"/>
            <w:rPr>
              <w:noProof/>
            </w:rPr>
          </w:pPr>
          <w:hyperlink w:anchor="_Toc237448058" w:history="1">
            <w:r w:rsidRPr="00D26C7C">
              <w:rPr>
                <w:rStyle w:val="Hyperlink"/>
                <w:rFonts w:ascii="Times New Roman" w:hAnsi="Times New Roman" w:cs="Times New Roman"/>
                <w:noProof/>
              </w:rPr>
              <w:t>9.2</w:t>
            </w:r>
            <w:r w:rsidRPr="00D26C7C">
              <w:rPr>
                <w:rFonts w:ascii="Times New Roman" w:hAnsi="Times New Roman" w:cs="Times New Roman"/>
                <w:noProof/>
              </w:rPr>
              <w:tab/>
            </w:r>
            <w:r w:rsidRPr="00D26C7C">
              <w:rPr>
                <w:rStyle w:val="Hyperlink"/>
                <w:rFonts w:ascii="Times New Roman" w:hAnsi="Times New Roman" w:cs="Times New Roman"/>
                <w:noProof/>
              </w:rPr>
              <w:t>Appendix B: Investment Appraisal Calculations</w:t>
            </w:r>
            <w:r w:rsidRPr="00D26C7C">
              <w:rPr>
                <w:rFonts w:ascii="Times New Roman" w:hAnsi="Times New Roman" w:cs="Times New Roman"/>
                <w:noProof/>
                <w:webHidden/>
              </w:rPr>
              <w:tab/>
            </w:r>
            <w:r w:rsidRPr="00D26C7C">
              <w:rPr>
                <w:rFonts w:ascii="Times New Roman" w:hAnsi="Times New Roman" w:cs="Times New Roman"/>
                <w:noProof/>
                <w:webHidden/>
              </w:rPr>
              <w:fldChar w:fldCharType="begin"/>
            </w:r>
            <w:r w:rsidRPr="00D26C7C">
              <w:rPr>
                <w:rFonts w:ascii="Times New Roman" w:hAnsi="Times New Roman" w:cs="Times New Roman"/>
                <w:noProof/>
                <w:webHidden/>
              </w:rPr>
              <w:instrText xml:space="preserve"> PAGEREF _Toc237448058 \h </w:instrText>
            </w:r>
            <w:r w:rsidRPr="00D26C7C">
              <w:rPr>
                <w:rFonts w:ascii="Times New Roman" w:hAnsi="Times New Roman" w:cs="Times New Roman"/>
                <w:noProof/>
                <w:webHidden/>
              </w:rPr>
            </w:r>
            <w:r w:rsidRPr="00D26C7C">
              <w:rPr>
                <w:rFonts w:ascii="Times New Roman" w:hAnsi="Times New Roman" w:cs="Times New Roman"/>
                <w:noProof/>
                <w:webHidden/>
              </w:rPr>
              <w:fldChar w:fldCharType="separate"/>
            </w:r>
            <w:r>
              <w:rPr>
                <w:rFonts w:ascii="Times New Roman" w:hAnsi="Times New Roman" w:cs="Times New Roman"/>
                <w:noProof/>
                <w:webHidden/>
              </w:rPr>
              <w:t>27</w:t>
            </w:r>
            <w:r w:rsidRPr="00D26C7C">
              <w:rPr>
                <w:rFonts w:ascii="Times New Roman" w:hAnsi="Times New Roman" w:cs="Times New Roman"/>
                <w:noProof/>
                <w:webHidden/>
              </w:rPr>
              <w:fldChar w:fldCharType="end"/>
            </w:r>
          </w:hyperlink>
        </w:p>
        <w:p w14:paraId="1945D071" w14:textId="1971E2F4" w:rsidR="00D26C7C" w:rsidRDefault="00D26C7C">
          <w:r>
            <w:rPr>
              <w:b/>
              <w:bCs/>
              <w:noProof/>
            </w:rPr>
            <w:fldChar w:fldCharType="end"/>
          </w:r>
        </w:p>
      </w:sdtContent>
    </w:sdt>
    <w:p w14:paraId="5BCC2C55"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br w:type="page"/>
      </w:r>
    </w:p>
    <w:p w14:paraId="42CD93FE" w14:textId="77777777" w:rsidR="00684A34" w:rsidRPr="00D26C7C" w:rsidRDefault="006A1283" w:rsidP="00D26C7C">
      <w:pPr>
        <w:spacing w:line="360" w:lineRule="auto"/>
        <w:jc w:val="center"/>
        <w:rPr>
          <w:rFonts w:ascii="Times New Roman" w:hAnsi="Times New Roman" w:cs="Times New Roman"/>
          <w:b/>
          <w:bCs/>
          <w:color w:val="000000" w:themeColor="text1"/>
          <w:sz w:val="28"/>
          <w:szCs w:val="28"/>
        </w:rPr>
      </w:pPr>
      <w:r w:rsidRPr="00D26C7C">
        <w:rPr>
          <w:rFonts w:ascii="Times New Roman" w:hAnsi="Times New Roman" w:cs="Times New Roman"/>
          <w:b/>
          <w:bCs/>
          <w:color w:val="000000" w:themeColor="text1"/>
          <w:sz w:val="28"/>
          <w:szCs w:val="28"/>
        </w:rPr>
        <w:t>List of Tables and Figures</w:t>
      </w:r>
    </w:p>
    <w:p w14:paraId="63B34C51" w14:textId="77777777" w:rsidR="00684A34" w:rsidRPr="00D26C7C" w:rsidRDefault="006A1283" w:rsidP="00863BFF">
      <w:pPr>
        <w:spacing w:line="360" w:lineRule="auto"/>
        <w:jc w:val="both"/>
        <w:rPr>
          <w:rFonts w:ascii="Times New Roman" w:hAnsi="Times New Roman" w:cs="Times New Roman"/>
          <w:b/>
          <w:bCs/>
          <w:color w:val="000000" w:themeColor="text1"/>
        </w:rPr>
      </w:pPr>
      <w:r w:rsidRPr="00D26C7C">
        <w:rPr>
          <w:rFonts w:ascii="Times New Roman" w:hAnsi="Times New Roman" w:cs="Times New Roman"/>
          <w:b/>
          <w:bCs/>
          <w:color w:val="000000" w:themeColor="text1"/>
        </w:rPr>
        <w:t>List of Tables</w:t>
      </w:r>
    </w:p>
    <w:p w14:paraId="70839F7B"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Table 1. Summary Income Statement, IHG PLC, 2021–2025 (US$m).</w:t>
      </w:r>
    </w:p>
    <w:p w14:paraId="048A2CA5"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Table 2. Profitability Ratios, 2021–2025.</w:t>
      </w:r>
    </w:p>
    <w:p w14:paraId="43DF6C4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Table 3. Liquidity Ratios and Industry Benchmarks, 2021–2025.</w:t>
      </w:r>
    </w:p>
    <w:p w14:paraId="6D493AA0"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Table 4. Efficiency and Gearing Ratios, 2021–2025.</w:t>
      </w:r>
    </w:p>
    <w:p w14:paraId="2D5B08BB"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Table 5. Investment and Cash-Flow Ratios, 2021–2025.</w:t>
      </w:r>
    </w:p>
    <w:p w14:paraId="186ACA79"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Table 6. Cash Operating Cycle, 2021–2025 (days).</w:t>
      </w:r>
    </w:p>
    <w:p w14:paraId="53E643F2"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Table 7. Short-Term versus Long-Term Financing Options.</w:t>
      </w:r>
    </w:p>
    <w:p w14:paraId="43C97966"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Table 8. Investment Appraisal Results, Projects A–C.</w:t>
      </w:r>
    </w:p>
    <w:p w14:paraId="234319C5"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Table 9. Capital Rationing – Feasible Project Combinations.</w:t>
      </w:r>
    </w:p>
    <w:p w14:paraId="60405AA1" w14:textId="77777777" w:rsidR="00684A34" w:rsidRPr="00D26C7C" w:rsidRDefault="006A1283" w:rsidP="00863BFF">
      <w:pPr>
        <w:spacing w:line="360" w:lineRule="auto"/>
        <w:jc w:val="both"/>
        <w:rPr>
          <w:rFonts w:ascii="Times New Roman" w:hAnsi="Times New Roman" w:cs="Times New Roman"/>
          <w:b/>
          <w:bCs/>
          <w:color w:val="000000" w:themeColor="text1"/>
        </w:rPr>
      </w:pPr>
      <w:r w:rsidRPr="00D26C7C">
        <w:rPr>
          <w:rFonts w:ascii="Times New Roman" w:hAnsi="Times New Roman" w:cs="Times New Roman"/>
          <w:b/>
          <w:bCs/>
          <w:color w:val="000000" w:themeColor="text1"/>
        </w:rPr>
        <w:t>List of Figures</w:t>
      </w:r>
    </w:p>
    <w:p w14:paraId="1FE1B7F2"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Figure 1. Revenue, operating profit and net income, 2021–2025.</w:t>
      </w:r>
    </w:p>
    <w:p w14:paraId="315A7025"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Figure 2. Profitability margins, 2021–2025.</w:t>
      </w:r>
    </w:p>
    <w:p w14:paraId="758CFBE0"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Figure 3. Liquidity ratios versus benchmarks, 2021–2025.</w:t>
      </w:r>
    </w:p>
    <w:p w14:paraId="3CA7C8AC"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Figure 4. Cash operating cycle components, 2021–2025.</w:t>
      </w:r>
    </w:p>
    <w:p w14:paraId="0BCA318C"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Figure 5. Net debt and leverage, 2021–2025.</w:t>
      </w:r>
    </w:p>
    <w:p w14:paraId="66DB9123"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Figure 6. Cash-flow generation, 2021–2025.</w:t>
      </w:r>
    </w:p>
    <w:p w14:paraId="105BDE49"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Figure 7. Net present value by project (8% discount rate).</w:t>
      </w:r>
    </w:p>
    <w:p w14:paraId="2F6B3F95"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Figure 8. Discounted payback profile of Projects A–C.</w:t>
      </w:r>
    </w:p>
    <w:p w14:paraId="16B86A4A" w14:textId="296B4D97" w:rsidR="00684A34" w:rsidRPr="00863BFF" w:rsidRDefault="006A1283" w:rsidP="00D26C7C">
      <w:pPr>
        <w:pStyle w:val="Heading1"/>
      </w:pPr>
      <w:r w:rsidRPr="00863BFF">
        <w:br w:type="page"/>
      </w:r>
      <w:bookmarkStart w:id="0" w:name="_Toc237448028"/>
      <w:r w:rsidRPr="00863BFF">
        <w:t>Introduction</w:t>
      </w:r>
      <w:bookmarkEnd w:id="0"/>
    </w:p>
    <w:p w14:paraId="7EAA5FEB" w14:textId="77777777" w:rsidR="007C2B7E" w:rsidRPr="00863BFF" w:rsidRDefault="007C2B7E"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InterContinental Hotels Group PLC (IHG) is one of the world's largest hospitality organisations, running an asset-light business model with a track record of charging fees for its services, and a portfolio of brands, including InterContinental, Crowne Plaza, Holiday Inn and Kimpton. IHG does not own most of its properties, and receives franchise and management fees, which is a structural reduction in capital intensity, but gives rise to an unusual balance-sheet profile that needs to be read with care (IHG, 2025). The hospitality and tourism industry is highly competitive, capital intensive, has high operating leverage and the demand is cyclical, which necessitates good financial management particularly (Singal, 2015; Madanoglu et al., 2018). This report presents financial analysis of the Group's financial performance for the five financial years 2021-2025, looks at the main financial challenges in the business and makes recommendations for an integrated financial plan.</w:t>
      </w:r>
    </w:p>
    <w:p w14:paraId="692EADD5" w14:textId="77777777" w:rsidR="007C2B7E" w:rsidRPr="00863BFF" w:rsidRDefault="007C2B7E"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The report is divided into five tasks. Section 2 carries out a financial health check: horizontal, vertical and ratio analysis of the income statement, balance sheet and cash-flow statement is done and compared to the sector peers. In Section 3, the effectiveness of working capital management is examined by the cash operating cycle, and financing options are discussed. Section 4 proposes a strategy for financial restructuring including the international, ethical and ESG aspects. Section 5 introduces capital-budgeting techniques (payback period (PBP), accounting rate of return (ARR), net present value (NPV), profitability index (PI) and internal rate of return (IRR)) to three competing investment projects, such as a capital-rationing decision. The use of Artificial Intelligence (AI) in preparing the report is critically reflected in Section 6. All monetary values are in US dollars (US$), the currency used to report in the Internal House Group; the investment-appraisal projects are reported in pounds sterling (£) in the assessment brief. The ratios have been calculated by the author from financial statements published (IHG, 2025; StockAnalysis, 2026).</w:t>
      </w:r>
    </w:p>
    <w:p w14:paraId="3ECFC123" w14:textId="4CC786C1" w:rsidR="007C2B7E" w:rsidRPr="00863BFF" w:rsidRDefault="007C2B7E" w:rsidP="00863BFF">
      <w:pPr>
        <w:pStyle w:val="Heading1"/>
      </w:pPr>
      <w:bookmarkStart w:id="1" w:name="_Toc237448029"/>
      <w:r w:rsidRPr="00863BFF">
        <w:t>Financial Health Check</w:t>
      </w:r>
      <w:bookmarkEnd w:id="1"/>
    </w:p>
    <w:p w14:paraId="43311FC0" w14:textId="51C2381B" w:rsidR="007C2B7E" w:rsidRPr="00863BFF" w:rsidRDefault="007C2B7E" w:rsidP="00863BFF">
      <w:pPr>
        <w:pStyle w:val="Heading2"/>
      </w:pPr>
      <w:bookmarkStart w:id="2" w:name="_Toc237448030"/>
      <w:r w:rsidRPr="00863BFF">
        <w:t>Overview of Financial Performance</w:t>
      </w:r>
      <w:bookmarkEnd w:id="2"/>
    </w:p>
    <w:p w14:paraId="6E900C03" w14:textId="4E9BDFE4" w:rsidR="00684A34" w:rsidRPr="00863BFF" w:rsidRDefault="007C2B7E"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The revenue of IHG increased from US$2,907m in 2021 to US$5,189m in 2025 (CAGR ~15.6%) due to the recovery of global travel after the pandemic and due to structural growth in revenue per available room (RevPAR) (IHG, 2025). The main results of the income statement are summarised in Table 1 and shown graphically in Figure 1. This resulted in operating profit more than doubling to US$1,198m and net profit increasing from US$266m to US$758m during the period. Strong operating leverage has been reflected in the trajectory; as the demand recovers, the incremental fee revenue is translated effectively into profit, with a high proportion of the cost base being fixed in the System Fund (Atrill and McLaney, 2022).</w:t>
      </w:r>
    </w:p>
    <w:tbl>
      <w:tblPr>
        <w:tblStyle w:val="GridTable5Dark-Accent6"/>
        <w:tblW w:w="9150" w:type="dxa"/>
        <w:jc w:val="center"/>
        <w:tblLayout w:type="fixed"/>
        <w:tblLook w:val="0000" w:firstRow="0" w:lastRow="0" w:firstColumn="0" w:lastColumn="0" w:noHBand="0" w:noVBand="0"/>
      </w:tblPr>
      <w:tblGrid>
        <w:gridCol w:w="3150"/>
        <w:gridCol w:w="1201"/>
        <w:gridCol w:w="1199"/>
        <w:gridCol w:w="1201"/>
        <w:gridCol w:w="1199"/>
        <w:gridCol w:w="1200"/>
      </w:tblGrid>
      <w:tr w:rsidR="00684A34" w:rsidRPr="00863BFF" w14:paraId="7A55B5D9" w14:textId="77777777" w:rsidTr="00863BF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3150" w:type="dxa"/>
          </w:tcPr>
          <w:p w14:paraId="2729AFE6" w14:textId="77777777" w:rsidR="00684A34" w:rsidRPr="00863BFF" w:rsidRDefault="006A1283" w:rsidP="00863BFF">
            <w:pPr>
              <w:spacing w:line="360" w:lineRule="auto"/>
              <w:jc w:val="both"/>
              <w:rPr>
                <w:rFonts w:ascii="Times New Roman" w:hAnsi="Times New Roman" w:cs="Times New Roman"/>
                <w:b/>
                <w:bCs/>
                <w:color w:val="auto"/>
              </w:rPr>
            </w:pPr>
            <w:r w:rsidRPr="00863BFF">
              <w:rPr>
                <w:rFonts w:ascii="Times New Roman" w:hAnsi="Times New Roman" w:cs="Times New Roman"/>
                <w:b/>
                <w:bCs/>
                <w:color w:val="auto"/>
              </w:rPr>
              <w:t>Measure (US$m)</w:t>
            </w:r>
          </w:p>
        </w:tc>
        <w:tc>
          <w:tcPr>
            <w:tcW w:w="1201" w:type="dxa"/>
          </w:tcPr>
          <w:p w14:paraId="054DD81C"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auto"/>
              </w:rPr>
            </w:pPr>
            <w:r w:rsidRPr="00863BFF">
              <w:rPr>
                <w:rFonts w:ascii="Times New Roman" w:hAnsi="Times New Roman" w:cs="Times New Roman"/>
                <w:b/>
                <w:bCs/>
                <w:color w:val="auto"/>
              </w:rPr>
              <w:t>2021</w:t>
            </w:r>
          </w:p>
        </w:tc>
        <w:tc>
          <w:tcPr>
            <w:cnfStyle w:val="000010000000" w:firstRow="0" w:lastRow="0" w:firstColumn="0" w:lastColumn="0" w:oddVBand="1" w:evenVBand="0" w:oddHBand="0" w:evenHBand="0" w:firstRowFirstColumn="0" w:firstRowLastColumn="0" w:lastRowFirstColumn="0" w:lastRowLastColumn="0"/>
            <w:tcW w:w="1199" w:type="dxa"/>
          </w:tcPr>
          <w:p w14:paraId="16685D93" w14:textId="77777777" w:rsidR="00684A34" w:rsidRPr="00863BFF" w:rsidRDefault="006A1283" w:rsidP="00863BFF">
            <w:pPr>
              <w:spacing w:line="360" w:lineRule="auto"/>
              <w:jc w:val="both"/>
              <w:rPr>
                <w:rFonts w:ascii="Times New Roman" w:hAnsi="Times New Roman" w:cs="Times New Roman"/>
                <w:b/>
                <w:bCs/>
                <w:color w:val="auto"/>
              </w:rPr>
            </w:pPr>
            <w:r w:rsidRPr="00863BFF">
              <w:rPr>
                <w:rFonts w:ascii="Times New Roman" w:hAnsi="Times New Roman" w:cs="Times New Roman"/>
                <w:b/>
                <w:bCs/>
                <w:color w:val="auto"/>
              </w:rPr>
              <w:t>2022</w:t>
            </w:r>
          </w:p>
        </w:tc>
        <w:tc>
          <w:tcPr>
            <w:tcW w:w="1201" w:type="dxa"/>
          </w:tcPr>
          <w:p w14:paraId="3CDA9B1B"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auto"/>
              </w:rPr>
            </w:pPr>
            <w:r w:rsidRPr="00863BFF">
              <w:rPr>
                <w:rFonts w:ascii="Times New Roman" w:hAnsi="Times New Roman" w:cs="Times New Roman"/>
                <w:b/>
                <w:bCs/>
                <w:color w:val="auto"/>
              </w:rPr>
              <w:t>2023</w:t>
            </w:r>
          </w:p>
        </w:tc>
        <w:tc>
          <w:tcPr>
            <w:cnfStyle w:val="000010000000" w:firstRow="0" w:lastRow="0" w:firstColumn="0" w:lastColumn="0" w:oddVBand="1" w:evenVBand="0" w:oddHBand="0" w:evenHBand="0" w:firstRowFirstColumn="0" w:firstRowLastColumn="0" w:lastRowFirstColumn="0" w:lastRowLastColumn="0"/>
            <w:tcW w:w="1199" w:type="dxa"/>
          </w:tcPr>
          <w:p w14:paraId="297D3852" w14:textId="77777777" w:rsidR="00684A34" w:rsidRPr="00863BFF" w:rsidRDefault="006A1283" w:rsidP="00863BFF">
            <w:pPr>
              <w:spacing w:line="360" w:lineRule="auto"/>
              <w:jc w:val="both"/>
              <w:rPr>
                <w:rFonts w:ascii="Times New Roman" w:hAnsi="Times New Roman" w:cs="Times New Roman"/>
                <w:b/>
                <w:bCs/>
                <w:color w:val="auto"/>
              </w:rPr>
            </w:pPr>
            <w:r w:rsidRPr="00863BFF">
              <w:rPr>
                <w:rFonts w:ascii="Times New Roman" w:hAnsi="Times New Roman" w:cs="Times New Roman"/>
                <w:b/>
                <w:bCs/>
                <w:color w:val="auto"/>
              </w:rPr>
              <w:t>2024</w:t>
            </w:r>
          </w:p>
        </w:tc>
        <w:tc>
          <w:tcPr>
            <w:tcW w:w="1200" w:type="dxa"/>
          </w:tcPr>
          <w:p w14:paraId="43E66FA4"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auto"/>
              </w:rPr>
            </w:pPr>
            <w:r w:rsidRPr="00863BFF">
              <w:rPr>
                <w:rFonts w:ascii="Times New Roman" w:hAnsi="Times New Roman" w:cs="Times New Roman"/>
                <w:b/>
                <w:bCs/>
                <w:color w:val="auto"/>
              </w:rPr>
              <w:t>2025</w:t>
            </w:r>
          </w:p>
        </w:tc>
      </w:tr>
      <w:tr w:rsidR="00684A34" w:rsidRPr="00863BFF" w14:paraId="229DFFEF" w14:textId="77777777" w:rsidTr="00863BFF">
        <w:trPr>
          <w:jc w:val="center"/>
        </w:trPr>
        <w:tc>
          <w:tcPr>
            <w:cnfStyle w:val="000010000000" w:firstRow="0" w:lastRow="0" w:firstColumn="0" w:lastColumn="0" w:oddVBand="1" w:evenVBand="0" w:oddHBand="0" w:evenHBand="0" w:firstRowFirstColumn="0" w:firstRowLastColumn="0" w:lastRowFirstColumn="0" w:lastRowLastColumn="0"/>
            <w:tcW w:w="3150" w:type="dxa"/>
          </w:tcPr>
          <w:p w14:paraId="452E4CC7" w14:textId="77777777" w:rsidR="00684A34" w:rsidRPr="00863BFF" w:rsidRDefault="006A1283" w:rsidP="00863BFF">
            <w:pPr>
              <w:spacing w:line="360" w:lineRule="auto"/>
              <w:jc w:val="both"/>
              <w:rPr>
                <w:rFonts w:ascii="Times New Roman" w:hAnsi="Times New Roman" w:cs="Times New Roman"/>
                <w:color w:val="auto"/>
              </w:rPr>
            </w:pPr>
            <w:r w:rsidRPr="00863BFF">
              <w:rPr>
                <w:rFonts w:ascii="Times New Roman" w:hAnsi="Times New Roman" w:cs="Times New Roman"/>
                <w:color w:val="auto"/>
              </w:rPr>
              <w:t>Revenue</w:t>
            </w:r>
          </w:p>
        </w:tc>
        <w:tc>
          <w:tcPr>
            <w:tcW w:w="1201" w:type="dxa"/>
          </w:tcPr>
          <w:p w14:paraId="1C444D61"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863BFF">
              <w:rPr>
                <w:rFonts w:ascii="Times New Roman" w:hAnsi="Times New Roman" w:cs="Times New Roman"/>
                <w:color w:val="auto"/>
              </w:rPr>
              <w:t>2,907</w:t>
            </w:r>
          </w:p>
        </w:tc>
        <w:tc>
          <w:tcPr>
            <w:cnfStyle w:val="000010000000" w:firstRow="0" w:lastRow="0" w:firstColumn="0" w:lastColumn="0" w:oddVBand="1" w:evenVBand="0" w:oddHBand="0" w:evenHBand="0" w:firstRowFirstColumn="0" w:firstRowLastColumn="0" w:lastRowFirstColumn="0" w:lastRowLastColumn="0"/>
            <w:tcW w:w="1199" w:type="dxa"/>
          </w:tcPr>
          <w:p w14:paraId="035948FA" w14:textId="77777777" w:rsidR="00684A34" w:rsidRPr="00863BFF" w:rsidRDefault="006A1283" w:rsidP="00863BFF">
            <w:pPr>
              <w:spacing w:line="360" w:lineRule="auto"/>
              <w:jc w:val="both"/>
              <w:rPr>
                <w:rFonts w:ascii="Times New Roman" w:hAnsi="Times New Roman" w:cs="Times New Roman"/>
                <w:color w:val="auto"/>
              </w:rPr>
            </w:pPr>
            <w:r w:rsidRPr="00863BFF">
              <w:rPr>
                <w:rFonts w:ascii="Times New Roman" w:hAnsi="Times New Roman" w:cs="Times New Roman"/>
                <w:color w:val="auto"/>
              </w:rPr>
              <w:t>3,892</w:t>
            </w:r>
          </w:p>
        </w:tc>
        <w:tc>
          <w:tcPr>
            <w:tcW w:w="1201" w:type="dxa"/>
          </w:tcPr>
          <w:p w14:paraId="13513DEB"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863BFF">
              <w:rPr>
                <w:rFonts w:ascii="Times New Roman" w:hAnsi="Times New Roman" w:cs="Times New Roman"/>
                <w:color w:val="auto"/>
              </w:rPr>
              <w:t>4,624</w:t>
            </w:r>
          </w:p>
        </w:tc>
        <w:tc>
          <w:tcPr>
            <w:cnfStyle w:val="000010000000" w:firstRow="0" w:lastRow="0" w:firstColumn="0" w:lastColumn="0" w:oddVBand="1" w:evenVBand="0" w:oddHBand="0" w:evenHBand="0" w:firstRowFirstColumn="0" w:firstRowLastColumn="0" w:lastRowFirstColumn="0" w:lastRowLastColumn="0"/>
            <w:tcW w:w="1199" w:type="dxa"/>
          </w:tcPr>
          <w:p w14:paraId="2EC12276" w14:textId="77777777" w:rsidR="00684A34" w:rsidRPr="00863BFF" w:rsidRDefault="006A1283" w:rsidP="00863BFF">
            <w:pPr>
              <w:spacing w:line="360" w:lineRule="auto"/>
              <w:jc w:val="both"/>
              <w:rPr>
                <w:rFonts w:ascii="Times New Roman" w:hAnsi="Times New Roman" w:cs="Times New Roman"/>
                <w:color w:val="auto"/>
              </w:rPr>
            </w:pPr>
            <w:r w:rsidRPr="00863BFF">
              <w:rPr>
                <w:rFonts w:ascii="Times New Roman" w:hAnsi="Times New Roman" w:cs="Times New Roman"/>
                <w:color w:val="auto"/>
              </w:rPr>
              <w:t>4,923</w:t>
            </w:r>
          </w:p>
        </w:tc>
        <w:tc>
          <w:tcPr>
            <w:tcW w:w="1200" w:type="dxa"/>
          </w:tcPr>
          <w:p w14:paraId="4253C449"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863BFF">
              <w:rPr>
                <w:rFonts w:ascii="Times New Roman" w:hAnsi="Times New Roman" w:cs="Times New Roman"/>
                <w:color w:val="auto"/>
              </w:rPr>
              <w:t>5,189</w:t>
            </w:r>
          </w:p>
        </w:tc>
      </w:tr>
      <w:tr w:rsidR="00684A34" w:rsidRPr="00863BFF" w14:paraId="04AD9E58" w14:textId="77777777" w:rsidTr="00863BF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3150" w:type="dxa"/>
          </w:tcPr>
          <w:p w14:paraId="22703E61" w14:textId="77777777" w:rsidR="00684A34" w:rsidRPr="00863BFF" w:rsidRDefault="006A1283" w:rsidP="00863BFF">
            <w:pPr>
              <w:spacing w:line="360" w:lineRule="auto"/>
              <w:jc w:val="both"/>
              <w:rPr>
                <w:rFonts w:ascii="Times New Roman" w:hAnsi="Times New Roman" w:cs="Times New Roman"/>
                <w:color w:val="auto"/>
              </w:rPr>
            </w:pPr>
            <w:r w:rsidRPr="00863BFF">
              <w:rPr>
                <w:rFonts w:ascii="Times New Roman" w:hAnsi="Times New Roman" w:cs="Times New Roman"/>
                <w:color w:val="auto"/>
              </w:rPr>
              <w:t>Gross profit</w:t>
            </w:r>
          </w:p>
        </w:tc>
        <w:tc>
          <w:tcPr>
            <w:tcW w:w="1201" w:type="dxa"/>
          </w:tcPr>
          <w:p w14:paraId="4715DED0"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863BFF">
              <w:rPr>
                <w:rFonts w:ascii="Times New Roman" w:hAnsi="Times New Roman" w:cs="Times New Roman"/>
                <w:color w:val="auto"/>
              </w:rPr>
              <w:t>885</w:t>
            </w:r>
          </w:p>
        </w:tc>
        <w:tc>
          <w:tcPr>
            <w:cnfStyle w:val="000010000000" w:firstRow="0" w:lastRow="0" w:firstColumn="0" w:lastColumn="0" w:oddVBand="1" w:evenVBand="0" w:oddHBand="0" w:evenHBand="0" w:firstRowFirstColumn="0" w:firstRowLastColumn="0" w:lastRowFirstColumn="0" w:lastRowLastColumn="0"/>
            <w:tcW w:w="1199" w:type="dxa"/>
          </w:tcPr>
          <w:p w14:paraId="2D11A7A8" w14:textId="77777777" w:rsidR="00684A34" w:rsidRPr="00863BFF" w:rsidRDefault="006A1283" w:rsidP="00863BFF">
            <w:pPr>
              <w:spacing w:line="360" w:lineRule="auto"/>
              <w:jc w:val="both"/>
              <w:rPr>
                <w:rFonts w:ascii="Times New Roman" w:hAnsi="Times New Roman" w:cs="Times New Roman"/>
                <w:color w:val="auto"/>
              </w:rPr>
            </w:pPr>
            <w:r w:rsidRPr="00863BFF">
              <w:rPr>
                <w:rFonts w:ascii="Times New Roman" w:hAnsi="Times New Roman" w:cs="Times New Roman"/>
                <w:color w:val="auto"/>
              </w:rPr>
              <w:t>1,079</w:t>
            </w:r>
          </w:p>
        </w:tc>
        <w:tc>
          <w:tcPr>
            <w:tcW w:w="1201" w:type="dxa"/>
          </w:tcPr>
          <w:p w14:paraId="1959A68F"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863BFF">
              <w:rPr>
                <w:rFonts w:ascii="Times New Roman" w:hAnsi="Times New Roman" w:cs="Times New Roman"/>
                <w:color w:val="auto"/>
              </w:rPr>
              <w:t>1,418</w:t>
            </w:r>
          </w:p>
        </w:tc>
        <w:tc>
          <w:tcPr>
            <w:cnfStyle w:val="000010000000" w:firstRow="0" w:lastRow="0" w:firstColumn="0" w:lastColumn="0" w:oddVBand="1" w:evenVBand="0" w:oddHBand="0" w:evenHBand="0" w:firstRowFirstColumn="0" w:firstRowLastColumn="0" w:lastRowFirstColumn="0" w:lastRowLastColumn="0"/>
            <w:tcW w:w="1199" w:type="dxa"/>
          </w:tcPr>
          <w:p w14:paraId="1F577D37" w14:textId="77777777" w:rsidR="00684A34" w:rsidRPr="00863BFF" w:rsidRDefault="006A1283" w:rsidP="00863BFF">
            <w:pPr>
              <w:spacing w:line="360" w:lineRule="auto"/>
              <w:jc w:val="both"/>
              <w:rPr>
                <w:rFonts w:ascii="Times New Roman" w:hAnsi="Times New Roman" w:cs="Times New Roman"/>
                <w:color w:val="auto"/>
              </w:rPr>
            </w:pPr>
            <w:r w:rsidRPr="00863BFF">
              <w:rPr>
                <w:rFonts w:ascii="Times New Roman" w:hAnsi="Times New Roman" w:cs="Times New Roman"/>
                <w:color w:val="auto"/>
              </w:rPr>
              <w:t>1,455</w:t>
            </w:r>
          </w:p>
        </w:tc>
        <w:tc>
          <w:tcPr>
            <w:tcW w:w="1200" w:type="dxa"/>
          </w:tcPr>
          <w:p w14:paraId="7A6B6278"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863BFF">
              <w:rPr>
                <w:rFonts w:ascii="Times New Roman" w:hAnsi="Times New Roman" w:cs="Times New Roman"/>
                <w:color w:val="auto"/>
              </w:rPr>
              <w:t>1,622</w:t>
            </w:r>
          </w:p>
        </w:tc>
      </w:tr>
      <w:tr w:rsidR="00684A34" w:rsidRPr="00863BFF" w14:paraId="2406E02F" w14:textId="77777777" w:rsidTr="00863BFF">
        <w:trPr>
          <w:jc w:val="center"/>
        </w:trPr>
        <w:tc>
          <w:tcPr>
            <w:cnfStyle w:val="000010000000" w:firstRow="0" w:lastRow="0" w:firstColumn="0" w:lastColumn="0" w:oddVBand="1" w:evenVBand="0" w:oddHBand="0" w:evenHBand="0" w:firstRowFirstColumn="0" w:firstRowLastColumn="0" w:lastRowFirstColumn="0" w:lastRowLastColumn="0"/>
            <w:tcW w:w="3150" w:type="dxa"/>
          </w:tcPr>
          <w:p w14:paraId="13A0361E" w14:textId="77777777" w:rsidR="00684A34" w:rsidRPr="00863BFF" w:rsidRDefault="006A1283" w:rsidP="00863BFF">
            <w:pPr>
              <w:spacing w:line="360" w:lineRule="auto"/>
              <w:jc w:val="both"/>
              <w:rPr>
                <w:rFonts w:ascii="Times New Roman" w:hAnsi="Times New Roman" w:cs="Times New Roman"/>
                <w:color w:val="auto"/>
              </w:rPr>
            </w:pPr>
            <w:r w:rsidRPr="00863BFF">
              <w:rPr>
                <w:rFonts w:ascii="Times New Roman" w:hAnsi="Times New Roman" w:cs="Times New Roman"/>
                <w:color w:val="auto"/>
              </w:rPr>
              <w:t>Operating profit</w:t>
            </w:r>
          </w:p>
        </w:tc>
        <w:tc>
          <w:tcPr>
            <w:tcW w:w="1201" w:type="dxa"/>
          </w:tcPr>
          <w:p w14:paraId="0448CD75"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863BFF">
              <w:rPr>
                <w:rFonts w:ascii="Times New Roman" w:hAnsi="Times New Roman" w:cs="Times New Roman"/>
                <w:color w:val="auto"/>
              </w:rPr>
              <w:t>494</w:t>
            </w:r>
          </w:p>
        </w:tc>
        <w:tc>
          <w:tcPr>
            <w:cnfStyle w:val="000010000000" w:firstRow="0" w:lastRow="0" w:firstColumn="0" w:lastColumn="0" w:oddVBand="1" w:evenVBand="0" w:oddHBand="0" w:evenHBand="0" w:firstRowFirstColumn="0" w:firstRowLastColumn="0" w:lastRowFirstColumn="0" w:lastRowLastColumn="0"/>
            <w:tcW w:w="1199" w:type="dxa"/>
          </w:tcPr>
          <w:p w14:paraId="77FEA996" w14:textId="77777777" w:rsidR="00684A34" w:rsidRPr="00863BFF" w:rsidRDefault="006A1283" w:rsidP="00863BFF">
            <w:pPr>
              <w:spacing w:line="360" w:lineRule="auto"/>
              <w:jc w:val="both"/>
              <w:rPr>
                <w:rFonts w:ascii="Times New Roman" w:hAnsi="Times New Roman" w:cs="Times New Roman"/>
                <w:color w:val="auto"/>
              </w:rPr>
            </w:pPr>
            <w:r w:rsidRPr="00863BFF">
              <w:rPr>
                <w:rFonts w:ascii="Times New Roman" w:hAnsi="Times New Roman" w:cs="Times New Roman"/>
                <w:color w:val="auto"/>
              </w:rPr>
              <w:t>628</w:t>
            </w:r>
          </w:p>
        </w:tc>
        <w:tc>
          <w:tcPr>
            <w:tcW w:w="1201" w:type="dxa"/>
          </w:tcPr>
          <w:p w14:paraId="7FBCE682"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863BFF">
              <w:rPr>
                <w:rFonts w:ascii="Times New Roman" w:hAnsi="Times New Roman" w:cs="Times New Roman"/>
                <w:color w:val="auto"/>
              </w:rPr>
              <w:t>1,066</w:t>
            </w:r>
          </w:p>
        </w:tc>
        <w:tc>
          <w:tcPr>
            <w:cnfStyle w:val="000010000000" w:firstRow="0" w:lastRow="0" w:firstColumn="0" w:lastColumn="0" w:oddVBand="1" w:evenVBand="0" w:oddHBand="0" w:evenHBand="0" w:firstRowFirstColumn="0" w:firstRowLastColumn="0" w:lastRowFirstColumn="0" w:lastRowLastColumn="0"/>
            <w:tcW w:w="1199" w:type="dxa"/>
          </w:tcPr>
          <w:p w14:paraId="0CE415B8" w14:textId="77777777" w:rsidR="00684A34" w:rsidRPr="00863BFF" w:rsidRDefault="006A1283" w:rsidP="00863BFF">
            <w:pPr>
              <w:spacing w:line="360" w:lineRule="auto"/>
              <w:jc w:val="both"/>
              <w:rPr>
                <w:rFonts w:ascii="Times New Roman" w:hAnsi="Times New Roman" w:cs="Times New Roman"/>
                <w:color w:val="auto"/>
              </w:rPr>
            </w:pPr>
            <w:r w:rsidRPr="00863BFF">
              <w:rPr>
                <w:rFonts w:ascii="Times New Roman" w:hAnsi="Times New Roman" w:cs="Times New Roman"/>
                <w:color w:val="auto"/>
              </w:rPr>
              <w:t>1,041</w:t>
            </w:r>
          </w:p>
        </w:tc>
        <w:tc>
          <w:tcPr>
            <w:tcW w:w="1200" w:type="dxa"/>
          </w:tcPr>
          <w:p w14:paraId="2521FD80"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863BFF">
              <w:rPr>
                <w:rFonts w:ascii="Times New Roman" w:hAnsi="Times New Roman" w:cs="Times New Roman"/>
                <w:color w:val="auto"/>
              </w:rPr>
              <w:t>1,198</w:t>
            </w:r>
          </w:p>
        </w:tc>
      </w:tr>
      <w:tr w:rsidR="00684A34" w:rsidRPr="00863BFF" w14:paraId="6BE89B72" w14:textId="77777777" w:rsidTr="00863BF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3150" w:type="dxa"/>
          </w:tcPr>
          <w:p w14:paraId="36D325E5" w14:textId="77777777" w:rsidR="00684A34" w:rsidRPr="00863BFF" w:rsidRDefault="006A1283" w:rsidP="00863BFF">
            <w:pPr>
              <w:spacing w:line="360" w:lineRule="auto"/>
              <w:jc w:val="both"/>
              <w:rPr>
                <w:rFonts w:ascii="Times New Roman" w:hAnsi="Times New Roman" w:cs="Times New Roman"/>
                <w:color w:val="auto"/>
              </w:rPr>
            </w:pPr>
            <w:r w:rsidRPr="00863BFF">
              <w:rPr>
                <w:rFonts w:ascii="Times New Roman" w:hAnsi="Times New Roman" w:cs="Times New Roman"/>
                <w:color w:val="auto"/>
              </w:rPr>
              <w:t>Net income</w:t>
            </w:r>
          </w:p>
        </w:tc>
        <w:tc>
          <w:tcPr>
            <w:tcW w:w="1201" w:type="dxa"/>
          </w:tcPr>
          <w:p w14:paraId="5D618C38"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863BFF">
              <w:rPr>
                <w:rFonts w:ascii="Times New Roman" w:hAnsi="Times New Roman" w:cs="Times New Roman"/>
                <w:color w:val="auto"/>
              </w:rPr>
              <w:t>266</w:t>
            </w:r>
          </w:p>
        </w:tc>
        <w:tc>
          <w:tcPr>
            <w:cnfStyle w:val="000010000000" w:firstRow="0" w:lastRow="0" w:firstColumn="0" w:lastColumn="0" w:oddVBand="1" w:evenVBand="0" w:oddHBand="0" w:evenHBand="0" w:firstRowFirstColumn="0" w:firstRowLastColumn="0" w:lastRowFirstColumn="0" w:lastRowLastColumn="0"/>
            <w:tcW w:w="1199" w:type="dxa"/>
          </w:tcPr>
          <w:p w14:paraId="024D2BDF" w14:textId="77777777" w:rsidR="00684A34" w:rsidRPr="00863BFF" w:rsidRDefault="006A1283" w:rsidP="00863BFF">
            <w:pPr>
              <w:spacing w:line="360" w:lineRule="auto"/>
              <w:jc w:val="both"/>
              <w:rPr>
                <w:rFonts w:ascii="Times New Roman" w:hAnsi="Times New Roman" w:cs="Times New Roman"/>
                <w:color w:val="auto"/>
              </w:rPr>
            </w:pPr>
            <w:r w:rsidRPr="00863BFF">
              <w:rPr>
                <w:rFonts w:ascii="Times New Roman" w:hAnsi="Times New Roman" w:cs="Times New Roman"/>
                <w:color w:val="auto"/>
              </w:rPr>
              <w:t>375</w:t>
            </w:r>
          </w:p>
        </w:tc>
        <w:tc>
          <w:tcPr>
            <w:tcW w:w="1201" w:type="dxa"/>
          </w:tcPr>
          <w:p w14:paraId="6598B039"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863BFF">
              <w:rPr>
                <w:rFonts w:ascii="Times New Roman" w:hAnsi="Times New Roman" w:cs="Times New Roman"/>
                <w:color w:val="auto"/>
              </w:rPr>
              <w:t>750</w:t>
            </w:r>
          </w:p>
        </w:tc>
        <w:tc>
          <w:tcPr>
            <w:cnfStyle w:val="000010000000" w:firstRow="0" w:lastRow="0" w:firstColumn="0" w:lastColumn="0" w:oddVBand="1" w:evenVBand="0" w:oddHBand="0" w:evenHBand="0" w:firstRowFirstColumn="0" w:firstRowLastColumn="0" w:lastRowFirstColumn="0" w:lastRowLastColumn="0"/>
            <w:tcW w:w="1199" w:type="dxa"/>
          </w:tcPr>
          <w:p w14:paraId="2DAD6CFA" w14:textId="77777777" w:rsidR="00684A34" w:rsidRPr="00863BFF" w:rsidRDefault="006A1283" w:rsidP="00863BFF">
            <w:pPr>
              <w:spacing w:line="360" w:lineRule="auto"/>
              <w:jc w:val="both"/>
              <w:rPr>
                <w:rFonts w:ascii="Times New Roman" w:hAnsi="Times New Roman" w:cs="Times New Roman"/>
                <w:color w:val="auto"/>
              </w:rPr>
            </w:pPr>
            <w:r w:rsidRPr="00863BFF">
              <w:rPr>
                <w:rFonts w:ascii="Times New Roman" w:hAnsi="Times New Roman" w:cs="Times New Roman"/>
                <w:color w:val="auto"/>
              </w:rPr>
              <w:t>628</w:t>
            </w:r>
          </w:p>
        </w:tc>
        <w:tc>
          <w:tcPr>
            <w:tcW w:w="1200" w:type="dxa"/>
          </w:tcPr>
          <w:p w14:paraId="713A7D5F"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863BFF">
              <w:rPr>
                <w:rFonts w:ascii="Times New Roman" w:hAnsi="Times New Roman" w:cs="Times New Roman"/>
                <w:color w:val="auto"/>
              </w:rPr>
              <w:t>758</w:t>
            </w:r>
          </w:p>
        </w:tc>
      </w:tr>
      <w:tr w:rsidR="00684A34" w:rsidRPr="00863BFF" w14:paraId="2B1EC0EE" w14:textId="77777777" w:rsidTr="00863BFF">
        <w:trPr>
          <w:jc w:val="center"/>
        </w:trPr>
        <w:tc>
          <w:tcPr>
            <w:cnfStyle w:val="000010000000" w:firstRow="0" w:lastRow="0" w:firstColumn="0" w:lastColumn="0" w:oddVBand="1" w:evenVBand="0" w:oddHBand="0" w:evenHBand="0" w:firstRowFirstColumn="0" w:firstRowLastColumn="0" w:lastRowFirstColumn="0" w:lastRowLastColumn="0"/>
            <w:tcW w:w="3150" w:type="dxa"/>
          </w:tcPr>
          <w:p w14:paraId="55A06105" w14:textId="77777777" w:rsidR="00684A34" w:rsidRPr="00863BFF" w:rsidRDefault="006A1283" w:rsidP="00863BFF">
            <w:pPr>
              <w:spacing w:line="360" w:lineRule="auto"/>
              <w:jc w:val="both"/>
              <w:rPr>
                <w:rFonts w:ascii="Times New Roman" w:hAnsi="Times New Roman" w:cs="Times New Roman"/>
                <w:color w:val="auto"/>
              </w:rPr>
            </w:pPr>
            <w:r w:rsidRPr="00863BFF">
              <w:rPr>
                <w:rFonts w:ascii="Times New Roman" w:hAnsi="Times New Roman" w:cs="Times New Roman"/>
                <w:color w:val="auto"/>
              </w:rPr>
              <w:t>Basic EPS (US$)</w:t>
            </w:r>
          </w:p>
        </w:tc>
        <w:tc>
          <w:tcPr>
            <w:tcW w:w="1201" w:type="dxa"/>
          </w:tcPr>
          <w:p w14:paraId="04B6D95B"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863BFF">
              <w:rPr>
                <w:rFonts w:ascii="Times New Roman" w:hAnsi="Times New Roman" w:cs="Times New Roman"/>
                <w:color w:val="auto"/>
              </w:rPr>
              <w:t>1.45</w:t>
            </w:r>
          </w:p>
        </w:tc>
        <w:tc>
          <w:tcPr>
            <w:cnfStyle w:val="000010000000" w:firstRow="0" w:lastRow="0" w:firstColumn="0" w:lastColumn="0" w:oddVBand="1" w:evenVBand="0" w:oddHBand="0" w:evenHBand="0" w:firstRowFirstColumn="0" w:firstRowLastColumn="0" w:lastRowFirstColumn="0" w:lastRowLastColumn="0"/>
            <w:tcW w:w="1199" w:type="dxa"/>
          </w:tcPr>
          <w:p w14:paraId="75BD380B" w14:textId="77777777" w:rsidR="00684A34" w:rsidRPr="00863BFF" w:rsidRDefault="006A1283" w:rsidP="00863BFF">
            <w:pPr>
              <w:spacing w:line="360" w:lineRule="auto"/>
              <w:jc w:val="both"/>
              <w:rPr>
                <w:rFonts w:ascii="Times New Roman" w:hAnsi="Times New Roman" w:cs="Times New Roman"/>
                <w:color w:val="auto"/>
              </w:rPr>
            </w:pPr>
            <w:r w:rsidRPr="00863BFF">
              <w:rPr>
                <w:rFonts w:ascii="Times New Roman" w:hAnsi="Times New Roman" w:cs="Times New Roman"/>
                <w:color w:val="auto"/>
              </w:rPr>
              <w:t>2.06</w:t>
            </w:r>
          </w:p>
        </w:tc>
        <w:tc>
          <w:tcPr>
            <w:tcW w:w="1201" w:type="dxa"/>
          </w:tcPr>
          <w:p w14:paraId="771C02D7"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863BFF">
              <w:rPr>
                <w:rFonts w:ascii="Times New Roman" w:hAnsi="Times New Roman" w:cs="Times New Roman"/>
                <w:color w:val="auto"/>
              </w:rPr>
              <w:t>4.41</w:t>
            </w:r>
          </w:p>
        </w:tc>
        <w:tc>
          <w:tcPr>
            <w:cnfStyle w:val="000010000000" w:firstRow="0" w:lastRow="0" w:firstColumn="0" w:lastColumn="0" w:oddVBand="1" w:evenVBand="0" w:oddHBand="0" w:evenHBand="0" w:firstRowFirstColumn="0" w:firstRowLastColumn="0" w:lastRowFirstColumn="0" w:lastRowLastColumn="0"/>
            <w:tcW w:w="1199" w:type="dxa"/>
          </w:tcPr>
          <w:p w14:paraId="08A5F442" w14:textId="77777777" w:rsidR="00684A34" w:rsidRPr="00863BFF" w:rsidRDefault="006A1283" w:rsidP="00863BFF">
            <w:pPr>
              <w:spacing w:line="360" w:lineRule="auto"/>
              <w:jc w:val="both"/>
              <w:rPr>
                <w:rFonts w:ascii="Times New Roman" w:hAnsi="Times New Roman" w:cs="Times New Roman"/>
                <w:color w:val="auto"/>
              </w:rPr>
            </w:pPr>
            <w:r w:rsidRPr="00863BFF">
              <w:rPr>
                <w:rFonts w:ascii="Times New Roman" w:hAnsi="Times New Roman" w:cs="Times New Roman"/>
                <w:color w:val="auto"/>
              </w:rPr>
              <w:t>3.85</w:t>
            </w:r>
          </w:p>
        </w:tc>
        <w:tc>
          <w:tcPr>
            <w:tcW w:w="1200" w:type="dxa"/>
          </w:tcPr>
          <w:p w14:paraId="61984F15"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863BFF">
              <w:rPr>
                <w:rFonts w:ascii="Times New Roman" w:hAnsi="Times New Roman" w:cs="Times New Roman"/>
                <w:color w:val="auto"/>
              </w:rPr>
              <w:t>4.87</w:t>
            </w:r>
          </w:p>
        </w:tc>
      </w:tr>
    </w:tbl>
    <w:p w14:paraId="55DC3E4E" w14:textId="26AD467B" w:rsidR="00684A34" w:rsidRPr="00863BFF" w:rsidRDefault="006A1283" w:rsidP="00863BFF">
      <w:pPr>
        <w:spacing w:line="360" w:lineRule="auto"/>
        <w:jc w:val="center"/>
        <w:rPr>
          <w:rFonts w:ascii="Times New Roman" w:hAnsi="Times New Roman" w:cs="Times New Roman"/>
          <w:b/>
          <w:bCs/>
          <w:color w:val="000000" w:themeColor="text1"/>
        </w:rPr>
      </w:pPr>
      <w:r w:rsidRPr="00863BFF">
        <w:rPr>
          <w:rFonts w:ascii="Times New Roman" w:hAnsi="Times New Roman" w:cs="Times New Roman"/>
          <w:b/>
          <w:bCs/>
          <w:i/>
          <w:iCs/>
          <w:color w:val="000000" w:themeColor="text1"/>
        </w:rPr>
        <w:t>Table 1. Summary Income Statement, IHG PLC, 2021–2025 (US$m). Source: IHG Annual Report 2024 and StockAnalysis (2026).</w:t>
      </w:r>
    </w:p>
    <w:p w14:paraId="7D4F19FD" w14:textId="77777777" w:rsidR="00684A34" w:rsidRPr="00863BFF" w:rsidRDefault="006A1283" w:rsidP="00863BFF">
      <w:pPr>
        <w:spacing w:line="360" w:lineRule="auto"/>
        <w:jc w:val="center"/>
        <w:rPr>
          <w:rFonts w:ascii="Times New Roman" w:hAnsi="Times New Roman" w:cs="Times New Roman"/>
          <w:color w:val="000000" w:themeColor="text1"/>
        </w:rPr>
      </w:pPr>
      <w:r w:rsidRPr="00863BFF">
        <w:rPr>
          <w:rFonts w:ascii="Times New Roman" w:hAnsi="Times New Roman" w:cs="Times New Roman"/>
          <w:noProof/>
          <w:color w:val="000000" w:themeColor="text1"/>
        </w:rPr>
        <w:drawing>
          <wp:inline distT="0" distB="0" distL="0" distR="0" wp14:anchorId="510E15F1" wp14:editId="384F8238">
            <wp:extent cx="5078730" cy="2610683"/>
            <wp:effectExtent l="0" t="0" r="0" b="0"/>
            <wp:docPr id="1"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pic:cNvPicPr>
                      <a:picLocks noChangeAspect="1" noChangeArrowheads="1"/>
                    </pic:cNvPicPr>
                  </pic:nvPicPr>
                  <pic:blipFill rotWithShape="1">
                    <a:blip r:embed="rId9"/>
                    <a:srcRect t="9851"/>
                    <a:stretch>
                      <a:fillRect/>
                    </a:stretch>
                  </pic:blipFill>
                  <pic:spPr bwMode="auto">
                    <a:xfrm>
                      <a:off x="0" y="0"/>
                      <a:ext cx="5084940" cy="2613875"/>
                    </a:xfrm>
                    <a:prstGeom prst="rect">
                      <a:avLst/>
                    </a:prstGeom>
                    <a:ln>
                      <a:noFill/>
                    </a:ln>
                    <a:extLst>
                      <a:ext uri="{53640926-AAD7-44D8-BBD7-CCE9431645EC}">
                        <a14:shadowObscured xmlns:a14="http://schemas.microsoft.com/office/drawing/2010/main"/>
                      </a:ext>
                    </a:extLst>
                  </pic:spPr>
                </pic:pic>
              </a:graphicData>
            </a:graphic>
          </wp:inline>
        </w:drawing>
      </w:r>
    </w:p>
    <w:p w14:paraId="5EA4EF14" w14:textId="5D437F73" w:rsidR="00684A34" w:rsidRPr="00863BFF" w:rsidRDefault="006A1283" w:rsidP="00863BFF">
      <w:pPr>
        <w:spacing w:line="360" w:lineRule="auto"/>
        <w:jc w:val="center"/>
        <w:rPr>
          <w:rFonts w:ascii="Times New Roman" w:hAnsi="Times New Roman" w:cs="Times New Roman"/>
          <w:b/>
          <w:bCs/>
          <w:color w:val="000000" w:themeColor="text1"/>
        </w:rPr>
      </w:pPr>
      <w:r w:rsidRPr="00863BFF">
        <w:rPr>
          <w:rFonts w:ascii="Times New Roman" w:hAnsi="Times New Roman" w:cs="Times New Roman"/>
          <w:b/>
          <w:bCs/>
          <w:i/>
          <w:iCs/>
          <w:color w:val="000000" w:themeColor="text1"/>
        </w:rPr>
        <w:t>Figure 1. Revenue, operating profit and net income, 2021–2025. Source: IHG (2025).</w:t>
      </w:r>
    </w:p>
    <w:p w14:paraId="5EAF1FAC" w14:textId="77777777" w:rsidR="007C2B7E" w:rsidRPr="00863BFF" w:rsidRDefault="007C2B7E"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 xml:space="preserve">Revenue growth slowed following the recovery in 2023 (+18.8%) through to 2025 (+5.4%) as shown in Figure 1. Operating profit under IFRS was lower in 2024, as a result of the planned use of a previous System Fund surplus as the System Fund and reimbursables loss, which offset the impact of a higher adjusted interest expense of US$165m (IHG, 2025), leading to a net income of US$628m. This was a timing issue for the accounts and there was a strong recovery in 2025. </w:t>
      </w:r>
    </w:p>
    <w:p w14:paraId="7A6B48F8" w14:textId="7215FC53" w:rsidR="007C2B7E" w:rsidRPr="00863BFF" w:rsidRDefault="007C2B7E" w:rsidP="00863BFF">
      <w:pPr>
        <w:pStyle w:val="Heading2"/>
      </w:pPr>
      <w:bookmarkStart w:id="3" w:name="_Toc237448031"/>
      <w:r w:rsidRPr="00863BFF">
        <w:t>Profitability Analysis</w:t>
      </w:r>
      <w:bookmarkEnd w:id="3"/>
      <w:r w:rsidRPr="00863BFF">
        <w:t xml:space="preserve"> </w:t>
      </w:r>
    </w:p>
    <w:p w14:paraId="64173DAA" w14:textId="7F5EFF0B" w:rsidR="00684A34" w:rsidRPr="00863BFF" w:rsidRDefault="007C2B7E"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The profitability has improved significantly over the period. As Table 2 and Figure 2 illustrate, the operating margin expanded from 16.99% in 2021 to 23.09% in 2025, while the net margin rose from 9.15% to 14.61%. ROCE jumped from 15.98% to 36.92%, a very high rate for this asset-light model, as for IHG, for every dollar of operating profit, they invest only a small amount of capital (Vernimmen et al., 2022). A similar improvement happened in return on assets (ROA), which went up from 5.64% to 14.18%. As mentioned above regarding the timing effect of the System Fund, the 2024 deterioration of net margin and ROA is in line with these trends.</w:t>
      </w:r>
    </w:p>
    <w:tbl>
      <w:tblPr>
        <w:tblStyle w:val="GridTable5Dark-Accent2"/>
        <w:tblW w:w="8970" w:type="dxa"/>
        <w:jc w:val="center"/>
        <w:tblLayout w:type="fixed"/>
        <w:tblLook w:val="0000" w:firstRow="0" w:lastRow="0" w:firstColumn="0" w:lastColumn="0" w:noHBand="0" w:noVBand="0"/>
      </w:tblPr>
      <w:tblGrid>
        <w:gridCol w:w="3570"/>
        <w:gridCol w:w="1080"/>
        <w:gridCol w:w="1081"/>
        <w:gridCol w:w="1080"/>
        <w:gridCol w:w="1079"/>
        <w:gridCol w:w="1080"/>
      </w:tblGrid>
      <w:tr w:rsidR="00684A34" w:rsidRPr="00863BFF" w14:paraId="5FA599A2" w14:textId="77777777" w:rsidTr="00863BF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3570" w:type="dxa"/>
          </w:tcPr>
          <w:p w14:paraId="6AA5879C" w14:textId="77777777" w:rsidR="00684A34" w:rsidRPr="00863BFF" w:rsidRDefault="006A1283" w:rsidP="00863BFF">
            <w:pPr>
              <w:spacing w:line="360" w:lineRule="auto"/>
              <w:jc w:val="both"/>
              <w:rPr>
                <w:rFonts w:ascii="Times New Roman" w:hAnsi="Times New Roman" w:cs="Times New Roman"/>
                <w:b/>
                <w:bCs/>
                <w:color w:val="000000" w:themeColor="text1"/>
              </w:rPr>
            </w:pPr>
            <w:r w:rsidRPr="00863BFF">
              <w:rPr>
                <w:rFonts w:ascii="Times New Roman" w:hAnsi="Times New Roman" w:cs="Times New Roman"/>
                <w:b/>
                <w:bCs/>
                <w:color w:val="000000" w:themeColor="text1"/>
              </w:rPr>
              <w:t>Ratio (%)</w:t>
            </w:r>
          </w:p>
        </w:tc>
        <w:tc>
          <w:tcPr>
            <w:tcW w:w="1080" w:type="dxa"/>
          </w:tcPr>
          <w:p w14:paraId="6B50583E"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themeColor="text1"/>
              </w:rPr>
            </w:pPr>
            <w:r w:rsidRPr="00863BFF">
              <w:rPr>
                <w:rFonts w:ascii="Times New Roman" w:hAnsi="Times New Roman" w:cs="Times New Roman"/>
                <w:b/>
                <w:bCs/>
                <w:color w:val="000000" w:themeColor="text1"/>
              </w:rPr>
              <w:t>2021</w:t>
            </w:r>
          </w:p>
        </w:tc>
        <w:tc>
          <w:tcPr>
            <w:cnfStyle w:val="000010000000" w:firstRow="0" w:lastRow="0" w:firstColumn="0" w:lastColumn="0" w:oddVBand="1" w:evenVBand="0" w:oddHBand="0" w:evenHBand="0" w:firstRowFirstColumn="0" w:firstRowLastColumn="0" w:lastRowFirstColumn="0" w:lastRowLastColumn="0"/>
            <w:tcW w:w="1081" w:type="dxa"/>
          </w:tcPr>
          <w:p w14:paraId="045623EF" w14:textId="77777777" w:rsidR="00684A34" w:rsidRPr="00863BFF" w:rsidRDefault="006A1283" w:rsidP="00863BFF">
            <w:pPr>
              <w:spacing w:line="360" w:lineRule="auto"/>
              <w:jc w:val="both"/>
              <w:rPr>
                <w:rFonts w:ascii="Times New Roman" w:hAnsi="Times New Roman" w:cs="Times New Roman"/>
                <w:b/>
                <w:bCs/>
                <w:color w:val="000000" w:themeColor="text1"/>
              </w:rPr>
            </w:pPr>
            <w:r w:rsidRPr="00863BFF">
              <w:rPr>
                <w:rFonts w:ascii="Times New Roman" w:hAnsi="Times New Roman" w:cs="Times New Roman"/>
                <w:b/>
                <w:bCs/>
                <w:color w:val="000000" w:themeColor="text1"/>
              </w:rPr>
              <w:t>2022</w:t>
            </w:r>
          </w:p>
        </w:tc>
        <w:tc>
          <w:tcPr>
            <w:tcW w:w="1080" w:type="dxa"/>
          </w:tcPr>
          <w:p w14:paraId="77AD4064"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themeColor="text1"/>
              </w:rPr>
            </w:pPr>
            <w:r w:rsidRPr="00863BFF">
              <w:rPr>
                <w:rFonts w:ascii="Times New Roman" w:hAnsi="Times New Roman" w:cs="Times New Roman"/>
                <w:b/>
                <w:bCs/>
                <w:color w:val="000000" w:themeColor="text1"/>
              </w:rPr>
              <w:t>2023</w:t>
            </w:r>
          </w:p>
        </w:tc>
        <w:tc>
          <w:tcPr>
            <w:cnfStyle w:val="000010000000" w:firstRow="0" w:lastRow="0" w:firstColumn="0" w:lastColumn="0" w:oddVBand="1" w:evenVBand="0" w:oddHBand="0" w:evenHBand="0" w:firstRowFirstColumn="0" w:firstRowLastColumn="0" w:lastRowFirstColumn="0" w:lastRowLastColumn="0"/>
            <w:tcW w:w="1079" w:type="dxa"/>
          </w:tcPr>
          <w:p w14:paraId="4C8C41DA" w14:textId="77777777" w:rsidR="00684A34" w:rsidRPr="00863BFF" w:rsidRDefault="006A1283" w:rsidP="00863BFF">
            <w:pPr>
              <w:spacing w:line="360" w:lineRule="auto"/>
              <w:jc w:val="both"/>
              <w:rPr>
                <w:rFonts w:ascii="Times New Roman" w:hAnsi="Times New Roman" w:cs="Times New Roman"/>
                <w:b/>
                <w:bCs/>
                <w:color w:val="000000" w:themeColor="text1"/>
              </w:rPr>
            </w:pPr>
            <w:r w:rsidRPr="00863BFF">
              <w:rPr>
                <w:rFonts w:ascii="Times New Roman" w:hAnsi="Times New Roman" w:cs="Times New Roman"/>
                <w:b/>
                <w:bCs/>
                <w:color w:val="000000" w:themeColor="text1"/>
              </w:rPr>
              <w:t>2024</w:t>
            </w:r>
          </w:p>
        </w:tc>
        <w:tc>
          <w:tcPr>
            <w:tcW w:w="1080" w:type="dxa"/>
          </w:tcPr>
          <w:p w14:paraId="3BC7160C"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themeColor="text1"/>
              </w:rPr>
            </w:pPr>
            <w:r w:rsidRPr="00863BFF">
              <w:rPr>
                <w:rFonts w:ascii="Times New Roman" w:hAnsi="Times New Roman" w:cs="Times New Roman"/>
                <w:b/>
                <w:bCs/>
                <w:color w:val="000000" w:themeColor="text1"/>
              </w:rPr>
              <w:t>2025</w:t>
            </w:r>
          </w:p>
        </w:tc>
      </w:tr>
      <w:tr w:rsidR="00684A34" w:rsidRPr="00863BFF" w14:paraId="405C74A3" w14:textId="77777777" w:rsidTr="00863BFF">
        <w:trPr>
          <w:jc w:val="center"/>
        </w:trPr>
        <w:tc>
          <w:tcPr>
            <w:cnfStyle w:val="000010000000" w:firstRow="0" w:lastRow="0" w:firstColumn="0" w:lastColumn="0" w:oddVBand="1" w:evenVBand="0" w:oddHBand="0" w:evenHBand="0" w:firstRowFirstColumn="0" w:firstRowLastColumn="0" w:lastRowFirstColumn="0" w:lastRowLastColumn="0"/>
            <w:tcW w:w="3570" w:type="dxa"/>
          </w:tcPr>
          <w:p w14:paraId="6F03BC6E"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Gross margin</w:t>
            </w:r>
          </w:p>
        </w:tc>
        <w:tc>
          <w:tcPr>
            <w:tcW w:w="1080" w:type="dxa"/>
          </w:tcPr>
          <w:p w14:paraId="7D60CD54"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30.44</w:t>
            </w:r>
          </w:p>
        </w:tc>
        <w:tc>
          <w:tcPr>
            <w:cnfStyle w:val="000010000000" w:firstRow="0" w:lastRow="0" w:firstColumn="0" w:lastColumn="0" w:oddVBand="1" w:evenVBand="0" w:oddHBand="0" w:evenHBand="0" w:firstRowFirstColumn="0" w:firstRowLastColumn="0" w:lastRowFirstColumn="0" w:lastRowLastColumn="0"/>
            <w:tcW w:w="1081" w:type="dxa"/>
          </w:tcPr>
          <w:p w14:paraId="05B21C03"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27.72</w:t>
            </w:r>
          </w:p>
        </w:tc>
        <w:tc>
          <w:tcPr>
            <w:tcW w:w="1080" w:type="dxa"/>
          </w:tcPr>
          <w:p w14:paraId="1CE94262"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30.67</w:t>
            </w:r>
          </w:p>
        </w:tc>
        <w:tc>
          <w:tcPr>
            <w:cnfStyle w:val="000010000000" w:firstRow="0" w:lastRow="0" w:firstColumn="0" w:lastColumn="0" w:oddVBand="1" w:evenVBand="0" w:oddHBand="0" w:evenHBand="0" w:firstRowFirstColumn="0" w:firstRowLastColumn="0" w:lastRowFirstColumn="0" w:lastRowLastColumn="0"/>
            <w:tcW w:w="1079" w:type="dxa"/>
          </w:tcPr>
          <w:p w14:paraId="3BA47248"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29.56</w:t>
            </w:r>
          </w:p>
        </w:tc>
        <w:tc>
          <w:tcPr>
            <w:tcW w:w="1080" w:type="dxa"/>
          </w:tcPr>
          <w:p w14:paraId="2EC11557"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31.26</w:t>
            </w:r>
          </w:p>
        </w:tc>
      </w:tr>
      <w:tr w:rsidR="00684A34" w:rsidRPr="00863BFF" w14:paraId="4B7AB1FB" w14:textId="77777777" w:rsidTr="00863BF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3570" w:type="dxa"/>
          </w:tcPr>
          <w:p w14:paraId="35F35660"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Operating margin</w:t>
            </w:r>
          </w:p>
        </w:tc>
        <w:tc>
          <w:tcPr>
            <w:tcW w:w="1080" w:type="dxa"/>
          </w:tcPr>
          <w:p w14:paraId="53456D73"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16.99</w:t>
            </w:r>
          </w:p>
        </w:tc>
        <w:tc>
          <w:tcPr>
            <w:cnfStyle w:val="000010000000" w:firstRow="0" w:lastRow="0" w:firstColumn="0" w:lastColumn="0" w:oddVBand="1" w:evenVBand="0" w:oddHBand="0" w:evenHBand="0" w:firstRowFirstColumn="0" w:firstRowLastColumn="0" w:lastRowFirstColumn="0" w:lastRowLastColumn="0"/>
            <w:tcW w:w="1081" w:type="dxa"/>
          </w:tcPr>
          <w:p w14:paraId="2984C70B"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16.14</w:t>
            </w:r>
          </w:p>
        </w:tc>
        <w:tc>
          <w:tcPr>
            <w:tcW w:w="1080" w:type="dxa"/>
          </w:tcPr>
          <w:p w14:paraId="65D4CAE8"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23.05</w:t>
            </w:r>
          </w:p>
        </w:tc>
        <w:tc>
          <w:tcPr>
            <w:cnfStyle w:val="000010000000" w:firstRow="0" w:lastRow="0" w:firstColumn="0" w:lastColumn="0" w:oddVBand="1" w:evenVBand="0" w:oddHBand="0" w:evenHBand="0" w:firstRowFirstColumn="0" w:firstRowLastColumn="0" w:lastRowFirstColumn="0" w:lastRowLastColumn="0"/>
            <w:tcW w:w="1079" w:type="dxa"/>
          </w:tcPr>
          <w:p w14:paraId="2F792549"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21.15</w:t>
            </w:r>
          </w:p>
        </w:tc>
        <w:tc>
          <w:tcPr>
            <w:tcW w:w="1080" w:type="dxa"/>
          </w:tcPr>
          <w:p w14:paraId="559836C9"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23.09</w:t>
            </w:r>
          </w:p>
        </w:tc>
      </w:tr>
      <w:tr w:rsidR="00684A34" w:rsidRPr="00863BFF" w14:paraId="2DB6F79E" w14:textId="77777777" w:rsidTr="00863BFF">
        <w:trPr>
          <w:jc w:val="center"/>
        </w:trPr>
        <w:tc>
          <w:tcPr>
            <w:cnfStyle w:val="000010000000" w:firstRow="0" w:lastRow="0" w:firstColumn="0" w:lastColumn="0" w:oddVBand="1" w:evenVBand="0" w:oddHBand="0" w:evenHBand="0" w:firstRowFirstColumn="0" w:firstRowLastColumn="0" w:lastRowFirstColumn="0" w:lastRowLastColumn="0"/>
            <w:tcW w:w="3570" w:type="dxa"/>
          </w:tcPr>
          <w:p w14:paraId="3D0AD8C7"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Net profit margin</w:t>
            </w:r>
          </w:p>
        </w:tc>
        <w:tc>
          <w:tcPr>
            <w:tcW w:w="1080" w:type="dxa"/>
          </w:tcPr>
          <w:p w14:paraId="642B2807"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9.15</w:t>
            </w:r>
          </w:p>
        </w:tc>
        <w:tc>
          <w:tcPr>
            <w:cnfStyle w:val="000010000000" w:firstRow="0" w:lastRow="0" w:firstColumn="0" w:lastColumn="0" w:oddVBand="1" w:evenVBand="0" w:oddHBand="0" w:evenHBand="0" w:firstRowFirstColumn="0" w:firstRowLastColumn="0" w:lastRowFirstColumn="0" w:lastRowLastColumn="0"/>
            <w:tcW w:w="1081" w:type="dxa"/>
          </w:tcPr>
          <w:p w14:paraId="66AB774C"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9.64</w:t>
            </w:r>
          </w:p>
        </w:tc>
        <w:tc>
          <w:tcPr>
            <w:tcW w:w="1080" w:type="dxa"/>
          </w:tcPr>
          <w:p w14:paraId="5B0C87E2"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16.22</w:t>
            </w:r>
          </w:p>
        </w:tc>
        <w:tc>
          <w:tcPr>
            <w:cnfStyle w:val="000010000000" w:firstRow="0" w:lastRow="0" w:firstColumn="0" w:lastColumn="0" w:oddVBand="1" w:evenVBand="0" w:oddHBand="0" w:evenHBand="0" w:firstRowFirstColumn="0" w:firstRowLastColumn="0" w:lastRowFirstColumn="0" w:lastRowLastColumn="0"/>
            <w:tcW w:w="1079" w:type="dxa"/>
          </w:tcPr>
          <w:p w14:paraId="0AC5CAD0"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12.76</w:t>
            </w:r>
          </w:p>
        </w:tc>
        <w:tc>
          <w:tcPr>
            <w:tcW w:w="1080" w:type="dxa"/>
          </w:tcPr>
          <w:p w14:paraId="61023BA4"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14.61</w:t>
            </w:r>
          </w:p>
        </w:tc>
      </w:tr>
      <w:tr w:rsidR="00684A34" w:rsidRPr="00863BFF" w14:paraId="2C3C4E0D" w14:textId="77777777" w:rsidTr="00863BF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3570" w:type="dxa"/>
          </w:tcPr>
          <w:p w14:paraId="5F463799"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Return on assets (ROA)</w:t>
            </w:r>
          </w:p>
        </w:tc>
        <w:tc>
          <w:tcPr>
            <w:tcW w:w="1080" w:type="dxa"/>
          </w:tcPr>
          <w:p w14:paraId="23CFC233"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5.64</w:t>
            </w:r>
          </w:p>
        </w:tc>
        <w:tc>
          <w:tcPr>
            <w:cnfStyle w:val="000010000000" w:firstRow="0" w:lastRow="0" w:firstColumn="0" w:lastColumn="0" w:oddVBand="1" w:evenVBand="0" w:oddHBand="0" w:evenHBand="0" w:firstRowFirstColumn="0" w:firstRowLastColumn="0" w:lastRowFirstColumn="0" w:lastRowLastColumn="0"/>
            <w:tcW w:w="1081" w:type="dxa"/>
          </w:tcPr>
          <w:p w14:paraId="7459DB4B"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8.89</w:t>
            </w:r>
          </w:p>
        </w:tc>
        <w:tc>
          <w:tcPr>
            <w:tcW w:w="1080" w:type="dxa"/>
          </w:tcPr>
          <w:p w14:paraId="363EB200"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15.58</w:t>
            </w:r>
          </w:p>
        </w:tc>
        <w:tc>
          <w:tcPr>
            <w:cnfStyle w:val="000010000000" w:firstRow="0" w:lastRow="0" w:firstColumn="0" w:lastColumn="0" w:oddVBand="1" w:evenVBand="0" w:oddHBand="0" w:evenHBand="0" w:firstRowFirstColumn="0" w:firstRowLastColumn="0" w:lastRowFirstColumn="0" w:lastRowLastColumn="0"/>
            <w:tcW w:w="1079" w:type="dxa"/>
          </w:tcPr>
          <w:p w14:paraId="1E3F7741"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13.23</w:t>
            </w:r>
          </w:p>
        </w:tc>
        <w:tc>
          <w:tcPr>
            <w:tcW w:w="1080" w:type="dxa"/>
          </w:tcPr>
          <w:p w14:paraId="03CEB682"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14.18</w:t>
            </w:r>
          </w:p>
        </w:tc>
      </w:tr>
      <w:tr w:rsidR="00684A34" w:rsidRPr="00863BFF" w14:paraId="0BA82CCA" w14:textId="77777777" w:rsidTr="00863BFF">
        <w:trPr>
          <w:jc w:val="center"/>
        </w:trPr>
        <w:tc>
          <w:tcPr>
            <w:cnfStyle w:val="000010000000" w:firstRow="0" w:lastRow="0" w:firstColumn="0" w:lastColumn="0" w:oddVBand="1" w:evenVBand="0" w:oddHBand="0" w:evenHBand="0" w:firstRowFirstColumn="0" w:firstRowLastColumn="0" w:lastRowFirstColumn="0" w:lastRowLastColumn="0"/>
            <w:tcW w:w="3570" w:type="dxa"/>
          </w:tcPr>
          <w:p w14:paraId="208B24B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Return on capital employed (ROCE)</w:t>
            </w:r>
          </w:p>
        </w:tc>
        <w:tc>
          <w:tcPr>
            <w:tcW w:w="1080" w:type="dxa"/>
          </w:tcPr>
          <w:p w14:paraId="150D1C3D"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15.98</w:t>
            </w:r>
          </w:p>
        </w:tc>
        <w:tc>
          <w:tcPr>
            <w:cnfStyle w:val="000010000000" w:firstRow="0" w:lastRow="0" w:firstColumn="0" w:lastColumn="0" w:oddVBand="1" w:evenVBand="0" w:oddHBand="0" w:evenHBand="0" w:firstRowFirstColumn="0" w:firstRowLastColumn="0" w:lastRowFirstColumn="0" w:lastRowLastColumn="0"/>
            <w:tcW w:w="1081" w:type="dxa"/>
          </w:tcPr>
          <w:p w14:paraId="3300FEC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23.50</w:t>
            </w:r>
          </w:p>
        </w:tc>
        <w:tc>
          <w:tcPr>
            <w:tcW w:w="1080" w:type="dxa"/>
          </w:tcPr>
          <w:p w14:paraId="483A7E4B"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40.64</w:t>
            </w:r>
          </w:p>
        </w:tc>
        <w:tc>
          <w:tcPr>
            <w:cnfStyle w:val="000010000000" w:firstRow="0" w:lastRow="0" w:firstColumn="0" w:lastColumn="0" w:oddVBand="1" w:evenVBand="0" w:oddHBand="0" w:evenHBand="0" w:firstRowFirstColumn="0" w:firstRowLastColumn="0" w:lastRowFirstColumn="0" w:lastRowLastColumn="0"/>
            <w:tcW w:w="1079" w:type="dxa"/>
          </w:tcPr>
          <w:p w14:paraId="070BDBF7"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36.91</w:t>
            </w:r>
          </w:p>
        </w:tc>
        <w:tc>
          <w:tcPr>
            <w:tcW w:w="1080" w:type="dxa"/>
          </w:tcPr>
          <w:p w14:paraId="6D02489A"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36.92</w:t>
            </w:r>
          </w:p>
        </w:tc>
      </w:tr>
    </w:tbl>
    <w:p w14:paraId="4DCB0A23" w14:textId="33D35EA7" w:rsidR="00684A34" w:rsidRPr="00863BFF" w:rsidRDefault="006A1283" w:rsidP="00863BFF">
      <w:pPr>
        <w:spacing w:line="360" w:lineRule="auto"/>
        <w:jc w:val="center"/>
        <w:rPr>
          <w:rFonts w:ascii="Times New Roman" w:hAnsi="Times New Roman" w:cs="Times New Roman"/>
          <w:b/>
          <w:bCs/>
          <w:color w:val="000000" w:themeColor="text1"/>
        </w:rPr>
      </w:pPr>
      <w:r w:rsidRPr="00863BFF">
        <w:rPr>
          <w:rFonts w:ascii="Times New Roman" w:hAnsi="Times New Roman" w:cs="Times New Roman"/>
          <w:b/>
          <w:bCs/>
          <w:i/>
          <w:iCs/>
          <w:color w:val="000000" w:themeColor="text1"/>
        </w:rPr>
        <w:t>Table 2. Profitability Ratios, 2021–2025. Source: IHG (2025).</w:t>
      </w:r>
    </w:p>
    <w:p w14:paraId="0150C8DF" w14:textId="77777777" w:rsidR="00684A34" w:rsidRPr="00863BFF" w:rsidRDefault="006A1283" w:rsidP="00863BFF">
      <w:pPr>
        <w:spacing w:line="360" w:lineRule="auto"/>
        <w:jc w:val="center"/>
        <w:rPr>
          <w:rFonts w:ascii="Times New Roman" w:hAnsi="Times New Roman" w:cs="Times New Roman"/>
          <w:color w:val="000000" w:themeColor="text1"/>
        </w:rPr>
      </w:pPr>
      <w:r w:rsidRPr="00863BFF">
        <w:rPr>
          <w:rFonts w:ascii="Times New Roman" w:hAnsi="Times New Roman" w:cs="Times New Roman"/>
          <w:noProof/>
          <w:color w:val="000000" w:themeColor="text1"/>
        </w:rPr>
        <w:drawing>
          <wp:inline distT="0" distB="0" distL="0" distR="0" wp14:anchorId="75A8FFCA" wp14:editId="4EA49686">
            <wp:extent cx="5499584" cy="2827020"/>
            <wp:effectExtent l="0" t="0" r="0" b="0"/>
            <wp:docPr id="2"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pic:cNvPicPr>
                      <a:picLocks noChangeAspect="1" noChangeArrowheads="1"/>
                    </pic:cNvPicPr>
                  </pic:nvPicPr>
                  <pic:blipFill rotWithShape="1">
                    <a:blip r:embed="rId10"/>
                    <a:srcRect t="9851"/>
                    <a:stretch>
                      <a:fillRect/>
                    </a:stretch>
                  </pic:blipFill>
                  <pic:spPr bwMode="auto">
                    <a:xfrm>
                      <a:off x="0" y="0"/>
                      <a:ext cx="5507326" cy="2831000"/>
                    </a:xfrm>
                    <a:prstGeom prst="rect">
                      <a:avLst/>
                    </a:prstGeom>
                    <a:ln>
                      <a:noFill/>
                    </a:ln>
                    <a:extLst>
                      <a:ext uri="{53640926-AAD7-44D8-BBD7-CCE9431645EC}">
                        <a14:shadowObscured xmlns:a14="http://schemas.microsoft.com/office/drawing/2010/main"/>
                      </a:ext>
                    </a:extLst>
                  </pic:spPr>
                </pic:pic>
              </a:graphicData>
            </a:graphic>
          </wp:inline>
        </w:drawing>
      </w:r>
    </w:p>
    <w:p w14:paraId="1336B28F" w14:textId="7FDB2D65" w:rsidR="00684A34" w:rsidRPr="00863BFF" w:rsidRDefault="006A1283" w:rsidP="00863BFF">
      <w:pPr>
        <w:spacing w:line="360" w:lineRule="auto"/>
        <w:jc w:val="center"/>
        <w:rPr>
          <w:rFonts w:ascii="Times New Roman" w:hAnsi="Times New Roman" w:cs="Times New Roman"/>
          <w:b/>
          <w:bCs/>
          <w:color w:val="000000" w:themeColor="text1"/>
        </w:rPr>
      </w:pPr>
      <w:r w:rsidRPr="00863BFF">
        <w:rPr>
          <w:rFonts w:ascii="Times New Roman" w:hAnsi="Times New Roman" w:cs="Times New Roman"/>
          <w:b/>
          <w:bCs/>
          <w:i/>
          <w:iCs/>
          <w:color w:val="000000" w:themeColor="text1"/>
        </w:rPr>
        <w:t>Figure 2. Profitability margins, 2021–2025. Source: IHG (2025).</w:t>
      </w:r>
    </w:p>
    <w:p w14:paraId="20166209" w14:textId="17520CCF" w:rsidR="007C2B7E" w:rsidRPr="00863BFF" w:rsidRDefault="007C2B7E"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 xml:space="preserve">The upward trend in margins is </w:t>
      </w:r>
      <w:r w:rsidR="00863BFF" w:rsidRPr="00863BFF">
        <w:rPr>
          <w:rFonts w:ascii="Times New Roman" w:hAnsi="Times New Roman" w:cs="Times New Roman"/>
          <w:color w:val="000000" w:themeColor="text1"/>
        </w:rPr>
        <w:t>positive</w:t>
      </w:r>
      <w:r w:rsidRPr="00863BFF">
        <w:rPr>
          <w:rFonts w:ascii="Times New Roman" w:hAnsi="Times New Roman" w:cs="Times New Roman"/>
          <w:color w:val="000000" w:themeColor="text1"/>
        </w:rPr>
        <w:t xml:space="preserve">. But the use of ROCE and ROA needs to be taken with a pinch of salt: There is negative shareholder's equity to be kept in mind (see section 2.4), which inflates equity-based measures, particularly ROE. Ratio analysis is a good but limited diagnostic tool because the ratios must be compared with trends, peers and accounting policies that give rise to the ratios and not compared with each other on their own (Palepu et al., 2020; Fridson and Alvarez, 2022). In an interpretation of this level, a distinction, rather than simply using one ratio, triangulates several measures (Robinson, 2020). </w:t>
      </w:r>
    </w:p>
    <w:p w14:paraId="5DECBD0B" w14:textId="7E37A4E0" w:rsidR="007C2B7E" w:rsidRPr="00863BFF" w:rsidRDefault="007C2B7E" w:rsidP="00863BFF">
      <w:pPr>
        <w:pStyle w:val="Heading2"/>
      </w:pPr>
      <w:bookmarkStart w:id="4" w:name="_Toc237448032"/>
      <w:r w:rsidRPr="00863BFF">
        <w:t>Liquidity Analysis and Industry Benchmarking</w:t>
      </w:r>
      <w:bookmarkEnd w:id="4"/>
      <w:r w:rsidRPr="00863BFF">
        <w:t xml:space="preserve"> </w:t>
      </w:r>
    </w:p>
    <w:p w14:paraId="0AC5AA42" w14:textId="15BBBA74" w:rsidR="00684A34" w:rsidRPr="00863BFF" w:rsidRDefault="007C2B7E"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Liquidity is the area of greatest concern. As Table 3 and Figure 3 show, the current ratio fell from 1.27 in 2021 to 0.98 in 2025, and the quick ratio from 1.27 to 0.97. Their respective ratios are slightly under 1.0, indicating that current liabilities are a bit higher than current assets. The cash ratio has almost halved, from 0.89 to 0.54, as IHG deployed cash reserves into more than US$1bn of annual shareholder returns (IHG, 2025).</w:t>
      </w:r>
    </w:p>
    <w:tbl>
      <w:tblPr>
        <w:tblStyle w:val="GridTable5Dark-Accent4"/>
        <w:tblW w:w="8640" w:type="dxa"/>
        <w:jc w:val="center"/>
        <w:tblLayout w:type="fixed"/>
        <w:tblLook w:val="0000" w:firstRow="0" w:lastRow="0" w:firstColumn="0" w:lastColumn="0" w:noHBand="0" w:noVBand="0"/>
      </w:tblPr>
      <w:tblGrid>
        <w:gridCol w:w="1800"/>
        <w:gridCol w:w="901"/>
        <w:gridCol w:w="900"/>
        <w:gridCol w:w="899"/>
        <w:gridCol w:w="901"/>
        <w:gridCol w:w="900"/>
        <w:gridCol w:w="1200"/>
        <w:gridCol w:w="1139"/>
      </w:tblGrid>
      <w:tr w:rsidR="00684A34" w:rsidRPr="00863BFF" w14:paraId="1B11BA1D" w14:textId="77777777" w:rsidTr="00863BF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1799" w:type="dxa"/>
          </w:tcPr>
          <w:p w14:paraId="5C215BC6" w14:textId="77777777" w:rsidR="00684A34" w:rsidRPr="00863BFF" w:rsidRDefault="006A1283" w:rsidP="00863BFF">
            <w:pPr>
              <w:spacing w:line="360" w:lineRule="auto"/>
              <w:jc w:val="both"/>
              <w:rPr>
                <w:rFonts w:ascii="Times New Roman" w:hAnsi="Times New Roman" w:cs="Times New Roman"/>
                <w:b/>
                <w:bCs/>
                <w:color w:val="000000" w:themeColor="text1"/>
              </w:rPr>
            </w:pPr>
            <w:r w:rsidRPr="00863BFF">
              <w:rPr>
                <w:rFonts w:ascii="Times New Roman" w:hAnsi="Times New Roman" w:cs="Times New Roman"/>
                <w:b/>
                <w:bCs/>
                <w:color w:val="000000" w:themeColor="text1"/>
              </w:rPr>
              <w:t>Ratio (x)</w:t>
            </w:r>
          </w:p>
        </w:tc>
        <w:tc>
          <w:tcPr>
            <w:tcW w:w="901" w:type="dxa"/>
          </w:tcPr>
          <w:p w14:paraId="06CAA4CF"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themeColor="text1"/>
              </w:rPr>
            </w:pPr>
            <w:r w:rsidRPr="00863BFF">
              <w:rPr>
                <w:rFonts w:ascii="Times New Roman" w:hAnsi="Times New Roman" w:cs="Times New Roman"/>
                <w:b/>
                <w:bCs/>
                <w:color w:val="000000" w:themeColor="text1"/>
              </w:rPr>
              <w:t>2021</w:t>
            </w:r>
          </w:p>
        </w:tc>
        <w:tc>
          <w:tcPr>
            <w:cnfStyle w:val="000010000000" w:firstRow="0" w:lastRow="0" w:firstColumn="0" w:lastColumn="0" w:oddVBand="1" w:evenVBand="0" w:oddHBand="0" w:evenHBand="0" w:firstRowFirstColumn="0" w:firstRowLastColumn="0" w:lastRowFirstColumn="0" w:lastRowLastColumn="0"/>
            <w:tcW w:w="900" w:type="dxa"/>
          </w:tcPr>
          <w:p w14:paraId="27213F90" w14:textId="77777777" w:rsidR="00684A34" w:rsidRPr="00863BFF" w:rsidRDefault="006A1283" w:rsidP="00863BFF">
            <w:pPr>
              <w:spacing w:line="360" w:lineRule="auto"/>
              <w:jc w:val="both"/>
              <w:rPr>
                <w:rFonts w:ascii="Times New Roman" w:hAnsi="Times New Roman" w:cs="Times New Roman"/>
                <w:b/>
                <w:bCs/>
                <w:color w:val="000000" w:themeColor="text1"/>
              </w:rPr>
            </w:pPr>
            <w:r w:rsidRPr="00863BFF">
              <w:rPr>
                <w:rFonts w:ascii="Times New Roman" w:hAnsi="Times New Roman" w:cs="Times New Roman"/>
                <w:b/>
                <w:bCs/>
                <w:color w:val="000000" w:themeColor="text1"/>
              </w:rPr>
              <w:t>2022</w:t>
            </w:r>
          </w:p>
        </w:tc>
        <w:tc>
          <w:tcPr>
            <w:tcW w:w="899" w:type="dxa"/>
          </w:tcPr>
          <w:p w14:paraId="41905127"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themeColor="text1"/>
              </w:rPr>
            </w:pPr>
            <w:r w:rsidRPr="00863BFF">
              <w:rPr>
                <w:rFonts w:ascii="Times New Roman" w:hAnsi="Times New Roman" w:cs="Times New Roman"/>
                <w:b/>
                <w:bCs/>
                <w:color w:val="000000" w:themeColor="text1"/>
              </w:rPr>
              <w:t>2023</w:t>
            </w:r>
          </w:p>
        </w:tc>
        <w:tc>
          <w:tcPr>
            <w:cnfStyle w:val="000010000000" w:firstRow="0" w:lastRow="0" w:firstColumn="0" w:lastColumn="0" w:oddVBand="1" w:evenVBand="0" w:oddHBand="0" w:evenHBand="0" w:firstRowFirstColumn="0" w:firstRowLastColumn="0" w:lastRowFirstColumn="0" w:lastRowLastColumn="0"/>
            <w:tcW w:w="901" w:type="dxa"/>
          </w:tcPr>
          <w:p w14:paraId="588616D7" w14:textId="77777777" w:rsidR="00684A34" w:rsidRPr="00863BFF" w:rsidRDefault="006A1283" w:rsidP="00863BFF">
            <w:pPr>
              <w:spacing w:line="360" w:lineRule="auto"/>
              <w:jc w:val="both"/>
              <w:rPr>
                <w:rFonts w:ascii="Times New Roman" w:hAnsi="Times New Roman" w:cs="Times New Roman"/>
                <w:b/>
                <w:bCs/>
                <w:color w:val="000000" w:themeColor="text1"/>
              </w:rPr>
            </w:pPr>
            <w:r w:rsidRPr="00863BFF">
              <w:rPr>
                <w:rFonts w:ascii="Times New Roman" w:hAnsi="Times New Roman" w:cs="Times New Roman"/>
                <w:b/>
                <w:bCs/>
                <w:color w:val="000000" w:themeColor="text1"/>
              </w:rPr>
              <w:t>2024</w:t>
            </w:r>
          </w:p>
        </w:tc>
        <w:tc>
          <w:tcPr>
            <w:tcW w:w="900" w:type="dxa"/>
          </w:tcPr>
          <w:p w14:paraId="2B270F7F"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themeColor="text1"/>
              </w:rPr>
            </w:pPr>
            <w:r w:rsidRPr="00863BFF">
              <w:rPr>
                <w:rFonts w:ascii="Times New Roman" w:hAnsi="Times New Roman" w:cs="Times New Roman"/>
                <w:b/>
                <w:bCs/>
                <w:color w:val="000000" w:themeColor="text1"/>
              </w:rPr>
              <w:t>2025</w:t>
            </w:r>
          </w:p>
        </w:tc>
        <w:tc>
          <w:tcPr>
            <w:cnfStyle w:val="000010000000" w:firstRow="0" w:lastRow="0" w:firstColumn="0" w:lastColumn="0" w:oddVBand="1" w:evenVBand="0" w:oddHBand="0" w:evenHBand="0" w:firstRowFirstColumn="0" w:firstRowLastColumn="0" w:lastRowFirstColumn="0" w:lastRowLastColumn="0"/>
            <w:tcW w:w="1200" w:type="dxa"/>
          </w:tcPr>
          <w:p w14:paraId="148A495D" w14:textId="77777777" w:rsidR="00684A34" w:rsidRPr="00863BFF" w:rsidRDefault="006A1283" w:rsidP="00863BFF">
            <w:pPr>
              <w:spacing w:line="360" w:lineRule="auto"/>
              <w:jc w:val="both"/>
              <w:rPr>
                <w:rFonts w:ascii="Times New Roman" w:hAnsi="Times New Roman" w:cs="Times New Roman"/>
                <w:b/>
                <w:bCs/>
                <w:color w:val="000000" w:themeColor="text1"/>
              </w:rPr>
            </w:pPr>
            <w:r w:rsidRPr="00863BFF">
              <w:rPr>
                <w:rFonts w:ascii="Times New Roman" w:hAnsi="Times New Roman" w:cs="Times New Roman"/>
                <w:b/>
                <w:bCs/>
                <w:color w:val="000000" w:themeColor="text1"/>
              </w:rPr>
              <w:t>Marriott ~2024</w:t>
            </w:r>
          </w:p>
        </w:tc>
        <w:tc>
          <w:tcPr>
            <w:tcW w:w="1139" w:type="dxa"/>
          </w:tcPr>
          <w:p w14:paraId="182D408A"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themeColor="text1"/>
              </w:rPr>
            </w:pPr>
            <w:r w:rsidRPr="00863BFF">
              <w:rPr>
                <w:rFonts w:ascii="Times New Roman" w:hAnsi="Times New Roman" w:cs="Times New Roman"/>
                <w:b/>
                <w:bCs/>
                <w:color w:val="000000" w:themeColor="text1"/>
              </w:rPr>
              <w:t>Benchmark</w:t>
            </w:r>
          </w:p>
        </w:tc>
      </w:tr>
      <w:tr w:rsidR="00684A34" w:rsidRPr="00863BFF" w14:paraId="0E250D4F" w14:textId="77777777" w:rsidTr="00863BFF">
        <w:trPr>
          <w:jc w:val="center"/>
        </w:trPr>
        <w:tc>
          <w:tcPr>
            <w:cnfStyle w:val="000010000000" w:firstRow="0" w:lastRow="0" w:firstColumn="0" w:lastColumn="0" w:oddVBand="1" w:evenVBand="0" w:oddHBand="0" w:evenHBand="0" w:firstRowFirstColumn="0" w:firstRowLastColumn="0" w:lastRowFirstColumn="0" w:lastRowLastColumn="0"/>
            <w:tcW w:w="1799" w:type="dxa"/>
          </w:tcPr>
          <w:p w14:paraId="121DA50F"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Current ratio</w:t>
            </w:r>
          </w:p>
        </w:tc>
        <w:tc>
          <w:tcPr>
            <w:tcW w:w="901" w:type="dxa"/>
          </w:tcPr>
          <w:p w14:paraId="1651DE9C"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1.27</w:t>
            </w:r>
          </w:p>
        </w:tc>
        <w:tc>
          <w:tcPr>
            <w:cnfStyle w:val="000010000000" w:firstRow="0" w:lastRow="0" w:firstColumn="0" w:lastColumn="0" w:oddVBand="1" w:evenVBand="0" w:oddHBand="0" w:evenHBand="0" w:firstRowFirstColumn="0" w:firstRowLastColumn="0" w:lastRowFirstColumn="0" w:lastRowLastColumn="0"/>
            <w:tcW w:w="900" w:type="dxa"/>
          </w:tcPr>
          <w:p w14:paraId="5DD5B5F3"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1.09</w:t>
            </w:r>
          </w:p>
        </w:tc>
        <w:tc>
          <w:tcPr>
            <w:tcW w:w="899" w:type="dxa"/>
          </w:tcPr>
          <w:p w14:paraId="6AB21CB7"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0.97</w:t>
            </w:r>
          </w:p>
        </w:tc>
        <w:tc>
          <w:tcPr>
            <w:cnfStyle w:val="000010000000" w:firstRow="0" w:lastRow="0" w:firstColumn="0" w:lastColumn="0" w:oddVBand="1" w:evenVBand="0" w:oddHBand="0" w:evenHBand="0" w:firstRowFirstColumn="0" w:firstRowLastColumn="0" w:lastRowFirstColumn="0" w:lastRowLastColumn="0"/>
            <w:tcW w:w="901" w:type="dxa"/>
          </w:tcPr>
          <w:p w14:paraId="4E0498D5"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0.97</w:t>
            </w:r>
          </w:p>
        </w:tc>
        <w:tc>
          <w:tcPr>
            <w:tcW w:w="900" w:type="dxa"/>
          </w:tcPr>
          <w:p w14:paraId="216802FD"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0.98</w:t>
            </w:r>
          </w:p>
        </w:tc>
        <w:tc>
          <w:tcPr>
            <w:cnfStyle w:val="000010000000" w:firstRow="0" w:lastRow="0" w:firstColumn="0" w:lastColumn="0" w:oddVBand="1" w:evenVBand="0" w:oddHBand="0" w:evenHBand="0" w:firstRowFirstColumn="0" w:firstRowLastColumn="0" w:lastRowFirstColumn="0" w:lastRowLastColumn="0"/>
            <w:tcW w:w="1200" w:type="dxa"/>
          </w:tcPr>
          <w:p w14:paraId="2E47750F"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0.43</w:t>
            </w:r>
          </w:p>
        </w:tc>
        <w:tc>
          <w:tcPr>
            <w:tcW w:w="1139" w:type="dxa"/>
          </w:tcPr>
          <w:p w14:paraId="06628F6D"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 1.0–1.5</w:t>
            </w:r>
          </w:p>
        </w:tc>
      </w:tr>
      <w:tr w:rsidR="00684A34" w:rsidRPr="00863BFF" w14:paraId="6163675F" w14:textId="77777777" w:rsidTr="00863BFF">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1799" w:type="dxa"/>
          </w:tcPr>
          <w:p w14:paraId="3E7C58D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Quick ratio</w:t>
            </w:r>
          </w:p>
        </w:tc>
        <w:tc>
          <w:tcPr>
            <w:tcW w:w="901" w:type="dxa"/>
          </w:tcPr>
          <w:p w14:paraId="4368A1A5"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1.27</w:t>
            </w:r>
          </w:p>
        </w:tc>
        <w:tc>
          <w:tcPr>
            <w:cnfStyle w:val="000010000000" w:firstRow="0" w:lastRow="0" w:firstColumn="0" w:lastColumn="0" w:oddVBand="1" w:evenVBand="0" w:oddHBand="0" w:evenHBand="0" w:firstRowFirstColumn="0" w:firstRowLastColumn="0" w:lastRowFirstColumn="0" w:lastRowLastColumn="0"/>
            <w:tcW w:w="900" w:type="dxa"/>
          </w:tcPr>
          <w:p w14:paraId="200E0E9C"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1.08</w:t>
            </w:r>
          </w:p>
        </w:tc>
        <w:tc>
          <w:tcPr>
            <w:tcW w:w="899" w:type="dxa"/>
          </w:tcPr>
          <w:p w14:paraId="56533E14"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0.97</w:t>
            </w:r>
          </w:p>
        </w:tc>
        <w:tc>
          <w:tcPr>
            <w:cnfStyle w:val="000010000000" w:firstRow="0" w:lastRow="0" w:firstColumn="0" w:lastColumn="0" w:oddVBand="1" w:evenVBand="0" w:oddHBand="0" w:evenHBand="0" w:firstRowFirstColumn="0" w:firstRowLastColumn="0" w:lastRowFirstColumn="0" w:lastRowLastColumn="0"/>
            <w:tcW w:w="901" w:type="dxa"/>
          </w:tcPr>
          <w:p w14:paraId="52816313"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0.97</w:t>
            </w:r>
          </w:p>
        </w:tc>
        <w:tc>
          <w:tcPr>
            <w:tcW w:w="900" w:type="dxa"/>
          </w:tcPr>
          <w:p w14:paraId="48C2B9A0"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0.97</w:t>
            </w:r>
          </w:p>
        </w:tc>
        <w:tc>
          <w:tcPr>
            <w:cnfStyle w:val="000010000000" w:firstRow="0" w:lastRow="0" w:firstColumn="0" w:lastColumn="0" w:oddVBand="1" w:evenVBand="0" w:oddHBand="0" w:evenHBand="0" w:firstRowFirstColumn="0" w:firstRowLastColumn="0" w:lastRowFirstColumn="0" w:lastRowLastColumn="0"/>
            <w:tcW w:w="1200" w:type="dxa"/>
          </w:tcPr>
          <w:p w14:paraId="71581447"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0.43</w:t>
            </w:r>
          </w:p>
        </w:tc>
        <w:tc>
          <w:tcPr>
            <w:tcW w:w="1139" w:type="dxa"/>
          </w:tcPr>
          <w:p w14:paraId="5B0EC9DF"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 1.0</w:t>
            </w:r>
          </w:p>
        </w:tc>
      </w:tr>
      <w:tr w:rsidR="00684A34" w:rsidRPr="00863BFF" w14:paraId="003A5ECE" w14:textId="77777777" w:rsidTr="00863BFF">
        <w:trPr>
          <w:jc w:val="center"/>
        </w:trPr>
        <w:tc>
          <w:tcPr>
            <w:cnfStyle w:val="000010000000" w:firstRow="0" w:lastRow="0" w:firstColumn="0" w:lastColumn="0" w:oddVBand="1" w:evenVBand="0" w:oddHBand="0" w:evenHBand="0" w:firstRowFirstColumn="0" w:firstRowLastColumn="0" w:lastRowFirstColumn="0" w:lastRowLastColumn="0"/>
            <w:tcW w:w="1799" w:type="dxa"/>
          </w:tcPr>
          <w:p w14:paraId="3D818EEA"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Cash ratio</w:t>
            </w:r>
          </w:p>
        </w:tc>
        <w:tc>
          <w:tcPr>
            <w:tcW w:w="901" w:type="dxa"/>
          </w:tcPr>
          <w:p w14:paraId="2E5473F6"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0.89</w:t>
            </w:r>
          </w:p>
        </w:tc>
        <w:tc>
          <w:tcPr>
            <w:cnfStyle w:val="000010000000" w:firstRow="0" w:lastRow="0" w:firstColumn="0" w:lastColumn="0" w:oddVBand="1" w:evenVBand="0" w:oddHBand="0" w:evenHBand="0" w:firstRowFirstColumn="0" w:firstRowLastColumn="0" w:lastRowFirstColumn="0" w:lastRowLastColumn="0"/>
            <w:tcW w:w="900" w:type="dxa"/>
          </w:tcPr>
          <w:p w14:paraId="78F16CBF"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0.63</w:t>
            </w:r>
          </w:p>
        </w:tc>
        <w:tc>
          <w:tcPr>
            <w:tcW w:w="899" w:type="dxa"/>
          </w:tcPr>
          <w:p w14:paraId="60E5C70F"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0.60</w:t>
            </w:r>
          </w:p>
        </w:tc>
        <w:tc>
          <w:tcPr>
            <w:cnfStyle w:val="000010000000" w:firstRow="0" w:lastRow="0" w:firstColumn="0" w:lastColumn="0" w:oddVBand="1" w:evenVBand="0" w:oddHBand="0" w:evenHBand="0" w:firstRowFirstColumn="0" w:firstRowLastColumn="0" w:lastRowFirstColumn="0" w:lastRowLastColumn="0"/>
            <w:tcW w:w="901" w:type="dxa"/>
          </w:tcPr>
          <w:p w14:paraId="6A126509"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0.52</w:t>
            </w:r>
          </w:p>
        </w:tc>
        <w:tc>
          <w:tcPr>
            <w:tcW w:w="900" w:type="dxa"/>
          </w:tcPr>
          <w:p w14:paraId="5EBAFB43"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0.54</w:t>
            </w:r>
          </w:p>
        </w:tc>
        <w:tc>
          <w:tcPr>
            <w:cnfStyle w:val="000010000000" w:firstRow="0" w:lastRow="0" w:firstColumn="0" w:lastColumn="0" w:oddVBand="1" w:evenVBand="0" w:oddHBand="0" w:evenHBand="0" w:firstRowFirstColumn="0" w:firstRowLastColumn="0" w:lastRowFirstColumn="0" w:lastRowLastColumn="0"/>
            <w:tcW w:w="1200" w:type="dxa"/>
          </w:tcPr>
          <w:p w14:paraId="46460FE2"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0.04</w:t>
            </w:r>
          </w:p>
        </w:tc>
        <w:tc>
          <w:tcPr>
            <w:tcW w:w="1139" w:type="dxa"/>
          </w:tcPr>
          <w:p w14:paraId="08DC2314"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0.2–0.5</w:t>
            </w:r>
          </w:p>
        </w:tc>
      </w:tr>
    </w:tbl>
    <w:p w14:paraId="5A53C293" w14:textId="77777777" w:rsidR="00684A34" w:rsidRPr="008949C9" w:rsidRDefault="006A1283" w:rsidP="008949C9">
      <w:pPr>
        <w:spacing w:line="360" w:lineRule="auto"/>
        <w:jc w:val="center"/>
        <w:rPr>
          <w:rFonts w:ascii="Times New Roman" w:hAnsi="Times New Roman" w:cs="Times New Roman"/>
          <w:b/>
          <w:bCs/>
          <w:color w:val="000000" w:themeColor="text1"/>
        </w:rPr>
      </w:pPr>
      <w:r w:rsidRPr="008949C9">
        <w:rPr>
          <w:rFonts w:ascii="Times New Roman" w:hAnsi="Times New Roman" w:cs="Times New Roman"/>
          <w:b/>
          <w:bCs/>
          <w:i/>
          <w:iCs/>
          <w:color w:val="000000" w:themeColor="text1"/>
        </w:rPr>
        <w:t>Table 3. Liquidity Ratios and Industry Benchmarks, 2021–2025. Marriott figures from TipRanks (2025); benchmark ranges from Atrill and McLaney (2022).</w:t>
      </w:r>
    </w:p>
    <w:p w14:paraId="5A5C7504" w14:textId="77777777" w:rsidR="00684A34" w:rsidRPr="00863BFF" w:rsidRDefault="006A1283" w:rsidP="008949C9">
      <w:pPr>
        <w:spacing w:line="360" w:lineRule="auto"/>
        <w:jc w:val="center"/>
        <w:rPr>
          <w:rFonts w:ascii="Times New Roman" w:hAnsi="Times New Roman" w:cs="Times New Roman"/>
          <w:color w:val="000000" w:themeColor="text1"/>
        </w:rPr>
      </w:pPr>
      <w:r w:rsidRPr="00863BFF">
        <w:rPr>
          <w:rFonts w:ascii="Times New Roman" w:hAnsi="Times New Roman" w:cs="Times New Roman"/>
          <w:noProof/>
          <w:color w:val="000000" w:themeColor="text1"/>
        </w:rPr>
        <w:drawing>
          <wp:inline distT="0" distB="0" distL="0" distR="0" wp14:anchorId="4C155F5C" wp14:editId="3220C327">
            <wp:extent cx="5406390" cy="2779115"/>
            <wp:effectExtent l="0" t="0" r="0" b="0"/>
            <wp:docPr id="3"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pic:cNvPicPr>
                      <a:picLocks noChangeAspect="1" noChangeArrowheads="1"/>
                    </pic:cNvPicPr>
                  </pic:nvPicPr>
                  <pic:blipFill rotWithShape="1">
                    <a:blip r:embed="rId11"/>
                    <a:srcRect t="9851"/>
                    <a:stretch>
                      <a:fillRect/>
                    </a:stretch>
                  </pic:blipFill>
                  <pic:spPr bwMode="auto">
                    <a:xfrm>
                      <a:off x="0" y="0"/>
                      <a:ext cx="5420821" cy="2786533"/>
                    </a:xfrm>
                    <a:prstGeom prst="rect">
                      <a:avLst/>
                    </a:prstGeom>
                    <a:ln>
                      <a:noFill/>
                    </a:ln>
                    <a:extLst>
                      <a:ext uri="{53640926-AAD7-44D8-BBD7-CCE9431645EC}">
                        <a14:shadowObscured xmlns:a14="http://schemas.microsoft.com/office/drawing/2010/main"/>
                      </a:ext>
                    </a:extLst>
                  </pic:spPr>
                </pic:pic>
              </a:graphicData>
            </a:graphic>
          </wp:inline>
        </w:drawing>
      </w:r>
    </w:p>
    <w:p w14:paraId="28020D18" w14:textId="3C5C0CC9" w:rsidR="00684A34" w:rsidRPr="008949C9" w:rsidRDefault="006A1283" w:rsidP="008949C9">
      <w:pPr>
        <w:spacing w:line="360" w:lineRule="auto"/>
        <w:jc w:val="center"/>
        <w:rPr>
          <w:rFonts w:ascii="Times New Roman" w:hAnsi="Times New Roman" w:cs="Times New Roman"/>
          <w:b/>
          <w:bCs/>
          <w:color w:val="000000" w:themeColor="text1"/>
        </w:rPr>
      </w:pPr>
      <w:r w:rsidRPr="008949C9">
        <w:rPr>
          <w:rFonts w:ascii="Times New Roman" w:hAnsi="Times New Roman" w:cs="Times New Roman"/>
          <w:b/>
          <w:bCs/>
          <w:i/>
          <w:iCs/>
          <w:color w:val="000000" w:themeColor="text1"/>
        </w:rPr>
        <w:t>Figure 3. Liquidity ratios versus benchmarks, 2021–2025.</w:t>
      </w:r>
    </w:p>
    <w:p w14:paraId="4100592F" w14:textId="77777777" w:rsidR="007C2B7E" w:rsidRPr="00863BFF" w:rsidRDefault="007C2B7E"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 xml:space="preserve">The situation is brighter than it might seem for the sector as a whole. In 2024, Marriott International's current ratio was approximately 0.43 compared to IHG's 0.97–0.98 (TipRanks, 2025). Large branded hotel operators intentionally operate under negative working capital since there is a time lag between the receipt of payment from customers and the payment for supplies, which is not necessarily bad in a cash generating franchise business (Wang, 2019; Talonpoika et al., 2016). This illustrates the liquidity profitability dilemma: The more current assets that a firm holds the more likely it is to remain solvent, but the fewer the assets the lower the returns will be, and an efficient operator will try to balance the two (Eljelly, 2004; Baños-Caballero et al., 2014). Despite being below the textbook benchmark, IHG's static liquidity is better than its nearest listed IHG peer. However, the current ratio below 1.0 indicates a very thin margin for any shock in demand and the trend (downward) is a matter for management (Section 3). </w:t>
      </w:r>
    </w:p>
    <w:p w14:paraId="19647EDA" w14:textId="7A8FA1CB" w:rsidR="007C2B7E" w:rsidRPr="00863BFF" w:rsidRDefault="007C2B7E" w:rsidP="008949C9">
      <w:pPr>
        <w:pStyle w:val="Heading2"/>
      </w:pPr>
      <w:bookmarkStart w:id="5" w:name="_Toc237448033"/>
      <w:r w:rsidRPr="00863BFF">
        <w:t>Gearing and Solvency Analysis</w:t>
      </w:r>
      <w:bookmarkEnd w:id="5"/>
    </w:p>
    <w:p w14:paraId="468E4C2E" w14:textId="456A484D" w:rsidR="00684A34" w:rsidRPr="00863BFF" w:rsidRDefault="007C2B7E"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 xml:space="preserve"> IHG has significant debt. Table 4 shows total debt rising from US$3,264m in 2021 to US$4,607m in 2025, and net debt from US$1,814m to US$3,478m. The stated net-debt-to-adjusted-EBITDA ratio at end-2024 was 2.3×, which is within the Group's stated target range of 2.5–3.0× (IHG, 2025). Most importantly, IHG's total equity in 2025 is negative at –US$2,736m. This does not indicate insolvency, but rather a purposeful result of years of large share repurchases, lessening equity on the balance sheet and delivering value to shareholders (Damodaran, 2015). Equity is negative, and the debt-to-equity ratio is, therefore, mathematically meaningless and negative, so leverage should be judged by the net-debt-to-EBITDA and interest cover instead.</w:t>
      </w:r>
    </w:p>
    <w:tbl>
      <w:tblPr>
        <w:tblStyle w:val="GridTable5Dark"/>
        <w:tblW w:w="9150" w:type="dxa"/>
        <w:jc w:val="center"/>
        <w:tblLayout w:type="fixed"/>
        <w:tblLook w:val="0000" w:firstRow="0" w:lastRow="0" w:firstColumn="0" w:lastColumn="0" w:noHBand="0" w:noVBand="0"/>
      </w:tblPr>
      <w:tblGrid>
        <w:gridCol w:w="3750"/>
        <w:gridCol w:w="1080"/>
        <w:gridCol w:w="1081"/>
        <w:gridCol w:w="1080"/>
        <w:gridCol w:w="1079"/>
        <w:gridCol w:w="1080"/>
      </w:tblGrid>
      <w:tr w:rsidR="00684A34" w:rsidRPr="00863BFF" w14:paraId="3E5DC051" w14:textId="77777777" w:rsidTr="008949C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3750" w:type="dxa"/>
          </w:tcPr>
          <w:p w14:paraId="5C0D6411" w14:textId="77777777" w:rsidR="00684A34" w:rsidRPr="008949C9" w:rsidRDefault="006A1283" w:rsidP="00863BFF">
            <w:pPr>
              <w:spacing w:line="360" w:lineRule="auto"/>
              <w:jc w:val="both"/>
              <w:rPr>
                <w:rFonts w:ascii="Times New Roman" w:hAnsi="Times New Roman" w:cs="Times New Roman"/>
                <w:b/>
                <w:bCs/>
                <w:color w:val="000000" w:themeColor="text1"/>
              </w:rPr>
            </w:pPr>
            <w:r w:rsidRPr="008949C9">
              <w:rPr>
                <w:rFonts w:ascii="Times New Roman" w:hAnsi="Times New Roman" w:cs="Times New Roman"/>
                <w:b/>
                <w:bCs/>
                <w:color w:val="000000" w:themeColor="text1"/>
              </w:rPr>
              <w:t>Measure</w:t>
            </w:r>
          </w:p>
        </w:tc>
        <w:tc>
          <w:tcPr>
            <w:tcW w:w="1080" w:type="dxa"/>
          </w:tcPr>
          <w:p w14:paraId="08C4BFF0" w14:textId="77777777" w:rsidR="00684A34" w:rsidRPr="008949C9"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themeColor="text1"/>
              </w:rPr>
            </w:pPr>
            <w:r w:rsidRPr="008949C9">
              <w:rPr>
                <w:rFonts w:ascii="Times New Roman" w:hAnsi="Times New Roman" w:cs="Times New Roman"/>
                <w:b/>
                <w:bCs/>
                <w:color w:val="000000" w:themeColor="text1"/>
              </w:rPr>
              <w:t>2021</w:t>
            </w:r>
          </w:p>
        </w:tc>
        <w:tc>
          <w:tcPr>
            <w:cnfStyle w:val="000010000000" w:firstRow="0" w:lastRow="0" w:firstColumn="0" w:lastColumn="0" w:oddVBand="1" w:evenVBand="0" w:oddHBand="0" w:evenHBand="0" w:firstRowFirstColumn="0" w:firstRowLastColumn="0" w:lastRowFirstColumn="0" w:lastRowLastColumn="0"/>
            <w:tcW w:w="1081" w:type="dxa"/>
          </w:tcPr>
          <w:p w14:paraId="7F0412E8" w14:textId="77777777" w:rsidR="00684A34" w:rsidRPr="008949C9" w:rsidRDefault="006A1283" w:rsidP="00863BFF">
            <w:pPr>
              <w:spacing w:line="360" w:lineRule="auto"/>
              <w:jc w:val="both"/>
              <w:rPr>
                <w:rFonts w:ascii="Times New Roman" w:hAnsi="Times New Roman" w:cs="Times New Roman"/>
                <w:b/>
                <w:bCs/>
                <w:color w:val="000000" w:themeColor="text1"/>
              </w:rPr>
            </w:pPr>
            <w:r w:rsidRPr="008949C9">
              <w:rPr>
                <w:rFonts w:ascii="Times New Roman" w:hAnsi="Times New Roman" w:cs="Times New Roman"/>
                <w:b/>
                <w:bCs/>
                <w:color w:val="000000" w:themeColor="text1"/>
              </w:rPr>
              <w:t>2022</w:t>
            </w:r>
          </w:p>
        </w:tc>
        <w:tc>
          <w:tcPr>
            <w:tcW w:w="1080" w:type="dxa"/>
          </w:tcPr>
          <w:p w14:paraId="5A563B60" w14:textId="77777777" w:rsidR="00684A34" w:rsidRPr="008949C9"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themeColor="text1"/>
              </w:rPr>
            </w:pPr>
            <w:r w:rsidRPr="008949C9">
              <w:rPr>
                <w:rFonts w:ascii="Times New Roman" w:hAnsi="Times New Roman" w:cs="Times New Roman"/>
                <w:b/>
                <w:bCs/>
                <w:color w:val="000000" w:themeColor="text1"/>
              </w:rPr>
              <w:t>2023</w:t>
            </w:r>
          </w:p>
        </w:tc>
        <w:tc>
          <w:tcPr>
            <w:cnfStyle w:val="000010000000" w:firstRow="0" w:lastRow="0" w:firstColumn="0" w:lastColumn="0" w:oddVBand="1" w:evenVBand="0" w:oddHBand="0" w:evenHBand="0" w:firstRowFirstColumn="0" w:firstRowLastColumn="0" w:lastRowFirstColumn="0" w:lastRowLastColumn="0"/>
            <w:tcW w:w="1079" w:type="dxa"/>
          </w:tcPr>
          <w:p w14:paraId="3930BDB3" w14:textId="77777777" w:rsidR="00684A34" w:rsidRPr="008949C9" w:rsidRDefault="006A1283" w:rsidP="00863BFF">
            <w:pPr>
              <w:spacing w:line="360" w:lineRule="auto"/>
              <w:jc w:val="both"/>
              <w:rPr>
                <w:rFonts w:ascii="Times New Roman" w:hAnsi="Times New Roman" w:cs="Times New Roman"/>
                <w:b/>
                <w:bCs/>
                <w:color w:val="000000" w:themeColor="text1"/>
              </w:rPr>
            </w:pPr>
            <w:r w:rsidRPr="008949C9">
              <w:rPr>
                <w:rFonts w:ascii="Times New Roman" w:hAnsi="Times New Roman" w:cs="Times New Roman"/>
                <w:b/>
                <w:bCs/>
                <w:color w:val="000000" w:themeColor="text1"/>
              </w:rPr>
              <w:t>2024</w:t>
            </w:r>
          </w:p>
        </w:tc>
        <w:tc>
          <w:tcPr>
            <w:tcW w:w="1080" w:type="dxa"/>
          </w:tcPr>
          <w:p w14:paraId="1DEA3E1E" w14:textId="77777777" w:rsidR="00684A34" w:rsidRPr="008949C9"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themeColor="text1"/>
              </w:rPr>
            </w:pPr>
            <w:r w:rsidRPr="008949C9">
              <w:rPr>
                <w:rFonts w:ascii="Times New Roman" w:hAnsi="Times New Roman" w:cs="Times New Roman"/>
                <w:b/>
                <w:bCs/>
                <w:color w:val="000000" w:themeColor="text1"/>
              </w:rPr>
              <w:t>2025</w:t>
            </w:r>
          </w:p>
        </w:tc>
      </w:tr>
      <w:tr w:rsidR="00684A34" w:rsidRPr="00863BFF" w14:paraId="08038722" w14:textId="77777777" w:rsidTr="008949C9">
        <w:trPr>
          <w:jc w:val="center"/>
        </w:trPr>
        <w:tc>
          <w:tcPr>
            <w:cnfStyle w:val="000010000000" w:firstRow="0" w:lastRow="0" w:firstColumn="0" w:lastColumn="0" w:oddVBand="1" w:evenVBand="0" w:oddHBand="0" w:evenHBand="0" w:firstRowFirstColumn="0" w:firstRowLastColumn="0" w:lastRowFirstColumn="0" w:lastRowLastColumn="0"/>
            <w:tcW w:w="3750" w:type="dxa"/>
          </w:tcPr>
          <w:p w14:paraId="2DA7BED7"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Total debt (US$m)</w:t>
            </w:r>
          </w:p>
        </w:tc>
        <w:tc>
          <w:tcPr>
            <w:tcW w:w="1080" w:type="dxa"/>
          </w:tcPr>
          <w:p w14:paraId="175108A9"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3,264</w:t>
            </w:r>
          </w:p>
        </w:tc>
        <w:tc>
          <w:tcPr>
            <w:cnfStyle w:val="000010000000" w:firstRow="0" w:lastRow="0" w:firstColumn="0" w:lastColumn="0" w:oddVBand="1" w:evenVBand="0" w:oddHBand="0" w:evenHBand="0" w:firstRowFirstColumn="0" w:firstRowLastColumn="0" w:lastRowFirstColumn="0" w:lastRowLastColumn="0"/>
            <w:tcW w:w="1081" w:type="dxa"/>
          </w:tcPr>
          <w:p w14:paraId="1AC60AF9"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2,823</w:t>
            </w:r>
          </w:p>
        </w:tc>
        <w:tc>
          <w:tcPr>
            <w:tcW w:w="1080" w:type="dxa"/>
          </w:tcPr>
          <w:p w14:paraId="3A9FA230"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3,592</w:t>
            </w:r>
          </w:p>
        </w:tc>
        <w:tc>
          <w:tcPr>
            <w:cnfStyle w:val="000010000000" w:firstRow="0" w:lastRow="0" w:firstColumn="0" w:lastColumn="0" w:oddVBand="1" w:evenVBand="0" w:oddHBand="0" w:evenHBand="0" w:firstRowFirstColumn="0" w:firstRowLastColumn="0" w:lastRowFirstColumn="0" w:lastRowLastColumn="0"/>
            <w:tcW w:w="1079" w:type="dxa"/>
          </w:tcPr>
          <w:p w14:paraId="191DD9F7"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3,688</w:t>
            </w:r>
          </w:p>
        </w:tc>
        <w:tc>
          <w:tcPr>
            <w:tcW w:w="1080" w:type="dxa"/>
          </w:tcPr>
          <w:p w14:paraId="293F99FF"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4,607</w:t>
            </w:r>
          </w:p>
        </w:tc>
      </w:tr>
      <w:tr w:rsidR="00684A34" w:rsidRPr="00863BFF" w14:paraId="2980EB90" w14:textId="77777777" w:rsidTr="008949C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3750" w:type="dxa"/>
          </w:tcPr>
          <w:p w14:paraId="0A63DF5F"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Net debt (US$m)</w:t>
            </w:r>
          </w:p>
        </w:tc>
        <w:tc>
          <w:tcPr>
            <w:tcW w:w="1080" w:type="dxa"/>
          </w:tcPr>
          <w:p w14:paraId="347D05F2"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1,814</w:t>
            </w:r>
          </w:p>
        </w:tc>
        <w:tc>
          <w:tcPr>
            <w:cnfStyle w:val="000010000000" w:firstRow="0" w:lastRow="0" w:firstColumn="0" w:lastColumn="0" w:oddVBand="1" w:evenVBand="0" w:oddHBand="0" w:evenHBand="0" w:firstRowFirstColumn="0" w:firstRowLastColumn="0" w:lastRowFirstColumn="0" w:lastRowLastColumn="0"/>
            <w:tcW w:w="1081" w:type="dxa"/>
          </w:tcPr>
          <w:p w14:paraId="3B59E4D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1,847</w:t>
            </w:r>
          </w:p>
        </w:tc>
        <w:tc>
          <w:tcPr>
            <w:tcW w:w="1080" w:type="dxa"/>
          </w:tcPr>
          <w:p w14:paraId="02ADC4DC"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2,270</w:t>
            </w:r>
          </w:p>
        </w:tc>
        <w:tc>
          <w:tcPr>
            <w:cnfStyle w:val="000010000000" w:firstRow="0" w:lastRow="0" w:firstColumn="0" w:lastColumn="0" w:oddVBand="1" w:evenVBand="0" w:oddHBand="0" w:evenHBand="0" w:firstRowFirstColumn="0" w:firstRowLastColumn="0" w:lastRowFirstColumn="0" w:lastRowLastColumn="0"/>
            <w:tcW w:w="1079" w:type="dxa"/>
          </w:tcPr>
          <w:p w14:paraId="5F65E5D7"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2,680</w:t>
            </w:r>
          </w:p>
        </w:tc>
        <w:tc>
          <w:tcPr>
            <w:tcW w:w="1080" w:type="dxa"/>
          </w:tcPr>
          <w:p w14:paraId="632F529B"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3,478</w:t>
            </w:r>
          </w:p>
        </w:tc>
      </w:tr>
      <w:tr w:rsidR="00684A34" w:rsidRPr="00863BFF" w14:paraId="2E78820F" w14:textId="77777777" w:rsidTr="008949C9">
        <w:trPr>
          <w:jc w:val="center"/>
        </w:trPr>
        <w:tc>
          <w:tcPr>
            <w:cnfStyle w:val="000010000000" w:firstRow="0" w:lastRow="0" w:firstColumn="0" w:lastColumn="0" w:oddVBand="1" w:evenVBand="0" w:oddHBand="0" w:evenHBand="0" w:firstRowFirstColumn="0" w:firstRowLastColumn="0" w:lastRowFirstColumn="0" w:lastRowLastColumn="0"/>
            <w:tcW w:w="3750" w:type="dxa"/>
          </w:tcPr>
          <w:p w14:paraId="51D9B25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Net debt / EBITDA (x)</w:t>
            </w:r>
          </w:p>
        </w:tc>
        <w:tc>
          <w:tcPr>
            <w:tcW w:w="1080" w:type="dxa"/>
          </w:tcPr>
          <w:p w14:paraId="279B1124"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2.64</w:t>
            </w:r>
          </w:p>
        </w:tc>
        <w:tc>
          <w:tcPr>
            <w:cnfStyle w:val="000010000000" w:firstRow="0" w:lastRow="0" w:firstColumn="0" w:lastColumn="0" w:oddVBand="1" w:evenVBand="0" w:oddHBand="0" w:evenHBand="0" w:firstRowFirstColumn="0" w:firstRowLastColumn="0" w:lastRowFirstColumn="0" w:lastRowLastColumn="0"/>
            <w:tcW w:w="1081" w:type="dxa"/>
          </w:tcPr>
          <w:p w14:paraId="02ED56A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2.36</w:t>
            </w:r>
          </w:p>
        </w:tc>
        <w:tc>
          <w:tcPr>
            <w:tcW w:w="1080" w:type="dxa"/>
          </w:tcPr>
          <w:p w14:paraId="66218CC5"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1.87</w:t>
            </w:r>
          </w:p>
        </w:tc>
        <w:tc>
          <w:tcPr>
            <w:cnfStyle w:val="000010000000" w:firstRow="0" w:lastRow="0" w:firstColumn="0" w:lastColumn="0" w:oddVBand="1" w:evenVBand="0" w:oddHBand="0" w:evenHBand="0" w:firstRowFirstColumn="0" w:firstRowLastColumn="0" w:lastRowFirstColumn="0" w:lastRowLastColumn="0"/>
            <w:tcW w:w="1079" w:type="dxa"/>
          </w:tcPr>
          <w:p w14:paraId="30224E71"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2.26</w:t>
            </w:r>
          </w:p>
        </w:tc>
        <w:tc>
          <w:tcPr>
            <w:tcW w:w="1080" w:type="dxa"/>
          </w:tcPr>
          <w:p w14:paraId="2F280C9C"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2.59</w:t>
            </w:r>
          </w:p>
        </w:tc>
      </w:tr>
      <w:tr w:rsidR="00684A34" w:rsidRPr="00863BFF" w14:paraId="110F8B26" w14:textId="77777777" w:rsidTr="008949C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3750" w:type="dxa"/>
          </w:tcPr>
          <w:p w14:paraId="60223491"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Total liabilities / total assets (%)</w:t>
            </w:r>
          </w:p>
        </w:tc>
        <w:tc>
          <w:tcPr>
            <w:tcW w:w="1080" w:type="dxa"/>
          </w:tcPr>
          <w:p w14:paraId="1B478495"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131.3</w:t>
            </w:r>
          </w:p>
        </w:tc>
        <w:tc>
          <w:tcPr>
            <w:cnfStyle w:val="000010000000" w:firstRow="0" w:lastRow="0" w:firstColumn="0" w:lastColumn="0" w:oddVBand="1" w:evenVBand="0" w:oddHBand="0" w:evenHBand="0" w:firstRowFirstColumn="0" w:firstRowLastColumn="0" w:lastRowFirstColumn="0" w:lastRowLastColumn="0"/>
            <w:tcW w:w="1081" w:type="dxa"/>
          </w:tcPr>
          <w:p w14:paraId="21B5FCCE"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138.1</w:t>
            </w:r>
          </w:p>
        </w:tc>
        <w:tc>
          <w:tcPr>
            <w:tcW w:w="1080" w:type="dxa"/>
          </w:tcPr>
          <w:p w14:paraId="5DB038E9"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140.4</w:t>
            </w:r>
          </w:p>
        </w:tc>
        <w:tc>
          <w:tcPr>
            <w:cnfStyle w:val="000010000000" w:firstRow="0" w:lastRow="0" w:firstColumn="0" w:lastColumn="0" w:oddVBand="1" w:evenVBand="0" w:oddHBand="0" w:evenHBand="0" w:firstRowFirstColumn="0" w:firstRowLastColumn="0" w:lastRowFirstColumn="0" w:lastRowLastColumn="0"/>
            <w:tcW w:w="1079" w:type="dxa"/>
          </w:tcPr>
          <w:p w14:paraId="4C8426D3"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148.6</w:t>
            </w:r>
          </w:p>
        </w:tc>
        <w:tc>
          <w:tcPr>
            <w:tcW w:w="1080" w:type="dxa"/>
          </w:tcPr>
          <w:p w14:paraId="04D240E0"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151.2</w:t>
            </w:r>
          </w:p>
        </w:tc>
      </w:tr>
      <w:tr w:rsidR="00684A34" w:rsidRPr="00863BFF" w14:paraId="025FD6A6" w14:textId="77777777" w:rsidTr="008949C9">
        <w:trPr>
          <w:jc w:val="center"/>
        </w:trPr>
        <w:tc>
          <w:tcPr>
            <w:cnfStyle w:val="000010000000" w:firstRow="0" w:lastRow="0" w:firstColumn="0" w:lastColumn="0" w:oddVBand="1" w:evenVBand="0" w:oddHBand="0" w:evenHBand="0" w:firstRowFirstColumn="0" w:firstRowLastColumn="0" w:lastRowFirstColumn="0" w:lastRowLastColumn="0"/>
            <w:tcW w:w="3750" w:type="dxa"/>
          </w:tcPr>
          <w:p w14:paraId="1C59E602"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Asset turnover (x)</w:t>
            </w:r>
          </w:p>
        </w:tc>
        <w:tc>
          <w:tcPr>
            <w:tcW w:w="1080" w:type="dxa"/>
          </w:tcPr>
          <w:p w14:paraId="3FD98CDB"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0.62</w:t>
            </w:r>
          </w:p>
        </w:tc>
        <w:tc>
          <w:tcPr>
            <w:cnfStyle w:val="000010000000" w:firstRow="0" w:lastRow="0" w:firstColumn="0" w:lastColumn="0" w:oddVBand="1" w:evenVBand="0" w:oddHBand="0" w:evenHBand="0" w:firstRowFirstColumn="0" w:firstRowLastColumn="0" w:lastRowFirstColumn="0" w:lastRowLastColumn="0"/>
            <w:tcW w:w="1081" w:type="dxa"/>
          </w:tcPr>
          <w:p w14:paraId="17FD74E5"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0.92</w:t>
            </w:r>
          </w:p>
        </w:tc>
        <w:tc>
          <w:tcPr>
            <w:tcW w:w="1080" w:type="dxa"/>
          </w:tcPr>
          <w:p w14:paraId="717A25AB"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0.96</w:t>
            </w:r>
          </w:p>
        </w:tc>
        <w:tc>
          <w:tcPr>
            <w:cnfStyle w:val="000010000000" w:firstRow="0" w:lastRow="0" w:firstColumn="0" w:lastColumn="0" w:oddVBand="1" w:evenVBand="0" w:oddHBand="0" w:evenHBand="0" w:firstRowFirstColumn="0" w:firstRowLastColumn="0" w:lastRowFirstColumn="0" w:lastRowLastColumn="0"/>
            <w:tcW w:w="1079" w:type="dxa"/>
          </w:tcPr>
          <w:p w14:paraId="7603FEF7"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1.04</w:t>
            </w:r>
          </w:p>
        </w:tc>
        <w:tc>
          <w:tcPr>
            <w:tcW w:w="1080" w:type="dxa"/>
          </w:tcPr>
          <w:p w14:paraId="12592EA9"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0.97</w:t>
            </w:r>
          </w:p>
        </w:tc>
      </w:tr>
    </w:tbl>
    <w:p w14:paraId="31BA5C32" w14:textId="6B3C0587" w:rsidR="00684A34" w:rsidRPr="008949C9" w:rsidRDefault="006A1283" w:rsidP="008949C9">
      <w:pPr>
        <w:spacing w:line="360" w:lineRule="auto"/>
        <w:jc w:val="center"/>
        <w:rPr>
          <w:rFonts w:ascii="Times New Roman" w:hAnsi="Times New Roman" w:cs="Times New Roman"/>
          <w:b/>
          <w:bCs/>
          <w:color w:val="000000" w:themeColor="text1"/>
        </w:rPr>
      </w:pPr>
      <w:r w:rsidRPr="008949C9">
        <w:rPr>
          <w:rFonts w:ascii="Times New Roman" w:hAnsi="Times New Roman" w:cs="Times New Roman"/>
          <w:b/>
          <w:bCs/>
          <w:i/>
          <w:iCs/>
          <w:color w:val="000000" w:themeColor="text1"/>
        </w:rPr>
        <w:t>Table 4. Efficiency and Gearing Ratios, 2021–2025. Source: IHG (2025) and StockAnalysis (2026).</w:t>
      </w:r>
    </w:p>
    <w:p w14:paraId="556FC55A" w14:textId="77777777" w:rsidR="00684A34" w:rsidRPr="00863BFF" w:rsidRDefault="006A1283" w:rsidP="008949C9">
      <w:pPr>
        <w:spacing w:line="360" w:lineRule="auto"/>
        <w:jc w:val="center"/>
        <w:rPr>
          <w:rFonts w:ascii="Times New Roman" w:hAnsi="Times New Roman" w:cs="Times New Roman"/>
          <w:color w:val="000000" w:themeColor="text1"/>
        </w:rPr>
      </w:pPr>
      <w:r w:rsidRPr="00863BFF">
        <w:rPr>
          <w:rFonts w:ascii="Times New Roman" w:hAnsi="Times New Roman" w:cs="Times New Roman"/>
          <w:noProof/>
          <w:color w:val="000000" w:themeColor="text1"/>
        </w:rPr>
        <w:drawing>
          <wp:inline distT="0" distB="0" distL="0" distR="0" wp14:anchorId="4F3C4EDA" wp14:editId="735039A9">
            <wp:extent cx="5439178" cy="2842260"/>
            <wp:effectExtent l="0" t="0" r="0" b="0"/>
            <wp:docPr id="4"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
                    <pic:cNvPicPr>
                      <a:picLocks noChangeAspect="1" noChangeArrowheads="1"/>
                    </pic:cNvPicPr>
                  </pic:nvPicPr>
                  <pic:blipFill rotWithShape="1">
                    <a:blip r:embed="rId12"/>
                    <a:srcRect t="8359" b="1"/>
                    <a:stretch>
                      <a:fillRect/>
                    </a:stretch>
                  </pic:blipFill>
                  <pic:spPr bwMode="auto">
                    <a:xfrm>
                      <a:off x="0" y="0"/>
                      <a:ext cx="5444759" cy="2845177"/>
                    </a:xfrm>
                    <a:prstGeom prst="rect">
                      <a:avLst/>
                    </a:prstGeom>
                    <a:ln>
                      <a:noFill/>
                    </a:ln>
                    <a:extLst>
                      <a:ext uri="{53640926-AAD7-44D8-BBD7-CCE9431645EC}">
                        <a14:shadowObscured xmlns:a14="http://schemas.microsoft.com/office/drawing/2010/main"/>
                      </a:ext>
                    </a:extLst>
                  </pic:spPr>
                </pic:pic>
              </a:graphicData>
            </a:graphic>
          </wp:inline>
        </w:drawing>
      </w:r>
    </w:p>
    <w:p w14:paraId="3BF300B6" w14:textId="74485DC1" w:rsidR="00684A34" w:rsidRPr="00863BFF" w:rsidRDefault="006A1283" w:rsidP="008949C9">
      <w:pPr>
        <w:spacing w:line="360" w:lineRule="auto"/>
        <w:jc w:val="center"/>
        <w:rPr>
          <w:rFonts w:ascii="Times New Roman" w:hAnsi="Times New Roman" w:cs="Times New Roman"/>
          <w:color w:val="000000" w:themeColor="text1"/>
        </w:rPr>
      </w:pPr>
      <w:r w:rsidRPr="008949C9">
        <w:rPr>
          <w:rFonts w:ascii="Times New Roman" w:hAnsi="Times New Roman" w:cs="Times New Roman"/>
          <w:b/>
          <w:bCs/>
          <w:i/>
          <w:iCs/>
          <w:color w:val="000000" w:themeColor="text1"/>
        </w:rPr>
        <w:t>Figure 5. Net debt and leverage, 2021–2025</w:t>
      </w:r>
      <w:r w:rsidRPr="00863BFF">
        <w:rPr>
          <w:rFonts w:ascii="Times New Roman" w:hAnsi="Times New Roman" w:cs="Times New Roman"/>
          <w:i/>
          <w:iCs/>
          <w:color w:val="000000" w:themeColor="text1"/>
        </w:rPr>
        <w:t>.</w:t>
      </w:r>
    </w:p>
    <w:p w14:paraId="545270DE" w14:textId="77777777" w:rsidR="007C2B7E" w:rsidRPr="00863BFF" w:rsidRDefault="007C2B7E"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The threat of the rising net-debt trajectory (Figure 5) is the main risk this analysis identifies. Empirical studies of the hotel industry demonstrate that, up to a certain debt level, debt and interest tax shields increase the value of the firm; thereafter, over-leveraging leads to a decline in profitability and an increase in distress risk when the demand for hotel services fluctuates (Chen et al., 2024; Botta, 2019). IHG is relying on leverage to pay out to shareholders and not on organic investment, which can only continue as long as cash generation outstrips interest rates. With the return of revenue, the measures of asset turnover rose, from 0.62x to around 1.0x.</w:t>
      </w:r>
    </w:p>
    <w:p w14:paraId="7556BC3A" w14:textId="528F7518" w:rsidR="007C2B7E" w:rsidRPr="00863BFF" w:rsidRDefault="007C2B7E" w:rsidP="008949C9">
      <w:pPr>
        <w:pStyle w:val="Heading2"/>
      </w:pPr>
      <w:r w:rsidRPr="00863BFF">
        <w:t xml:space="preserve"> </w:t>
      </w:r>
      <w:bookmarkStart w:id="6" w:name="_Toc237448034"/>
      <w:r w:rsidRPr="00863BFF">
        <w:t>Cash-Flow Analysis</w:t>
      </w:r>
      <w:bookmarkEnd w:id="6"/>
    </w:p>
    <w:p w14:paraId="5CE30D7B" w14:textId="79C0D275" w:rsidR="00684A34" w:rsidRPr="00863BFF" w:rsidRDefault="007C2B7E"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 xml:space="preserve"> It is a fundamental asset to generate cash. Operating cash flow rose from US$636m in 2021 to US$898m in 2025, and free cash flow from US$619m to US$870m (Table 5, Figure 6). Capital spending is very low, usually &lt;US$30m per year, and a good sign of the asset-light approach and why the free-cash-flow margin is still fairly high at 14–21% of revenues. IHG has a negative book equity (2025), but is able to pay its debts and generate free cash flow.</w:t>
      </w:r>
    </w:p>
    <w:tbl>
      <w:tblPr>
        <w:tblStyle w:val="GridTable5Dark-Accent6"/>
        <w:tblW w:w="9330" w:type="dxa"/>
        <w:jc w:val="center"/>
        <w:tblLayout w:type="fixed"/>
        <w:tblLook w:val="0000" w:firstRow="0" w:lastRow="0" w:firstColumn="0" w:lastColumn="0" w:noHBand="0" w:noVBand="0"/>
      </w:tblPr>
      <w:tblGrid>
        <w:gridCol w:w="3930"/>
        <w:gridCol w:w="1080"/>
        <w:gridCol w:w="1081"/>
        <w:gridCol w:w="1080"/>
        <w:gridCol w:w="1079"/>
        <w:gridCol w:w="1080"/>
      </w:tblGrid>
      <w:tr w:rsidR="00684A34" w:rsidRPr="00863BFF" w14:paraId="2BD7CC17" w14:textId="77777777" w:rsidTr="008949C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3930" w:type="dxa"/>
          </w:tcPr>
          <w:p w14:paraId="0D890067" w14:textId="77777777" w:rsidR="00684A34" w:rsidRPr="008949C9" w:rsidRDefault="006A1283" w:rsidP="008949C9">
            <w:pPr>
              <w:spacing w:line="360" w:lineRule="auto"/>
              <w:jc w:val="center"/>
              <w:rPr>
                <w:rFonts w:ascii="Times New Roman" w:hAnsi="Times New Roman" w:cs="Times New Roman"/>
                <w:b/>
                <w:bCs/>
                <w:color w:val="000000" w:themeColor="text1"/>
              </w:rPr>
            </w:pPr>
            <w:r w:rsidRPr="008949C9">
              <w:rPr>
                <w:rFonts w:ascii="Times New Roman" w:hAnsi="Times New Roman" w:cs="Times New Roman"/>
                <w:b/>
                <w:bCs/>
                <w:color w:val="000000" w:themeColor="text1"/>
              </w:rPr>
              <w:t>Measure</w:t>
            </w:r>
          </w:p>
        </w:tc>
        <w:tc>
          <w:tcPr>
            <w:tcW w:w="1080" w:type="dxa"/>
          </w:tcPr>
          <w:p w14:paraId="5BE1254A" w14:textId="77777777" w:rsidR="00684A34" w:rsidRPr="008949C9" w:rsidRDefault="006A1283" w:rsidP="008949C9">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themeColor="text1"/>
              </w:rPr>
            </w:pPr>
            <w:r w:rsidRPr="008949C9">
              <w:rPr>
                <w:rFonts w:ascii="Times New Roman" w:hAnsi="Times New Roman" w:cs="Times New Roman"/>
                <w:b/>
                <w:bCs/>
                <w:color w:val="000000" w:themeColor="text1"/>
              </w:rPr>
              <w:t>2021</w:t>
            </w:r>
          </w:p>
        </w:tc>
        <w:tc>
          <w:tcPr>
            <w:cnfStyle w:val="000010000000" w:firstRow="0" w:lastRow="0" w:firstColumn="0" w:lastColumn="0" w:oddVBand="1" w:evenVBand="0" w:oddHBand="0" w:evenHBand="0" w:firstRowFirstColumn="0" w:firstRowLastColumn="0" w:lastRowFirstColumn="0" w:lastRowLastColumn="0"/>
            <w:tcW w:w="1081" w:type="dxa"/>
          </w:tcPr>
          <w:p w14:paraId="676078B9" w14:textId="77777777" w:rsidR="00684A34" w:rsidRPr="008949C9" w:rsidRDefault="006A1283" w:rsidP="008949C9">
            <w:pPr>
              <w:spacing w:line="360" w:lineRule="auto"/>
              <w:jc w:val="center"/>
              <w:rPr>
                <w:rFonts w:ascii="Times New Roman" w:hAnsi="Times New Roman" w:cs="Times New Roman"/>
                <w:b/>
                <w:bCs/>
                <w:color w:val="000000" w:themeColor="text1"/>
              </w:rPr>
            </w:pPr>
            <w:r w:rsidRPr="008949C9">
              <w:rPr>
                <w:rFonts w:ascii="Times New Roman" w:hAnsi="Times New Roman" w:cs="Times New Roman"/>
                <w:b/>
                <w:bCs/>
                <w:color w:val="000000" w:themeColor="text1"/>
              </w:rPr>
              <w:t>2022</w:t>
            </w:r>
          </w:p>
        </w:tc>
        <w:tc>
          <w:tcPr>
            <w:tcW w:w="1080" w:type="dxa"/>
          </w:tcPr>
          <w:p w14:paraId="7B04402C" w14:textId="77777777" w:rsidR="00684A34" w:rsidRPr="008949C9" w:rsidRDefault="006A1283" w:rsidP="008949C9">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themeColor="text1"/>
              </w:rPr>
            </w:pPr>
            <w:r w:rsidRPr="008949C9">
              <w:rPr>
                <w:rFonts w:ascii="Times New Roman" w:hAnsi="Times New Roman" w:cs="Times New Roman"/>
                <w:b/>
                <w:bCs/>
                <w:color w:val="000000" w:themeColor="text1"/>
              </w:rPr>
              <w:t>2023</w:t>
            </w:r>
          </w:p>
        </w:tc>
        <w:tc>
          <w:tcPr>
            <w:cnfStyle w:val="000010000000" w:firstRow="0" w:lastRow="0" w:firstColumn="0" w:lastColumn="0" w:oddVBand="1" w:evenVBand="0" w:oddHBand="0" w:evenHBand="0" w:firstRowFirstColumn="0" w:firstRowLastColumn="0" w:lastRowFirstColumn="0" w:lastRowLastColumn="0"/>
            <w:tcW w:w="1079" w:type="dxa"/>
          </w:tcPr>
          <w:p w14:paraId="6D1ED88F" w14:textId="77777777" w:rsidR="00684A34" w:rsidRPr="008949C9" w:rsidRDefault="006A1283" w:rsidP="008949C9">
            <w:pPr>
              <w:spacing w:line="360" w:lineRule="auto"/>
              <w:jc w:val="center"/>
              <w:rPr>
                <w:rFonts w:ascii="Times New Roman" w:hAnsi="Times New Roman" w:cs="Times New Roman"/>
                <w:b/>
                <w:bCs/>
                <w:color w:val="000000" w:themeColor="text1"/>
              </w:rPr>
            </w:pPr>
            <w:r w:rsidRPr="008949C9">
              <w:rPr>
                <w:rFonts w:ascii="Times New Roman" w:hAnsi="Times New Roman" w:cs="Times New Roman"/>
                <w:b/>
                <w:bCs/>
                <w:color w:val="000000" w:themeColor="text1"/>
              </w:rPr>
              <w:t>2024</w:t>
            </w:r>
          </w:p>
        </w:tc>
        <w:tc>
          <w:tcPr>
            <w:tcW w:w="1080" w:type="dxa"/>
          </w:tcPr>
          <w:p w14:paraId="5366DA76" w14:textId="77777777" w:rsidR="00684A34" w:rsidRPr="008949C9" w:rsidRDefault="006A1283" w:rsidP="008949C9">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themeColor="text1"/>
              </w:rPr>
            </w:pPr>
            <w:r w:rsidRPr="008949C9">
              <w:rPr>
                <w:rFonts w:ascii="Times New Roman" w:hAnsi="Times New Roman" w:cs="Times New Roman"/>
                <w:b/>
                <w:bCs/>
                <w:color w:val="000000" w:themeColor="text1"/>
              </w:rPr>
              <w:t>2025</w:t>
            </w:r>
          </w:p>
        </w:tc>
      </w:tr>
      <w:tr w:rsidR="00684A34" w:rsidRPr="00863BFF" w14:paraId="62F50F69" w14:textId="77777777" w:rsidTr="008949C9">
        <w:trPr>
          <w:jc w:val="center"/>
        </w:trPr>
        <w:tc>
          <w:tcPr>
            <w:cnfStyle w:val="000010000000" w:firstRow="0" w:lastRow="0" w:firstColumn="0" w:lastColumn="0" w:oddVBand="1" w:evenVBand="0" w:oddHBand="0" w:evenHBand="0" w:firstRowFirstColumn="0" w:firstRowLastColumn="0" w:lastRowFirstColumn="0" w:lastRowLastColumn="0"/>
            <w:tcW w:w="3930" w:type="dxa"/>
          </w:tcPr>
          <w:p w14:paraId="10BD656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Operating cash flow (US$m)</w:t>
            </w:r>
          </w:p>
        </w:tc>
        <w:tc>
          <w:tcPr>
            <w:tcW w:w="1080" w:type="dxa"/>
          </w:tcPr>
          <w:p w14:paraId="4CE8BC9F"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636</w:t>
            </w:r>
          </w:p>
        </w:tc>
        <w:tc>
          <w:tcPr>
            <w:cnfStyle w:val="000010000000" w:firstRow="0" w:lastRow="0" w:firstColumn="0" w:lastColumn="0" w:oddVBand="1" w:evenVBand="0" w:oddHBand="0" w:evenHBand="0" w:firstRowFirstColumn="0" w:firstRowLastColumn="0" w:lastRowFirstColumn="0" w:lastRowLastColumn="0"/>
            <w:tcW w:w="1081" w:type="dxa"/>
          </w:tcPr>
          <w:p w14:paraId="1798F82E"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646</w:t>
            </w:r>
          </w:p>
        </w:tc>
        <w:tc>
          <w:tcPr>
            <w:tcW w:w="1080" w:type="dxa"/>
          </w:tcPr>
          <w:p w14:paraId="6275BD13"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893</w:t>
            </w:r>
          </w:p>
        </w:tc>
        <w:tc>
          <w:tcPr>
            <w:cnfStyle w:val="000010000000" w:firstRow="0" w:lastRow="0" w:firstColumn="0" w:lastColumn="0" w:oddVBand="1" w:evenVBand="0" w:oddHBand="0" w:evenHBand="0" w:firstRowFirstColumn="0" w:firstRowLastColumn="0" w:lastRowFirstColumn="0" w:lastRowLastColumn="0"/>
            <w:tcW w:w="1079" w:type="dxa"/>
          </w:tcPr>
          <w:p w14:paraId="59E35CD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724</w:t>
            </w:r>
          </w:p>
        </w:tc>
        <w:tc>
          <w:tcPr>
            <w:tcW w:w="1080" w:type="dxa"/>
          </w:tcPr>
          <w:p w14:paraId="026E77C2"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898</w:t>
            </w:r>
          </w:p>
        </w:tc>
      </w:tr>
      <w:tr w:rsidR="00684A34" w:rsidRPr="00863BFF" w14:paraId="1168FF61" w14:textId="77777777" w:rsidTr="008949C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3930" w:type="dxa"/>
          </w:tcPr>
          <w:p w14:paraId="6E5D295A"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Capital expenditure (US$m)</w:t>
            </w:r>
          </w:p>
        </w:tc>
        <w:tc>
          <w:tcPr>
            <w:tcW w:w="1080" w:type="dxa"/>
          </w:tcPr>
          <w:p w14:paraId="07085C5B"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17</w:t>
            </w:r>
          </w:p>
        </w:tc>
        <w:tc>
          <w:tcPr>
            <w:cnfStyle w:val="000010000000" w:firstRow="0" w:lastRow="0" w:firstColumn="0" w:lastColumn="0" w:oddVBand="1" w:evenVBand="0" w:oddHBand="0" w:evenHBand="0" w:firstRowFirstColumn="0" w:firstRowLastColumn="0" w:lastRowFirstColumn="0" w:lastRowLastColumn="0"/>
            <w:tcW w:w="1081" w:type="dxa"/>
          </w:tcPr>
          <w:p w14:paraId="66CBCFDF"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54</w:t>
            </w:r>
          </w:p>
        </w:tc>
        <w:tc>
          <w:tcPr>
            <w:tcW w:w="1080" w:type="dxa"/>
          </w:tcPr>
          <w:p w14:paraId="33F27C6C"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28</w:t>
            </w:r>
          </w:p>
        </w:tc>
        <w:tc>
          <w:tcPr>
            <w:cnfStyle w:val="000010000000" w:firstRow="0" w:lastRow="0" w:firstColumn="0" w:lastColumn="0" w:oddVBand="1" w:evenVBand="0" w:oddHBand="0" w:evenHBand="0" w:firstRowFirstColumn="0" w:firstRowLastColumn="0" w:lastRowFirstColumn="0" w:lastRowLastColumn="0"/>
            <w:tcW w:w="1079" w:type="dxa"/>
          </w:tcPr>
          <w:p w14:paraId="789C0FFA"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29</w:t>
            </w:r>
          </w:p>
        </w:tc>
        <w:tc>
          <w:tcPr>
            <w:tcW w:w="1080" w:type="dxa"/>
          </w:tcPr>
          <w:p w14:paraId="161DD45F"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28</w:t>
            </w:r>
          </w:p>
        </w:tc>
      </w:tr>
      <w:tr w:rsidR="00684A34" w:rsidRPr="00863BFF" w14:paraId="3FA5F079" w14:textId="77777777" w:rsidTr="008949C9">
        <w:trPr>
          <w:jc w:val="center"/>
        </w:trPr>
        <w:tc>
          <w:tcPr>
            <w:cnfStyle w:val="000010000000" w:firstRow="0" w:lastRow="0" w:firstColumn="0" w:lastColumn="0" w:oddVBand="1" w:evenVBand="0" w:oddHBand="0" w:evenHBand="0" w:firstRowFirstColumn="0" w:firstRowLastColumn="0" w:lastRowFirstColumn="0" w:lastRowLastColumn="0"/>
            <w:tcW w:w="3930" w:type="dxa"/>
          </w:tcPr>
          <w:p w14:paraId="0419EEEE"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Free cash flow (US$m)</w:t>
            </w:r>
          </w:p>
        </w:tc>
        <w:tc>
          <w:tcPr>
            <w:tcW w:w="1080" w:type="dxa"/>
          </w:tcPr>
          <w:p w14:paraId="71EFC6E5"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619</w:t>
            </w:r>
          </w:p>
        </w:tc>
        <w:tc>
          <w:tcPr>
            <w:cnfStyle w:val="000010000000" w:firstRow="0" w:lastRow="0" w:firstColumn="0" w:lastColumn="0" w:oddVBand="1" w:evenVBand="0" w:oddHBand="0" w:evenHBand="0" w:firstRowFirstColumn="0" w:firstRowLastColumn="0" w:lastRowFirstColumn="0" w:lastRowLastColumn="0"/>
            <w:tcW w:w="1081" w:type="dxa"/>
          </w:tcPr>
          <w:p w14:paraId="16AE465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592</w:t>
            </w:r>
          </w:p>
        </w:tc>
        <w:tc>
          <w:tcPr>
            <w:tcW w:w="1080" w:type="dxa"/>
          </w:tcPr>
          <w:p w14:paraId="36CE2B56"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865</w:t>
            </w:r>
          </w:p>
        </w:tc>
        <w:tc>
          <w:tcPr>
            <w:cnfStyle w:val="000010000000" w:firstRow="0" w:lastRow="0" w:firstColumn="0" w:lastColumn="0" w:oddVBand="1" w:evenVBand="0" w:oddHBand="0" w:evenHBand="0" w:firstRowFirstColumn="0" w:firstRowLastColumn="0" w:lastRowFirstColumn="0" w:lastRowLastColumn="0"/>
            <w:tcW w:w="1079" w:type="dxa"/>
          </w:tcPr>
          <w:p w14:paraId="1E615C02"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695</w:t>
            </w:r>
          </w:p>
        </w:tc>
        <w:tc>
          <w:tcPr>
            <w:tcW w:w="1080" w:type="dxa"/>
          </w:tcPr>
          <w:p w14:paraId="1813836F"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870</w:t>
            </w:r>
          </w:p>
        </w:tc>
      </w:tr>
      <w:tr w:rsidR="00684A34" w:rsidRPr="00863BFF" w14:paraId="601FF69A" w14:textId="77777777" w:rsidTr="008949C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3930" w:type="dxa"/>
          </w:tcPr>
          <w:p w14:paraId="5C071FCE"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FCF margin (%)</w:t>
            </w:r>
          </w:p>
        </w:tc>
        <w:tc>
          <w:tcPr>
            <w:tcW w:w="1080" w:type="dxa"/>
          </w:tcPr>
          <w:p w14:paraId="185C177A"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21.3</w:t>
            </w:r>
          </w:p>
        </w:tc>
        <w:tc>
          <w:tcPr>
            <w:cnfStyle w:val="000010000000" w:firstRow="0" w:lastRow="0" w:firstColumn="0" w:lastColumn="0" w:oddVBand="1" w:evenVBand="0" w:oddHBand="0" w:evenHBand="0" w:firstRowFirstColumn="0" w:firstRowLastColumn="0" w:lastRowFirstColumn="0" w:lastRowLastColumn="0"/>
            <w:tcW w:w="1081" w:type="dxa"/>
          </w:tcPr>
          <w:p w14:paraId="1FFD5D8B"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15.2</w:t>
            </w:r>
          </w:p>
        </w:tc>
        <w:tc>
          <w:tcPr>
            <w:tcW w:w="1080" w:type="dxa"/>
          </w:tcPr>
          <w:p w14:paraId="55FA5624"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18.7</w:t>
            </w:r>
          </w:p>
        </w:tc>
        <w:tc>
          <w:tcPr>
            <w:cnfStyle w:val="000010000000" w:firstRow="0" w:lastRow="0" w:firstColumn="0" w:lastColumn="0" w:oddVBand="1" w:evenVBand="0" w:oddHBand="0" w:evenHBand="0" w:firstRowFirstColumn="0" w:firstRowLastColumn="0" w:lastRowFirstColumn="0" w:lastRowLastColumn="0"/>
            <w:tcW w:w="1079" w:type="dxa"/>
          </w:tcPr>
          <w:p w14:paraId="7FC7893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14.1</w:t>
            </w:r>
          </w:p>
        </w:tc>
        <w:tc>
          <w:tcPr>
            <w:tcW w:w="1080" w:type="dxa"/>
          </w:tcPr>
          <w:p w14:paraId="24E77FD6"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16.8</w:t>
            </w:r>
          </w:p>
        </w:tc>
      </w:tr>
      <w:tr w:rsidR="00684A34" w:rsidRPr="00863BFF" w14:paraId="74F9333C" w14:textId="77777777" w:rsidTr="008949C9">
        <w:trPr>
          <w:jc w:val="center"/>
        </w:trPr>
        <w:tc>
          <w:tcPr>
            <w:cnfStyle w:val="000010000000" w:firstRow="0" w:lastRow="0" w:firstColumn="0" w:lastColumn="0" w:oddVBand="1" w:evenVBand="0" w:oddHBand="0" w:evenHBand="0" w:firstRowFirstColumn="0" w:firstRowLastColumn="0" w:lastRowFirstColumn="0" w:lastRowLastColumn="0"/>
            <w:tcW w:w="3930" w:type="dxa"/>
          </w:tcPr>
          <w:p w14:paraId="4544652F"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Dividend per share (US$)</w:t>
            </w:r>
          </w:p>
        </w:tc>
        <w:tc>
          <w:tcPr>
            <w:tcW w:w="1080" w:type="dxa"/>
          </w:tcPr>
          <w:p w14:paraId="6BEAA3D9"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0.859</w:t>
            </w:r>
          </w:p>
        </w:tc>
        <w:tc>
          <w:tcPr>
            <w:cnfStyle w:val="000010000000" w:firstRow="0" w:lastRow="0" w:firstColumn="0" w:lastColumn="0" w:oddVBand="1" w:evenVBand="0" w:oddHBand="0" w:evenHBand="0" w:firstRowFirstColumn="0" w:firstRowLastColumn="0" w:lastRowFirstColumn="0" w:lastRowLastColumn="0"/>
            <w:tcW w:w="1081" w:type="dxa"/>
          </w:tcPr>
          <w:p w14:paraId="239CABA1"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1.384</w:t>
            </w:r>
          </w:p>
        </w:tc>
        <w:tc>
          <w:tcPr>
            <w:tcW w:w="1080" w:type="dxa"/>
          </w:tcPr>
          <w:p w14:paraId="4C70F343"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1.523</w:t>
            </w:r>
          </w:p>
        </w:tc>
        <w:tc>
          <w:tcPr>
            <w:cnfStyle w:val="000010000000" w:firstRow="0" w:lastRow="0" w:firstColumn="0" w:lastColumn="0" w:oddVBand="1" w:evenVBand="0" w:oddHBand="0" w:evenHBand="0" w:firstRowFirstColumn="0" w:firstRowLastColumn="0" w:lastRowFirstColumn="0" w:lastRowLastColumn="0"/>
            <w:tcW w:w="1079" w:type="dxa"/>
          </w:tcPr>
          <w:p w14:paraId="24313EE3"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1.676</w:t>
            </w:r>
          </w:p>
        </w:tc>
        <w:tc>
          <w:tcPr>
            <w:tcW w:w="1080" w:type="dxa"/>
          </w:tcPr>
          <w:p w14:paraId="10465360"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1.845</w:t>
            </w:r>
          </w:p>
        </w:tc>
      </w:tr>
    </w:tbl>
    <w:p w14:paraId="172F68D4" w14:textId="5A2AD1D9" w:rsidR="00684A34" w:rsidRPr="008949C9" w:rsidRDefault="006A1283" w:rsidP="008949C9">
      <w:pPr>
        <w:spacing w:line="360" w:lineRule="auto"/>
        <w:jc w:val="center"/>
        <w:rPr>
          <w:rFonts w:ascii="Times New Roman" w:hAnsi="Times New Roman" w:cs="Times New Roman"/>
          <w:b/>
          <w:bCs/>
          <w:color w:val="000000" w:themeColor="text1"/>
        </w:rPr>
      </w:pPr>
      <w:r w:rsidRPr="008949C9">
        <w:rPr>
          <w:rFonts w:ascii="Times New Roman" w:hAnsi="Times New Roman" w:cs="Times New Roman"/>
          <w:b/>
          <w:bCs/>
          <w:i/>
          <w:iCs/>
          <w:color w:val="000000" w:themeColor="text1"/>
        </w:rPr>
        <w:t>Table 5. Investment and Cash-Flow Ratios, 2021–2025. Source: IHG (2025).</w:t>
      </w:r>
    </w:p>
    <w:p w14:paraId="10D55360" w14:textId="77777777" w:rsidR="00684A34" w:rsidRPr="00863BFF" w:rsidRDefault="006A1283" w:rsidP="008949C9">
      <w:pPr>
        <w:spacing w:line="360" w:lineRule="auto"/>
        <w:jc w:val="center"/>
        <w:rPr>
          <w:rFonts w:ascii="Times New Roman" w:hAnsi="Times New Roman" w:cs="Times New Roman"/>
          <w:color w:val="000000" w:themeColor="text1"/>
        </w:rPr>
      </w:pPr>
      <w:r w:rsidRPr="00863BFF">
        <w:rPr>
          <w:rFonts w:ascii="Times New Roman" w:hAnsi="Times New Roman" w:cs="Times New Roman"/>
          <w:noProof/>
          <w:color w:val="000000" w:themeColor="text1"/>
        </w:rPr>
        <w:drawing>
          <wp:inline distT="0" distB="0" distL="0" distR="0" wp14:anchorId="2CBD1D7E" wp14:editId="1F69FEE8">
            <wp:extent cx="5505450" cy="2830036"/>
            <wp:effectExtent l="0" t="0" r="0" b="0"/>
            <wp:docPr id="5"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5"/>
                    <pic:cNvPicPr>
                      <a:picLocks noChangeAspect="1" noChangeArrowheads="1"/>
                    </pic:cNvPicPr>
                  </pic:nvPicPr>
                  <pic:blipFill rotWithShape="1">
                    <a:blip r:embed="rId13"/>
                    <a:srcRect t="9851"/>
                    <a:stretch>
                      <a:fillRect/>
                    </a:stretch>
                  </pic:blipFill>
                  <pic:spPr bwMode="auto">
                    <a:xfrm>
                      <a:off x="0" y="0"/>
                      <a:ext cx="5512955" cy="2833894"/>
                    </a:xfrm>
                    <a:prstGeom prst="rect">
                      <a:avLst/>
                    </a:prstGeom>
                    <a:ln>
                      <a:noFill/>
                    </a:ln>
                    <a:extLst>
                      <a:ext uri="{53640926-AAD7-44D8-BBD7-CCE9431645EC}">
                        <a14:shadowObscured xmlns:a14="http://schemas.microsoft.com/office/drawing/2010/main"/>
                      </a:ext>
                    </a:extLst>
                  </pic:spPr>
                </pic:pic>
              </a:graphicData>
            </a:graphic>
          </wp:inline>
        </w:drawing>
      </w:r>
    </w:p>
    <w:p w14:paraId="62EC52DA" w14:textId="744C2796" w:rsidR="00684A34" w:rsidRPr="008949C9" w:rsidRDefault="006A1283" w:rsidP="008949C9">
      <w:pPr>
        <w:spacing w:line="360" w:lineRule="auto"/>
        <w:jc w:val="center"/>
        <w:rPr>
          <w:rFonts w:ascii="Times New Roman" w:hAnsi="Times New Roman" w:cs="Times New Roman"/>
          <w:b/>
          <w:bCs/>
          <w:color w:val="000000" w:themeColor="text1"/>
        </w:rPr>
      </w:pPr>
      <w:r w:rsidRPr="008949C9">
        <w:rPr>
          <w:rFonts w:ascii="Times New Roman" w:hAnsi="Times New Roman" w:cs="Times New Roman"/>
          <w:b/>
          <w:bCs/>
          <w:i/>
          <w:iCs/>
          <w:color w:val="000000" w:themeColor="text1"/>
        </w:rPr>
        <w:t>Figure 6. Cash-flow generation, 2021–2025.</w:t>
      </w:r>
    </w:p>
    <w:p w14:paraId="1F337241" w14:textId="5B035695" w:rsidR="00684A34" w:rsidRPr="00863BFF" w:rsidRDefault="006A1283" w:rsidP="008949C9">
      <w:pPr>
        <w:pStyle w:val="Heading2"/>
      </w:pPr>
      <w:bookmarkStart w:id="7" w:name="_Toc237448035"/>
      <w:r w:rsidRPr="00863BFF">
        <w:t>Trends, Strengths and Threats</w:t>
      </w:r>
      <w:bookmarkEnd w:id="7"/>
    </w:p>
    <w:p w14:paraId="3190B73F" w14:textId="49CE932D" w:rsidR="007C2B7E" w:rsidRPr="00863BFF" w:rsidRDefault="007C2B7E"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 xml:space="preserve">The key strengths of IHG are therefore: (i) high and improving profit margins (OPM &gt; 23%) and ROCE (around 37%), with low capital intensity; (ii) strong free cash generation despite low capital usage; and (iii) liquidity, though not textbook optimal, but better than key peers. The three biggest risks are: (i) a sub-1.0 current ratio, which provides little resistance to a demand shock; (ii) dependence on discretionary travellers from abroad, which is cyclical and vulnerable to macro-economic and geo-political risks; and (iii) the build-up of net debt, reducing financial flexibility (Robinson, 2020). The following suggestions for </w:t>
      </w:r>
      <w:r w:rsidR="008949C9" w:rsidRPr="00863BFF">
        <w:rPr>
          <w:rFonts w:ascii="Times New Roman" w:hAnsi="Times New Roman" w:cs="Times New Roman"/>
          <w:color w:val="000000" w:themeColor="text1"/>
        </w:rPr>
        <w:t>working capital</w:t>
      </w:r>
      <w:r w:rsidRPr="00863BFF">
        <w:rPr>
          <w:rFonts w:ascii="Times New Roman" w:hAnsi="Times New Roman" w:cs="Times New Roman"/>
          <w:color w:val="000000" w:themeColor="text1"/>
        </w:rPr>
        <w:t xml:space="preserve"> and restructuring are based on these findings. </w:t>
      </w:r>
      <w:r w:rsidRPr="00863BFF">
        <w:rPr>
          <w:rFonts w:ascii="Times New Roman" w:hAnsi="Times New Roman" w:cs="Times New Roman"/>
          <w:color w:val="000000" w:themeColor="text1"/>
        </w:rPr>
        <w:t> </w:t>
      </w:r>
      <w:r w:rsidRPr="00863BFF">
        <w:rPr>
          <w:rFonts w:ascii="Times New Roman" w:hAnsi="Times New Roman" w:cs="Times New Roman"/>
          <w:color w:val="000000" w:themeColor="text1"/>
        </w:rPr>
        <w:t xml:space="preserve"> </w:t>
      </w:r>
    </w:p>
    <w:p w14:paraId="09D61AD1" w14:textId="456DA711" w:rsidR="007C2B7E" w:rsidRPr="00863BFF" w:rsidRDefault="007C2B7E" w:rsidP="008949C9">
      <w:pPr>
        <w:pStyle w:val="Heading1"/>
      </w:pPr>
      <w:bookmarkStart w:id="8" w:name="_Toc237448036"/>
      <w:r w:rsidRPr="00863BFF">
        <w:t>Working Capital Management Analysis</w:t>
      </w:r>
      <w:bookmarkEnd w:id="8"/>
      <w:r w:rsidRPr="00863BFF">
        <w:t xml:space="preserve"> </w:t>
      </w:r>
    </w:p>
    <w:p w14:paraId="356EE1B5" w14:textId="51F8FD5A" w:rsidR="007C2B7E" w:rsidRPr="00863BFF" w:rsidRDefault="007C2B7E" w:rsidP="008949C9">
      <w:pPr>
        <w:pStyle w:val="Heading2"/>
      </w:pPr>
      <w:bookmarkStart w:id="9" w:name="_Toc237448037"/>
      <w:r w:rsidRPr="00863BFF">
        <w:t>The Cash Operating Cycle</w:t>
      </w:r>
      <w:bookmarkEnd w:id="9"/>
      <w:r w:rsidRPr="00863BFF">
        <w:t xml:space="preserve"> </w:t>
      </w:r>
    </w:p>
    <w:p w14:paraId="5AC3925D" w14:textId="27E09F3F" w:rsidR="00684A34" w:rsidRPr="00863BFF" w:rsidRDefault="007C2B7E"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The cash operating cycle (also called the cash conversion cycle (CCC)) is the length of time a company takes to receive cash from its customers after it pays its suppliers. It can be computed as days sales outstanding (DSO) + days inventory outstanding (DIO)</w:t>
      </w:r>
      <w:r w:rsidR="008949C9">
        <w:rPr>
          <w:rFonts w:ascii="Times New Roman" w:hAnsi="Times New Roman" w:cs="Times New Roman"/>
          <w:color w:val="000000" w:themeColor="text1"/>
        </w:rPr>
        <w:t xml:space="preserve">, </w:t>
      </w:r>
      <w:r w:rsidRPr="00863BFF">
        <w:rPr>
          <w:rFonts w:ascii="Times New Roman" w:hAnsi="Times New Roman" w:cs="Times New Roman"/>
          <w:color w:val="000000" w:themeColor="text1"/>
        </w:rPr>
        <w:t>days payables outstanding (DPO). The shorter or negative CCC means that the company uses the supplier's credit to finance its operations, rather than using its own money, which helps the company lower its external financing requirements and increase its profits (Deloof, 2003; Wang, 2019).</w:t>
      </w:r>
    </w:p>
    <w:tbl>
      <w:tblPr>
        <w:tblStyle w:val="GridTable5Dark-Accent5"/>
        <w:tblW w:w="9420" w:type="dxa"/>
        <w:jc w:val="center"/>
        <w:tblLayout w:type="fixed"/>
        <w:tblLook w:val="0000" w:firstRow="0" w:lastRow="0" w:firstColumn="0" w:lastColumn="0" w:noHBand="0" w:noVBand="0"/>
      </w:tblPr>
      <w:tblGrid>
        <w:gridCol w:w="4020"/>
        <w:gridCol w:w="1080"/>
        <w:gridCol w:w="1081"/>
        <w:gridCol w:w="1080"/>
        <w:gridCol w:w="1079"/>
        <w:gridCol w:w="1080"/>
      </w:tblGrid>
      <w:tr w:rsidR="00684A34" w:rsidRPr="00863BFF" w14:paraId="116FB9CF" w14:textId="77777777" w:rsidTr="008949C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4020" w:type="dxa"/>
          </w:tcPr>
          <w:p w14:paraId="1BD2D8B9" w14:textId="77777777" w:rsidR="00684A34" w:rsidRPr="008949C9" w:rsidRDefault="006A1283" w:rsidP="008949C9">
            <w:pPr>
              <w:spacing w:line="360" w:lineRule="auto"/>
              <w:jc w:val="both"/>
              <w:rPr>
                <w:rFonts w:ascii="Times New Roman" w:hAnsi="Times New Roman" w:cs="Times New Roman"/>
                <w:b/>
                <w:bCs/>
                <w:color w:val="000000" w:themeColor="text1"/>
              </w:rPr>
            </w:pPr>
            <w:r w:rsidRPr="008949C9">
              <w:rPr>
                <w:rFonts w:ascii="Times New Roman" w:hAnsi="Times New Roman" w:cs="Times New Roman"/>
                <w:b/>
                <w:bCs/>
                <w:color w:val="000000" w:themeColor="text1"/>
              </w:rPr>
              <w:t>Component (days)</w:t>
            </w:r>
          </w:p>
        </w:tc>
        <w:tc>
          <w:tcPr>
            <w:tcW w:w="1080" w:type="dxa"/>
          </w:tcPr>
          <w:p w14:paraId="02D0EA02" w14:textId="77777777" w:rsidR="00684A34" w:rsidRPr="008949C9" w:rsidRDefault="006A1283" w:rsidP="008949C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themeColor="text1"/>
              </w:rPr>
            </w:pPr>
            <w:r w:rsidRPr="008949C9">
              <w:rPr>
                <w:rFonts w:ascii="Times New Roman" w:hAnsi="Times New Roman" w:cs="Times New Roman"/>
                <w:b/>
                <w:bCs/>
                <w:color w:val="000000" w:themeColor="text1"/>
              </w:rPr>
              <w:t>2021</w:t>
            </w:r>
          </w:p>
        </w:tc>
        <w:tc>
          <w:tcPr>
            <w:cnfStyle w:val="000010000000" w:firstRow="0" w:lastRow="0" w:firstColumn="0" w:lastColumn="0" w:oddVBand="1" w:evenVBand="0" w:oddHBand="0" w:evenHBand="0" w:firstRowFirstColumn="0" w:firstRowLastColumn="0" w:lastRowFirstColumn="0" w:lastRowLastColumn="0"/>
            <w:tcW w:w="1081" w:type="dxa"/>
          </w:tcPr>
          <w:p w14:paraId="23ADF611" w14:textId="77777777" w:rsidR="00684A34" w:rsidRPr="008949C9" w:rsidRDefault="006A1283" w:rsidP="008949C9">
            <w:pPr>
              <w:spacing w:line="360" w:lineRule="auto"/>
              <w:jc w:val="both"/>
              <w:rPr>
                <w:rFonts w:ascii="Times New Roman" w:hAnsi="Times New Roman" w:cs="Times New Roman"/>
                <w:b/>
                <w:bCs/>
                <w:color w:val="000000" w:themeColor="text1"/>
              </w:rPr>
            </w:pPr>
            <w:r w:rsidRPr="008949C9">
              <w:rPr>
                <w:rFonts w:ascii="Times New Roman" w:hAnsi="Times New Roman" w:cs="Times New Roman"/>
                <w:b/>
                <w:bCs/>
                <w:color w:val="000000" w:themeColor="text1"/>
              </w:rPr>
              <w:t>2022</w:t>
            </w:r>
          </w:p>
        </w:tc>
        <w:tc>
          <w:tcPr>
            <w:tcW w:w="1080" w:type="dxa"/>
          </w:tcPr>
          <w:p w14:paraId="63C5AB84" w14:textId="77777777" w:rsidR="00684A34" w:rsidRPr="008949C9" w:rsidRDefault="006A1283" w:rsidP="008949C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themeColor="text1"/>
              </w:rPr>
            </w:pPr>
            <w:r w:rsidRPr="008949C9">
              <w:rPr>
                <w:rFonts w:ascii="Times New Roman" w:hAnsi="Times New Roman" w:cs="Times New Roman"/>
                <w:b/>
                <w:bCs/>
                <w:color w:val="000000" w:themeColor="text1"/>
              </w:rPr>
              <w:t>2023</w:t>
            </w:r>
          </w:p>
        </w:tc>
        <w:tc>
          <w:tcPr>
            <w:cnfStyle w:val="000010000000" w:firstRow="0" w:lastRow="0" w:firstColumn="0" w:lastColumn="0" w:oddVBand="1" w:evenVBand="0" w:oddHBand="0" w:evenHBand="0" w:firstRowFirstColumn="0" w:firstRowLastColumn="0" w:lastRowFirstColumn="0" w:lastRowLastColumn="0"/>
            <w:tcW w:w="1079" w:type="dxa"/>
          </w:tcPr>
          <w:p w14:paraId="3151C06B" w14:textId="77777777" w:rsidR="00684A34" w:rsidRPr="008949C9" w:rsidRDefault="006A1283" w:rsidP="008949C9">
            <w:pPr>
              <w:spacing w:line="360" w:lineRule="auto"/>
              <w:jc w:val="both"/>
              <w:rPr>
                <w:rFonts w:ascii="Times New Roman" w:hAnsi="Times New Roman" w:cs="Times New Roman"/>
                <w:b/>
                <w:bCs/>
                <w:color w:val="000000" w:themeColor="text1"/>
              </w:rPr>
            </w:pPr>
            <w:r w:rsidRPr="008949C9">
              <w:rPr>
                <w:rFonts w:ascii="Times New Roman" w:hAnsi="Times New Roman" w:cs="Times New Roman"/>
                <w:b/>
                <w:bCs/>
                <w:color w:val="000000" w:themeColor="text1"/>
              </w:rPr>
              <w:t>2024</w:t>
            </w:r>
          </w:p>
        </w:tc>
        <w:tc>
          <w:tcPr>
            <w:tcW w:w="1080" w:type="dxa"/>
          </w:tcPr>
          <w:p w14:paraId="284F9E11" w14:textId="77777777" w:rsidR="00684A34" w:rsidRPr="008949C9" w:rsidRDefault="006A1283" w:rsidP="008949C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themeColor="text1"/>
              </w:rPr>
            </w:pPr>
            <w:r w:rsidRPr="008949C9">
              <w:rPr>
                <w:rFonts w:ascii="Times New Roman" w:hAnsi="Times New Roman" w:cs="Times New Roman"/>
                <w:b/>
                <w:bCs/>
                <w:color w:val="000000" w:themeColor="text1"/>
              </w:rPr>
              <w:t>2025</w:t>
            </w:r>
          </w:p>
        </w:tc>
      </w:tr>
      <w:tr w:rsidR="00684A34" w:rsidRPr="00863BFF" w14:paraId="2E32E14B" w14:textId="77777777" w:rsidTr="008949C9">
        <w:trPr>
          <w:jc w:val="center"/>
        </w:trPr>
        <w:tc>
          <w:tcPr>
            <w:cnfStyle w:val="000010000000" w:firstRow="0" w:lastRow="0" w:firstColumn="0" w:lastColumn="0" w:oddVBand="1" w:evenVBand="0" w:oddHBand="0" w:evenHBand="0" w:firstRowFirstColumn="0" w:firstRowLastColumn="0" w:lastRowFirstColumn="0" w:lastRowLastColumn="0"/>
            <w:tcW w:w="4020" w:type="dxa"/>
          </w:tcPr>
          <w:p w14:paraId="0638068E" w14:textId="77777777" w:rsidR="00684A34" w:rsidRPr="00863BFF" w:rsidRDefault="006A1283" w:rsidP="008949C9">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Days sales outstanding (DSO)</w:t>
            </w:r>
          </w:p>
        </w:tc>
        <w:tc>
          <w:tcPr>
            <w:tcW w:w="1080" w:type="dxa"/>
          </w:tcPr>
          <w:p w14:paraId="2E602C96" w14:textId="77777777" w:rsidR="00684A34" w:rsidRPr="00863BFF" w:rsidRDefault="006A1283" w:rsidP="008949C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72.2</w:t>
            </w:r>
          </w:p>
        </w:tc>
        <w:tc>
          <w:tcPr>
            <w:cnfStyle w:val="000010000000" w:firstRow="0" w:lastRow="0" w:firstColumn="0" w:lastColumn="0" w:oddVBand="1" w:evenVBand="0" w:oddHBand="0" w:evenHBand="0" w:firstRowFirstColumn="0" w:firstRowLastColumn="0" w:lastRowFirstColumn="0" w:lastRowLastColumn="0"/>
            <w:tcW w:w="1081" w:type="dxa"/>
          </w:tcPr>
          <w:p w14:paraId="3A9B3668" w14:textId="77777777" w:rsidR="00684A34" w:rsidRPr="00863BFF" w:rsidRDefault="006A1283" w:rsidP="008949C9">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62.1</w:t>
            </w:r>
          </w:p>
        </w:tc>
        <w:tc>
          <w:tcPr>
            <w:tcW w:w="1080" w:type="dxa"/>
          </w:tcPr>
          <w:p w14:paraId="6F830B4B" w14:textId="77777777" w:rsidR="00684A34" w:rsidRPr="00863BFF" w:rsidRDefault="006A1283" w:rsidP="008949C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59.6</w:t>
            </w:r>
          </w:p>
        </w:tc>
        <w:tc>
          <w:tcPr>
            <w:cnfStyle w:val="000010000000" w:firstRow="0" w:lastRow="0" w:firstColumn="0" w:lastColumn="0" w:oddVBand="1" w:evenVBand="0" w:oddHBand="0" w:evenHBand="0" w:firstRowFirstColumn="0" w:firstRowLastColumn="0" w:lastRowFirstColumn="0" w:lastRowLastColumn="0"/>
            <w:tcW w:w="1079" w:type="dxa"/>
          </w:tcPr>
          <w:p w14:paraId="11554272" w14:textId="77777777" w:rsidR="00684A34" w:rsidRPr="00863BFF" w:rsidRDefault="006A1283" w:rsidP="008949C9">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59.8</w:t>
            </w:r>
          </w:p>
        </w:tc>
        <w:tc>
          <w:tcPr>
            <w:tcW w:w="1080" w:type="dxa"/>
          </w:tcPr>
          <w:p w14:paraId="0EE2CF2E" w14:textId="77777777" w:rsidR="00684A34" w:rsidRPr="00863BFF" w:rsidRDefault="006A1283" w:rsidP="008949C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60.5</w:t>
            </w:r>
          </w:p>
        </w:tc>
      </w:tr>
      <w:tr w:rsidR="00684A34" w:rsidRPr="00863BFF" w14:paraId="746BC070" w14:textId="77777777" w:rsidTr="008949C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4020" w:type="dxa"/>
          </w:tcPr>
          <w:p w14:paraId="70F9BBF5" w14:textId="77777777" w:rsidR="00684A34" w:rsidRPr="00863BFF" w:rsidRDefault="006A1283" w:rsidP="008949C9">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Days inventory outstanding (DIO)</w:t>
            </w:r>
          </w:p>
        </w:tc>
        <w:tc>
          <w:tcPr>
            <w:tcW w:w="1080" w:type="dxa"/>
          </w:tcPr>
          <w:p w14:paraId="37AC8B4F" w14:textId="77777777" w:rsidR="00684A34" w:rsidRPr="00863BFF" w:rsidRDefault="006A1283" w:rsidP="008949C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0.7</w:t>
            </w:r>
          </w:p>
        </w:tc>
        <w:tc>
          <w:tcPr>
            <w:cnfStyle w:val="000010000000" w:firstRow="0" w:lastRow="0" w:firstColumn="0" w:lastColumn="0" w:oddVBand="1" w:evenVBand="0" w:oddHBand="0" w:evenHBand="0" w:firstRowFirstColumn="0" w:firstRowLastColumn="0" w:lastRowFirstColumn="0" w:lastRowLastColumn="0"/>
            <w:tcW w:w="1081" w:type="dxa"/>
          </w:tcPr>
          <w:p w14:paraId="71691F5A" w14:textId="77777777" w:rsidR="00684A34" w:rsidRPr="00863BFF" w:rsidRDefault="006A1283" w:rsidP="008949C9">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0.5</w:t>
            </w:r>
          </w:p>
        </w:tc>
        <w:tc>
          <w:tcPr>
            <w:tcW w:w="1080" w:type="dxa"/>
          </w:tcPr>
          <w:p w14:paraId="68E4AEBD" w14:textId="77777777" w:rsidR="00684A34" w:rsidRPr="00863BFF" w:rsidRDefault="006A1283" w:rsidP="008949C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0.6</w:t>
            </w:r>
          </w:p>
        </w:tc>
        <w:tc>
          <w:tcPr>
            <w:cnfStyle w:val="000010000000" w:firstRow="0" w:lastRow="0" w:firstColumn="0" w:lastColumn="0" w:oddVBand="1" w:evenVBand="0" w:oddHBand="0" w:evenHBand="0" w:firstRowFirstColumn="0" w:firstRowLastColumn="0" w:lastRowFirstColumn="0" w:lastRowLastColumn="0"/>
            <w:tcW w:w="1079" w:type="dxa"/>
          </w:tcPr>
          <w:p w14:paraId="281069FE" w14:textId="77777777" w:rsidR="00684A34" w:rsidRPr="00863BFF" w:rsidRDefault="006A1283" w:rsidP="008949C9">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0.4</w:t>
            </w:r>
          </w:p>
        </w:tc>
        <w:tc>
          <w:tcPr>
            <w:tcW w:w="1080" w:type="dxa"/>
          </w:tcPr>
          <w:p w14:paraId="18BF0D3E" w14:textId="77777777" w:rsidR="00684A34" w:rsidRPr="00863BFF" w:rsidRDefault="006A1283" w:rsidP="008949C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0.5</w:t>
            </w:r>
          </w:p>
        </w:tc>
      </w:tr>
      <w:tr w:rsidR="00684A34" w:rsidRPr="00863BFF" w14:paraId="15F64CB8" w14:textId="77777777" w:rsidTr="008949C9">
        <w:trPr>
          <w:jc w:val="center"/>
        </w:trPr>
        <w:tc>
          <w:tcPr>
            <w:cnfStyle w:val="000010000000" w:firstRow="0" w:lastRow="0" w:firstColumn="0" w:lastColumn="0" w:oddVBand="1" w:evenVBand="0" w:oddHBand="0" w:evenHBand="0" w:firstRowFirstColumn="0" w:firstRowLastColumn="0" w:lastRowFirstColumn="0" w:lastRowLastColumn="0"/>
            <w:tcW w:w="4020" w:type="dxa"/>
          </w:tcPr>
          <w:p w14:paraId="64C27C60" w14:textId="77777777" w:rsidR="00684A34" w:rsidRPr="00863BFF" w:rsidRDefault="006A1283" w:rsidP="008949C9">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Days payables outstanding (DPO)</w:t>
            </w:r>
          </w:p>
        </w:tc>
        <w:tc>
          <w:tcPr>
            <w:tcW w:w="1080" w:type="dxa"/>
          </w:tcPr>
          <w:p w14:paraId="142A5A1A" w14:textId="77777777" w:rsidR="00684A34" w:rsidRPr="00863BFF" w:rsidRDefault="006A1283" w:rsidP="008949C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104.5</w:t>
            </w:r>
          </w:p>
        </w:tc>
        <w:tc>
          <w:tcPr>
            <w:cnfStyle w:val="000010000000" w:firstRow="0" w:lastRow="0" w:firstColumn="0" w:lastColumn="0" w:oddVBand="1" w:evenVBand="0" w:oddHBand="0" w:evenHBand="0" w:firstRowFirstColumn="0" w:firstRowLastColumn="0" w:lastRowFirstColumn="0" w:lastRowLastColumn="0"/>
            <w:tcW w:w="1081" w:type="dxa"/>
          </w:tcPr>
          <w:p w14:paraId="37CF4826" w14:textId="77777777" w:rsidR="00684A34" w:rsidRPr="00863BFF" w:rsidRDefault="006A1283" w:rsidP="008949C9">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90.4</w:t>
            </w:r>
          </w:p>
        </w:tc>
        <w:tc>
          <w:tcPr>
            <w:tcW w:w="1080" w:type="dxa"/>
          </w:tcPr>
          <w:p w14:paraId="260FB631" w14:textId="77777777" w:rsidR="00684A34" w:rsidRPr="00863BFF" w:rsidRDefault="006A1283" w:rsidP="008949C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80.9</w:t>
            </w:r>
          </w:p>
        </w:tc>
        <w:tc>
          <w:tcPr>
            <w:cnfStyle w:val="000010000000" w:firstRow="0" w:lastRow="0" w:firstColumn="0" w:lastColumn="0" w:oddVBand="1" w:evenVBand="0" w:oddHBand="0" w:evenHBand="0" w:firstRowFirstColumn="0" w:firstRowLastColumn="0" w:lastRowFirstColumn="0" w:lastRowLastColumn="0"/>
            <w:tcW w:w="1079" w:type="dxa"/>
          </w:tcPr>
          <w:p w14:paraId="43CD4E37" w14:textId="77777777" w:rsidR="00684A34" w:rsidRPr="00863BFF" w:rsidRDefault="006A1283" w:rsidP="008949C9">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68.4</w:t>
            </w:r>
          </w:p>
        </w:tc>
        <w:tc>
          <w:tcPr>
            <w:tcW w:w="1080" w:type="dxa"/>
          </w:tcPr>
          <w:p w14:paraId="363E7AB5" w14:textId="77777777" w:rsidR="00684A34" w:rsidRPr="00863BFF" w:rsidRDefault="006A1283" w:rsidP="008949C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69.2</w:t>
            </w:r>
          </w:p>
        </w:tc>
      </w:tr>
      <w:tr w:rsidR="00684A34" w:rsidRPr="00863BFF" w14:paraId="32636AB9" w14:textId="77777777" w:rsidTr="008949C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4020" w:type="dxa"/>
          </w:tcPr>
          <w:p w14:paraId="24E9F5F4" w14:textId="77777777" w:rsidR="00684A34" w:rsidRPr="00863BFF" w:rsidRDefault="006A1283" w:rsidP="008949C9">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Cash conversion cycle (CCC)</w:t>
            </w:r>
          </w:p>
        </w:tc>
        <w:tc>
          <w:tcPr>
            <w:tcW w:w="1080" w:type="dxa"/>
          </w:tcPr>
          <w:p w14:paraId="3E8D5394" w14:textId="77777777" w:rsidR="00684A34" w:rsidRPr="00863BFF" w:rsidRDefault="006A1283" w:rsidP="008949C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–31.6</w:t>
            </w:r>
          </w:p>
        </w:tc>
        <w:tc>
          <w:tcPr>
            <w:cnfStyle w:val="000010000000" w:firstRow="0" w:lastRow="0" w:firstColumn="0" w:lastColumn="0" w:oddVBand="1" w:evenVBand="0" w:oddHBand="0" w:evenHBand="0" w:firstRowFirstColumn="0" w:firstRowLastColumn="0" w:lastRowFirstColumn="0" w:lastRowLastColumn="0"/>
            <w:tcW w:w="1081" w:type="dxa"/>
          </w:tcPr>
          <w:p w14:paraId="4ECC289C" w14:textId="77777777" w:rsidR="00684A34" w:rsidRPr="00863BFF" w:rsidRDefault="006A1283" w:rsidP="008949C9">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–27.8</w:t>
            </w:r>
          </w:p>
        </w:tc>
        <w:tc>
          <w:tcPr>
            <w:tcW w:w="1080" w:type="dxa"/>
          </w:tcPr>
          <w:p w14:paraId="093ECC55" w14:textId="77777777" w:rsidR="00684A34" w:rsidRPr="00863BFF" w:rsidRDefault="006A1283" w:rsidP="008949C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–20.8</w:t>
            </w:r>
          </w:p>
        </w:tc>
        <w:tc>
          <w:tcPr>
            <w:cnfStyle w:val="000010000000" w:firstRow="0" w:lastRow="0" w:firstColumn="0" w:lastColumn="0" w:oddVBand="1" w:evenVBand="0" w:oddHBand="0" w:evenHBand="0" w:firstRowFirstColumn="0" w:firstRowLastColumn="0" w:lastRowFirstColumn="0" w:lastRowLastColumn="0"/>
            <w:tcW w:w="1079" w:type="dxa"/>
          </w:tcPr>
          <w:p w14:paraId="49317C52" w14:textId="77777777" w:rsidR="00684A34" w:rsidRPr="00863BFF" w:rsidRDefault="006A1283" w:rsidP="008949C9">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–8.2</w:t>
            </w:r>
          </w:p>
        </w:tc>
        <w:tc>
          <w:tcPr>
            <w:tcW w:w="1080" w:type="dxa"/>
          </w:tcPr>
          <w:p w14:paraId="0A7B2C69" w14:textId="77777777" w:rsidR="00684A34" w:rsidRPr="00863BFF" w:rsidRDefault="006A1283" w:rsidP="008949C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–8.2</w:t>
            </w:r>
          </w:p>
        </w:tc>
      </w:tr>
    </w:tbl>
    <w:p w14:paraId="2B0205FD" w14:textId="2A029FA3" w:rsidR="00684A34" w:rsidRPr="008949C9" w:rsidRDefault="006A1283" w:rsidP="008949C9">
      <w:pPr>
        <w:spacing w:line="360" w:lineRule="auto"/>
        <w:jc w:val="center"/>
        <w:rPr>
          <w:rFonts w:ascii="Times New Roman" w:hAnsi="Times New Roman" w:cs="Times New Roman"/>
          <w:b/>
          <w:bCs/>
          <w:color w:val="000000" w:themeColor="text1"/>
        </w:rPr>
      </w:pPr>
      <w:r w:rsidRPr="008949C9">
        <w:rPr>
          <w:rFonts w:ascii="Times New Roman" w:hAnsi="Times New Roman" w:cs="Times New Roman"/>
          <w:b/>
          <w:bCs/>
          <w:i/>
          <w:iCs/>
          <w:color w:val="000000" w:themeColor="text1"/>
        </w:rPr>
        <w:t>Table 6. Cash Operating Cycle, 2021–2025 (days). Source: IHG (2025).</w:t>
      </w:r>
    </w:p>
    <w:p w14:paraId="07AC7908" w14:textId="77777777" w:rsidR="00684A34" w:rsidRPr="00863BFF" w:rsidRDefault="006A1283" w:rsidP="008949C9">
      <w:pPr>
        <w:spacing w:line="360" w:lineRule="auto"/>
        <w:jc w:val="center"/>
        <w:rPr>
          <w:rFonts w:ascii="Times New Roman" w:hAnsi="Times New Roman" w:cs="Times New Roman"/>
          <w:color w:val="000000" w:themeColor="text1"/>
        </w:rPr>
      </w:pPr>
      <w:r w:rsidRPr="00863BFF">
        <w:rPr>
          <w:rFonts w:ascii="Times New Roman" w:hAnsi="Times New Roman" w:cs="Times New Roman"/>
          <w:noProof/>
          <w:color w:val="000000" w:themeColor="text1"/>
        </w:rPr>
        <w:drawing>
          <wp:inline distT="0" distB="0" distL="0" distR="0" wp14:anchorId="099D7763" wp14:editId="145DBD4D">
            <wp:extent cx="5391150" cy="2789633"/>
            <wp:effectExtent l="0" t="0" r="0" b="0"/>
            <wp:docPr id="6" name="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6"/>
                    <pic:cNvPicPr>
                      <a:picLocks noChangeAspect="1" noChangeArrowheads="1"/>
                    </pic:cNvPicPr>
                  </pic:nvPicPr>
                  <pic:blipFill rotWithShape="1">
                    <a:blip r:embed="rId14"/>
                    <a:srcRect t="9254"/>
                    <a:stretch>
                      <a:fillRect/>
                    </a:stretch>
                  </pic:blipFill>
                  <pic:spPr bwMode="auto">
                    <a:xfrm>
                      <a:off x="0" y="0"/>
                      <a:ext cx="5402541" cy="2795527"/>
                    </a:xfrm>
                    <a:prstGeom prst="rect">
                      <a:avLst/>
                    </a:prstGeom>
                    <a:ln>
                      <a:noFill/>
                    </a:ln>
                    <a:extLst>
                      <a:ext uri="{53640926-AAD7-44D8-BBD7-CCE9431645EC}">
                        <a14:shadowObscured xmlns:a14="http://schemas.microsoft.com/office/drawing/2010/main"/>
                      </a:ext>
                    </a:extLst>
                  </pic:spPr>
                </pic:pic>
              </a:graphicData>
            </a:graphic>
          </wp:inline>
        </w:drawing>
      </w:r>
    </w:p>
    <w:p w14:paraId="7EABCB45" w14:textId="6B33FEB9" w:rsidR="00684A34" w:rsidRPr="008949C9" w:rsidRDefault="006A1283" w:rsidP="008949C9">
      <w:pPr>
        <w:spacing w:line="360" w:lineRule="auto"/>
        <w:jc w:val="center"/>
        <w:rPr>
          <w:rFonts w:ascii="Times New Roman" w:hAnsi="Times New Roman" w:cs="Times New Roman"/>
          <w:b/>
          <w:bCs/>
          <w:color w:val="000000" w:themeColor="text1"/>
        </w:rPr>
      </w:pPr>
      <w:r w:rsidRPr="008949C9">
        <w:rPr>
          <w:rFonts w:ascii="Times New Roman" w:hAnsi="Times New Roman" w:cs="Times New Roman"/>
          <w:b/>
          <w:bCs/>
          <w:i/>
          <w:iCs/>
          <w:color w:val="000000" w:themeColor="text1"/>
        </w:rPr>
        <w:t xml:space="preserve">Figure 4. Cash operating cycle components, 2021–2025. </w:t>
      </w:r>
    </w:p>
    <w:p w14:paraId="3DEE483B" w14:textId="77777777" w:rsidR="00863BFF" w:rsidRPr="00863BFF" w:rsidRDefault="00863BFF"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br/>
        <w:t xml:space="preserve">The negative cash conversion cycle is a favourable position and a characteristic of a good hospitality business that IHG has throughout the period given that it collects cash faster than it pays its suppliers.IHG's negative cash conversion cycle shows it collected cash sooner than it paid its suppliers, which is a good position and characteristic of a good hospitality business (Ishikawa et al., 2025; Morais and Silva, 2022). Like all service businesses, there is a low level of inventory (less than one day). Table 6 and Figure 4 show that there is an unfavourable trend as the CCC has significantly reduced in its negativity, from –31.6 days in 2021 to –8.2 days in 2025. This deterioration is mainly due to a large decrease in DPO, which fell from 104.5 days to 69.2 days, reflecting a significant increase in the rate of paying suppliers.payment periods (DSO) have stayed fairly constant around 60 days. This net impact is that there is less operational financing that is being made available “free” from suppliers and thereby tied up in working capital. </w:t>
      </w:r>
    </w:p>
    <w:p w14:paraId="6AEDC196" w14:textId="17691EEC" w:rsidR="00863BFF" w:rsidRPr="00863BFF" w:rsidRDefault="00863BFF" w:rsidP="008949C9">
      <w:pPr>
        <w:pStyle w:val="Heading2"/>
      </w:pPr>
      <w:bookmarkStart w:id="10" w:name="_Toc237448038"/>
      <w:r w:rsidRPr="00863BFF">
        <w:t>Strategies to Improve Liquidity through Working Capital Reform</w:t>
      </w:r>
      <w:bookmarkEnd w:id="10"/>
    </w:p>
    <w:p w14:paraId="33597B8E" w14:textId="77777777" w:rsidR="00863BFF" w:rsidRPr="00863BFF" w:rsidRDefault="00863BFF"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 xml:space="preserve"> Empirical studies have been consistently showing that the companies with an active CCC have better liquidity and profitability (Nguyen et al., 2024; Deloof, 2003). IHG is recommended to make the following three practical reforms: </w:t>
      </w:r>
      <w:r w:rsidRPr="00863BFF">
        <w:rPr>
          <w:rFonts w:ascii="Times New Roman" w:hAnsi="Times New Roman" w:cs="Times New Roman"/>
          <w:color w:val="000000" w:themeColor="text1"/>
        </w:rPr>
        <w:sym w:font="Symbol" w:char="F06C"/>
      </w:r>
      <w:r w:rsidRPr="00863BFF">
        <w:rPr>
          <w:rFonts w:ascii="Times New Roman" w:hAnsi="Times New Roman" w:cs="Times New Roman"/>
          <w:color w:val="000000" w:themeColor="text1"/>
        </w:rPr>
        <w:t xml:space="preserve"> Extend payables strategically. The biggest lever is a decrease in DPO. Renegotiating supplier terms with 80-90 days being the norm for the sector, but not harming supplier relationships, would free up cash and re-instigate a more negative CCC. This can be done with the supply-chain finance programmes and with the payment of the suppliers at an early stage and with discount (Wang, 2019). </w:t>
      </w:r>
      <w:r w:rsidRPr="00863BFF">
        <w:rPr>
          <w:rFonts w:ascii="Times New Roman" w:hAnsi="Times New Roman" w:cs="Times New Roman"/>
          <w:color w:val="000000" w:themeColor="text1"/>
        </w:rPr>
        <w:sym w:font="Symbol" w:char="F06C"/>
      </w:r>
      <w:r w:rsidRPr="00863BFF">
        <w:rPr>
          <w:rFonts w:ascii="Times New Roman" w:hAnsi="Times New Roman" w:cs="Times New Roman"/>
          <w:color w:val="000000" w:themeColor="text1"/>
        </w:rPr>
        <w:t xml:space="preserve"> Tighten receivables collection. Many of the payments are pre-paid and a high DSO of approximately 60 days is not normal for a fee business. Improved DSO, directly due to automated invoicing, strengthened credit control of the balance of the franchisees and the incentives for settlement before the deadline, could positively impact the quick ratio (Nguyen et al., 2024). </w:t>
      </w:r>
      <w:r w:rsidRPr="00863BFF">
        <w:rPr>
          <w:rFonts w:ascii="Times New Roman" w:hAnsi="Times New Roman" w:cs="Times New Roman"/>
          <w:color w:val="000000" w:themeColor="text1"/>
        </w:rPr>
        <w:sym w:font="Symbol" w:char="F06C"/>
      </w:r>
      <w:r w:rsidRPr="00863BFF">
        <w:rPr>
          <w:rFonts w:ascii="Times New Roman" w:hAnsi="Times New Roman" w:cs="Times New Roman"/>
          <w:color w:val="000000" w:themeColor="text1"/>
        </w:rPr>
        <w:t xml:space="preserve"> Optimise cash buffers. Based on the current ratio of less than one, IHG should have a small cushion of liquidity to spare and they should have credit facilities which are in place but not drawn upon. The liquidity–profitability trade-off (Eljelly, 2004) should be considered. Any excess cash in the buffer can be used to continue making distributions. </w:t>
      </w:r>
    </w:p>
    <w:p w14:paraId="2AC4F670" w14:textId="2E0982CA" w:rsidR="00863BFF" w:rsidRPr="00863BFF" w:rsidRDefault="00863BFF" w:rsidP="008949C9">
      <w:pPr>
        <w:pStyle w:val="Heading2"/>
      </w:pPr>
      <w:bookmarkStart w:id="11" w:name="_Toc237448039"/>
      <w:r w:rsidRPr="00863BFF">
        <w:t>Short-Term versus Long-Term Financing.</w:t>
      </w:r>
      <w:bookmarkEnd w:id="11"/>
    </w:p>
    <w:p w14:paraId="415C2EAE" w14:textId="772BB6EA" w:rsidR="00684A34" w:rsidRPr="00863BFF" w:rsidRDefault="00863BFF"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 xml:space="preserve"> There is a balance between the cost, risk and flexibility of financing the working capital. It is usually more expensive and less flexible but is likely to be refinanced more often and so carries risk of roll over and interest rate.It generally is cheaper and more flexible, but is likely to be refinanced more often, resulting in roll over and interest rate risk for the firm. LT financing (bonds, term loans) ensures funds are fixed and less risky with regard to </w:t>
      </w:r>
      <w:r w:rsidR="008949C9" w:rsidRPr="00863BFF">
        <w:rPr>
          <w:rFonts w:ascii="Times New Roman" w:hAnsi="Times New Roman" w:cs="Times New Roman"/>
          <w:color w:val="000000" w:themeColor="text1"/>
        </w:rPr>
        <w:t>refinancing but</w:t>
      </w:r>
      <w:r w:rsidRPr="00863BFF">
        <w:rPr>
          <w:rFonts w:ascii="Times New Roman" w:hAnsi="Times New Roman" w:cs="Times New Roman"/>
          <w:color w:val="000000" w:themeColor="text1"/>
        </w:rPr>
        <w:t xml:space="preserve"> is typically costlier and less flexible (Brealey et al., 2023). The two are compared in table 7 in the context of IHG's situation.</w:t>
      </w:r>
    </w:p>
    <w:tbl>
      <w:tblPr>
        <w:tblStyle w:val="GridTable6Colorful-Accent2"/>
        <w:tblW w:w="9150" w:type="dxa"/>
        <w:jc w:val="center"/>
        <w:tblLayout w:type="fixed"/>
        <w:tblLook w:val="0000" w:firstRow="0" w:lastRow="0" w:firstColumn="0" w:lastColumn="0" w:noHBand="0" w:noVBand="0"/>
      </w:tblPr>
      <w:tblGrid>
        <w:gridCol w:w="3349"/>
        <w:gridCol w:w="2901"/>
        <w:gridCol w:w="2900"/>
      </w:tblGrid>
      <w:tr w:rsidR="00684A34" w:rsidRPr="00863BFF" w14:paraId="43A30055" w14:textId="77777777" w:rsidTr="008949C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3349" w:type="dxa"/>
          </w:tcPr>
          <w:p w14:paraId="0877963E" w14:textId="77777777" w:rsidR="00684A34" w:rsidRPr="008949C9" w:rsidRDefault="006A1283" w:rsidP="00863BFF">
            <w:pPr>
              <w:spacing w:line="360" w:lineRule="auto"/>
              <w:jc w:val="both"/>
              <w:rPr>
                <w:rFonts w:ascii="Times New Roman" w:hAnsi="Times New Roman" w:cs="Times New Roman"/>
                <w:b/>
                <w:bCs/>
                <w:color w:val="000000" w:themeColor="text1"/>
              </w:rPr>
            </w:pPr>
            <w:r w:rsidRPr="008949C9">
              <w:rPr>
                <w:rFonts w:ascii="Times New Roman" w:hAnsi="Times New Roman" w:cs="Times New Roman"/>
                <w:b/>
                <w:bCs/>
                <w:color w:val="000000" w:themeColor="text1"/>
              </w:rPr>
              <w:t>Criterion</w:t>
            </w:r>
          </w:p>
        </w:tc>
        <w:tc>
          <w:tcPr>
            <w:tcW w:w="2901" w:type="dxa"/>
          </w:tcPr>
          <w:p w14:paraId="6ECB7182" w14:textId="77777777" w:rsidR="00684A34" w:rsidRPr="008949C9"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themeColor="text1"/>
              </w:rPr>
            </w:pPr>
            <w:r w:rsidRPr="008949C9">
              <w:rPr>
                <w:rFonts w:ascii="Times New Roman" w:hAnsi="Times New Roman" w:cs="Times New Roman"/>
                <w:b/>
                <w:bCs/>
                <w:color w:val="000000" w:themeColor="text1"/>
              </w:rPr>
              <w:t>Short-term financing</w:t>
            </w:r>
          </w:p>
        </w:tc>
        <w:tc>
          <w:tcPr>
            <w:cnfStyle w:val="000010000000" w:firstRow="0" w:lastRow="0" w:firstColumn="0" w:lastColumn="0" w:oddVBand="1" w:evenVBand="0" w:oddHBand="0" w:evenHBand="0" w:firstRowFirstColumn="0" w:firstRowLastColumn="0" w:lastRowFirstColumn="0" w:lastRowLastColumn="0"/>
            <w:tcW w:w="2900" w:type="dxa"/>
          </w:tcPr>
          <w:p w14:paraId="0DCE6FC8" w14:textId="77777777" w:rsidR="00684A34" w:rsidRPr="008949C9" w:rsidRDefault="006A1283" w:rsidP="00863BFF">
            <w:pPr>
              <w:spacing w:line="360" w:lineRule="auto"/>
              <w:jc w:val="both"/>
              <w:rPr>
                <w:rFonts w:ascii="Times New Roman" w:hAnsi="Times New Roman" w:cs="Times New Roman"/>
                <w:b/>
                <w:bCs/>
                <w:color w:val="000000" w:themeColor="text1"/>
              </w:rPr>
            </w:pPr>
            <w:r w:rsidRPr="008949C9">
              <w:rPr>
                <w:rFonts w:ascii="Times New Roman" w:hAnsi="Times New Roman" w:cs="Times New Roman"/>
                <w:b/>
                <w:bCs/>
                <w:color w:val="000000" w:themeColor="text1"/>
              </w:rPr>
              <w:t>Long-term financing</w:t>
            </w:r>
          </w:p>
        </w:tc>
      </w:tr>
      <w:tr w:rsidR="00684A34" w:rsidRPr="00863BFF" w14:paraId="7C5ABD5B" w14:textId="77777777" w:rsidTr="008949C9">
        <w:trPr>
          <w:jc w:val="center"/>
        </w:trPr>
        <w:tc>
          <w:tcPr>
            <w:cnfStyle w:val="000010000000" w:firstRow="0" w:lastRow="0" w:firstColumn="0" w:lastColumn="0" w:oddVBand="1" w:evenVBand="0" w:oddHBand="0" w:evenHBand="0" w:firstRowFirstColumn="0" w:firstRowLastColumn="0" w:lastRowFirstColumn="0" w:lastRowLastColumn="0"/>
            <w:tcW w:w="3349" w:type="dxa"/>
          </w:tcPr>
          <w:p w14:paraId="5F508AF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Typical cost</w:t>
            </w:r>
          </w:p>
        </w:tc>
        <w:tc>
          <w:tcPr>
            <w:tcW w:w="2901" w:type="dxa"/>
          </w:tcPr>
          <w:p w14:paraId="2FEF96D2"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Lower interest cost</w:t>
            </w:r>
          </w:p>
        </w:tc>
        <w:tc>
          <w:tcPr>
            <w:cnfStyle w:val="000010000000" w:firstRow="0" w:lastRow="0" w:firstColumn="0" w:lastColumn="0" w:oddVBand="1" w:evenVBand="0" w:oddHBand="0" w:evenHBand="0" w:firstRowFirstColumn="0" w:firstRowLastColumn="0" w:lastRowFirstColumn="0" w:lastRowLastColumn="0"/>
            <w:tcW w:w="2900" w:type="dxa"/>
          </w:tcPr>
          <w:p w14:paraId="1579CA83"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Higher interest cost</w:t>
            </w:r>
          </w:p>
        </w:tc>
      </w:tr>
      <w:tr w:rsidR="00684A34" w:rsidRPr="00863BFF" w14:paraId="31FF195B" w14:textId="77777777" w:rsidTr="008949C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3349" w:type="dxa"/>
          </w:tcPr>
          <w:p w14:paraId="401F4DFC"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Flexibility</w:t>
            </w:r>
          </w:p>
        </w:tc>
        <w:tc>
          <w:tcPr>
            <w:tcW w:w="2901" w:type="dxa"/>
          </w:tcPr>
          <w:p w14:paraId="0BFF9531"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High – draw/repay as needed</w:t>
            </w:r>
          </w:p>
        </w:tc>
        <w:tc>
          <w:tcPr>
            <w:cnfStyle w:val="000010000000" w:firstRow="0" w:lastRow="0" w:firstColumn="0" w:lastColumn="0" w:oddVBand="1" w:evenVBand="0" w:oddHBand="0" w:evenHBand="0" w:firstRowFirstColumn="0" w:firstRowLastColumn="0" w:lastRowFirstColumn="0" w:lastRowLastColumn="0"/>
            <w:tcW w:w="2900" w:type="dxa"/>
          </w:tcPr>
          <w:p w14:paraId="670B27B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Lower – fixed schedule</w:t>
            </w:r>
          </w:p>
        </w:tc>
      </w:tr>
      <w:tr w:rsidR="00684A34" w:rsidRPr="00863BFF" w14:paraId="561C2571" w14:textId="77777777" w:rsidTr="008949C9">
        <w:trPr>
          <w:jc w:val="center"/>
        </w:trPr>
        <w:tc>
          <w:tcPr>
            <w:cnfStyle w:val="000010000000" w:firstRow="0" w:lastRow="0" w:firstColumn="0" w:lastColumn="0" w:oddVBand="1" w:evenVBand="0" w:oddHBand="0" w:evenHBand="0" w:firstRowFirstColumn="0" w:firstRowLastColumn="0" w:lastRowFirstColumn="0" w:lastRowLastColumn="0"/>
            <w:tcW w:w="3349" w:type="dxa"/>
          </w:tcPr>
          <w:p w14:paraId="227C804B"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Refinancing / roll-over risk</w:t>
            </w:r>
          </w:p>
        </w:tc>
        <w:tc>
          <w:tcPr>
            <w:tcW w:w="2901" w:type="dxa"/>
          </w:tcPr>
          <w:p w14:paraId="1D52749F"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High</w:t>
            </w:r>
          </w:p>
        </w:tc>
        <w:tc>
          <w:tcPr>
            <w:cnfStyle w:val="000010000000" w:firstRow="0" w:lastRow="0" w:firstColumn="0" w:lastColumn="0" w:oddVBand="1" w:evenVBand="0" w:oddHBand="0" w:evenHBand="0" w:firstRowFirstColumn="0" w:firstRowLastColumn="0" w:lastRowFirstColumn="0" w:lastRowLastColumn="0"/>
            <w:tcW w:w="2900" w:type="dxa"/>
          </w:tcPr>
          <w:p w14:paraId="7F50B426"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Low</w:t>
            </w:r>
          </w:p>
        </w:tc>
      </w:tr>
      <w:tr w:rsidR="00684A34" w:rsidRPr="00863BFF" w14:paraId="0416B28D" w14:textId="77777777" w:rsidTr="008949C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3349" w:type="dxa"/>
          </w:tcPr>
          <w:p w14:paraId="10D541D6"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Best suited to</w:t>
            </w:r>
          </w:p>
        </w:tc>
        <w:tc>
          <w:tcPr>
            <w:tcW w:w="2901" w:type="dxa"/>
          </w:tcPr>
          <w:p w14:paraId="604B63CA"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Fluctuating working-capital needs</w:t>
            </w:r>
          </w:p>
        </w:tc>
        <w:tc>
          <w:tcPr>
            <w:cnfStyle w:val="000010000000" w:firstRow="0" w:lastRow="0" w:firstColumn="0" w:lastColumn="0" w:oddVBand="1" w:evenVBand="0" w:oddHBand="0" w:evenHBand="0" w:firstRowFirstColumn="0" w:firstRowLastColumn="0" w:lastRowFirstColumn="0" w:lastRowLastColumn="0"/>
            <w:tcW w:w="2900" w:type="dxa"/>
          </w:tcPr>
          <w:p w14:paraId="47402D4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Permanent assets, buybacks</w:t>
            </w:r>
          </w:p>
        </w:tc>
      </w:tr>
      <w:tr w:rsidR="00684A34" w:rsidRPr="00863BFF" w14:paraId="12C8E2F6" w14:textId="77777777" w:rsidTr="008949C9">
        <w:trPr>
          <w:jc w:val="center"/>
        </w:trPr>
        <w:tc>
          <w:tcPr>
            <w:cnfStyle w:val="000010000000" w:firstRow="0" w:lastRow="0" w:firstColumn="0" w:lastColumn="0" w:oddVBand="1" w:evenVBand="0" w:oddHBand="0" w:evenHBand="0" w:firstRowFirstColumn="0" w:firstRowLastColumn="0" w:lastRowFirstColumn="0" w:lastRowLastColumn="0"/>
            <w:tcW w:w="3349" w:type="dxa"/>
          </w:tcPr>
          <w:p w14:paraId="75CC7AF3"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Relevance to IHG</w:t>
            </w:r>
          </w:p>
        </w:tc>
        <w:tc>
          <w:tcPr>
            <w:tcW w:w="2901" w:type="dxa"/>
          </w:tcPr>
          <w:p w14:paraId="4095B12A"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Fund seasonal RevPAR swings</w:t>
            </w:r>
          </w:p>
        </w:tc>
        <w:tc>
          <w:tcPr>
            <w:cnfStyle w:val="000010000000" w:firstRow="0" w:lastRow="0" w:firstColumn="0" w:lastColumn="0" w:oddVBand="1" w:evenVBand="0" w:oddHBand="0" w:evenHBand="0" w:firstRowFirstColumn="0" w:firstRowLastColumn="0" w:lastRowFirstColumn="0" w:lastRowLastColumn="0"/>
            <w:tcW w:w="2900" w:type="dxa"/>
          </w:tcPr>
          <w:p w14:paraId="49BA7FE2"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Match long-dated bond maturities</w:t>
            </w:r>
          </w:p>
        </w:tc>
      </w:tr>
    </w:tbl>
    <w:p w14:paraId="3FB7B363" w14:textId="46FB6F05" w:rsidR="00684A34" w:rsidRPr="008949C9" w:rsidRDefault="006A1283" w:rsidP="008949C9">
      <w:pPr>
        <w:spacing w:line="360" w:lineRule="auto"/>
        <w:jc w:val="center"/>
        <w:rPr>
          <w:rFonts w:ascii="Times New Roman" w:hAnsi="Times New Roman" w:cs="Times New Roman"/>
          <w:b/>
          <w:bCs/>
          <w:i/>
          <w:iCs/>
          <w:color w:val="000000" w:themeColor="text1"/>
        </w:rPr>
      </w:pPr>
      <w:r w:rsidRPr="008949C9">
        <w:rPr>
          <w:rFonts w:ascii="Times New Roman" w:hAnsi="Times New Roman" w:cs="Times New Roman"/>
          <w:b/>
          <w:bCs/>
          <w:i/>
          <w:iCs/>
          <w:color w:val="000000" w:themeColor="text1"/>
        </w:rPr>
        <w:t>Table 7. Short-Term versus Long-Term Financing Options. Source</w:t>
      </w:r>
      <w:r w:rsidR="008949C9" w:rsidRPr="008949C9">
        <w:rPr>
          <w:rFonts w:ascii="Times New Roman" w:hAnsi="Times New Roman" w:cs="Times New Roman"/>
          <w:b/>
          <w:bCs/>
          <w:i/>
          <w:iCs/>
          <w:color w:val="000000" w:themeColor="text1"/>
        </w:rPr>
        <w:t>:</w:t>
      </w:r>
      <w:r w:rsidRPr="008949C9">
        <w:rPr>
          <w:rFonts w:ascii="Times New Roman" w:hAnsi="Times New Roman" w:cs="Times New Roman"/>
          <w:b/>
          <w:bCs/>
          <w:i/>
          <w:iCs/>
          <w:color w:val="000000" w:themeColor="text1"/>
        </w:rPr>
        <w:t xml:space="preserve"> Brealey et al. (2023) and Atrill and McLaney (2022).</w:t>
      </w:r>
    </w:p>
    <w:p w14:paraId="2FB3140B" w14:textId="77777777" w:rsidR="00863BFF" w:rsidRPr="00863BFF" w:rsidRDefault="00863BFF"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The matching (hedging) approach is suggested: long-lived working-capital needs should be backed by long-term debt and short-term, seasonal fluctuations in RevPAR should be funded through a flexible revolving credit facility. IHG's net debt position is already high, and the focus should be on spreading out and extending out IHG's debt maturities, so as to minimize the risk of refinancing, instead of increasing IHG's net leverage (Damodaran, 2015).</w:t>
      </w:r>
    </w:p>
    <w:p w14:paraId="277C6A86" w14:textId="6890E793" w:rsidR="00863BFF" w:rsidRPr="00863BFF" w:rsidRDefault="00863BFF" w:rsidP="008949C9">
      <w:pPr>
        <w:pStyle w:val="Heading1"/>
      </w:pPr>
      <w:bookmarkStart w:id="12" w:name="_Toc237448040"/>
      <w:r w:rsidRPr="00863BFF">
        <w:t>Strategic Financial Restructuring Plan</w:t>
      </w:r>
      <w:bookmarkEnd w:id="12"/>
    </w:p>
    <w:p w14:paraId="6B0F6E91" w14:textId="397D91B7" w:rsidR="00863BFF" w:rsidRPr="00863BFF" w:rsidRDefault="00863BFF" w:rsidP="008949C9">
      <w:pPr>
        <w:pStyle w:val="Heading2"/>
      </w:pPr>
      <w:bookmarkStart w:id="13" w:name="_Toc237448041"/>
      <w:r w:rsidRPr="00863BFF">
        <w:t>Restructuring Options</w:t>
      </w:r>
      <w:bookmarkEnd w:id="13"/>
    </w:p>
    <w:p w14:paraId="4A11B35A" w14:textId="77777777" w:rsidR="00863BFF" w:rsidRPr="00863BFF" w:rsidRDefault="00863BFF"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Two structural problems have been identified in the health check – namely modest liquidity headroom and rising net debt with negative book equity. Three strategies for restructuring are considered: equity injection, selective divestment and merger or strategic acquisition.</w:t>
      </w:r>
    </w:p>
    <w:p w14:paraId="241A5525" w14:textId="7789E217" w:rsidR="00863BFF" w:rsidRPr="008949C9" w:rsidRDefault="00863BFF" w:rsidP="008949C9">
      <w:pPr>
        <w:pStyle w:val="ListParagraph"/>
        <w:numPr>
          <w:ilvl w:val="0"/>
          <w:numId w:val="4"/>
        </w:numPr>
        <w:spacing w:line="360" w:lineRule="auto"/>
        <w:jc w:val="both"/>
        <w:rPr>
          <w:rFonts w:ascii="Times New Roman" w:hAnsi="Times New Roman" w:cs="Times New Roman"/>
          <w:color w:val="000000" w:themeColor="text1"/>
        </w:rPr>
      </w:pPr>
      <w:r w:rsidRPr="008949C9">
        <w:rPr>
          <w:rFonts w:ascii="Times New Roman" w:hAnsi="Times New Roman" w:cs="Times New Roman"/>
          <w:b/>
          <w:bCs/>
          <w:color w:val="000000" w:themeColor="text1"/>
        </w:rPr>
        <w:t>Equity injection / moderated buybacks</w:t>
      </w:r>
      <w:r w:rsidR="008949C9" w:rsidRPr="008949C9">
        <w:rPr>
          <w:rFonts w:ascii="Times New Roman" w:hAnsi="Times New Roman" w:cs="Times New Roman"/>
          <w:b/>
          <w:bCs/>
          <w:color w:val="000000" w:themeColor="text1"/>
        </w:rPr>
        <w:t>:</w:t>
      </w:r>
      <w:r w:rsidRPr="008949C9">
        <w:rPr>
          <w:rFonts w:ascii="Times New Roman" w:hAnsi="Times New Roman" w:cs="Times New Roman"/>
          <w:color w:val="000000" w:themeColor="text1"/>
        </w:rPr>
        <w:t xml:space="preserve"> The simplest way to address negative equity and increasing leverage is to reduce the pace of buybacks and if necessary, to raise more equity. This would recapitalize the business, reduce net-debt-to-EBITDA and provide liquidity headroom. According to pecking-order theory, firms would prefer to raise capital from internal funds, followed by debt, and equity as a last resort, and this is exactly what they do because a raise in equity might indicate that the firm is in distress (Myers and Majluf, 1984; Serrasqueiro et al., 2016). For IHG, it is a lower-risk option to manage the buybacks than to issue new shares.</w:t>
      </w:r>
    </w:p>
    <w:p w14:paraId="214130EE" w14:textId="13C9D785" w:rsidR="00863BFF" w:rsidRPr="008949C9" w:rsidRDefault="00863BFF" w:rsidP="008949C9">
      <w:pPr>
        <w:pStyle w:val="ListParagraph"/>
        <w:numPr>
          <w:ilvl w:val="0"/>
          <w:numId w:val="4"/>
        </w:numPr>
        <w:spacing w:line="360" w:lineRule="auto"/>
        <w:jc w:val="both"/>
        <w:rPr>
          <w:rFonts w:ascii="Times New Roman" w:hAnsi="Times New Roman" w:cs="Times New Roman"/>
          <w:color w:val="000000" w:themeColor="text1"/>
        </w:rPr>
      </w:pPr>
      <w:r w:rsidRPr="008949C9">
        <w:rPr>
          <w:rFonts w:ascii="Times New Roman" w:hAnsi="Times New Roman" w:cs="Times New Roman"/>
          <w:b/>
          <w:bCs/>
          <w:color w:val="000000" w:themeColor="text1"/>
        </w:rPr>
        <w:t>Selective divestiture</w:t>
      </w:r>
      <w:r w:rsidR="008949C9" w:rsidRPr="008949C9">
        <w:rPr>
          <w:rFonts w:ascii="Times New Roman" w:hAnsi="Times New Roman" w:cs="Times New Roman"/>
          <w:b/>
          <w:bCs/>
          <w:color w:val="000000" w:themeColor="text1"/>
        </w:rPr>
        <w:t>:</w:t>
      </w:r>
      <w:r w:rsidRPr="008949C9">
        <w:rPr>
          <w:rFonts w:ascii="Times New Roman" w:hAnsi="Times New Roman" w:cs="Times New Roman"/>
          <w:color w:val="000000" w:themeColor="text1"/>
        </w:rPr>
        <w:t xml:space="preserve"> IHG may sell its small portfolio of owned and leased properties to free up cash to pay down debt and to further reinforce the asset-light strategy. This is aligned with the trend that is already taking place in the accounts as owned and leased revenue make up a minority of the overall revenue (IHG, 2025). Divestiture is an exercise that enhances ROCE and operational flexibility but eliminates one source of direct operating profit.</w:t>
      </w:r>
    </w:p>
    <w:p w14:paraId="5CFECEAF" w14:textId="40606807" w:rsidR="00863BFF" w:rsidRPr="008949C9" w:rsidRDefault="00863BFF" w:rsidP="008949C9">
      <w:pPr>
        <w:pStyle w:val="ListParagraph"/>
        <w:numPr>
          <w:ilvl w:val="0"/>
          <w:numId w:val="4"/>
        </w:numPr>
        <w:spacing w:line="360" w:lineRule="auto"/>
        <w:jc w:val="both"/>
        <w:rPr>
          <w:rFonts w:ascii="Times New Roman" w:hAnsi="Times New Roman" w:cs="Times New Roman"/>
          <w:color w:val="000000" w:themeColor="text1"/>
        </w:rPr>
      </w:pPr>
      <w:r w:rsidRPr="008949C9">
        <w:rPr>
          <w:rFonts w:ascii="Times New Roman" w:hAnsi="Times New Roman" w:cs="Times New Roman"/>
          <w:b/>
          <w:bCs/>
          <w:color w:val="000000" w:themeColor="text1"/>
        </w:rPr>
        <w:t>Merger / strategic acquisition</w:t>
      </w:r>
      <w:r w:rsidR="008949C9" w:rsidRPr="008949C9">
        <w:rPr>
          <w:rFonts w:ascii="Times New Roman" w:hAnsi="Times New Roman" w:cs="Times New Roman"/>
          <w:b/>
          <w:bCs/>
          <w:color w:val="000000" w:themeColor="text1"/>
        </w:rPr>
        <w:t>:</w:t>
      </w:r>
      <w:r w:rsidRPr="008949C9">
        <w:rPr>
          <w:rFonts w:ascii="Times New Roman" w:hAnsi="Times New Roman" w:cs="Times New Roman"/>
          <w:color w:val="000000" w:themeColor="text1"/>
        </w:rPr>
        <w:t xml:space="preserve"> A complementary branding or a technology/loyalty capability buy could fuel growth and diversify revenues quick. But with already high leverage, it would have to be financed with equity or free cash flow, and would have to overcome a challenging synergy hurdle (Vernimmen et al., 2022).</w:t>
      </w:r>
    </w:p>
    <w:p w14:paraId="364C0091" w14:textId="7FBC2B5D" w:rsidR="00863BFF" w:rsidRPr="00863BFF" w:rsidRDefault="00863BFF" w:rsidP="008949C9">
      <w:pPr>
        <w:pStyle w:val="Heading2"/>
      </w:pPr>
      <w:bookmarkStart w:id="14" w:name="_Toc237448042"/>
      <w:r w:rsidRPr="00863BFF">
        <w:t>Shareholder Value, Debt structure and flexibility</w:t>
      </w:r>
      <w:bookmarkEnd w:id="14"/>
    </w:p>
    <w:p w14:paraId="1CBE9138" w14:textId="77777777" w:rsidR="00863BFF" w:rsidRPr="00863BFF" w:rsidRDefault="00863BFF"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The suggested package – buybacks with a selective divestment – is a compromise of the interest of debt holders and equity holders. The reduction in the buyback funds net-debt to EBITDA to be closer to the lower end of the 2.5–3.0× target, while also providing a boost to the company's debt service coverage ratio.It also frees up free cash flow to pay down debt, which has seen net debt-to-EBITDA ease towards the lower end of the 2.5–3.0× target and interest expense reduced to a level of US$165m (IHG, 2025). Divestiture reduces further the balance sheet leverage. In the long run, a lower buyback will also lead to less mechanical Earnings Per Share (EPS) increase but it will improve the resilience and the cost of capital of the firm, which helps to balance the tax benefit of debt with the expected trade-off distress costs (Kraus and Litzenberger, 1973; Serrasqueiro et al., 2016). Operational flexibility is increased as a less leveraged company will be able to take advantage of an opportunity or a downturn without defaulting on their covenants.</w:t>
      </w:r>
    </w:p>
    <w:p w14:paraId="55D5E350" w14:textId="4FAE05C6" w:rsidR="00863BFF" w:rsidRPr="00863BFF" w:rsidRDefault="00863BFF" w:rsidP="00D26C7C">
      <w:pPr>
        <w:pStyle w:val="Heading2"/>
      </w:pPr>
      <w:r w:rsidRPr="00863BFF">
        <w:t xml:space="preserve"> </w:t>
      </w:r>
      <w:bookmarkStart w:id="15" w:name="_Toc237448043"/>
      <w:r w:rsidRPr="00863BFF">
        <w:t>International, Ethical and ESG Considerations</w:t>
      </w:r>
      <w:bookmarkEnd w:id="15"/>
    </w:p>
    <w:p w14:paraId="097E6954" w14:textId="77777777" w:rsidR="00863BFF" w:rsidRPr="00863BFF" w:rsidRDefault="00863BFF"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IHG is a global operator and therefore is subject to material international financial risks. Currency risk is associated with the fact that IHG is reporting in USD but earning fees in a number of other currencies; a strengthening USD will lead to a contraction of reported revenue, while IHG's group level currency management mitigates this in part by employing natural hedging and forward contracts. (IHG, 2025). One knock-on effect of the rise in costs is for operators to increase the operating and construction costs of their pipelines, potentially slowing the growth of pipelines, but the branded operators can pass the cost inflation on to the room rates. An increasing concern is taxation: the OECD's global minimum tax (Pillar Two, 15%) will apply to multinationals with complex structures, and IHG will need to ensure transparent, compliant transfer pricing across jurisdictions (OECD, 2021).</w:t>
      </w:r>
    </w:p>
    <w:p w14:paraId="519B7941" w14:textId="77777777" w:rsidR="00863BFF" w:rsidRPr="00863BFF" w:rsidRDefault="00863BFF"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Restructuring decisions need to take into account stakeholders other than shareholders – ethically and also in ESG terms. IHG is pledging to achieve carbon reduction goals and achieved an 11.5% reduction in carbon emissions per available room from a 2019 baseline (IHG, 2025). In tourism and hospitality companies, there is mounting evidence that better ESG performance is associated with increased firm value and reduced firm risk, due to reduced financing risk and increased earnings stability (Abdelsalam et al., 2026; Xue et al., 2024; Lu et al., 2025). It is therefore important for any divestment or cost programme to ensure that employee engagement (maintained at 87%) and franchisee relationships are protected as they form the basis of brand equity on which fee income is dependent (Freeman et al., 2010). It is not enough to tackle these social and governance factors separately from the restructuring plan, or value might be destroyed over the long term; ESG is considered here as a part of the restructuring plan and not just a part of it.</w:t>
      </w:r>
    </w:p>
    <w:p w14:paraId="7300E352" w14:textId="605ECEE4" w:rsidR="00863BFF" w:rsidRPr="00863BFF" w:rsidRDefault="00863BFF" w:rsidP="00D26C7C">
      <w:pPr>
        <w:pStyle w:val="Heading1"/>
      </w:pPr>
      <w:bookmarkStart w:id="16" w:name="_Toc237448044"/>
      <w:r w:rsidRPr="00863BFF">
        <w:t>Investment Appraisal and Capital Budgeting</w:t>
      </w:r>
      <w:bookmarkEnd w:id="16"/>
    </w:p>
    <w:p w14:paraId="41432D9C" w14:textId="77777777" w:rsidR="00D26C7C" w:rsidRDefault="00863BFF"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The Board is considering the following three mutually competing investment projects, all of which require an initial investment of £50m and all of which are expected to have a useful life of 5 years, a five-year useful life, with straight-line depreciation to zero (£10m per year) and a discount rate of 8%. These five techniques are used: payback period (PBP), accounting rate of return (ARR), net present value (NPV), profitability index (PI) and internal rate of return (IRR). Such techniques are still the foundation of investment appraisal techniques and it has been found that the payback technique, alongside more complex discounted techniques like NPV and IRR, are used by large listed firms (Sinaga et al., 2023; Siddiqui and Ahmed, 2024). The results are summarised in Table 8 and detailed year by year calculations provided in Appendix B.</w:t>
      </w:r>
    </w:p>
    <w:p w14:paraId="26B5527D" w14:textId="2F7F49E9" w:rsidR="00684A34" w:rsidRPr="00863BFF" w:rsidRDefault="006A1283" w:rsidP="00D26C7C">
      <w:pPr>
        <w:pStyle w:val="Heading2"/>
      </w:pPr>
      <w:bookmarkStart w:id="17" w:name="_Toc237448045"/>
      <w:r w:rsidRPr="00863BFF">
        <w:t>Appraisal Results</w:t>
      </w:r>
      <w:bookmarkEnd w:id="17"/>
    </w:p>
    <w:tbl>
      <w:tblPr>
        <w:tblStyle w:val="GridTable5Dark-Accent6"/>
        <w:tblW w:w="9210" w:type="dxa"/>
        <w:jc w:val="center"/>
        <w:tblLayout w:type="fixed"/>
        <w:tblLook w:val="0000" w:firstRow="0" w:lastRow="0" w:firstColumn="0" w:lastColumn="0" w:noHBand="0" w:noVBand="0"/>
      </w:tblPr>
      <w:tblGrid>
        <w:gridCol w:w="3110"/>
        <w:gridCol w:w="1500"/>
        <w:gridCol w:w="1500"/>
        <w:gridCol w:w="1500"/>
        <w:gridCol w:w="1600"/>
      </w:tblGrid>
      <w:tr w:rsidR="00684A34" w:rsidRPr="00863BFF" w14:paraId="7948EA5D" w14:textId="77777777" w:rsidTr="00D26C7C">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3110" w:type="dxa"/>
          </w:tcPr>
          <w:p w14:paraId="152A3CC9" w14:textId="77777777" w:rsidR="00684A34" w:rsidRPr="00D26C7C" w:rsidRDefault="006A1283" w:rsidP="00863BFF">
            <w:pPr>
              <w:spacing w:line="360" w:lineRule="auto"/>
              <w:jc w:val="both"/>
              <w:rPr>
                <w:rFonts w:ascii="Times New Roman" w:hAnsi="Times New Roman" w:cs="Times New Roman"/>
                <w:b/>
                <w:bCs/>
                <w:color w:val="000000" w:themeColor="text1"/>
              </w:rPr>
            </w:pPr>
            <w:r w:rsidRPr="00D26C7C">
              <w:rPr>
                <w:rFonts w:ascii="Times New Roman" w:hAnsi="Times New Roman" w:cs="Times New Roman"/>
                <w:b/>
                <w:bCs/>
                <w:color w:val="000000" w:themeColor="text1"/>
              </w:rPr>
              <w:t>Technique</w:t>
            </w:r>
          </w:p>
        </w:tc>
        <w:tc>
          <w:tcPr>
            <w:tcW w:w="1500" w:type="dxa"/>
          </w:tcPr>
          <w:p w14:paraId="106AA76A" w14:textId="77777777" w:rsidR="00684A34" w:rsidRPr="00D26C7C"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themeColor="text1"/>
              </w:rPr>
            </w:pPr>
            <w:r w:rsidRPr="00D26C7C">
              <w:rPr>
                <w:rFonts w:ascii="Times New Roman" w:hAnsi="Times New Roman" w:cs="Times New Roman"/>
                <w:b/>
                <w:bCs/>
                <w:color w:val="000000" w:themeColor="text1"/>
              </w:rPr>
              <w:t>Project A</w:t>
            </w:r>
          </w:p>
        </w:tc>
        <w:tc>
          <w:tcPr>
            <w:cnfStyle w:val="000010000000" w:firstRow="0" w:lastRow="0" w:firstColumn="0" w:lastColumn="0" w:oddVBand="1" w:evenVBand="0" w:oddHBand="0" w:evenHBand="0" w:firstRowFirstColumn="0" w:firstRowLastColumn="0" w:lastRowFirstColumn="0" w:lastRowLastColumn="0"/>
            <w:tcW w:w="1500" w:type="dxa"/>
          </w:tcPr>
          <w:p w14:paraId="66A5506B" w14:textId="77777777" w:rsidR="00684A34" w:rsidRPr="00D26C7C" w:rsidRDefault="006A1283" w:rsidP="00863BFF">
            <w:pPr>
              <w:spacing w:line="360" w:lineRule="auto"/>
              <w:jc w:val="both"/>
              <w:rPr>
                <w:rFonts w:ascii="Times New Roman" w:hAnsi="Times New Roman" w:cs="Times New Roman"/>
                <w:b/>
                <w:bCs/>
                <w:color w:val="000000" w:themeColor="text1"/>
              </w:rPr>
            </w:pPr>
            <w:r w:rsidRPr="00D26C7C">
              <w:rPr>
                <w:rFonts w:ascii="Times New Roman" w:hAnsi="Times New Roman" w:cs="Times New Roman"/>
                <w:b/>
                <w:bCs/>
                <w:color w:val="000000" w:themeColor="text1"/>
              </w:rPr>
              <w:t>Project B</w:t>
            </w:r>
          </w:p>
        </w:tc>
        <w:tc>
          <w:tcPr>
            <w:tcW w:w="1500" w:type="dxa"/>
          </w:tcPr>
          <w:p w14:paraId="6F0AFA93" w14:textId="77777777" w:rsidR="00684A34" w:rsidRPr="00D26C7C"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themeColor="text1"/>
              </w:rPr>
            </w:pPr>
            <w:r w:rsidRPr="00D26C7C">
              <w:rPr>
                <w:rFonts w:ascii="Times New Roman" w:hAnsi="Times New Roman" w:cs="Times New Roman"/>
                <w:b/>
                <w:bCs/>
                <w:color w:val="000000" w:themeColor="text1"/>
              </w:rPr>
              <w:t>Project C</w:t>
            </w:r>
          </w:p>
        </w:tc>
        <w:tc>
          <w:tcPr>
            <w:cnfStyle w:val="000010000000" w:firstRow="0" w:lastRow="0" w:firstColumn="0" w:lastColumn="0" w:oddVBand="1" w:evenVBand="0" w:oddHBand="0" w:evenHBand="0" w:firstRowFirstColumn="0" w:firstRowLastColumn="0" w:lastRowFirstColumn="0" w:lastRowLastColumn="0"/>
            <w:tcW w:w="1600" w:type="dxa"/>
          </w:tcPr>
          <w:p w14:paraId="133BD436" w14:textId="77777777" w:rsidR="00684A34" w:rsidRPr="00D26C7C" w:rsidRDefault="006A1283" w:rsidP="00863BFF">
            <w:pPr>
              <w:spacing w:line="360" w:lineRule="auto"/>
              <w:jc w:val="both"/>
              <w:rPr>
                <w:rFonts w:ascii="Times New Roman" w:hAnsi="Times New Roman" w:cs="Times New Roman"/>
                <w:b/>
                <w:bCs/>
                <w:color w:val="000000" w:themeColor="text1"/>
              </w:rPr>
            </w:pPr>
            <w:r w:rsidRPr="00D26C7C">
              <w:rPr>
                <w:rFonts w:ascii="Times New Roman" w:hAnsi="Times New Roman" w:cs="Times New Roman"/>
                <w:b/>
                <w:bCs/>
                <w:color w:val="000000" w:themeColor="text1"/>
              </w:rPr>
              <w:t>Decision rule</w:t>
            </w:r>
          </w:p>
        </w:tc>
      </w:tr>
      <w:tr w:rsidR="00684A34" w:rsidRPr="00863BFF" w14:paraId="75B9F8C0" w14:textId="77777777" w:rsidTr="00D26C7C">
        <w:trPr>
          <w:jc w:val="center"/>
        </w:trPr>
        <w:tc>
          <w:tcPr>
            <w:cnfStyle w:val="000010000000" w:firstRow="0" w:lastRow="0" w:firstColumn="0" w:lastColumn="0" w:oddVBand="1" w:evenVBand="0" w:oddHBand="0" w:evenHBand="0" w:firstRowFirstColumn="0" w:firstRowLastColumn="0" w:lastRowFirstColumn="0" w:lastRowLastColumn="0"/>
            <w:tcW w:w="3110" w:type="dxa"/>
          </w:tcPr>
          <w:p w14:paraId="7D53EE50"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Payback period (years)</w:t>
            </w:r>
          </w:p>
        </w:tc>
        <w:tc>
          <w:tcPr>
            <w:tcW w:w="1500" w:type="dxa"/>
          </w:tcPr>
          <w:p w14:paraId="17EA6F12"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4.50</w:t>
            </w:r>
          </w:p>
        </w:tc>
        <w:tc>
          <w:tcPr>
            <w:cnfStyle w:val="000010000000" w:firstRow="0" w:lastRow="0" w:firstColumn="0" w:lastColumn="0" w:oddVBand="1" w:evenVBand="0" w:oddHBand="0" w:evenHBand="0" w:firstRowFirstColumn="0" w:firstRowLastColumn="0" w:lastRowFirstColumn="0" w:lastRowLastColumn="0"/>
            <w:tcW w:w="1500" w:type="dxa"/>
          </w:tcPr>
          <w:p w14:paraId="17B3D0B2"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4.55</w:t>
            </w:r>
          </w:p>
        </w:tc>
        <w:tc>
          <w:tcPr>
            <w:tcW w:w="1500" w:type="dxa"/>
          </w:tcPr>
          <w:p w14:paraId="6859F741"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3.60</w:t>
            </w:r>
          </w:p>
        </w:tc>
        <w:tc>
          <w:tcPr>
            <w:cnfStyle w:val="000010000000" w:firstRow="0" w:lastRow="0" w:firstColumn="0" w:lastColumn="0" w:oddVBand="1" w:evenVBand="0" w:oddHBand="0" w:evenHBand="0" w:firstRowFirstColumn="0" w:firstRowLastColumn="0" w:lastRowFirstColumn="0" w:lastRowLastColumn="0"/>
            <w:tcW w:w="1600" w:type="dxa"/>
          </w:tcPr>
          <w:p w14:paraId="5E6F7A76"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Shorter is better</w:t>
            </w:r>
          </w:p>
        </w:tc>
      </w:tr>
      <w:tr w:rsidR="00684A34" w:rsidRPr="00863BFF" w14:paraId="4C6A0378" w14:textId="77777777" w:rsidTr="00D26C7C">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3110" w:type="dxa"/>
          </w:tcPr>
          <w:p w14:paraId="7A88CF90"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ARR (on average investment) %</w:t>
            </w:r>
          </w:p>
        </w:tc>
        <w:tc>
          <w:tcPr>
            <w:tcW w:w="1500" w:type="dxa"/>
          </w:tcPr>
          <w:p w14:paraId="6D8FC437"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3.20</w:t>
            </w:r>
          </w:p>
        </w:tc>
        <w:tc>
          <w:tcPr>
            <w:cnfStyle w:val="000010000000" w:firstRow="0" w:lastRow="0" w:firstColumn="0" w:lastColumn="0" w:oddVBand="1" w:evenVBand="0" w:oddHBand="0" w:evenHBand="0" w:firstRowFirstColumn="0" w:firstRowLastColumn="0" w:lastRowFirstColumn="0" w:lastRowLastColumn="0"/>
            <w:tcW w:w="1500" w:type="dxa"/>
          </w:tcPr>
          <w:p w14:paraId="3F676A6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4.00</w:t>
            </w:r>
          </w:p>
        </w:tc>
        <w:tc>
          <w:tcPr>
            <w:tcW w:w="1500" w:type="dxa"/>
          </w:tcPr>
          <w:p w14:paraId="7D695444"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12.00</w:t>
            </w:r>
          </w:p>
        </w:tc>
        <w:tc>
          <w:tcPr>
            <w:cnfStyle w:val="000010000000" w:firstRow="0" w:lastRow="0" w:firstColumn="0" w:lastColumn="0" w:oddVBand="1" w:evenVBand="0" w:oddHBand="0" w:evenHBand="0" w:firstRowFirstColumn="0" w:firstRowLastColumn="0" w:lastRowFirstColumn="0" w:lastRowLastColumn="0"/>
            <w:tcW w:w="1600" w:type="dxa"/>
          </w:tcPr>
          <w:p w14:paraId="4CD2C20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Higher is better</w:t>
            </w:r>
          </w:p>
        </w:tc>
      </w:tr>
      <w:tr w:rsidR="00684A34" w:rsidRPr="00863BFF" w14:paraId="0EF0322A" w14:textId="77777777" w:rsidTr="00D26C7C">
        <w:trPr>
          <w:jc w:val="center"/>
        </w:trPr>
        <w:tc>
          <w:tcPr>
            <w:cnfStyle w:val="000010000000" w:firstRow="0" w:lastRow="0" w:firstColumn="0" w:lastColumn="0" w:oddVBand="1" w:evenVBand="0" w:oddHBand="0" w:evenHBand="0" w:firstRowFirstColumn="0" w:firstRowLastColumn="0" w:lastRowFirstColumn="0" w:lastRowLastColumn="0"/>
            <w:tcW w:w="3110" w:type="dxa"/>
          </w:tcPr>
          <w:p w14:paraId="1A1401A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NPV @ 8% (£m)</w:t>
            </w:r>
          </w:p>
        </w:tc>
        <w:tc>
          <w:tcPr>
            <w:tcW w:w="1500" w:type="dxa"/>
          </w:tcPr>
          <w:p w14:paraId="0C8FAB66"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–6.54</w:t>
            </w:r>
          </w:p>
        </w:tc>
        <w:tc>
          <w:tcPr>
            <w:cnfStyle w:val="000010000000" w:firstRow="0" w:lastRow="0" w:firstColumn="0" w:lastColumn="0" w:oddVBand="1" w:evenVBand="0" w:oddHBand="0" w:evenHBand="0" w:firstRowFirstColumn="0" w:firstRowLastColumn="0" w:lastRowFirstColumn="0" w:lastRowLastColumn="0"/>
            <w:tcW w:w="1500" w:type="dxa"/>
          </w:tcPr>
          <w:p w14:paraId="7EAF3215"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–6.08</w:t>
            </w:r>
          </w:p>
        </w:tc>
        <w:tc>
          <w:tcPr>
            <w:tcW w:w="1500" w:type="dxa"/>
          </w:tcPr>
          <w:p w14:paraId="22213B27"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+0.86</w:t>
            </w:r>
          </w:p>
        </w:tc>
        <w:tc>
          <w:tcPr>
            <w:cnfStyle w:val="000010000000" w:firstRow="0" w:lastRow="0" w:firstColumn="0" w:lastColumn="0" w:oddVBand="1" w:evenVBand="0" w:oddHBand="0" w:evenHBand="0" w:firstRowFirstColumn="0" w:firstRowLastColumn="0" w:lastRowFirstColumn="0" w:lastRowLastColumn="0"/>
            <w:tcW w:w="1600" w:type="dxa"/>
          </w:tcPr>
          <w:p w14:paraId="6FE713D1"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Accept if &gt; 0</w:t>
            </w:r>
          </w:p>
        </w:tc>
      </w:tr>
      <w:tr w:rsidR="00684A34" w:rsidRPr="00863BFF" w14:paraId="241B23EB" w14:textId="77777777" w:rsidTr="00D26C7C">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3110" w:type="dxa"/>
          </w:tcPr>
          <w:p w14:paraId="2FC124D7"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Profitability index (PI)</w:t>
            </w:r>
          </w:p>
        </w:tc>
        <w:tc>
          <w:tcPr>
            <w:tcW w:w="1500" w:type="dxa"/>
          </w:tcPr>
          <w:p w14:paraId="1FAF0CB2"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0.87</w:t>
            </w:r>
          </w:p>
        </w:tc>
        <w:tc>
          <w:tcPr>
            <w:cnfStyle w:val="000010000000" w:firstRow="0" w:lastRow="0" w:firstColumn="0" w:lastColumn="0" w:oddVBand="1" w:evenVBand="0" w:oddHBand="0" w:evenHBand="0" w:firstRowFirstColumn="0" w:firstRowLastColumn="0" w:lastRowFirstColumn="0" w:lastRowLastColumn="0"/>
            <w:tcW w:w="1500" w:type="dxa"/>
          </w:tcPr>
          <w:p w14:paraId="1986D22C"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0.88</w:t>
            </w:r>
          </w:p>
        </w:tc>
        <w:tc>
          <w:tcPr>
            <w:tcW w:w="1500" w:type="dxa"/>
          </w:tcPr>
          <w:p w14:paraId="64399CBA"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1.02</w:t>
            </w:r>
          </w:p>
        </w:tc>
        <w:tc>
          <w:tcPr>
            <w:cnfStyle w:val="000010000000" w:firstRow="0" w:lastRow="0" w:firstColumn="0" w:lastColumn="0" w:oddVBand="1" w:evenVBand="0" w:oddHBand="0" w:evenHBand="0" w:firstRowFirstColumn="0" w:firstRowLastColumn="0" w:lastRowFirstColumn="0" w:lastRowLastColumn="0"/>
            <w:tcW w:w="1600" w:type="dxa"/>
          </w:tcPr>
          <w:p w14:paraId="113E74FF"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Accept if &gt; 1</w:t>
            </w:r>
          </w:p>
        </w:tc>
      </w:tr>
      <w:tr w:rsidR="00684A34" w:rsidRPr="00863BFF" w14:paraId="079C25C5" w14:textId="77777777" w:rsidTr="00D26C7C">
        <w:trPr>
          <w:jc w:val="center"/>
        </w:trPr>
        <w:tc>
          <w:tcPr>
            <w:cnfStyle w:val="000010000000" w:firstRow="0" w:lastRow="0" w:firstColumn="0" w:lastColumn="0" w:oddVBand="1" w:evenVBand="0" w:oddHBand="0" w:evenHBand="0" w:firstRowFirstColumn="0" w:firstRowLastColumn="0" w:lastRowFirstColumn="0" w:lastRowLastColumn="0"/>
            <w:tcW w:w="3110" w:type="dxa"/>
          </w:tcPr>
          <w:p w14:paraId="403DBA93"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IRR (%)</w:t>
            </w:r>
          </w:p>
        </w:tc>
        <w:tc>
          <w:tcPr>
            <w:tcW w:w="1500" w:type="dxa"/>
          </w:tcPr>
          <w:p w14:paraId="1B2B68D4"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2.72</w:t>
            </w:r>
          </w:p>
        </w:tc>
        <w:tc>
          <w:tcPr>
            <w:cnfStyle w:val="000010000000" w:firstRow="0" w:lastRow="0" w:firstColumn="0" w:lastColumn="0" w:oddVBand="1" w:evenVBand="0" w:oddHBand="0" w:evenHBand="0" w:firstRowFirstColumn="0" w:firstRowLastColumn="0" w:lastRowFirstColumn="0" w:lastRowLastColumn="0"/>
            <w:tcW w:w="1500" w:type="dxa"/>
          </w:tcPr>
          <w:p w14:paraId="6B61552B"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3.26</w:t>
            </w:r>
          </w:p>
        </w:tc>
        <w:tc>
          <w:tcPr>
            <w:tcW w:w="1500" w:type="dxa"/>
          </w:tcPr>
          <w:p w14:paraId="100D4FC1"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8.59</w:t>
            </w:r>
          </w:p>
        </w:tc>
        <w:tc>
          <w:tcPr>
            <w:cnfStyle w:val="000010000000" w:firstRow="0" w:lastRow="0" w:firstColumn="0" w:lastColumn="0" w:oddVBand="1" w:evenVBand="0" w:oddHBand="0" w:evenHBand="0" w:firstRowFirstColumn="0" w:firstRowLastColumn="0" w:lastRowFirstColumn="0" w:lastRowLastColumn="0"/>
            <w:tcW w:w="1600" w:type="dxa"/>
          </w:tcPr>
          <w:p w14:paraId="69B95FC6"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Accept if &gt; 8%</w:t>
            </w:r>
          </w:p>
        </w:tc>
      </w:tr>
    </w:tbl>
    <w:p w14:paraId="0C61AD31"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i/>
          <w:iCs/>
          <w:color w:val="000000" w:themeColor="text1"/>
        </w:rPr>
        <w:t>Table 8. Investment Appraisal Results, Projects A–C. Source: author’s calculations (discount rate 8%).</w:t>
      </w:r>
    </w:p>
    <w:p w14:paraId="1A3DF43D" w14:textId="77777777" w:rsidR="00684A34" w:rsidRPr="00863BFF" w:rsidRDefault="006A1283" w:rsidP="00D26C7C">
      <w:pPr>
        <w:spacing w:line="360" w:lineRule="auto"/>
        <w:jc w:val="center"/>
        <w:rPr>
          <w:rFonts w:ascii="Times New Roman" w:hAnsi="Times New Roman" w:cs="Times New Roman"/>
          <w:color w:val="000000" w:themeColor="text1"/>
        </w:rPr>
      </w:pPr>
      <w:r w:rsidRPr="00863BFF">
        <w:rPr>
          <w:rFonts w:ascii="Times New Roman" w:hAnsi="Times New Roman" w:cs="Times New Roman"/>
          <w:noProof/>
          <w:color w:val="000000" w:themeColor="text1"/>
        </w:rPr>
        <w:drawing>
          <wp:inline distT="0" distB="0" distL="0" distR="0" wp14:anchorId="2375D7C1" wp14:editId="0A832ACA">
            <wp:extent cx="4629150" cy="2568640"/>
            <wp:effectExtent l="0" t="0" r="0" b="0"/>
            <wp:docPr id="7" name="Imag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7"/>
                    <pic:cNvPicPr>
                      <a:picLocks noChangeAspect="1" noChangeArrowheads="1"/>
                    </pic:cNvPicPr>
                  </pic:nvPicPr>
                  <pic:blipFill rotWithShape="1">
                    <a:blip r:embed="rId15"/>
                    <a:srcRect t="9962"/>
                    <a:stretch>
                      <a:fillRect/>
                    </a:stretch>
                  </pic:blipFill>
                  <pic:spPr bwMode="auto">
                    <a:xfrm>
                      <a:off x="0" y="0"/>
                      <a:ext cx="4632922" cy="2570733"/>
                    </a:xfrm>
                    <a:prstGeom prst="rect">
                      <a:avLst/>
                    </a:prstGeom>
                    <a:ln>
                      <a:noFill/>
                    </a:ln>
                    <a:extLst>
                      <a:ext uri="{53640926-AAD7-44D8-BBD7-CCE9431645EC}">
                        <a14:shadowObscured xmlns:a14="http://schemas.microsoft.com/office/drawing/2010/main"/>
                      </a:ext>
                    </a:extLst>
                  </pic:spPr>
                </pic:pic>
              </a:graphicData>
            </a:graphic>
          </wp:inline>
        </w:drawing>
      </w:r>
    </w:p>
    <w:p w14:paraId="55CF8DEB" w14:textId="324787A8" w:rsidR="00684A34" w:rsidRPr="00D26C7C" w:rsidRDefault="006A1283" w:rsidP="00D26C7C">
      <w:pPr>
        <w:spacing w:line="360" w:lineRule="auto"/>
        <w:jc w:val="center"/>
        <w:rPr>
          <w:rFonts w:ascii="Times New Roman" w:hAnsi="Times New Roman" w:cs="Times New Roman"/>
          <w:b/>
          <w:bCs/>
          <w:color w:val="000000" w:themeColor="text1"/>
        </w:rPr>
      </w:pPr>
      <w:r w:rsidRPr="00D26C7C">
        <w:rPr>
          <w:rFonts w:ascii="Times New Roman" w:hAnsi="Times New Roman" w:cs="Times New Roman"/>
          <w:b/>
          <w:bCs/>
          <w:i/>
          <w:iCs/>
          <w:color w:val="000000" w:themeColor="text1"/>
        </w:rPr>
        <w:t>Figure 7. Net present value by project (8% discount rate).</w:t>
      </w:r>
    </w:p>
    <w:p w14:paraId="16844E56" w14:textId="77777777" w:rsidR="00684A34" w:rsidRPr="00863BFF" w:rsidRDefault="006A1283" w:rsidP="00D26C7C">
      <w:pPr>
        <w:spacing w:line="360" w:lineRule="auto"/>
        <w:jc w:val="center"/>
        <w:rPr>
          <w:rFonts w:ascii="Times New Roman" w:hAnsi="Times New Roman" w:cs="Times New Roman"/>
          <w:color w:val="000000" w:themeColor="text1"/>
        </w:rPr>
      </w:pPr>
      <w:r w:rsidRPr="00863BFF">
        <w:rPr>
          <w:rFonts w:ascii="Times New Roman" w:hAnsi="Times New Roman" w:cs="Times New Roman"/>
          <w:noProof/>
          <w:color w:val="000000" w:themeColor="text1"/>
        </w:rPr>
        <w:drawing>
          <wp:inline distT="0" distB="0" distL="0" distR="0" wp14:anchorId="6C7546F7" wp14:editId="11B4DD7E">
            <wp:extent cx="5124899" cy="2590800"/>
            <wp:effectExtent l="0" t="0" r="0" b="0"/>
            <wp:docPr id="8" name="Imag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8"/>
                    <pic:cNvPicPr>
                      <a:picLocks noChangeAspect="1" noChangeArrowheads="1"/>
                    </pic:cNvPicPr>
                  </pic:nvPicPr>
                  <pic:blipFill rotWithShape="1">
                    <a:blip r:embed="rId16"/>
                    <a:srcRect t="11343"/>
                    <a:stretch>
                      <a:fillRect/>
                    </a:stretch>
                  </pic:blipFill>
                  <pic:spPr bwMode="auto">
                    <a:xfrm>
                      <a:off x="0" y="0"/>
                      <a:ext cx="5129677" cy="2593216"/>
                    </a:xfrm>
                    <a:prstGeom prst="rect">
                      <a:avLst/>
                    </a:prstGeom>
                    <a:ln>
                      <a:noFill/>
                    </a:ln>
                    <a:extLst>
                      <a:ext uri="{53640926-AAD7-44D8-BBD7-CCE9431645EC}">
                        <a14:shadowObscured xmlns:a14="http://schemas.microsoft.com/office/drawing/2010/main"/>
                      </a:ext>
                    </a:extLst>
                  </pic:spPr>
                </pic:pic>
              </a:graphicData>
            </a:graphic>
          </wp:inline>
        </w:drawing>
      </w:r>
    </w:p>
    <w:p w14:paraId="467B1E49" w14:textId="7C45A7F7" w:rsidR="00D26C7C" w:rsidRPr="00D26C7C" w:rsidRDefault="006A1283" w:rsidP="00D26C7C">
      <w:pPr>
        <w:spacing w:line="360" w:lineRule="auto"/>
        <w:jc w:val="center"/>
        <w:rPr>
          <w:rFonts w:ascii="Times New Roman" w:hAnsi="Times New Roman" w:cs="Times New Roman"/>
          <w:b/>
          <w:bCs/>
          <w:i/>
          <w:iCs/>
          <w:color w:val="000000" w:themeColor="text1"/>
        </w:rPr>
      </w:pPr>
      <w:r w:rsidRPr="00D26C7C">
        <w:rPr>
          <w:rFonts w:ascii="Times New Roman" w:hAnsi="Times New Roman" w:cs="Times New Roman"/>
          <w:b/>
          <w:bCs/>
          <w:i/>
          <w:iCs/>
          <w:color w:val="000000" w:themeColor="text1"/>
        </w:rPr>
        <w:t>Figure 8. Discounted payback profile of Projects A–C.</w:t>
      </w:r>
    </w:p>
    <w:p w14:paraId="086B4C26" w14:textId="7652184C" w:rsidR="00863BFF" w:rsidRPr="00863BFF" w:rsidRDefault="00863BFF"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The techniques are all the same. Only Project C has a positive NPV (+£0.86m), an ARR greater than 8% (on average investment), a PI greater than 1.0 (1.02), and an IRR above the 8% cost of capital (8.59%). Project C is the only project that creates value. Both Projects A and B are discounting value as indicated by an NPV of –£6.54m and –£6.08m respectively with IRRs of 2.72% and 3.26% which are far below the hurdle rate. Visually, this is confirmed in Figures 7 and 8 with only the cumulative discounted cash flow from Project C moving into positive numbers during the project life.</w:t>
      </w:r>
    </w:p>
    <w:p w14:paraId="1754F9B7" w14:textId="6FC8366D" w:rsidR="00863BFF" w:rsidRPr="00863BFF" w:rsidRDefault="00863BFF" w:rsidP="00D26C7C">
      <w:pPr>
        <w:pStyle w:val="Heading2"/>
      </w:pPr>
      <w:r w:rsidRPr="00863BFF">
        <w:t xml:space="preserve"> </w:t>
      </w:r>
      <w:bookmarkStart w:id="18" w:name="_Toc237448046"/>
      <w:r w:rsidRPr="00863BFF">
        <w:t>Reconciling the Techniques</w:t>
      </w:r>
      <w:bookmarkEnd w:id="18"/>
    </w:p>
    <w:p w14:paraId="31FCA5E4" w14:textId="77777777" w:rsidR="00863BFF" w:rsidRPr="00863BFF" w:rsidRDefault="00863BFF"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Theoretically, NPV would be the best measure as it would reflect the absolute value added in monetary terms, would consider the use of the firm's cost of capital, and would take into account the time value of money throughout the life of the project (Brealey et al., 2023; Ross et al., 2022). Both PBP and ARR have weaknesses: PBP does not consider cash flows after the payback point, it does not take into account the time value of money; ARR does not take into account the timing of cash flows, it only considers the accounting return (Atrill and McLaney, 2022). All methods concur here, giving confidence to the recommendation. The cash flows of Project C are heavily discounted, and even then the project passes the hurdle, which is why it is considered to have a good underlying return, and peaks at £25m in Year 4.</w:t>
      </w:r>
    </w:p>
    <w:p w14:paraId="4474EF73" w14:textId="1D3B09FE" w:rsidR="00863BFF" w:rsidRPr="00863BFF" w:rsidRDefault="00863BFF" w:rsidP="00D26C7C">
      <w:pPr>
        <w:pStyle w:val="Heading2"/>
      </w:pPr>
      <w:bookmarkStart w:id="19" w:name="_Toc237448047"/>
      <w:r w:rsidRPr="00863BFF">
        <w:t>Recommendation with Financial and Non-Financial Justification</w:t>
      </w:r>
      <w:bookmarkEnd w:id="19"/>
    </w:p>
    <w:p w14:paraId="5512DD87" w14:textId="2459C637" w:rsidR="00863BFF" w:rsidRPr="00863BFF" w:rsidRDefault="00D26C7C"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Recommendations</w:t>
      </w:r>
      <w:r w:rsidR="00863BFF" w:rsidRPr="00863BFF">
        <w:rPr>
          <w:rFonts w:ascii="Times New Roman" w:hAnsi="Times New Roman" w:cs="Times New Roman"/>
          <w:color w:val="000000" w:themeColor="text1"/>
        </w:rPr>
        <w:t xml:space="preserve"> for project C is offered. In the financial sense, it's the only project that fits into IHG's cost of capital and the need to safeguard a stretched balance sheet: a value-creating project with a sub-four-year payback helps to maintain liquidity, which is important when considering the sub-1.0 current ratio that was identified in Section 2.3. If the firm chose Project A or B, it would place an additional financial strain on the firm, costing £50m on a value destructive project. IHG's profits are high, but its liquidity and gearing are relatively tight, so capital discipline is key, and only Project C fits the bill.</w:t>
      </w:r>
    </w:p>
    <w:p w14:paraId="4FC95A36" w14:textId="77777777" w:rsidR="00863BFF" w:rsidRPr="00863BFF" w:rsidRDefault="00863BFF"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This preference is complemented by non-financial factors that modify it. Political and macroeconomic risk is another risk which is faced by Project C, as it is to some extent dependent on the cash flows of Year-3 and Year-4, which could be impacted by a downturn or geopolitical shock during that period, thereby reducing the margin of value – currently thin – for Project C (Robinson, 2020). Customer-loyalty considerations are favourable: investments that deepen IHG's competitive moat - it's a loyalty programme that currently has more than 145m members across more than 1,300 properties worldwide, coupled with technology that allows IHG to enhance its offering, create exactly this kind of ramping cash-flow profile.Customer-loyalty considerations are favourable: investments that strengthen IHG's loyalty programme, it has over 145m members across more than 1,300 properties worldwide and technology that enable IHG to further leverage its offering, create exactly this kind of ramping cash-flow profile. However, the assumptions made in later years of Project C should be risk tested, and some risk sharing should be discussed before management gets involved.</w:t>
      </w:r>
    </w:p>
    <w:p w14:paraId="7A969F1B" w14:textId="254216C4" w:rsidR="00863BFF" w:rsidRPr="00863BFF" w:rsidRDefault="00863BFF" w:rsidP="00D26C7C">
      <w:pPr>
        <w:pStyle w:val="Heading2"/>
      </w:pPr>
      <w:bookmarkStart w:id="20" w:name="_Toc237448048"/>
      <w:r w:rsidRPr="00863BFF">
        <w:t>Capital Rationing</w:t>
      </w:r>
      <w:bookmarkEnd w:id="20"/>
    </w:p>
    <w:p w14:paraId="4BD18F31" w14:textId="7F62D8AC" w:rsidR="00684A34" w:rsidRPr="00863BFF" w:rsidRDefault="00863BFF"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If the total amount of money is £100m and the cost of each project is £50m, then IHG can only build at most 2 projects. When the capital is hard rationed and the projects are mutually independent and indivisible, the goal is to get the highest possible total NPV given the budget (Lumby and Jones, 2019). The three possible combinations of two projects are presented in table 9.</w:t>
      </w:r>
    </w:p>
    <w:tbl>
      <w:tblPr>
        <w:tblStyle w:val="GridTable5Dark-Accent1"/>
        <w:tblW w:w="8800" w:type="dxa"/>
        <w:jc w:val="center"/>
        <w:tblLayout w:type="fixed"/>
        <w:tblLook w:val="0000" w:firstRow="0" w:lastRow="0" w:firstColumn="0" w:lastColumn="0" w:noHBand="0" w:noVBand="0"/>
      </w:tblPr>
      <w:tblGrid>
        <w:gridCol w:w="2400"/>
        <w:gridCol w:w="2200"/>
        <w:gridCol w:w="2401"/>
        <w:gridCol w:w="1799"/>
      </w:tblGrid>
      <w:tr w:rsidR="00684A34" w:rsidRPr="00863BFF" w14:paraId="2A91D2B5" w14:textId="77777777" w:rsidTr="00D26C7C">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399" w:type="dxa"/>
          </w:tcPr>
          <w:p w14:paraId="416F1C53" w14:textId="77777777" w:rsidR="00684A34" w:rsidRPr="00D26C7C" w:rsidRDefault="006A1283" w:rsidP="00863BFF">
            <w:pPr>
              <w:spacing w:line="360" w:lineRule="auto"/>
              <w:jc w:val="both"/>
              <w:rPr>
                <w:rFonts w:ascii="Times New Roman" w:hAnsi="Times New Roman" w:cs="Times New Roman"/>
                <w:b/>
                <w:bCs/>
                <w:color w:val="000000" w:themeColor="text1"/>
              </w:rPr>
            </w:pPr>
            <w:r w:rsidRPr="00D26C7C">
              <w:rPr>
                <w:rFonts w:ascii="Times New Roman" w:hAnsi="Times New Roman" w:cs="Times New Roman"/>
                <w:b/>
                <w:bCs/>
                <w:color w:val="000000" w:themeColor="text1"/>
              </w:rPr>
              <w:t>Combination</w:t>
            </w:r>
          </w:p>
        </w:tc>
        <w:tc>
          <w:tcPr>
            <w:tcW w:w="2200" w:type="dxa"/>
          </w:tcPr>
          <w:p w14:paraId="5E9E679B" w14:textId="77777777" w:rsidR="00684A34" w:rsidRPr="00D26C7C"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themeColor="text1"/>
              </w:rPr>
            </w:pPr>
            <w:r w:rsidRPr="00D26C7C">
              <w:rPr>
                <w:rFonts w:ascii="Times New Roman" w:hAnsi="Times New Roman" w:cs="Times New Roman"/>
                <w:b/>
                <w:bCs/>
                <w:color w:val="000000" w:themeColor="text1"/>
              </w:rPr>
              <w:t>Total outlay (£m)</w:t>
            </w:r>
          </w:p>
        </w:tc>
        <w:tc>
          <w:tcPr>
            <w:cnfStyle w:val="000010000000" w:firstRow="0" w:lastRow="0" w:firstColumn="0" w:lastColumn="0" w:oddVBand="1" w:evenVBand="0" w:oddHBand="0" w:evenHBand="0" w:firstRowFirstColumn="0" w:firstRowLastColumn="0" w:lastRowFirstColumn="0" w:lastRowLastColumn="0"/>
            <w:tcW w:w="2401" w:type="dxa"/>
          </w:tcPr>
          <w:p w14:paraId="7DF97BC6" w14:textId="77777777" w:rsidR="00684A34" w:rsidRPr="00D26C7C" w:rsidRDefault="006A1283" w:rsidP="00863BFF">
            <w:pPr>
              <w:spacing w:line="360" w:lineRule="auto"/>
              <w:jc w:val="both"/>
              <w:rPr>
                <w:rFonts w:ascii="Times New Roman" w:hAnsi="Times New Roman" w:cs="Times New Roman"/>
                <w:b/>
                <w:bCs/>
                <w:color w:val="000000" w:themeColor="text1"/>
              </w:rPr>
            </w:pPr>
            <w:r w:rsidRPr="00D26C7C">
              <w:rPr>
                <w:rFonts w:ascii="Times New Roman" w:hAnsi="Times New Roman" w:cs="Times New Roman"/>
                <w:b/>
                <w:bCs/>
                <w:color w:val="000000" w:themeColor="text1"/>
              </w:rPr>
              <w:t>Combined NPV (£m)</w:t>
            </w:r>
          </w:p>
        </w:tc>
        <w:tc>
          <w:tcPr>
            <w:tcW w:w="1799" w:type="dxa"/>
          </w:tcPr>
          <w:p w14:paraId="670E4C4B" w14:textId="77777777" w:rsidR="00684A34" w:rsidRPr="00D26C7C"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themeColor="text1"/>
              </w:rPr>
            </w:pPr>
            <w:r w:rsidRPr="00D26C7C">
              <w:rPr>
                <w:rFonts w:ascii="Times New Roman" w:hAnsi="Times New Roman" w:cs="Times New Roman"/>
                <w:b/>
                <w:bCs/>
                <w:color w:val="000000" w:themeColor="text1"/>
              </w:rPr>
              <w:t>Rank</w:t>
            </w:r>
          </w:p>
        </w:tc>
      </w:tr>
      <w:tr w:rsidR="00684A34" w:rsidRPr="00863BFF" w14:paraId="6D4932E3" w14:textId="77777777" w:rsidTr="00D26C7C">
        <w:trPr>
          <w:jc w:val="center"/>
        </w:trPr>
        <w:tc>
          <w:tcPr>
            <w:cnfStyle w:val="000010000000" w:firstRow="0" w:lastRow="0" w:firstColumn="0" w:lastColumn="0" w:oddVBand="1" w:evenVBand="0" w:oddHBand="0" w:evenHBand="0" w:firstRowFirstColumn="0" w:firstRowLastColumn="0" w:lastRowFirstColumn="0" w:lastRowLastColumn="0"/>
            <w:tcW w:w="2399" w:type="dxa"/>
          </w:tcPr>
          <w:p w14:paraId="374D2E17"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B + C</w:t>
            </w:r>
          </w:p>
        </w:tc>
        <w:tc>
          <w:tcPr>
            <w:tcW w:w="2200" w:type="dxa"/>
          </w:tcPr>
          <w:p w14:paraId="26EDF502"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100</w:t>
            </w:r>
          </w:p>
        </w:tc>
        <w:tc>
          <w:tcPr>
            <w:cnfStyle w:val="000010000000" w:firstRow="0" w:lastRow="0" w:firstColumn="0" w:lastColumn="0" w:oddVBand="1" w:evenVBand="0" w:oddHBand="0" w:evenHBand="0" w:firstRowFirstColumn="0" w:firstRowLastColumn="0" w:lastRowFirstColumn="0" w:lastRowLastColumn="0"/>
            <w:tcW w:w="2401" w:type="dxa"/>
          </w:tcPr>
          <w:p w14:paraId="11DD209A"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–5.22</w:t>
            </w:r>
          </w:p>
        </w:tc>
        <w:tc>
          <w:tcPr>
            <w:tcW w:w="1799" w:type="dxa"/>
          </w:tcPr>
          <w:p w14:paraId="6B38635F"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1 (least negative)</w:t>
            </w:r>
          </w:p>
        </w:tc>
      </w:tr>
      <w:tr w:rsidR="00684A34" w:rsidRPr="00863BFF" w14:paraId="5064A9A7" w14:textId="77777777" w:rsidTr="00D26C7C">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399" w:type="dxa"/>
          </w:tcPr>
          <w:p w14:paraId="2C32269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A + C</w:t>
            </w:r>
          </w:p>
        </w:tc>
        <w:tc>
          <w:tcPr>
            <w:tcW w:w="2200" w:type="dxa"/>
          </w:tcPr>
          <w:p w14:paraId="1AFEB5D6"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100</w:t>
            </w:r>
          </w:p>
        </w:tc>
        <w:tc>
          <w:tcPr>
            <w:cnfStyle w:val="000010000000" w:firstRow="0" w:lastRow="0" w:firstColumn="0" w:lastColumn="0" w:oddVBand="1" w:evenVBand="0" w:oddHBand="0" w:evenHBand="0" w:firstRowFirstColumn="0" w:firstRowLastColumn="0" w:lastRowFirstColumn="0" w:lastRowLastColumn="0"/>
            <w:tcW w:w="2401" w:type="dxa"/>
          </w:tcPr>
          <w:p w14:paraId="3892A3D1"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–5.69</w:t>
            </w:r>
          </w:p>
        </w:tc>
        <w:tc>
          <w:tcPr>
            <w:tcW w:w="1799" w:type="dxa"/>
          </w:tcPr>
          <w:p w14:paraId="6CA350EE" w14:textId="77777777" w:rsidR="00684A34" w:rsidRPr="00863BFF" w:rsidRDefault="006A1283" w:rsidP="00863B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2</w:t>
            </w:r>
          </w:p>
        </w:tc>
      </w:tr>
      <w:tr w:rsidR="00684A34" w:rsidRPr="00863BFF" w14:paraId="1A9048A1" w14:textId="77777777" w:rsidTr="00D26C7C">
        <w:trPr>
          <w:jc w:val="center"/>
        </w:trPr>
        <w:tc>
          <w:tcPr>
            <w:cnfStyle w:val="000010000000" w:firstRow="0" w:lastRow="0" w:firstColumn="0" w:lastColumn="0" w:oddVBand="1" w:evenVBand="0" w:oddHBand="0" w:evenHBand="0" w:firstRowFirstColumn="0" w:firstRowLastColumn="0" w:lastRowFirstColumn="0" w:lastRowLastColumn="0"/>
            <w:tcW w:w="2399" w:type="dxa"/>
          </w:tcPr>
          <w:p w14:paraId="40CD5AC9"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A + B</w:t>
            </w:r>
          </w:p>
        </w:tc>
        <w:tc>
          <w:tcPr>
            <w:tcW w:w="2200" w:type="dxa"/>
          </w:tcPr>
          <w:p w14:paraId="2120B92C"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100</w:t>
            </w:r>
          </w:p>
        </w:tc>
        <w:tc>
          <w:tcPr>
            <w:cnfStyle w:val="000010000000" w:firstRow="0" w:lastRow="0" w:firstColumn="0" w:lastColumn="0" w:oddVBand="1" w:evenVBand="0" w:oddHBand="0" w:evenHBand="0" w:firstRowFirstColumn="0" w:firstRowLastColumn="0" w:lastRowFirstColumn="0" w:lastRowLastColumn="0"/>
            <w:tcW w:w="2401" w:type="dxa"/>
          </w:tcPr>
          <w:p w14:paraId="7F6C92E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–12.62</w:t>
            </w:r>
          </w:p>
        </w:tc>
        <w:tc>
          <w:tcPr>
            <w:tcW w:w="1799" w:type="dxa"/>
          </w:tcPr>
          <w:p w14:paraId="034C20BB" w14:textId="77777777" w:rsidR="00684A34" w:rsidRPr="00863BFF" w:rsidRDefault="006A1283" w:rsidP="00863B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63BFF">
              <w:rPr>
                <w:rFonts w:ascii="Times New Roman" w:hAnsi="Times New Roman" w:cs="Times New Roman"/>
                <w:color w:val="000000" w:themeColor="text1"/>
              </w:rPr>
              <w:t>3</w:t>
            </w:r>
          </w:p>
        </w:tc>
      </w:tr>
    </w:tbl>
    <w:p w14:paraId="2C3EFFCA" w14:textId="41F41B5F" w:rsidR="00684A34" w:rsidRPr="00D26C7C" w:rsidRDefault="006A1283" w:rsidP="00D26C7C">
      <w:pPr>
        <w:spacing w:line="360" w:lineRule="auto"/>
        <w:jc w:val="center"/>
        <w:rPr>
          <w:rFonts w:ascii="Times New Roman" w:hAnsi="Times New Roman" w:cs="Times New Roman"/>
          <w:b/>
          <w:bCs/>
          <w:color w:val="000000" w:themeColor="text1"/>
        </w:rPr>
      </w:pPr>
      <w:r w:rsidRPr="00D26C7C">
        <w:rPr>
          <w:rFonts w:ascii="Times New Roman" w:hAnsi="Times New Roman" w:cs="Times New Roman"/>
          <w:b/>
          <w:bCs/>
          <w:i/>
          <w:iCs/>
          <w:color w:val="000000" w:themeColor="text1"/>
        </w:rPr>
        <w:t>Table 9. Capital Rationing – Feasible Project Combinations.</w:t>
      </w:r>
    </w:p>
    <w:p w14:paraId="69DCBF66" w14:textId="77777777" w:rsidR="00863BFF" w:rsidRPr="00863BFF" w:rsidRDefault="00863BFF"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The combined NPV for all 2 project combinations is negative – combining value-creating project C with either value-destroying project (A or B) brings the total value below zero. The best combination in Table 9 (B + C, –£5.22m) is only “best” if judged against the other combinations. The wise financial move is to not spend the whole £100m, but only on Project C and to keep £50m or even return £50m to the shareholders / put towards debt repayment. This is a fundamental rule: do NOT accept value-destroying projects just to use up a budget if there is capital rationing involved (Lumby and Jones, 2019). The value maximising alternative use of the released £50m is to use it to de-lever IHG.</w:t>
      </w:r>
    </w:p>
    <w:p w14:paraId="3D54CAFF" w14:textId="1BB42310" w:rsidR="00863BFF" w:rsidRPr="00863BFF" w:rsidRDefault="00863BFF" w:rsidP="00D26C7C">
      <w:pPr>
        <w:pStyle w:val="Heading1"/>
      </w:pPr>
      <w:bookmarkStart w:id="21" w:name="_Toc237448049"/>
      <w:r w:rsidRPr="00863BFF">
        <w:t>Critical Reflection on AI Usage.</w:t>
      </w:r>
      <w:bookmarkEnd w:id="21"/>
    </w:p>
    <w:p w14:paraId="78FC741F" w14:textId="438E8B6D" w:rsidR="00863BFF" w:rsidRPr="00863BFF" w:rsidRDefault="00863BFF" w:rsidP="00D26C7C">
      <w:pPr>
        <w:pStyle w:val="Heading2"/>
      </w:pPr>
      <w:bookmarkStart w:id="22" w:name="_Toc237448050"/>
      <w:r w:rsidRPr="00863BFF">
        <w:t>Tool Disclosure</w:t>
      </w:r>
      <w:bookmarkEnd w:id="22"/>
    </w:p>
    <w:p w14:paraId="07FFC127" w14:textId="77777777" w:rsidR="00863BFF" w:rsidRPr="00863BFF" w:rsidRDefault="00863BFF"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This report was prepared with the assistance of an AI large-language-model assistant, as per the University's acknowledgement policy for the use of AI. The AI was used for three specific tasks: (i) to structure the report to the assessment brief and to draft connective prose; (ii) to explain and cross check the formulae for the appraisal techniques (PBP, ARR, NPV, PI, IRR) and the definitions of the ratio; (iii) to recommend academic literature for verification. The AI did not independently retrieve financial data – all data were directly sourced from IHG's published annual reports and trusted financial databases, and recalculated independently by the author (IHG, 2025).</w:t>
      </w:r>
    </w:p>
    <w:p w14:paraId="79A19A41" w14:textId="6F7B5C4E" w:rsidR="00863BFF" w:rsidRPr="00863BFF" w:rsidRDefault="00863BFF" w:rsidP="00D26C7C">
      <w:pPr>
        <w:pStyle w:val="Heading2"/>
      </w:pPr>
      <w:bookmarkStart w:id="23" w:name="_Toc237448051"/>
      <w:r w:rsidRPr="00863BFF">
        <w:t>Critically evaluate AI output</w:t>
      </w:r>
      <w:bookmarkEnd w:id="23"/>
    </w:p>
    <w:p w14:paraId="47A7AC72" w14:textId="77777777" w:rsidR="00863BFF" w:rsidRPr="00863BFF" w:rsidRDefault="00863BFF"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Financial interpretations generated by AI were confirmed, not accepted on a "take it on trust" basis. The author recalculated all ratios and appraisal results from the primary data and the narrative interpretation made by the AI were cross-checked with the recalculated results. This process revealed the “hallucination” trait that can occur with the AI: occasionally, it gives accurate-looking but wrong numbers or mis-states a formula (e.g., the object ARR (initial) with the first two years, when the real one was ARR (average)). This is the reason that such errors were detected here – the numbers were confirmed and the author used domain knowledge (Dwivedi et al., 2023; Bertomeu et al., 2025). Any number not traceable to a primary source was dropped. This is a good example of best practice in AI in accounting, as whilst AI can help speed up the financial-statement and ratio analysis process, it must be checked against source data and human judgement (Al Najjar et al., 2024; Ellili, 2024). Therefore, AI in finance should not be considered to be the final word, but rather a preliminary version that needs to be validated by experts.</w:t>
      </w:r>
    </w:p>
    <w:p w14:paraId="068F5C92" w14:textId="1351D16C" w:rsidR="00863BFF" w:rsidRPr="00863BFF" w:rsidRDefault="00863BFF" w:rsidP="00D26C7C">
      <w:pPr>
        <w:pStyle w:val="Heading2"/>
      </w:pPr>
      <w:bookmarkStart w:id="24" w:name="_Toc237448052"/>
      <w:r w:rsidRPr="00863BFF">
        <w:t>Contribution Analysis</w:t>
      </w:r>
      <w:bookmarkEnd w:id="24"/>
    </w:p>
    <w:p w14:paraId="44DF07A2" w14:textId="77777777" w:rsidR="00863BFF" w:rsidRPr="00863BFF" w:rsidRDefault="00863BFF"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The key points of this report – the negative equity and liquidity diagnosis for IHG, the interpretation of the deteriorating cash conversion cycle, the restructuring recommendation and the key reconciliation of the appraisal techniques – are original analytical and strategic work from the author. The AI was used to a limited extent for scaffolding (structure and phrasing) and also to act as a check on mechanical calculations and terminology. The judgement calls (such as IHG's current ratio, which was below the benchmark, but still better than their peers, or that if their capital rationing here was done properly, it should be rejected) needed for the writing were calls upon human evaluation of context that the AI was not consistently able to provide.</w:t>
      </w:r>
    </w:p>
    <w:p w14:paraId="3B34AD57" w14:textId="6CEDFC0D" w:rsidR="00863BFF" w:rsidRPr="00863BFF" w:rsidRDefault="00D26C7C" w:rsidP="00D26C7C">
      <w:pPr>
        <w:pStyle w:val="Heading2"/>
      </w:pPr>
      <w:bookmarkStart w:id="25" w:name="_Toc237448053"/>
      <w:r>
        <w:t>E</w:t>
      </w:r>
      <w:r w:rsidR="00863BFF" w:rsidRPr="00863BFF">
        <w:t>thical and professional reflection.</w:t>
      </w:r>
      <w:bookmarkEnd w:id="25"/>
    </w:p>
    <w:p w14:paraId="2E625744" w14:textId="77777777" w:rsidR="00D26C7C" w:rsidRDefault="00863BFF"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Ethical concerns arise with the application of AI in financial positions. Governance is already a pressing concern as AI usage is a common practice among approximately three-quarters of UK financial-services firms (Bank of England, 2024). Transparency is key: Stakeholders and regulators now demand transparency regarding AI's role in the analysis process and hiding its use may lead decision makers to make misinformed decisions (Dwivedi et al., 2023; Zhang et al., 2023). Another issue is data privacy, as sensitive financial data should not be inputted into public AI tools as it could be stored or utilized for training. Most importantly, using AI in executive decision making is a professional risk: If a CFO is too dependent on AI to make decisions, he may be introducing undetected mistakes into their board decisions and reducing accountability, which could have consequences on financial stability if the practice becomes a standard part of strategy (Financial Stability Board, 2024). The correct position, which is taken here, is to utilize AI as an efficiency tool and maintain absolute ownership of analysis, verification and judgement – keeping the professional scepticism that is essential to good financial management.</w:t>
      </w:r>
    </w:p>
    <w:p w14:paraId="4B92767B" w14:textId="45F6F6AE" w:rsidR="00684A34" w:rsidRPr="00863BFF" w:rsidRDefault="006A1283" w:rsidP="00D26C7C">
      <w:pPr>
        <w:pStyle w:val="Heading1"/>
      </w:pPr>
      <w:r w:rsidRPr="00863BFF">
        <w:t xml:space="preserve"> </w:t>
      </w:r>
      <w:bookmarkStart w:id="26" w:name="_Toc237448054"/>
      <w:r w:rsidRPr="00863BFF">
        <w:t>Conclusion</w:t>
      </w:r>
      <w:bookmarkEnd w:id="26"/>
    </w:p>
    <w:p w14:paraId="4EDCE406" w14:textId="77777777" w:rsidR="00863BFF" w:rsidRPr="00863BFF" w:rsidRDefault="00863BFF"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This report has been analyzed financial performance and management of InterContinental Hotels Group PLC over the period 2021–2025 by the CFO's point of view. The financial health check identified a structurally stronger business with improving and positive operating margin (above 23%) and ROCE (near 37%) and a capital-light operating model, but two structural risks: increasing net debt to negative book equity and marginally weaker liquidity compared to the traditional definition but stronger than key peers. The working-capital analysis indicated that the negative cash conversion cycle was efficient but had deteriorated due to quick supplier payments and suggested financing match, as well as payables optimisation and receivables collection.</w:t>
      </w:r>
    </w:p>
    <w:p w14:paraId="76D9E403" w14:textId="0B2488B5" w:rsidR="00684A34" w:rsidRPr="00863BFF" w:rsidRDefault="00863BFF"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The restructuring plan suggested to moderate the share buybacks and to pursue selective divestiture to rebuild equity and de-lever, and to integrate the currency, tax, inflation and ESG factors. The investment-appraisal analysis showed that Project C was the only project that was value-creating on all criteria and the capital rationing approach showed that IHG should only invest in Project C and use the money saved to go towards reducing debt instead of accepting a value-destroying combination. Lastly, the use of AI was mentioned in reference to transparency, verification and human judgement. The combination of these measures is a financially sustainable, worldwide and ethically responsible approach to safeguarding IHG's balance sheet and maintaining its solid operating results.</w:t>
      </w:r>
      <w:r w:rsidRPr="00863BFF">
        <w:rPr>
          <w:rFonts w:ascii="Times New Roman" w:hAnsi="Times New Roman" w:cs="Times New Roman"/>
          <w:color w:val="000000" w:themeColor="text1"/>
        </w:rPr>
        <w:br w:type="page"/>
      </w:r>
    </w:p>
    <w:p w14:paraId="200D4AF7" w14:textId="77777777" w:rsidR="00684A34" w:rsidRPr="00863BFF" w:rsidRDefault="006A1283" w:rsidP="00D26C7C">
      <w:pPr>
        <w:pStyle w:val="Heading1"/>
      </w:pPr>
      <w:bookmarkStart w:id="27" w:name="_Toc237448055"/>
      <w:r w:rsidRPr="00863BFF">
        <w:t>References</w:t>
      </w:r>
      <w:bookmarkEnd w:id="27"/>
    </w:p>
    <w:p w14:paraId="3901B395"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Abdelsalam, O., Chantziaras, A., Ibrahim, M. and Tsileponis, N. (2026) ‘Sustainability performance and corporate risk: evidence from the tourism industry’, International Journal of Finance &amp; Economics. doi:10.1002/ijfe.70027.</w:t>
      </w:r>
    </w:p>
    <w:p w14:paraId="11532A68"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Al Najjar, A., Ghanem, M.G., Mahboub, R. and Nakhal, B. (2024) ‘The role of artificial intelligence in eliminating accounting errors’, Journal of Risk and Financial Management, 17(8), 353. doi:10.3390/jrfm17080353.</w:t>
      </w:r>
    </w:p>
    <w:p w14:paraId="3E8E9200"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Atrill, P. and McLaney, E. (2022) Accounting and Finance for Non-Specialists. 12th edn. Harlow: Pearson.</w:t>
      </w:r>
    </w:p>
    <w:p w14:paraId="7E83E901"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Baños-Caballero, S., García-Teruel, P.J. and Martínez-Solano, P. (2014) ‘Working capital management, corporate performance, and financial constraints’, Journal of Business Research, 67(3), pp. 332–338. doi:10.1016/j.jbusres.2013.01.016.</w:t>
      </w:r>
    </w:p>
    <w:p w14:paraId="258ED7DB"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Bank of England (2024) Artificial Intelligence in UK Financial Services – 2024. London: Bank of England and Financial Conduct Authority.</w:t>
      </w:r>
    </w:p>
    <w:p w14:paraId="73FBB636"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Bertomeu, J., Lin, Y., Liu, Y. and Ni, Z. (2025) ‘The impact of generative AI on information processing: evidence from the ban of ChatGPT in Italy’, Journal of Accounting and Economics, 101782. doi:10.1016/j.jacceco.2025.101782.</w:t>
      </w:r>
    </w:p>
    <w:p w14:paraId="1A8A24AA"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Botta, M. (2019) ‘Financing decisions and performance of Italian SMEs in the hotel industry’, Cornell Hospitality Quarterly, 60(4), pp. 335–354. doi:10.1177/1938965518816280.</w:t>
      </w:r>
    </w:p>
    <w:p w14:paraId="40AD48BA"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Brealey, R.A., Myers, S.C. and Allen, F. (2023) Principles of Corporate Finance. 14th edn. New York: McGraw-Hill Education.</w:t>
      </w:r>
    </w:p>
    <w:p w14:paraId="52CBDF89"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Chen, M.-H., Chen, S.-J. and Kim, W.G. (2024) ‘How hotel firm value fluctuates with alternative leveraging strategies’, The American Journal of Economics and Sociology, 83(3). doi:10.1111/ajes.12528.</w:t>
      </w:r>
    </w:p>
    <w:p w14:paraId="724B6E0C"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Damodaran, A. (2015) Applied Corporate Finance. 4th edn. Hoboken, NJ: John Wiley &amp; Sons.</w:t>
      </w:r>
    </w:p>
    <w:p w14:paraId="52C9B60C"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Deloof, M. (2003) ‘Does working capital management affect profitability of Belgian firms?’, Journal of Business Finance &amp; Accounting, 30(3–4), pp. 573–588. doi:10.1111/1468-5957.00008.</w:t>
      </w:r>
    </w:p>
    <w:p w14:paraId="1F59D596"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Dwivedi, Y.K. et al. (2023) ‘Opinion Paper: “So what if ChatGPT wrote it?” Multidisciplinary perspectives on opportunities, challenges and implications of generative conversational AI’, International Journal of Information Management, 71, 102642. doi:10.1016/j.ijinfomgt.2023.102642.</w:t>
      </w:r>
    </w:p>
    <w:p w14:paraId="54638C32"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Ellili, N.O.D. (2024) ‘Artificial intelligence driven accounting: benefits, risks and the road ahead’, ITM Web of Conferences, ICAETM 2024. doi:10.1051/itmconf/20246501015.</w:t>
      </w:r>
    </w:p>
    <w:p w14:paraId="0A06368E"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Eljelly, A.M.A. (2004) ‘Liquidity–profitability tradeoff: an empirical investigation in an emerging market’, International Journal of Commerce and Management, 14(2), pp. 48–61. doi:10.1108/10569210480000179.</w:t>
      </w:r>
    </w:p>
    <w:p w14:paraId="2B6797A4"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Financial Stability Board (2024) The Financial Stability Implications of Artificial Intelligence. Basel: Financial Stability Board.</w:t>
      </w:r>
    </w:p>
    <w:p w14:paraId="40312EF1"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Freeman, R.E., Harrison, J.S., Wicks, A.C., Parmar, B.L. and de Colle, S. (2010) Stakeholder Theory: The State of the Art. Cambridge: Cambridge University Press.</w:t>
      </w:r>
    </w:p>
    <w:p w14:paraId="39E2AE84"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Fridson, M.S. and Alvarez, F. (2022) Financial Statement Analysis: A Practitioner’s Guide. 5th edn. Hoboken, NJ: John Wiley &amp; Sons.</w:t>
      </w:r>
    </w:p>
    <w:p w14:paraId="484DC50F"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IHG (2025) Annual Report and Form 20-F 2024. InterContinental Hotels Group PLC. Available at: https://www.ihgplc.com/en/investors/2024-annual-report (Accessed: 12 August 2026).</w:t>
      </w:r>
    </w:p>
    <w:p w14:paraId="6A8DB8BF"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Ishikawa, A. et al. (2025) ‘The cash conversion cycle and profitability: evidence from software firms’, Journal of Risk and Financial Management, 18(4), 208. doi:10.3390/jrfm18040208.</w:t>
      </w:r>
    </w:p>
    <w:p w14:paraId="59F57198"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Kraus, A. and Litzenberger, R.H. (1973) ‘A state-preference model of optimal financial leverage’, The Journal of Finance, 28(4), pp. 911–922. doi:10.1111/j.1540-6261.1973.tb01415.x.</w:t>
      </w:r>
    </w:p>
    <w:p w14:paraId="3813B7E0"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Lu, K., Onuk, C.B., Xia, Y. and Zhang, J. (2025) ‘ESG ratings and financial performance in the global hospitality industry’, Journal of Risk and Financial Management, 18(1), 24. doi:10.3390/jrfm18010024.</w:t>
      </w:r>
    </w:p>
    <w:p w14:paraId="6781D62D"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Lumby, S. and Jones, C. (2019) Corporate Finance: Theory and Practice. 10th edn. Andover: Cengage Learning.</w:t>
      </w:r>
    </w:p>
    <w:p w14:paraId="7B027953"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Madanoglu, M., Kizildag, M. and Ozdemir, O. (2018) ‘Which bundles of corporate governance provisions lead to high firm performance among restaurant firms?’, International Journal of Hospitality Management, 72, pp. 98–108. doi:10.1016/j.ijhm.2018.01.010.</w:t>
      </w:r>
    </w:p>
    <w:p w14:paraId="28F56475"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Morais, F. and Silva, P. (2022) ‘Cash conversion cycle and firm performance in the hospitality and tourism industry’, International Journal of Productivity and Performance Management, 71(3). doi:10.1016/j.ijhm.2022.01.006.</w:t>
      </w:r>
    </w:p>
    <w:p w14:paraId="691BA75B"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Myers, S.C. and Majluf, N.S. (1984) ‘Corporate financing and investment decisions when firms have information that investors do not have’, Journal of Financial Economics, 13(2), pp. 187–221. doi:10.1016/0304-405X(84)90023-0.</w:t>
      </w:r>
    </w:p>
    <w:p w14:paraId="64F03981"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Nguyen, A.H., Pham, C.D., Doan, N.T., Ta, T.T., Nguyen, H.T. and Truong, T.V. (2024) ‘Working capital management and firm performance: a comparative analysis of developed and emerging economies’, Borsa Istanbul Review. doi:10.1016/j.bir.2024.01.004.</w:t>
      </w:r>
    </w:p>
    <w:p w14:paraId="6EDAF5D5"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OECD (2021) Tax Challenges Arising from the Digitalisation of the Economy – Global Anti-Base Erosion Model Rules (Pillar Two). Paris: OECD Publishing.</w:t>
      </w:r>
    </w:p>
    <w:p w14:paraId="6115E2C4"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Palepu, K.G., Healy, P.M., Wright, S., Bradbury, M. and Coulton, J. (2020) Business Analysis and Valuation: Using Financial Statements. 6th edn. Andover: Cengage Learning.</w:t>
      </w:r>
    </w:p>
    <w:p w14:paraId="1FA952BF"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Robinson, T.R. (2020) International Financial Statement Analysis. 4th edn. Hoboken, NJ: John Wiley &amp; Sons (CFA Institute Investment Series).</w:t>
      </w:r>
    </w:p>
    <w:p w14:paraId="3DD81F30"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Ross, S.A., Westerfield, R.W., Jaffe, J. and Jordan, B.D. (2022) Corporate Finance. 13th edn. New York: McGraw-Hill Education.</w:t>
      </w:r>
    </w:p>
    <w:p w14:paraId="273137F3"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Serrasqueiro, Z., Matias, F. and Salsa, L. (2016) ‘Determinants of capital structure: new evidence from Portuguese small firms’, Dos Algarves: A Multidisciplinary e-Journal, 28, pp. 13–28.</w:t>
      </w:r>
    </w:p>
    <w:p w14:paraId="263C3201"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Siddiqui, S. and Ahmed, R. (2024) ‘Capital budgeting techniques and financial performance: a comparison between SMEs and large listed firms’, Cogent Economics &amp; Finance, 12(1), 2404707. doi:10.1080/23322039.2024.2404707.</w:t>
      </w:r>
    </w:p>
    <w:p w14:paraId="6E572A33"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Sinaga, A.S., Sari, M.M., Hutasuhut, A.A., Zahara, S.T., Amanda, A. and Fitri, A. (2023) ‘Comparison of capital budgeting methods: NPV, IRR, payback period’, World Journal of Advanced Research and Reviews, 19(2), pp. 1078–1081. doi:10.30574/wjarr.2023.19.2.1483.</w:t>
      </w:r>
    </w:p>
    <w:p w14:paraId="20FADE91"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Singal, M. (2015) ‘How is the hospitality and tourism industry different? An empirical test of some structural characteristics’, International Journal of Hospitality Management, 47, pp. 116–119. doi:10.1016/j.ijhm.2015.03.006.</w:t>
      </w:r>
    </w:p>
    <w:p w14:paraId="533913DA"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StockAnalysis (2026) InterContinental Hotels Group (IHG) Financials. Available at: https://stockanalysis.com/stocks/ihg/financials/ (Accessed: 12 August 2026).</w:t>
      </w:r>
    </w:p>
    <w:p w14:paraId="4FBB6E5B"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Talonpoika, A.-M., Kärri, T., Pirttilä, M. and Monto, S. (2016) ‘Defined strategies for financial working capital management’, International Journal of Managerial Finance, 12(3), pp. 277–294. doi:10.1108/IJMF-11-2014-0178.</w:t>
      </w:r>
    </w:p>
    <w:p w14:paraId="648582EE"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TipRanks (2025) Marriott International (MAR) Financial Ratios. Available at: https://www.tipranks.com/stocks/mar/financials/ratios (Accessed: 12 August 2026).</w:t>
      </w:r>
    </w:p>
    <w:p w14:paraId="70FCD78C"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Vernimmen, P., Quiry, P. and Le Fur, Y. (2022) Corporate Finance: Theory and Practice. 6th edn. Chichester: John Wiley &amp; Sons.</w:t>
      </w:r>
    </w:p>
    <w:p w14:paraId="2EE61610"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Wang, B. (2019) ‘The cash conversion cycle spread’, Journal of Financial Economics, 133(2), pp. 472–497. doi:10.1016/j.jfineco.2019.02.008.</w:t>
      </w:r>
    </w:p>
    <w:p w14:paraId="4BE9358F"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Xue, Y., Lakkanawanit, P., Suttipun, M. and Huang, S.-Z. (2024) ‘ESG performance and enterprise value in Chinese tourism companies: the chained mediating roles of media attention and green innovation’, Sustainability, 16. doi:10.3390/su16135331.</w:t>
      </w:r>
    </w:p>
    <w:p w14:paraId="4CB88F4E" w14:textId="77777777" w:rsidR="00684A34" w:rsidRPr="00863BFF" w:rsidRDefault="006A1283" w:rsidP="00D26C7C">
      <w:pPr>
        <w:spacing w:line="360" w:lineRule="auto"/>
        <w:ind w:left="720" w:hanging="720"/>
        <w:rPr>
          <w:rFonts w:ascii="Times New Roman" w:hAnsi="Times New Roman" w:cs="Times New Roman"/>
          <w:color w:val="000000" w:themeColor="text1"/>
        </w:rPr>
      </w:pPr>
      <w:r w:rsidRPr="00863BFF">
        <w:rPr>
          <w:rFonts w:ascii="Times New Roman" w:hAnsi="Times New Roman" w:cs="Times New Roman"/>
          <w:color w:val="000000" w:themeColor="text1"/>
        </w:rPr>
        <w:t>Zhang, C., Zhu, W., Dai, J., Wu, Y. and Chen, X. (2023) ‘Ethical impact of artificial intelligence in managerial accounting’, International Journal of Accounting Information Systems, 49, 100619. doi:10.1016/j.accinf.2023.100619.</w:t>
      </w:r>
    </w:p>
    <w:p w14:paraId="5F5E93C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br w:type="page"/>
      </w:r>
    </w:p>
    <w:p w14:paraId="4A5911F6" w14:textId="77777777" w:rsidR="00684A34" w:rsidRPr="00863BFF" w:rsidRDefault="006A1283" w:rsidP="00D26C7C">
      <w:pPr>
        <w:pStyle w:val="Heading1"/>
      </w:pPr>
      <w:bookmarkStart w:id="28" w:name="_Toc237448056"/>
      <w:r w:rsidRPr="00863BFF">
        <w:t>Appendices</w:t>
      </w:r>
      <w:bookmarkEnd w:id="28"/>
    </w:p>
    <w:p w14:paraId="5612F92F" w14:textId="77777777" w:rsidR="00684A34" w:rsidRPr="00863BFF" w:rsidRDefault="006A1283" w:rsidP="00D26C7C">
      <w:pPr>
        <w:pStyle w:val="Heading2"/>
      </w:pPr>
      <w:bookmarkStart w:id="29" w:name="_Toc237448057"/>
      <w:r w:rsidRPr="00863BFF">
        <w:t>Appendix A: Ratio Summary Table</w:t>
      </w:r>
      <w:bookmarkEnd w:id="29"/>
    </w:p>
    <w:tbl>
      <w:tblPr>
        <w:tblStyle w:val="TableGrid"/>
        <w:tblW w:w="8400" w:type="dxa"/>
        <w:jc w:val="center"/>
        <w:tblLayout w:type="fixed"/>
        <w:tblLook w:val="0000" w:firstRow="0" w:lastRow="0" w:firstColumn="0" w:lastColumn="0" w:noHBand="0" w:noVBand="0"/>
      </w:tblPr>
      <w:tblGrid>
        <w:gridCol w:w="3000"/>
        <w:gridCol w:w="1080"/>
        <w:gridCol w:w="1081"/>
        <w:gridCol w:w="1080"/>
        <w:gridCol w:w="1079"/>
        <w:gridCol w:w="1080"/>
      </w:tblGrid>
      <w:tr w:rsidR="00684A34" w:rsidRPr="00863BFF" w14:paraId="5CD4CD1D" w14:textId="77777777" w:rsidTr="00D26C7C">
        <w:trPr>
          <w:jc w:val="center"/>
        </w:trPr>
        <w:tc>
          <w:tcPr>
            <w:tcW w:w="2999" w:type="dxa"/>
          </w:tcPr>
          <w:p w14:paraId="30EE72B7" w14:textId="77777777" w:rsidR="00684A34" w:rsidRPr="00D26C7C" w:rsidRDefault="006A1283" w:rsidP="00863BFF">
            <w:pPr>
              <w:spacing w:line="360" w:lineRule="auto"/>
              <w:jc w:val="both"/>
              <w:rPr>
                <w:rFonts w:ascii="Times New Roman" w:hAnsi="Times New Roman" w:cs="Times New Roman"/>
                <w:b/>
                <w:bCs/>
                <w:color w:val="000000" w:themeColor="text1"/>
              </w:rPr>
            </w:pPr>
            <w:r w:rsidRPr="00D26C7C">
              <w:rPr>
                <w:rFonts w:ascii="Times New Roman" w:hAnsi="Times New Roman" w:cs="Times New Roman"/>
                <w:b/>
                <w:bCs/>
                <w:color w:val="000000" w:themeColor="text1"/>
              </w:rPr>
              <w:t>Ratio</w:t>
            </w:r>
          </w:p>
        </w:tc>
        <w:tc>
          <w:tcPr>
            <w:tcW w:w="1080" w:type="dxa"/>
          </w:tcPr>
          <w:p w14:paraId="46B3ACDF" w14:textId="77777777" w:rsidR="00684A34" w:rsidRPr="00D26C7C" w:rsidRDefault="006A1283" w:rsidP="00863BFF">
            <w:pPr>
              <w:spacing w:line="360" w:lineRule="auto"/>
              <w:jc w:val="both"/>
              <w:rPr>
                <w:rFonts w:ascii="Times New Roman" w:hAnsi="Times New Roman" w:cs="Times New Roman"/>
                <w:b/>
                <w:bCs/>
                <w:color w:val="000000" w:themeColor="text1"/>
              </w:rPr>
            </w:pPr>
            <w:r w:rsidRPr="00D26C7C">
              <w:rPr>
                <w:rFonts w:ascii="Times New Roman" w:hAnsi="Times New Roman" w:cs="Times New Roman"/>
                <w:b/>
                <w:bCs/>
                <w:color w:val="000000" w:themeColor="text1"/>
              </w:rPr>
              <w:t>2021</w:t>
            </w:r>
          </w:p>
        </w:tc>
        <w:tc>
          <w:tcPr>
            <w:tcW w:w="1081" w:type="dxa"/>
          </w:tcPr>
          <w:p w14:paraId="75FBD168" w14:textId="77777777" w:rsidR="00684A34" w:rsidRPr="00D26C7C" w:rsidRDefault="006A1283" w:rsidP="00863BFF">
            <w:pPr>
              <w:spacing w:line="360" w:lineRule="auto"/>
              <w:jc w:val="both"/>
              <w:rPr>
                <w:rFonts w:ascii="Times New Roman" w:hAnsi="Times New Roman" w:cs="Times New Roman"/>
                <w:b/>
                <w:bCs/>
                <w:color w:val="000000" w:themeColor="text1"/>
              </w:rPr>
            </w:pPr>
            <w:r w:rsidRPr="00D26C7C">
              <w:rPr>
                <w:rFonts w:ascii="Times New Roman" w:hAnsi="Times New Roman" w:cs="Times New Roman"/>
                <w:b/>
                <w:bCs/>
                <w:color w:val="000000" w:themeColor="text1"/>
              </w:rPr>
              <w:t>2022</w:t>
            </w:r>
          </w:p>
        </w:tc>
        <w:tc>
          <w:tcPr>
            <w:tcW w:w="1080" w:type="dxa"/>
          </w:tcPr>
          <w:p w14:paraId="589D8049" w14:textId="77777777" w:rsidR="00684A34" w:rsidRPr="00D26C7C" w:rsidRDefault="006A1283" w:rsidP="00863BFF">
            <w:pPr>
              <w:spacing w:line="360" w:lineRule="auto"/>
              <w:jc w:val="both"/>
              <w:rPr>
                <w:rFonts w:ascii="Times New Roman" w:hAnsi="Times New Roman" w:cs="Times New Roman"/>
                <w:b/>
                <w:bCs/>
                <w:color w:val="000000" w:themeColor="text1"/>
              </w:rPr>
            </w:pPr>
            <w:r w:rsidRPr="00D26C7C">
              <w:rPr>
                <w:rFonts w:ascii="Times New Roman" w:hAnsi="Times New Roman" w:cs="Times New Roman"/>
                <w:b/>
                <w:bCs/>
                <w:color w:val="000000" w:themeColor="text1"/>
              </w:rPr>
              <w:t>2023</w:t>
            </w:r>
          </w:p>
        </w:tc>
        <w:tc>
          <w:tcPr>
            <w:tcW w:w="1079" w:type="dxa"/>
          </w:tcPr>
          <w:p w14:paraId="2D4F53F3" w14:textId="77777777" w:rsidR="00684A34" w:rsidRPr="00D26C7C" w:rsidRDefault="006A1283" w:rsidP="00863BFF">
            <w:pPr>
              <w:spacing w:line="360" w:lineRule="auto"/>
              <w:jc w:val="both"/>
              <w:rPr>
                <w:rFonts w:ascii="Times New Roman" w:hAnsi="Times New Roman" w:cs="Times New Roman"/>
                <w:b/>
                <w:bCs/>
                <w:color w:val="000000" w:themeColor="text1"/>
              </w:rPr>
            </w:pPr>
            <w:r w:rsidRPr="00D26C7C">
              <w:rPr>
                <w:rFonts w:ascii="Times New Roman" w:hAnsi="Times New Roman" w:cs="Times New Roman"/>
                <w:b/>
                <w:bCs/>
                <w:color w:val="000000" w:themeColor="text1"/>
              </w:rPr>
              <w:t>2024</w:t>
            </w:r>
          </w:p>
        </w:tc>
        <w:tc>
          <w:tcPr>
            <w:tcW w:w="1080" w:type="dxa"/>
          </w:tcPr>
          <w:p w14:paraId="57546C8A" w14:textId="77777777" w:rsidR="00684A34" w:rsidRPr="00D26C7C" w:rsidRDefault="006A1283" w:rsidP="00863BFF">
            <w:pPr>
              <w:spacing w:line="360" w:lineRule="auto"/>
              <w:jc w:val="both"/>
              <w:rPr>
                <w:rFonts w:ascii="Times New Roman" w:hAnsi="Times New Roman" w:cs="Times New Roman"/>
                <w:b/>
                <w:bCs/>
                <w:color w:val="000000" w:themeColor="text1"/>
              </w:rPr>
            </w:pPr>
            <w:r w:rsidRPr="00D26C7C">
              <w:rPr>
                <w:rFonts w:ascii="Times New Roman" w:hAnsi="Times New Roman" w:cs="Times New Roman"/>
                <w:b/>
                <w:bCs/>
                <w:color w:val="000000" w:themeColor="text1"/>
              </w:rPr>
              <w:t>2025</w:t>
            </w:r>
          </w:p>
        </w:tc>
      </w:tr>
      <w:tr w:rsidR="00684A34" w:rsidRPr="00863BFF" w14:paraId="4CC3B37C" w14:textId="77777777" w:rsidTr="00D26C7C">
        <w:trPr>
          <w:jc w:val="center"/>
        </w:trPr>
        <w:tc>
          <w:tcPr>
            <w:tcW w:w="2999" w:type="dxa"/>
          </w:tcPr>
          <w:p w14:paraId="6ACDA959"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Gross margin (%)</w:t>
            </w:r>
          </w:p>
        </w:tc>
        <w:tc>
          <w:tcPr>
            <w:tcW w:w="1080" w:type="dxa"/>
          </w:tcPr>
          <w:p w14:paraId="6EE6B709"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30.44</w:t>
            </w:r>
          </w:p>
        </w:tc>
        <w:tc>
          <w:tcPr>
            <w:tcW w:w="1081" w:type="dxa"/>
          </w:tcPr>
          <w:p w14:paraId="2408D047"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27.72</w:t>
            </w:r>
          </w:p>
        </w:tc>
        <w:tc>
          <w:tcPr>
            <w:tcW w:w="1080" w:type="dxa"/>
          </w:tcPr>
          <w:p w14:paraId="012AFEF3"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30.67</w:t>
            </w:r>
          </w:p>
        </w:tc>
        <w:tc>
          <w:tcPr>
            <w:tcW w:w="1079" w:type="dxa"/>
          </w:tcPr>
          <w:p w14:paraId="69836ADE"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29.56</w:t>
            </w:r>
          </w:p>
        </w:tc>
        <w:tc>
          <w:tcPr>
            <w:tcW w:w="1080" w:type="dxa"/>
          </w:tcPr>
          <w:p w14:paraId="71A7C87F"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31.26</w:t>
            </w:r>
          </w:p>
        </w:tc>
      </w:tr>
      <w:tr w:rsidR="00684A34" w:rsidRPr="00863BFF" w14:paraId="72DBFA61" w14:textId="77777777" w:rsidTr="00D26C7C">
        <w:trPr>
          <w:jc w:val="center"/>
        </w:trPr>
        <w:tc>
          <w:tcPr>
            <w:tcW w:w="2999" w:type="dxa"/>
          </w:tcPr>
          <w:p w14:paraId="0AC985E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Operating margin (%)</w:t>
            </w:r>
          </w:p>
        </w:tc>
        <w:tc>
          <w:tcPr>
            <w:tcW w:w="1080" w:type="dxa"/>
          </w:tcPr>
          <w:p w14:paraId="70237B75"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16.99</w:t>
            </w:r>
          </w:p>
        </w:tc>
        <w:tc>
          <w:tcPr>
            <w:tcW w:w="1081" w:type="dxa"/>
          </w:tcPr>
          <w:p w14:paraId="1C4437B5"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16.14</w:t>
            </w:r>
          </w:p>
        </w:tc>
        <w:tc>
          <w:tcPr>
            <w:tcW w:w="1080" w:type="dxa"/>
          </w:tcPr>
          <w:p w14:paraId="0019EC81"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23.05</w:t>
            </w:r>
          </w:p>
        </w:tc>
        <w:tc>
          <w:tcPr>
            <w:tcW w:w="1079" w:type="dxa"/>
          </w:tcPr>
          <w:p w14:paraId="7D92CADB"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21.15</w:t>
            </w:r>
          </w:p>
        </w:tc>
        <w:tc>
          <w:tcPr>
            <w:tcW w:w="1080" w:type="dxa"/>
          </w:tcPr>
          <w:p w14:paraId="037D2408"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23.09</w:t>
            </w:r>
          </w:p>
        </w:tc>
      </w:tr>
      <w:tr w:rsidR="00684A34" w:rsidRPr="00863BFF" w14:paraId="22B03280" w14:textId="77777777" w:rsidTr="00D26C7C">
        <w:trPr>
          <w:jc w:val="center"/>
        </w:trPr>
        <w:tc>
          <w:tcPr>
            <w:tcW w:w="2999" w:type="dxa"/>
          </w:tcPr>
          <w:p w14:paraId="7C215345"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Net margin (%)</w:t>
            </w:r>
          </w:p>
        </w:tc>
        <w:tc>
          <w:tcPr>
            <w:tcW w:w="1080" w:type="dxa"/>
          </w:tcPr>
          <w:p w14:paraId="25847DF9"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9.15</w:t>
            </w:r>
          </w:p>
        </w:tc>
        <w:tc>
          <w:tcPr>
            <w:tcW w:w="1081" w:type="dxa"/>
          </w:tcPr>
          <w:p w14:paraId="66E16F5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9.64</w:t>
            </w:r>
          </w:p>
        </w:tc>
        <w:tc>
          <w:tcPr>
            <w:tcW w:w="1080" w:type="dxa"/>
          </w:tcPr>
          <w:p w14:paraId="7178DA5B"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16.22</w:t>
            </w:r>
          </w:p>
        </w:tc>
        <w:tc>
          <w:tcPr>
            <w:tcW w:w="1079" w:type="dxa"/>
          </w:tcPr>
          <w:p w14:paraId="445DC407"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12.76</w:t>
            </w:r>
          </w:p>
        </w:tc>
        <w:tc>
          <w:tcPr>
            <w:tcW w:w="1080" w:type="dxa"/>
          </w:tcPr>
          <w:p w14:paraId="5C361AD5"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14.61</w:t>
            </w:r>
          </w:p>
        </w:tc>
      </w:tr>
      <w:tr w:rsidR="00684A34" w:rsidRPr="00863BFF" w14:paraId="3205E724" w14:textId="77777777" w:rsidTr="00D26C7C">
        <w:trPr>
          <w:jc w:val="center"/>
        </w:trPr>
        <w:tc>
          <w:tcPr>
            <w:tcW w:w="2999" w:type="dxa"/>
          </w:tcPr>
          <w:p w14:paraId="5C8E1929"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ROA (%)</w:t>
            </w:r>
          </w:p>
        </w:tc>
        <w:tc>
          <w:tcPr>
            <w:tcW w:w="1080" w:type="dxa"/>
          </w:tcPr>
          <w:p w14:paraId="526830BB"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5.64</w:t>
            </w:r>
          </w:p>
        </w:tc>
        <w:tc>
          <w:tcPr>
            <w:tcW w:w="1081" w:type="dxa"/>
          </w:tcPr>
          <w:p w14:paraId="022252EC"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8.89</w:t>
            </w:r>
          </w:p>
        </w:tc>
        <w:tc>
          <w:tcPr>
            <w:tcW w:w="1080" w:type="dxa"/>
          </w:tcPr>
          <w:p w14:paraId="79D3EB2B"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15.58</w:t>
            </w:r>
          </w:p>
        </w:tc>
        <w:tc>
          <w:tcPr>
            <w:tcW w:w="1079" w:type="dxa"/>
          </w:tcPr>
          <w:p w14:paraId="51F1BCBF"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13.23</w:t>
            </w:r>
          </w:p>
        </w:tc>
        <w:tc>
          <w:tcPr>
            <w:tcW w:w="1080" w:type="dxa"/>
          </w:tcPr>
          <w:p w14:paraId="41E2B9F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14.18</w:t>
            </w:r>
          </w:p>
        </w:tc>
      </w:tr>
      <w:tr w:rsidR="00684A34" w:rsidRPr="00863BFF" w14:paraId="04CD1861" w14:textId="77777777" w:rsidTr="00D26C7C">
        <w:trPr>
          <w:jc w:val="center"/>
        </w:trPr>
        <w:tc>
          <w:tcPr>
            <w:tcW w:w="2999" w:type="dxa"/>
          </w:tcPr>
          <w:p w14:paraId="27812DD1"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ROCE (%)</w:t>
            </w:r>
          </w:p>
        </w:tc>
        <w:tc>
          <w:tcPr>
            <w:tcW w:w="1080" w:type="dxa"/>
          </w:tcPr>
          <w:p w14:paraId="21C76752"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15.98</w:t>
            </w:r>
          </w:p>
        </w:tc>
        <w:tc>
          <w:tcPr>
            <w:tcW w:w="1081" w:type="dxa"/>
          </w:tcPr>
          <w:p w14:paraId="79D377B2"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23.50</w:t>
            </w:r>
          </w:p>
        </w:tc>
        <w:tc>
          <w:tcPr>
            <w:tcW w:w="1080" w:type="dxa"/>
          </w:tcPr>
          <w:p w14:paraId="40A3EFBC"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40.64</w:t>
            </w:r>
          </w:p>
        </w:tc>
        <w:tc>
          <w:tcPr>
            <w:tcW w:w="1079" w:type="dxa"/>
          </w:tcPr>
          <w:p w14:paraId="6C30D3B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36.91</w:t>
            </w:r>
          </w:p>
        </w:tc>
        <w:tc>
          <w:tcPr>
            <w:tcW w:w="1080" w:type="dxa"/>
          </w:tcPr>
          <w:p w14:paraId="2837EEB3"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36.92</w:t>
            </w:r>
          </w:p>
        </w:tc>
      </w:tr>
      <w:tr w:rsidR="00684A34" w:rsidRPr="00863BFF" w14:paraId="7CF3FA74" w14:textId="77777777" w:rsidTr="00D26C7C">
        <w:trPr>
          <w:jc w:val="center"/>
        </w:trPr>
        <w:tc>
          <w:tcPr>
            <w:tcW w:w="2999" w:type="dxa"/>
          </w:tcPr>
          <w:p w14:paraId="4B2D026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Current ratio (x)</w:t>
            </w:r>
          </w:p>
        </w:tc>
        <w:tc>
          <w:tcPr>
            <w:tcW w:w="1080" w:type="dxa"/>
          </w:tcPr>
          <w:p w14:paraId="18C2EA7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1.27</w:t>
            </w:r>
          </w:p>
        </w:tc>
        <w:tc>
          <w:tcPr>
            <w:tcW w:w="1081" w:type="dxa"/>
          </w:tcPr>
          <w:p w14:paraId="08AA7D8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1.09</w:t>
            </w:r>
          </w:p>
        </w:tc>
        <w:tc>
          <w:tcPr>
            <w:tcW w:w="1080" w:type="dxa"/>
          </w:tcPr>
          <w:p w14:paraId="0F9F5049"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0.97</w:t>
            </w:r>
          </w:p>
        </w:tc>
        <w:tc>
          <w:tcPr>
            <w:tcW w:w="1079" w:type="dxa"/>
          </w:tcPr>
          <w:p w14:paraId="6DD7ADA0"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0.97</w:t>
            </w:r>
          </w:p>
        </w:tc>
        <w:tc>
          <w:tcPr>
            <w:tcW w:w="1080" w:type="dxa"/>
          </w:tcPr>
          <w:p w14:paraId="062CBA4E"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0.98</w:t>
            </w:r>
          </w:p>
        </w:tc>
      </w:tr>
      <w:tr w:rsidR="00684A34" w:rsidRPr="00863BFF" w14:paraId="489A68B3" w14:textId="77777777" w:rsidTr="00D26C7C">
        <w:trPr>
          <w:jc w:val="center"/>
        </w:trPr>
        <w:tc>
          <w:tcPr>
            <w:tcW w:w="2999" w:type="dxa"/>
          </w:tcPr>
          <w:p w14:paraId="36DC3638"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Quick ratio (x)</w:t>
            </w:r>
          </w:p>
        </w:tc>
        <w:tc>
          <w:tcPr>
            <w:tcW w:w="1080" w:type="dxa"/>
          </w:tcPr>
          <w:p w14:paraId="3918C268"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1.27</w:t>
            </w:r>
          </w:p>
        </w:tc>
        <w:tc>
          <w:tcPr>
            <w:tcW w:w="1081" w:type="dxa"/>
          </w:tcPr>
          <w:p w14:paraId="05E6F53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1.08</w:t>
            </w:r>
          </w:p>
        </w:tc>
        <w:tc>
          <w:tcPr>
            <w:tcW w:w="1080" w:type="dxa"/>
          </w:tcPr>
          <w:p w14:paraId="085AD66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0.97</w:t>
            </w:r>
          </w:p>
        </w:tc>
        <w:tc>
          <w:tcPr>
            <w:tcW w:w="1079" w:type="dxa"/>
          </w:tcPr>
          <w:p w14:paraId="1FDF7AC5"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0.97</w:t>
            </w:r>
          </w:p>
        </w:tc>
        <w:tc>
          <w:tcPr>
            <w:tcW w:w="1080" w:type="dxa"/>
          </w:tcPr>
          <w:p w14:paraId="5B759322"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0.97</w:t>
            </w:r>
          </w:p>
        </w:tc>
      </w:tr>
      <w:tr w:rsidR="00684A34" w:rsidRPr="00863BFF" w14:paraId="1698C0B7" w14:textId="77777777" w:rsidTr="00D26C7C">
        <w:trPr>
          <w:jc w:val="center"/>
        </w:trPr>
        <w:tc>
          <w:tcPr>
            <w:tcW w:w="2999" w:type="dxa"/>
          </w:tcPr>
          <w:p w14:paraId="66AF83B3"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Cash ratio (x)</w:t>
            </w:r>
          </w:p>
        </w:tc>
        <w:tc>
          <w:tcPr>
            <w:tcW w:w="1080" w:type="dxa"/>
          </w:tcPr>
          <w:p w14:paraId="765C60B6"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0.89</w:t>
            </w:r>
          </w:p>
        </w:tc>
        <w:tc>
          <w:tcPr>
            <w:tcW w:w="1081" w:type="dxa"/>
          </w:tcPr>
          <w:p w14:paraId="50F71B87"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0.63</w:t>
            </w:r>
          </w:p>
        </w:tc>
        <w:tc>
          <w:tcPr>
            <w:tcW w:w="1080" w:type="dxa"/>
          </w:tcPr>
          <w:p w14:paraId="32E7FC29"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0.60</w:t>
            </w:r>
          </w:p>
        </w:tc>
        <w:tc>
          <w:tcPr>
            <w:tcW w:w="1079" w:type="dxa"/>
          </w:tcPr>
          <w:p w14:paraId="08C17CE0"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0.52</w:t>
            </w:r>
          </w:p>
        </w:tc>
        <w:tc>
          <w:tcPr>
            <w:tcW w:w="1080" w:type="dxa"/>
          </w:tcPr>
          <w:p w14:paraId="01E057E6"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0.54</w:t>
            </w:r>
          </w:p>
        </w:tc>
      </w:tr>
      <w:tr w:rsidR="00684A34" w:rsidRPr="00863BFF" w14:paraId="2D81E20A" w14:textId="77777777" w:rsidTr="00D26C7C">
        <w:trPr>
          <w:jc w:val="center"/>
        </w:trPr>
        <w:tc>
          <w:tcPr>
            <w:tcW w:w="2999" w:type="dxa"/>
          </w:tcPr>
          <w:p w14:paraId="7D25DBC2"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DSO (days)</w:t>
            </w:r>
          </w:p>
        </w:tc>
        <w:tc>
          <w:tcPr>
            <w:tcW w:w="1080" w:type="dxa"/>
          </w:tcPr>
          <w:p w14:paraId="306CA9EC"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72.2</w:t>
            </w:r>
          </w:p>
        </w:tc>
        <w:tc>
          <w:tcPr>
            <w:tcW w:w="1081" w:type="dxa"/>
          </w:tcPr>
          <w:p w14:paraId="53BF93BB"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62.1</w:t>
            </w:r>
          </w:p>
        </w:tc>
        <w:tc>
          <w:tcPr>
            <w:tcW w:w="1080" w:type="dxa"/>
          </w:tcPr>
          <w:p w14:paraId="77935455"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59.6</w:t>
            </w:r>
          </w:p>
        </w:tc>
        <w:tc>
          <w:tcPr>
            <w:tcW w:w="1079" w:type="dxa"/>
          </w:tcPr>
          <w:p w14:paraId="6A173431"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59.8</w:t>
            </w:r>
          </w:p>
        </w:tc>
        <w:tc>
          <w:tcPr>
            <w:tcW w:w="1080" w:type="dxa"/>
          </w:tcPr>
          <w:p w14:paraId="173A2A9F"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60.5</w:t>
            </w:r>
          </w:p>
        </w:tc>
      </w:tr>
      <w:tr w:rsidR="00684A34" w:rsidRPr="00863BFF" w14:paraId="137417F6" w14:textId="77777777" w:rsidTr="00D26C7C">
        <w:trPr>
          <w:jc w:val="center"/>
        </w:trPr>
        <w:tc>
          <w:tcPr>
            <w:tcW w:w="2999" w:type="dxa"/>
          </w:tcPr>
          <w:p w14:paraId="6AC97006"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DPO (days)</w:t>
            </w:r>
          </w:p>
        </w:tc>
        <w:tc>
          <w:tcPr>
            <w:tcW w:w="1080" w:type="dxa"/>
          </w:tcPr>
          <w:p w14:paraId="4CDB809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104.5</w:t>
            </w:r>
          </w:p>
        </w:tc>
        <w:tc>
          <w:tcPr>
            <w:tcW w:w="1081" w:type="dxa"/>
          </w:tcPr>
          <w:p w14:paraId="1BE084E9"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90.4</w:t>
            </w:r>
          </w:p>
        </w:tc>
        <w:tc>
          <w:tcPr>
            <w:tcW w:w="1080" w:type="dxa"/>
          </w:tcPr>
          <w:p w14:paraId="0F579BA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80.9</w:t>
            </w:r>
          </w:p>
        </w:tc>
        <w:tc>
          <w:tcPr>
            <w:tcW w:w="1079" w:type="dxa"/>
          </w:tcPr>
          <w:p w14:paraId="2EFA9083"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68.4</w:t>
            </w:r>
          </w:p>
        </w:tc>
        <w:tc>
          <w:tcPr>
            <w:tcW w:w="1080" w:type="dxa"/>
          </w:tcPr>
          <w:p w14:paraId="5D86B25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69.2</w:t>
            </w:r>
          </w:p>
        </w:tc>
      </w:tr>
      <w:tr w:rsidR="00684A34" w:rsidRPr="00863BFF" w14:paraId="1369383A" w14:textId="77777777" w:rsidTr="00D26C7C">
        <w:trPr>
          <w:jc w:val="center"/>
        </w:trPr>
        <w:tc>
          <w:tcPr>
            <w:tcW w:w="2999" w:type="dxa"/>
          </w:tcPr>
          <w:p w14:paraId="67C7EADE"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Cash conversion cycle (days)</w:t>
            </w:r>
          </w:p>
        </w:tc>
        <w:tc>
          <w:tcPr>
            <w:tcW w:w="1080" w:type="dxa"/>
          </w:tcPr>
          <w:p w14:paraId="7B8A30D2"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–31.6</w:t>
            </w:r>
          </w:p>
        </w:tc>
        <w:tc>
          <w:tcPr>
            <w:tcW w:w="1081" w:type="dxa"/>
          </w:tcPr>
          <w:p w14:paraId="7F7FD0E3"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–27.8</w:t>
            </w:r>
          </w:p>
        </w:tc>
        <w:tc>
          <w:tcPr>
            <w:tcW w:w="1080" w:type="dxa"/>
          </w:tcPr>
          <w:p w14:paraId="657D842E"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–20.8</w:t>
            </w:r>
          </w:p>
        </w:tc>
        <w:tc>
          <w:tcPr>
            <w:tcW w:w="1079" w:type="dxa"/>
          </w:tcPr>
          <w:p w14:paraId="1B44D252"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–8.2</w:t>
            </w:r>
          </w:p>
        </w:tc>
        <w:tc>
          <w:tcPr>
            <w:tcW w:w="1080" w:type="dxa"/>
          </w:tcPr>
          <w:p w14:paraId="3A456610"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–8.2</w:t>
            </w:r>
          </w:p>
        </w:tc>
      </w:tr>
      <w:tr w:rsidR="00684A34" w:rsidRPr="00863BFF" w14:paraId="2786E52D" w14:textId="77777777" w:rsidTr="00D26C7C">
        <w:trPr>
          <w:jc w:val="center"/>
        </w:trPr>
        <w:tc>
          <w:tcPr>
            <w:tcW w:w="2999" w:type="dxa"/>
          </w:tcPr>
          <w:p w14:paraId="469EB65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Net debt / EBITDA (x)</w:t>
            </w:r>
          </w:p>
        </w:tc>
        <w:tc>
          <w:tcPr>
            <w:tcW w:w="1080" w:type="dxa"/>
          </w:tcPr>
          <w:p w14:paraId="51C5834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2.64</w:t>
            </w:r>
          </w:p>
        </w:tc>
        <w:tc>
          <w:tcPr>
            <w:tcW w:w="1081" w:type="dxa"/>
          </w:tcPr>
          <w:p w14:paraId="21499DDF"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2.36</w:t>
            </w:r>
          </w:p>
        </w:tc>
        <w:tc>
          <w:tcPr>
            <w:tcW w:w="1080" w:type="dxa"/>
          </w:tcPr>
          <w:p w14:paraId="203A4982"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1.87</w:t>
            </w:r>
          </w:p>
        </w:tc>
        <w:tc>
          <w:tcPr>
            <w:tcW w:w="1079" w:type="dxa"/>
          </w:tcPr>
          <w:p w14:paraId="7722BD5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2.26</w:t>
            </w:r>
          </w:p>
        </w:tc>
        <w:tc>
          <w:tcPr>
            <w:tcW w:w="1080" w:type="dxa"/>
          </w:tcPr>
          <w:p w14:paraId="0AC7A162"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2.59</w:t>
            </w:r>
          </w:p>
        </w:tc>
      </w:tr>
      <w:tr w:rsidR="00684A34" w:rsidRPr="00863BFF" w14:paraId="6BF1812F" w14:textId="77777777" w:rsidTr="00D26C7C">
        <w:trPr>
          <w:jc w:val="center"/>
        </w:trPr>
        <w:tc>
          <w:tcPr>
            <w:tcW w:w="2999" w:type="dxa"/>
          </w:tcPr>
          <w:p w14:paraId="7D12A82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Asset turnover (x)</w:t>
            </w:r>
          </w:p>
        </w:tc>
        <w:tc>
          <w:tcPr>
            <w:tcW w:w="1080" w:type="dxa"/>
          </w:tcPr>
          <w:p w14:paraId="4FC9612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0.62</w:t>
            </w:r>
          </w:p>
        </w:tc>
        <w:tc>
          <w:tcPr>
            <w:tcW w:w="1081" w:type="dxa"/>
          </w:tcPr>
          <w:p w14:paraId="7BA089DA"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0.92</w:t>
            </w:r>
          </w:p>
        </w:tc>
        <w:tc>
          <w:tcPr>
            <w:tcW w:w="1080" w:type="dxa"/>
          </w:tcPr>
          <w:p w14:paraId="58D55FF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0.96</w:t>
            </w:r>
          </w:p>
        </w:tc>
        <w:tc>
          <w:tcPr>
            <w:tcW w:w="1079" w:type="dxa"/>
          </w:tcPr>
          <w:p w14:paraId="0CD0470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1.04</w:t>
            </w:r>
          </w:p>
        </w:tc>
        <w:tc>
          <w:tcPr>
            <w:tcW w:w="1080" w:type="dxa"/>
          </w:tcPr>
          <w:p w14:paraId="2D4284E8"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0.97</w:t>
            </w:r>
          </w:p>
        </w:tc>
      </w:tr>
      <w:tr w:rsidR="00684A34" w:rsidRPr="00863BFF" w14:paraId="03821268" w14:textId="77777777" w:rsidTr="00D26C7C">
        <w:trPr>
          <w:jc w:val="center"/>
        </w:trPr>
        <w:tc>
          <w:tcPr>
            <w:tcW w:w="2999" w:type="dxa"/>
          </w:tcPr>
          <w:p w14:paraId="2AF5DE2A"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FCF margin (%)</w:t>
            </w:r>
          </w:p>
        </w:tc>
        <w:tc>
          <w:tcPr>
            <w:tcW w:w="1080" w:type="dxa"/>
          </w:tcPr>
          <w:p w14:paraId="3558AEE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21.3</w:t>
            </w:r>
          </w:p>
        </w:tc>
        <w:tc>
          <w:tcPr>
            <w:tcW w:w="1081" w:type="dxa"/>
          </w:tcPr>
          <w:p w14:paraId="263B8062"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15.2</w:t>
            </w:r>
          </w:p>
        </w:tc>
        <w:tc>
          <w:tcPr>
            <w:tcW w:w="1080" w:type="dxa"/>
          </w:tcPr>
          <w:p w14:paraId="53B8F19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18.7</w:t>
            </w:r>
          </w:p>
        </w:tc>
        <w:tc>
          <w:tcPr>
            <w:tcW w:w="1079" w:type="dxa"/>
          </w:tcPr>
          <w:p w14:paraId="7919EED8"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14.1</w:t>
            </w:r>
          </w:p>
        </w:tc>
        <w:tc>
          <w:tcPr>
            <w:tcW w:w="1080" w:type="dxa"/>
          </w:tcPr>
          <w:p w14:paraId="72ECDA5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16.8</w:t>
            </w:r>
          </w:p>
        </w:tc>
      </w:tr>
    </w:tbl>
    <w:p w14:paraId="34DEA3AE" w14:textId="77777777" w:rsidR="00D26C7C" w:rsidRDefault="00D26C7C" w:rsidP="00863BFF">
      <w:pPr>
        <w:spacing w:line="360" w:lineRule="auto"/>
        <w:jc w:val="both"/>
        <w:rPr>
          <w:rFonts w:ascii="Times New Roman" w:hAnsi="Times New Roman" w:cs="Times New Roman"/>
          <w:i/>
          <w:iCs/>
          <w:color w:val="000000" w:themeColor="text1"/>
        </w:rPr>
      </w:pPr>
    </w:p>
    <w:p w14:paraId="3D9157E1" w14:textId="77777777" w:rsidR="00D26C7C" w:rsidRDefault="00D26C7C" w:rsidP="00863BFF">
      <w:pPr>
        <w:spacing w:line="360" w:lineRule="auto"/>
        <w:jc w:val="both"/>
        <w:rPr>
          <w:rFonts w:ascii="Times New Roman" w:hAnsi="Times New Roman" w:cs="Times New Roman"/>
          <w:i/>
          <w:iCs/>
          <w:color w:val="000000" w:themeColor="text1"/>
        </w:rPr>
      </w:pPr>
    </w:p>
    <w:p w14:paraId="6F6258AA" w14:textId="77777777" w:rsidR="00D26C7C" w:rsidRDefault="00D26C7C" w:rsidP="00863BFF">
      <w:pPr>
        <w:spacing w:line="360" w:lineRule="auto"/>
        <w:jc w:val="both"/>
        <w:rPr>
          <w:rFonts w:ascii="Times New Roman" w:hAnsi="Times New Roman" w:cs="Times New Roman"/>
          <w:i/>
          <w:iCs/>
          <w:color w:val="000000" w:themeColor="text1"/>
        </w:rPr>
      </w:pPr>
    </w:p>
    <w:p w14:paraId="6117ECBD" w14:textId="77777777" w:rsidR="00D26C7C" w:rsidRDefault="00D26C7C" w:rsidP="00863BFF">
      <w:pPr>
        <w:spacing w:line="360" w:lineRule="auto"/>
        <w:jc w:val="both"/>
        <w:rPr>
          <w:rFonts w:ascii="Times New Roman" w:hAnsi="Times New Roman" w:cs="Times New Roman"/>
          <w:i/>
          <w:iCs/>
          <w:color w:val="000000" w:themeColor="text1"/>
        </w:rPr>
      </w:pPr>
    </w:p>
    <w:p w14:paraId="11DA430F" w14:textId="77777777" w:rsidR="00D26C7C" w:rsidRDefault="00D26C7C" w:rsidP="00863BFF">
      <w:pPr>
        <w:spacing w:line="360" w:lineRule="auto"/>
        <w:jc w:val="both"/>
        <w:rPr>
          <w:rFonts w:ascii="Times New Roman" w:hAnsi="Times New Roman" w:cs="Times New Roman"/>
          <w:i/>
          <w:iCs/>
          <w:color w:val="000000" w:themeColor="text1"/>
        </w:rPr>
      </w:pPr>
    </w:p>
    <w:p w14:paraId="4D4B902A" w14:textId="77777777" w:rsidR="00D26C7C" w:rsidRDefault="00D26C7C" w:rsidP="00863BFF">
      <w:pPr>
        <w:spacing w:line="360" w:lineRule="auto"/>
        <w:jc w:val="both"/>
        <w:rPr>
          <w:rFonts w:ascii="Times New Roman" w:hAnsi="Times New Roman" w:cs="Times New Roman"/>
          <w:i/>
          <w:iCs/>
          <w:color w:val="000000" w:themeColor="text1"/>
        </w:rPr>
      </w:pPr>
    </w:p>
    <w:p w14:paraId="332F85DB" w14:textId="77777777" w:rsidR="00D26C7C" w:rsidRDefault="00D26C7C" w:rsidP="00863BFF">
      <w:pPr>
        <w:spacing w:line="360" w:lineRule="auto"/>
        <w:jc w:val="both"/>
        <w:rPr>
          <w:rFonts w:ascii="Times New Roman" w:hAnsi="Times New Roman" w:cs="Times New Roman"/>
          <w:i/>
          <w:iCs/>
          <w:color w:val="000000" w:themeColor="text1"/>
        </w:rPr>
      </w:pPr>
    </w:p>
    <w:p w14:paraId="4330DFBE" w14:textId="77777777" w:rsidR="00D26C7C" w:rsidRDefault="00D26C7C" w:rsidP="00863BFF">
      <w:pPr>
        <w:spacing w:line="360" w:lineRule="auto"/>
        <w:jc w:val="both"/>
        <w:rPr>
          <w:rFonts w:ascii="Times New Roman" w:hAnsi="Times New Roman" w:cs="Times New Roman"/>
          <w:i/>
          <w:iCs/>
          <w:color w:val="000000" w:themeColor="text1"/>
        </w:rPr>
      </w:pPr>
    </w:p>
    <w:p w14:paraId="5372C48A" w14:textId="77777777" w:rsidR="00D26C7C" w:rsidRDefault="00D26C7C" w:rsidP="00863BFF">
      <w:pPr>
        <w:spacing w:line="360" w:lineRule="auto"/>
        <w:jc w:val="both"/>
        <w:rPr>
          <w:rFonts w:ascii="Times New Roman" w:hAnsi="Times New Roman" w:cs="Times New Roman"/>
          <w:i/>
          <w:iCs/>
          <w:color w:val="000000" w:themeColor="text1"/>
        </w:rPr>
      </w:pPr>
    </w:p>
    <w:p w14:paraId="701CA461" w14:textId="77777777" w:rsidR="00D26C7C" w:rsidRDefault="00D26C7C" w:rsidP="00863BFF">
      <w:pPr>
        <w:spacing w:line="360" w:lineRule="auto"/>
        <w:jc w:val="both"/>
        <w:rPr>
          <w:rFonts w:ascii="Times New Roman" w:hAnsi="Times New Roman" w:cs="Times New Roman"/>
          <w:i/>
          <w:iCs/>
          <w:color w:val="000000" w:themeColor="text1"/>
        </w:rPr>
      </w:pPr>
    </w:p>
    <w:p w14:paraId="10FCD5B3" w14:textId="77777777" w:rsidR="00D26C7C" w:rsidRDefault="00D26C7C" w:rsidP="00863BFF">
      <w:pPr>
        <w:spacing w:line="360" w:lineRule="auto"/>
        <w:jc w:val="both"/>
        <w:rPr>
          <w:rFonts w:ascii="Times New Roman" w:hAnsi="Times New Roman" w:cs="Times New Roman"/>
          <w:i/>
          <w:iCs/>
          <w:color w:val="000000" w:themeColor="text1"/>
        </w:rPr>
      </w:pPr>
    </w:p>
    <w:p w14:paraId="4171AE0B" w14:textId="77777777" w:rsidR="00D26C7C" w:rsidRDefault="00D26C7C" w:rsidP="00863BFF">
      <w:pPr>
        <w:spacing w:line="360" w:lineRule="auto"/>
        <w:jc w:val="both"/>
        <w:rPr>
          <w:rFonts w:ascii="Times New Roman" w:hAnsi="Times New Roman" w:cs="Times New Roman"/>
          <w:i/>
          <w:iCs/>
          <w:color w:val="000000" w:themeColor="text1"/>
        </w:rPr>
      </w:pPr>
    </w:p>
    <w:p w14:paraId="3883FE98" w14:textId="77777777" w:rsidR="00D26C7C" w:rsidRDefault="00D26C7C" w:rsidP="00863BFF">
      <w:pPr>
        <w:spacing w:line="360" w:lineRule="auto"/>
        <w:jc w:val="both"/>
        <w:rPr>
          <w:rFonts w:ascii="Times New Roman" w:hAnsi="Times New Roman" w:cs="Times New Roman"/>
          <w:i/>
          <w:iCs/>
          <w:color w:val="000000" w:themeColor="text1"/>
        </w:rPr>
      </w:pPr>
    </w:p>
    <w:p w14:paraId="5DA8DC21" w14:textId="412EB935" w:rsidR="00684A34" w:rsidRPr="00863BFF" w:rsidRDefault="006A1283" w:rsidP="00D26C7C">
      <w:pPr>
        <w:pStyle w:val="Heading2"/>
      </w:pPr>
      <w:bookmarkStart w:id="30" w:name="_Toc237448058"/>
      <w:r w:rsidRPr="00863BFF">
        <w:t>Appendix B: Investment Appraisal Calculations</w:t>
      </w:r>
      <w:bookmarkEnd w:id="30"/>
    </w:p>
    <w:p w14:paraId="6FFC2CB3"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Project A (NPV = –£6.54m; IRR = 2.72%; PBP = 4.50 yrs)</w:t>
      </w:r>
    </w:p>
    <w:tbl>
      <w:tblPr>
        <w:tblStyle w:val="TableGrid"/>
        <w:tblW w:w="9400" w:type="dxa"/>
        <w:tblLayout w:type="fixed"/>
        <w:tblLook w:val="0000" w:firstRow="0" w:lastRow="0" w:firstColumn="0" w:lastColumn="0" w:noHBand="0" w:noVBand="0"/>
      </w:tblPr>
      <w:tblGrid>
        <w:gridCol w:w="1399"/>
        <w:gridCol w:w="2201"/>
        <w:gridCol w:w="1800"/>
        <w:gridCol w:w="1900"/>
        <w:gridCol w:w="2100"/>
      </w:tblGrid>
      <w:tr w:rsidR="00684A34" w:rsidRPr="00863BFF" w14:paraId="2D42B52D" w14:textId="77777777" w:rsidTr="00D26C7C">
        <w:tc>
          <w:tcPr>
            <w:tcW w:w="1399" w:type="dxa"/>
          </w:tcPr>
          <w:p w14:paraId="384BB30F"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Year</w:t>
            </w:r>
          </w:p>
        </w:tc>
        <w:tc>
          <w:tcPr>
            <w:tcW w:w="2201" w:type="dxa"/>
          </w:tcPr>
          <w:p w14:paraId="4B210CCE"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Cash flow (£m)</w:t>
            </w:r>
          </w:p>
        </w:tc>
        <w:tc>
          <w:tcPr>
            <w:tcW w:w="1800" w:type="dxa"/>
          </w:tcPr>
          <w:p w14:paraId="4DF52A2E"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DF @ 8%</w:t>
            </w:r>
          </w:p>
        </w:tc>
        <w:tc>
          <w:tcPr>
            <w:tcW w:w="1900" w:type="dxa"/>
          </w:tcPr>
          <w:p w14:paraId="515FFD67"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PV (£m)</w:t>
            </w:r>
          </w:p>
        </w:tc>
        <w:tc>
          <w:tcPr>
            <w:tcW w:w="2100" w:type="dxa"/>
          </w:tcPr>
          <w:p w14:paraId="6A893853"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Cum. NPV (£m)</w:t>
            </w:r>
          </w:p>
        </w:tc>
      </w:tr>
      <w:tr w:rsidR="00684A34" w:rsidRPr="00863BFF" w14:paraId="63F5B1CB" w14:textId="77777777" w:rsidTr="00D26C7C">
        <w:tc>
          <w:tcPr>
            <w:tcW w:w="1399" w:type="dxa"/>
          </w:tcPr>
          <w:p w14:paraId="732D3DD6"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w:t>
            </w:r>
          </w:p>
        </w:tc>
        <w:tc>
          <w:tcPr>
            <w:tcW w:w="2201" w:type="dxa"/>
          </w:tcPr>
          <w:p w14:paraId="29AA2751"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(50.00)</w:t>
            </w:r>
          </w:p>
        </w:tc>
        <w:tc>
          <w:tcPr>
            <w:tcW w:w="1800" w:type="dxa"/>
          </w:tcPr>
          <w:p w14:paraId="7FB3098A"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1.0000</w:t>
            </w:r>
          </w:p>
        </w:tc>
        <w:tc>
          <w:tcPr>
            <w:tcW w:w="1900" w:type="dxa"/>
          </w:tcPr>
          <w:p w14:paraId="1281FF67"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(50.00)</w:t>
            </w:r>
          </w:p>
        </w:tc>
        <w:tc>
          <w:tcPr>
            <w:tcW w:w="2100" w:type="dxa"/>
          </w:tcPr>
          <w:p w14:paraId="202FC718"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(50.00)</w:t>
            </w:r>
          </w:p>
        </w:tc>
      </w:tr>
      <w:tr w:rsidR="00684A34" w:rsidRPr="00863BFF" w14:paraId="0C67E30A" w14:textId="77777777" w:rsidTr="00D26C7C">
        <w:tc>
          <w:tcPr>
            <w:tcW w:w="1399" w:type="dxa"/>
          </w:tcPr>
          <w:p w14:paraId="63B29CEC"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w:t>
            </w:r>
          </w:p>
        </w:tc>
        <w:tc>
          <w:tcPr>
            <w:tcW w:w="2201" w:type="dxa"/>
          </w:tcPr>
          <w:p w14:paraId="563B0451"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10.00</w:t>
            </w:r>
          </w:p>
        </w:tc>
        <w:tc>
          <w:tcPr>
            <w:tcW w:w="1800" w:type="dxa"/>
          </w:tcPr>
          <w:p w14:paraId="3121778F"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0.9259</w:t>
            </w:r>
          </w:p>
        </w:tc>
        <w:tc>
          <w:tcPr>
            <w:tcW w:w="1900" w:type="dxa"/>
          </w:tcPr>
          <w:p w14:paraId="6BF48482"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9.26</w:t>
            </w:r>
          </w:p>
        </w:tc>
        <w:tc>
          <w:tcPr>
            <w:tcW w:w="2100" w:type="dxa"/>
          </w:tcPr>
          <w:p w14:paraId="1E8C6E15"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(40.74)</w:t>
            </w:r>
          </w:p>
        </w:tc>
      </w:tr>
      <w:tr w:rsidR="00684A34" w:rsidRPr="00863BFF" w14:paraId="3AD2DAF8" w14:textId="77777777" w:rsidTr="00D26C7C">
        <w:tc>
          <w:tcPr>
            <w:tcW w:w="1399" w:type="dxa"/>
          </w:tcPr>
          <w:p w14:paraId="087DAE15"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w:t>
            </w:r>
          </w:p>
        </w:tc>
        <w:tc>
          <w:tcPr>
            <w:tcW w:w="2201" w:type="dxa"/>
          </w:tcPr>
          <w:p w14:paraId="588C1EF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12.00</w:t>
            </w:r>
          </w:p>
        </w:tc>
        <w:tc>
          <w:tcPr>
            <w:tcW w:w="1800" w:type="dxa"/>
          </w:tcPr>
          <w:p w14:paraId="128DB511"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0.8573</w:t>
            </w:r>
          </w:p>
        </w:tc>
        <w:tc>
          <w:tcPr>
            <w:tcW w:w="1900" w:type="dxa"/>
          </w:tcPr>
          <w:p w14:paraId="616808E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10.29</w:t>
            </w:r>
          </w:p>
        </w:tc>
        <w:tc>
          <w:tcPr>
            <w:tcW w:w="2100" w:type="dxa"/>
          </w:tcPr>
          <w:p w14:paraId="6F2A0A1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(30.45)</w:t>
            </w:r>
          </w:p>
        </w:tc>
      </w:tr>
      <w:tr w:rsidR="00684A34" w:rsidRPr="00863BFF" w14:paraId="2460161F" w14:textId="77777777" w:rsidTr="00D26C7C">
        <w:tc>
          <w:tcPr>
            <w:tcW w:w="1399" w:type="dxa"/>
          </w:tcPr>
          <w:p w14:paraId="46272D3E"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3</w:t>
            </w:r>
          </w:p>
        </w:tc>
        <w:tc>
          <w:tcPr>
            <w:tcW w:w="2201" w:type="dxa"/>
          </w:tcPr>
          <w:p w14:paraId="67FF727F"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14.00</w:t>
            </w:r>
          </w:p>
        </w:tc>
        <w:tc>
          <w:tcPr>
            <w:tcW w:w="1800" w:type="dxa"/>
          </w:tcPr>
          <w:p w14:paraId="4DD85D35"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0.7938</w:t>
            </w:r>
          </w:p>
        </w:tc>
        <w:tc>
          <w:tcPr>
            <w:tcW w:w="1900" w:type="dxa"/>
          </w:tcPr>
          <w:p w14:paraId="007CA9C0"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11.11</w:t>
            </w:r>
          </w:p>
        </w:tc>
        <w:tc>
          <w:tcPr>
            <w:tcW w:w="2100" w:type="dxa"/>
          </w:tcPr>
          <w:p w14:paraId="4988E90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(19.34)</w:t>
            </w:r>
          </w:p>
        </w:tc>
      </w:tr>
      <w:tr w:rsidR="00684A34" w:rsidRPr="00863BFF" w14:paraId="03AD8FEE" w14:textId="77777777" w:rsidTr="00D26C7C">
        <w:tc>
          <w:tcPr>
            <w:tcW w:w="1399" w:type="dxa"/>
          </w:tcPr>
          <w:p w14:paraId="153D7623"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4</w:t>
            </w:r>
          </w:p>
        </w:tc>
        <w:tc>
          <w:tcPr>
            <w:tcW w:w="2201" w:type="dxa"/>
          </w:tcPr>
          <w:p w14:paraId="71E9CC2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10.00</w:t>
            </w:r>
          </w:p>
        </w:tc>
        <w:tc>
          <w:tcPr>
            <w:tcW w:w="1800" w:type="dxa"/>
          </w:tcPr>
          <w:p w14:paraId="31498075"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0.7350</w:t>
            </w:r>
          </w:p>
        </w:tc>
        <w:tc>
          <w:tcPr>
            <w:tcW w:w="1900" w:type="dxa"/>
          </w:tcPr>
          <w:p w14:paraId="6BD1DA40"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7.35</w:t>
            </w:r>
          </w:p>
        </w:tc>
        <w:tc>
          <w:tcPr>
            <w:tcW w:w="2100" w:type="dxa"/>
          </w:tcPr>
          <w:p w14:paraId="6CAEA99B"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(11.99)</w:t>
            </w:r>
          </w:p>
        </w:tc>
      </w:tr>
      <w:tr w:rsidR="00684A34" w:rsidRPr="00863BFF" w14:paraId="23FB2ED2" w14:textId="77777777" w:rsidTr="00D26C7C">
        <w:tc>
          <w:tcPr>
            <w:tcW w:w="1399" w:type="dxa"/>
          </w:tcPr>
          <w:p w14:paraId="3477513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5</w:t>
            </w:r>
          </w:p>
        </w:tc>
        <w:tc>
          <w:tcPr>
            <w:tcW w:w="2201" w:type="dxa"/>
          </w:tcPr>
          <w:p w14:paraId="60745857"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8.00</w:t>
            </w:r>
          </w:p>
        </w:tc>
        <w:tc>
          <w:tcPr>
            <w:tcW w:w="1800" w:type="dxa"/>
          </w:tcPr>
          <w:p w14:paraId="6A6DF0DF"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0.6806</w:t>
            </w:r>
          </w:p>
        </w:tc>
        <w:tc>
          <w:tcPr>
            <w:tcW w:w="1900" w:type="dxa"/>
          </w:tcPr>
          <w:p w14:paraId="16BE911A"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5.44</w:t>
            </w:r>
          </w:p>
        </w:tc>
        <w:tc>
          <w:tcPr>
            <w:tcW w:w="2100" w:type="dxa"/>
          </w:tcPr>
          <w:p w14:paraId="27D1501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(6.54)</w:t>
            </w:r>
          </w:p>
        </w:tc>
      </w:tr>
    </w:tbl>
    <w:p w14:paraId="763FF04C"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Project B (NPV = –£6.08m; IRR = 3.26%; PBP = 4.55 yrs)</w:t>
      </w:r>
    </w:p>
    <w:tbl>
      <w:tblPr>
        <w:tblStyle w:val="TableGrid"/>
        <w:tblW w:w="9400" w:type="dxa"/>
        <w:tblLayout w:type="fixed"/>
        <w:tblLook w:val="0000" w:firstRow="0" w:lastRow="0" w:firstColumn="0" w:lastColumn="0" w:noHBand="0" w:noVBand="0"/>
      </w:tblPr>
      <w:tblGrid>
        <w:gridCol w:w="1399"/>
        <w:gridCol w:w="2201"/>
        <w:gridCol w:w="1800"/>
        <w:gridCol w:w="1900"/>
        <w:gridCol w:w="2100"/>
      </w:tblGrid>
      <w:tr w:rsidR="00684A34" w:rsidRPr="00863BFF" w14:paraId="600CF259" w14:textId="77777777" w:rsidTr="00D26C7C">
        <w:tc>
          <w:tcPr>
            <w:tcW w:w="1399" w:type="dxa"/>
          </w:tcPr>
          <w:p w14:paraId="0DF294CA"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Year</w:t>
            </w:r>
          </w:p>
        </w:tc>
        <w:tc>
          <w:tcPr>
            <w:tcW w:w="2201" w:type="dxa"/>
          </w:tcPr>
          <w:p w14:paraId="2E42C28E"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Cash flow (£m)</w:t>
            </w:r>
          </w:p>
        </w:tc>
        <w:tc>
          <w:tcPr>
            <w:tcW w:w="1800" w:type="dxa"/>
          </w:tcPr>
          <w:p w14:paraId="522E8BC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DF @ 8%</w:t>
            </w:r>
          </w:p>
        </w:tc>
        <w:tc>
          <w:tcPr>
            <w:tcW w:w="1900" w:type="dxa"/>
          </w:tcPr>
          <w:p w14:paraId="5EB4B14C"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PV (£m)</w:t>
            </w:r>
          </w:p>
        </w:tc>
        <w:tc>
          <w:tcPr>
            <w:tcW w:w="2100" w:type="dxa"/>
          </w:tcPr>
          <w:p w14:paraId="55029B4E"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Cum. NPV (£m)</w:t>
            </w:r>
          </w:p>
        </w:tc>
      </w:tr>
      <w:tr w:rsidR="00684A34" w:rsidRPr="00863BFF" w14:paraId="3C7251BE" w14:textId="77777777" w:rsidTr="00D26C7C">
        <w:tc>
          <w:tcPr>
            <w:tcW w:w="1399" w:type="dxa"/>
          </w:tcPr>
          <w:p w14:paraId="6BBA3990"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w:t>
            </w:r>
          </w:p>
        </w:tc>
        <w:tc>
          <w:tcPr>
            <w:tcW w:w="2201" w:type="dxa"/>
          </w:tcPr>
          <w:p w14:paraId="623F4578"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(50.00)</w:t>
            </w:r>
          </w:p>
        </w:tc>
        <w:tc>
          <w:tcPr>
            <w:tcW w:w="1800" w:type="dxa"/>
          </w:tcPr>
          <w:p w14:paraId="3058E5AF"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1.0000</w:t>
            </w:r>
          </w:p>
        </w:tc>
        <w:tc>
          <w:tcPr>
            <w:tcW w:w="1900" w:type="dxa"/>
          </w:tcPr>
          <w:p w14:paraId="5D70434A"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(50.00)</w:t>
            </w:r>
          </w:p>
        </w:tc>
        <w:tc>
          <w:tcPr>
            <w:tcW w:w="2100" w:type="dxa"/>
          </w:tcPr>
          <w:p w14:paraId="36D24A1F"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(50.00)</w:t>
            </w:r>
          </w:p>
        </w:tc>
      </w:tr>
      <w:tr w:rsidR="00684A34" w:rsidRPr="00863BFF" w14:paraId="1CCD83DD" w14:textId="77777777" w:rsidTr="00D26C7C">
        <w:tc>
          <w:tcPr>
            <w:tcW w:w="1399" w:type="dxa"/>
          </w:tcPr>
          <w:p w14:paraId="08B6AEA2"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w:t>
            </w:r>
          </w:p>
        </w:tc>
        <w:tc>
          <w:tcPr>
            <w:tcW w:w="2201" w:type="dxa"/>
          </w:tcPr>
          <w:p w14:paraId="635630B3"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11.00</w:t>
            </w:r>
          </w:p>
        </w:tc>
        <w:tc>
          <w:tcPr>
            <w:tcW w:w="1800" w:type="dxa"/>
          </w:tcPr>
          <w:p w14:paraId="7C97378A"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0.9259</w:t>
            </w:r>
          </w:p>
        </w:tc>
        <w:tc>
          <w:tcPr>
            <w:tcW w:w="1900" w:type="dxa"/>
          </w:tcPr>
          <w:p w14:paraId="503A9448"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10.19</w:t>
            </w:r>
          </w:p>
        </w:tc>
        <w:tc>
          <w:tcPr>
            <w:tcW w:w="2100" w:type="dxa"/>
          </w:tcPr>
          <w:p w14:paraId="72575E67"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(39.81)</w:t>
            </w:r>
          </w:p>
        </w:tc>
      </w:tr>
      <w:tr w:rsidR="00684A34" w:rsidRPr="00863BFF" w14:paraId="13A975FC" w14:textId="77777777" w:rsidTr="00D26C7C">
        <w:tc>
          <w:tcPr>
            <w:tcW w:w="1399" w:type="dxa"/>
          </w:tcPr>
          <w:p w14:paraId="1348853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w:t>
            </w:r>
          </w:p>
        </w:tc>
        <w:tc>
          <w:tcPr>
            <w:tcW w:w="2201" w:type="dxa"/>
          </w:tcPr>
          <w:p w14:paraId="602C215E"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11.00</w:t>
            </w:r>
          </w:p>
        </w:tc>
        <w:tc>
          <w:tcPr>
            <w:tcW w:w="1800" w:type="dxa"/>
          </w:tcPr>
          <w:p w14:paraId="1808F36F"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0.8573</w:t>
            </w:r>
          </w:p>
        </w:tc>
        <w:tc>
          <w:tcPr>
            <w:tcW w:w="1900" w:type="dxa"/>
          </w:tcPr>
          <w:p w14:paraId="2A6FAC76"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9.43</w:t>
            </w:r>
          </w:p>
        </w:tc>
        <w:tc>
          <w:tcPr>
            <w:tcW w:w="2100" w:type="dxa"/>
          </w:tcPr>
          <w:p w14:paraId="1937FB1E"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(30.38)</w:t>
            </w:r>
          </w:p>
        </w:tc>
      </w:tr>
      <w:tr w:rsidR="00684A34" w:rsidRPr="00863BFF" w14:paraId="04A5F51A" w14:textId="77777777" w:rsidTr="00D26C7C">
        <w:tc>
          <w:tcPr>
            <w:tcW w:w="1399" w:type="dxa"/>
          </w:tcPr>
          <w:p w14:paraId="671FEDFB"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3</w:t>
            </w:r>
          </w:p>
        </w:tc>
        <w:tc>
          <w:tcPr>
            <w:tcW w:w="2201" w:type="dxa"/>
          </w:tcPr>
          <w:p w14:paraId="4EF9A12E"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11.00</w:t>
            </w:r>
          </w:p>
        </w:tc>
        <w:tc>
          <w:tcPr>
            <w:tcW w:w="1800" w:type="dxa"/>
          </w:tcPr>
          <w:p w14:paraId="59A94A3C"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0.7938</w:t>
            </w:r>
          </w:p>
        </w:tc>
        <w:tc>
          <w:tcPr>
            <w:tcW w:w="1900" w:type="dxa"/>
          </w:tcPr>
          <w:p w14:paraId="4E91C88C"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8.73</w:t>
            </w:r>
          </w:p>
        </w:tc>
        <w:tc>
          <w:tcPr>
            <w:tcW w:w="2100" w:type="dxa"/>
          </w:tcPr>
          <w:p w14:paraId="49C77A27"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(21.65)</w:t>
            </w:r>
          </w:p>
        </w:tc>
      </w:tr>
      <w:tr w:rsidR="00684A34" w:rsidRPr="00863BFF" w14:paraId="09D20DDB" w14:textId="77777777" w:rsidTr="00D26C7C">
        <w:tc>
          <w:tcPr>
            <w:tcW w:w="1399" w:type="dxa"/>
          </w:tcPr>
          <w:p w14:paraId="6DB88C22"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4</w:t>
            </w:r>
          </w:p>
        </w:tc>
        <w:tc>
          <w:tcPr>
            <w:tcW w:w="2201" w:type="dxa"/>
          </w:tcPr>
          <w:p w14:paraId="5BE4DC33"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11.00</w:t>
            </w:r>
          </w:p>
        </w:tc>
        <w:tc>
          <w:tcPr>
            <w:tcW w:w="1800" w:type="dxa"/>
          </w:tcPr>
          <w:p w14:paraId="75E08770"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0.7350</w:t>
            </w:r>
          </w:p>
        </w:tc>
        <w:tc>
          <w:tcPr>
            <w:tcW w:w="1900" w:type="dxa"/>
          </w:tcPr>
          <w:p w14:paraId="41B8B7A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8.09</w:t>
            </w:r>
          </w:p>
        </w:tc>
        <w:tc>
          <w:tcPr>
            <w:tcW w:w="2100" w:type="dxa"/>
          </w:tcPr>
          <w:p w14:paraId="6669F467"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(13.57)</w:t>
            </w:r>
          </w:p>
        </w:tc>
      </w:tr>
      <w:tr w:rsidR="00684A34" w:rsidRPr="00863BFF" w14:paraId="31A556E2" w14:textId="77777777" w:rsidTr="00D26C7C">
        <w:tc>
          <w:tcPr>
            <w:tcW w:w="1399" w:type="dxa"/>
          </w:tcPr>
          <w:p w14:paraId="5A6A366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5</w:t>
            </w:r>
          </w:p>
        </w:tc>
        <w:tc>
          <w:tcPr>
            <w:tcW w:w="2201" w:type="dxa"/>
          </w:tcPr>
          <w:p w14:paraId="37B57E22"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11.00</w:t>
            </w:r>
          </w:p>
        </w:tc>
        <w:tc>
          <w:tcPr>
            <w:tcW w:w="1800" w:type="dxa"/>
          </w:tcPr>
          <w:p w14:paraId="48B4B618"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0.6806</w:t>
            </w:r>
          </w:p>
        </w:tc>
        <w:tc>
          <w:tcPr>
            <w:tcW w:w="1900" w:type="dxa"/>
          </w:tcPr>
          <w:p w14:paraId="57BA8518"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7.49</w:t>
            </w:r>
          </w:p>
        </w:tc>
        <w:tc>
          <w:tcPr>
            <w:tcW w:w="2100" w:type="dxa"/>
          </w:tcPr>
          <w:p w14:paraId="2990C369"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(6.08)</w:t>
            </w:r>
          </w:p>
        </w:tc>
      </w:tr>
    </w:tbl>
    <w:p w14:paraId="2F02D75F"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Project C (NPV = +£0.86m; IRR = 8.59%; PBP = 3.60 yrs)</w:t>
      </w:r>
    </w:p>
    <w:tbl>
      <w:tblPr>
        <w:tblStyle w:val="TableGrid"/>
        <w:tblW w:w="9400" w:type="dxa"/>
        <w:tblLayout w:type="fixed"/>
        <w:tblLook w:val="0000" w:firstRow="0" w:lastRow="0" w:firstColumn="0" w:lastColumn="0" w:noHBand="0" w:noVBand="0"/>
      </w:tblPr>
      <w:tblGrid>
        <w:gridCol w:w="1399"/>
        <w:gridCol w:w="2201"/>
        <w:gridCol w:w="1800"/>
        <w:gridCol w:w="1900"/>
        <w:gridCol w:w="2100"/>
      </w:tblGrid>
      <w:tr w:rsidR="00684A34" w:rsidRPr="00863BFF" w14:paraId="54139DE9" w14:textId="77777777" w:rsidTr="00D26C7C">
        <w:tc>
          <w:tcPr>
            <w:tcW w:w="1399" w:type="dxa"/>
          </w:tcPr>
          <w:p w14:paraId="1B0D24F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Year</w:t>
            </w:r>
          </w:p>
        </w:tc>
        <w:tc>
          <w:tcPr>
            <w:tcW w:w="2201" w:type="dxa"/>
          </w:tcPr>
          <w:p w14:paraId="6250D0B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Cash flow (£m)</w:t>
            </w:r>
          </w:p>
        </w:tc>
        <w:tc>
          <w:tcPr>
            <w:tcW w:w="1800" w:type="dxa"/>
          </w:tcPr>
          <w:p w14:paraId="51637E9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DF @ 8%</w:t>
            </w:r>
          </w:p>
        </w:tc>
        <w:tc>
          <w:tcPr>
            <w:tcW w:w="1900" w:type="dxa"/>
          </w:tcPr>
          <w:p w14:paraId="70FBD0E6"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PV (£m)</w:t>
            </w:r>
          </w:p>
        </w:tc>
        <w:tc>
          <w:tcPr>
            <w:tcW w:w="2100" w:type="dxa"/>
          </w:tcPr>
          <w:p w14:paraId="0789FF4B"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Cum. NPV (£m)</w:t>
            </w:r>
          </w:p>
        </w:tc>
      </w:tr>
      <w:tr w:rsidR="00684A34" w:rsidRPr="00863BFF" w14:paraId="57E8BA30" w14:textId="77777777" w:rsidTr="00D26C7C">
        <w:tc>
          <w:tcPr>
            <w:tcW w:w="1399" w:type="dxa"/>
          </w:tcPr>
          <w:p w14:paraId="0F9DE04B"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w:t>
            </w:r>
          </w:p>
        </w:tc>
        <w:tc>
          <w:tcPr>
            <w:tcW w:w="2201" w:type="dxa"/>
          </w:tcPr>
          <w:p w14:paraId="36B25F42"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(50.00)</w:t>
            </w:r>
          </w:p>
        </w:tc>
        <w:tc>
          <w:tcPr>
            <w:tcW w:w="1800" w:type="dxa"/>
          </w:tcPr>
          <w:p w14:paraId="73FD41C9"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1.0000</w:t>
            </w:r>
          </w:p>
        </w:tc>
        <w:tc>
          <w:tcPr>
            <w:tcW w:w="1900" w:type="dxa"/>
          </w:tcPr>
          <w:p w14:paraId="55D1C1EA"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(50.00)</w:t>
            </w:r>
          </w:p>
        </w:tc>
        <w:tc>
          <w:tcPr>
            <w:tcW w:w="2100" w:type="dxa"/>
          </w:tcPr>
          <w:p w14:paraId="6B091E9F"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(50.00)</w:t>
            </w:r>
          </w:p>
        </w:tc>
      </w:tr>
      <w:tr w:rsidR="00684A34" w:rsidRPr="00863BFF" w14:paraId="4C03A7A4" w14:textId="77777777" w:rsidTr="00D26C7C">
        <w:tc>
          <w:tcPr>
            <w:tcW w:w="1399" w:type="dxa"/>
          </w:tcPr>
          <w:p w14:paraId="163BAA2B"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w:t>
            </w:r>
          </w:p>
        </w:tc>
        <w:tc>
          <w:tcPr>
            <w:tcW w:w="2201" w:type="dxa"/>
          </w:tcPr>
          <w:p w14:paraId="09FBE839"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5.00</w:t>
            </w:r>
          </w:p>
        </w:tc>
        <w:tc>
          <w:tcPr>
            <w:tcW w:w="1800" w:type="dxa"/>
          </w:tcPr>
          <w:p w14:paraId="200899D1"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0.9259</w:t>
            </w:r>
          </w:p>
        </w:tc>
        <w:tc>
          <w:tcPr>
            <w:tcW w:w="1900" w:type="dxa"/>
          </w:tcPr>
          <w:p w14:paraId="0501A8DE"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4.63</w:t>
            </w:r>
          </w:p>
        </w:tc>
        <w:tc>
          <w:tcPr>
            <w:tcW w:w="2100" w:type="dxa"/>
          </w:tcPr>
          <w:p w14:paraId="2BB7FA22"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(45.37)</w:t>
            </w:r>
          </w:p>
        </w:tc>
      </w:tr>
      <w:tr w:rsidR="00684A34" w:rsidRPr="00863BFF" w14:paraId="732C062E" w14:textId="77777777" w:rsidTr="00D26C7C">
        <w:tc>
          <w:tcPr>
            <w:tcW w:w="1399" w:type="dxa"/>
          </w:tcPr>
          <w:p w14:paraId="43432EBF"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w:t>
            </w:r>
          </w:p>
        </w:tc>
        <w:tc>
          <w:tcPr>
            <w:tcW w:w="2201" w:type="dxa"/>
          </w:tcPr>
          <w:p w14:paraId="03652C02"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10.00</w:t>
            </w:r>
          </w:p>
        </w:tc>
        <w:tc>
          <w:tcPr>
            <w:tcW w:w="1800" w:type="dxa"/>
          </w:tcPr>
          <w:p w14:paraId="5B55FB4D"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0.8573</w:t>
            </w:r>
          </w:p>
        </w:tc>
        <w:tc>
          <w:tcPr>
            <w:tcW w:w="1900" w:type="dxa"/>
          </w:tcPr>
          <w:p w14:paraId="0C96AA1E"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8.57</w:t>
            </w:r>
          </w:p>
        </w:tc>
        <w:tc>
          <w:tcPr>
            <w:tcW w:w="2100" w:type="dxa"/>
          </w:tcPr>
          <w:p w14:paraId="0B08FF04"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(36.80)</w:t>
            </w:r>
          </w:p>
        </w:tc>
      </w:tr>
      <w:tr w:rsidR="00684A34" w:rsidRPr="00863BFF" w14:paraId="41B4EBEF" w14:textId="77777777" w:rsidTr="00D26C7C">
        <w:tc>
          <w:tcPr>
            <w:tcW w:w="1399" w:type="dxa"/>
          </w:tcPr>
          <w:p w14:paraId="7AF608B8"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3</w:t>
            </w:r>
          </w:p>
        </w:tc>
        <w:tc>
          <w:tcPr>
            <w:tcW w:w="2201" w:type="dxa"/>
          </w:tcPr>
          <w:p w14:paraId="4BB97E58"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20.00</w:t>
            </w:r>
          </w:p>
        </w:tc>
        <w:tc>
          <w:tcPr>
            <w:tcW w:w="1800" w:type="dxa"/>
          </w:tcPr>
          <w:p w14:paraId="2630C76B"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0.7938</w:t>
            </w:r>
          </w:p>
        </w:tc>
        <w:tc>
          <w:tcPr>
            <w:tcW w:w="1900" w:type="dxa"/>
          </w:tcPr>
          <w:p w14:paraId="385F185B"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15.88</w:t>
            </w:r>
          </w:p>
        </w:tc>
        <w:tc>
          <w:tcPr>
            <w:tcW w:w="2100" w:type="dxa"/>
          </w:tcPr>
          <w:p w14:paraId="333635A6"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(20.92)</w:t>
            </w:r>
          </w:p>
        </w:tc>
      </w:tr>
      <w:tr w:rsidR="00684A34" w:rsidRPr="00863BFF" w14:paraId="7F523F80" w14:textId="77777777" w:rsidTr="00D26C7C">
        <w:tc>
          <w:tcPr>
            <w:tcW w:w="1399" w:type="dxa"/>
          </w:tcPr>
          <w:p w14:paraId="54CC065E"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4</w:t>
            </w:r>
          </w:p>
        </w:tc>
        <w:tc>
          <w:tcPr>
            <w:tcW w:w="2201" w:type="dxa"/>
          </w:tcPr>
          <w:p w14:paraId="321D161F"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25.00</w:t>
            </w:r>
          </w:p>
        </w:tc>
        <w:tc>
          <w:tcPr>
            <w:tcW w:w="1800" w:type="dxa"/>
          </w:tcPr>
          <w:p w14:paraId="20E6722A"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0.7350</w:t>
            </w:r>
          </w:p>
        </w:tc>
        <w:tc>
          <w:tcPr>
            <w:tcW w:w="1900" w:type="dxa"/>
          </w:tcPr>
          <w:p w14:paraId="43B67300"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18.38</w:t>
            </w:r>
          </w:p>
        </w:tc>
        <w:tc>
          <w:tcPr>
            <w:tcW w:w="2100" w:type="dxa"/>
          </w:tcPr>
          <w:p w14:paraId="49669440"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(2.55)</w:t>
            </w:r>
          </w:p>
        </w:tc>
      </w:tr>
      <w:tr w:rsidR="00684A34" w:rsidRPr="00863BFF" w14:paraId="29D51455" w14:textId="77777777" w:rsidTr="00D26C7C">
        <w:tc>
          <w:tcPr>
            <w:tcW w:w="1399" w:type="dxa"/>
          </w:tcPr>
          <w:p w14:paraId="115B130E"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5</w:t>
            </w:r>
          </w:p>
        </w:tc>
        <w:tc>
          <w:tcPr>
            <w:tcW w:w="2201" w:type="dxa"/>
          </w:tcPr>
          <w:p w14:paraId="6DF6B5CF"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5.00</w:t>
            </w:r>
          </w:p>
        </w:tc>
        <w:tc>
          <w:tcPr>
            <w:tcW w:w="1800" w:type="dxa"/>
          </w:tcPr>
          <w:p w14:paraId="2CA9A91B"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0.6806</w:t>
            </w:r>
          </w:p>
        </w:tc>
        <w:tc>
          <w:tcPr>
            <w:tcW w:w="1900" w:type="dxa"/>
          </w:tcPr>
          <w:p w14:paraId="03C941A9"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3.40</w:t>
            </w:r>
          </w:p>
        </w:tc>
        <w:tc>
          <w:tcPr>
            <w:tcW w:w="2100" w:type="dxa"/>
          </w:tcPr>
          <w:p w14:paraId="5AE8A37F" w14:textId="77777777" w:rsidR="00684A34" w:rsidRPr="00863BFF" w:rsidRDefault="006A1283" w:rsidP="00863BFF">
            <w:pPr>
              <w:spacing w:line="360" w:lineRule="auto"/>
              <w:jc w:val="both"/>
              <w:rPr>
                <w:rFonts w:ascii="Times New Roman" w:hAnsi="Times New Roman" w:cs="Times New Roman"/>
                <w:color w:val="000000" w:themeColor="text1"/>
              </w:rPr>
            </w:pPr>
            <w:r w:rsidRPr="00863BFF">
              <w:rPr>
                <w:rFonts w:ascii="Times New Roman" w:hAnsi="Times New Roman" w:cs="Times New Roman"/>
                <w:color w:val="000000" w:themeColor="text1"/>
              </w:rPr>
              <w:t>0.86</w:t>
            </w:r>
          </w:p>
        </w:tc>
      </w:tr>
    </w:tbl>
    <w:p w14:paraId="6E79C882" w14:textId="1E47140C" w:rsidR="00684A34" w:rsidRPr="00863BFF" w:rsidRDefault="00684A34" w:rsidP="00863BFF">
      <w:pPr>
        <w:spacing w:line="360" w:lineRule="auto"/>
        <w:jc w:val="both"/>
        <w:rPr>
          <w:rFonts w:ascii="Times New Roman" w:hAnsi="Times New Roman" w:cs="Times New Roman"/>
          <w:color w:val="000000" w:themeColor="text1"/>
        </w:rPr>
      </w:pPr>
    </w:p>
    <w:sectPr w:rsidR="00684A34" w:rsidRPr="00863BFF" w:rsidSect="00D26C7C">
      <w:footerReference w:type="default" r:id="rId17"/>
      <w:pgSz w:w="12240" w:h="15840"/>
      <w:pgMar w:top="1440" w:right="1440" w:bottom="1440" w:left="1440" w:header="0" w:footer="0" w:gutter="0"/>
      <w:pgBorders w:offsetFrom="page">
        <w:top w:val="single" w:sz="4" w:space="24" w:color="auto"/>
        <w:left w:val="single" w:sz="4" w:space="24" w:color="auto"/>
        <w:bottom w:val="single" w:sz="4" w:space="24" w:color="auto"/>
        <w:right w:val="single" w:sz="4" w:space="24" w:color="auto"/>
      </w:pgBorders>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44113D" w14:textId="77777777" w:rsidR="00A2593E" w:rsidRDefault="00A2593E" w:rsidP="00D26C7C">
      <w:r>
        <w:separator/>
      </w:r>
    </w:p>
  </w:endnote>
  <w:endnote w:type="continuationSeparator" w:id="0">
    <w:p w14:paraId="2AEFABD1" w14:textId="77777777" w:rsidR="00A2593E" w:rsidRDefault="00A2593E" w:rsidP="00D26C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2">
    <w:panose1 w:val="05020102010507070707"/>
    <w:charset w:val="02"/>
    <w:family w:val="decorative"/>
    <w:pitch w:val="variable"/>
    <w:sig w:usb0="00000000" w:usb1="10000000" w:usb2="00000000" w:usb3="00000000" w:csb0="80000000" w:csb1="00000000"/>
  </w:font>
  <w:font w:name="OpenSymbol">
    <w:altName w:val="Arial Unicode MS"/>
    <w:charset w:val="01"/>
    <w:family w:val="auto"/>
    <w:pitch w:val="default"/>
  </w:font>
  <w:font w:name="Arial">
    <w:panose1 w:val="020B0604020202020204"/>
    <w:charset w:val="00"/>
    <w:family w:val="swiss"/>
    <w:pitch w:val="variable"/>
    <w:sig w:usb0="E0002EFF" w:usb1="C000785B" w:usb2="00000009" w:usb3="00000000" w:csb0="000001FF" w:csb1="00000000"/>
  </w:font>
  <w:font w:name="Liberation Sans">
    <w:altName w:val="Arial"/>
    <w:charset w:val="00"/>
    <w:family w:val="swiss"/>
    <w:pitch w:val="variable"/>
  </w:font>
  <w:font w:name="Noto Sans CJK SC">
    <w:panose1 w:val="020B0500000000000000"/>
    <w:charset w:val="80"/>
    <w:family w:val="swiss"/>
    <w:pitch w:val="variable"/>
    <w:sig w:usb0="30000083" w:usb1="2BDF3C10" w:usb2="00000016" w:usb3="00000000" w:csb0="002E0107" w:csb1="00000000"/>
  </w:font>
  <w:font w:name="FreeSans">
    <w:charset w:val="00"/>
    <w:family w:val="roman"/>
    <w:notTrueType/>
    <w:pitch w:val="default"/>
  </w:font>
  <w:font w:name="Mangal">
    <w:panose1 w:val="02040503050203030202"/>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C8B297" w14:textId="5430A0F9" w:rsidR="00D26C7C" w:rsidRDefault="00D26C7C" w:rsidP="00D26C7C">
    <w:pPr>
      <w:pStyle w:val="Footer"/>
      <w:jc w:val="center"/>
    </w:pPr>
  </w:p>
  <w:p w14:paraId="34B51635" w14:textId="77777777" w:rsidR="00D26C7C" w:rsidRDefault="00D26C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D40102" w14:textId="77777777" w:rsidR="00A2593E" w:rsidRDefault="00A2593E" w:rsidP="00D26C7C">
      <w:r>
        <w:separator/>
      </w:r>
    </w:p>
  </w:footnote>
  <w:footnote w:type="continuationSeparator" w:id="0">
    <w:p w14:paraId="41486F2D" w14:textId="77777777" w:rsidR="00A2593E" w:rsidRDefault="00A2593E" w:rsidP="00D26C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1438F71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4pt;height:11.4pt" o:bullet="t">
        <v:imagedata r:id="rId1" o:title="msoF4A8"/>
      </v:shape>
    </w:pict>
  </w:numPicBullet>
  <w:abstractNum w:abstractNumId="0" w15:restartNumberingAfterBreak="0">
    <w:nsid w:val="1E0843C5"/>
    <w:multiLevelType w:val="hybridMultilevel"/>
    <w:tmpl w:val="60B0D48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06430A"/>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5558567F"/>
    <w:multiLevelType w:val="multilevel"/>
    <w:tmpl w:val="0422084E"/>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3" w15:restartNumberingAfterBreak="0">
    <w:nsid w:val="693B4534"/>
    <w:multiLevelType w:val="multilevel"/>
    <w:tmpl w:val="F13AEABA"/>
    <w:lvl w:ilvl="0">
      <w:start w:val="1"/>
      <w:numFmt w:val="bullet"/>
      <w:lvlText w:val=""/>
      <w:lvlJc w:val="left"/>
      <w:pPr>
        <w:tabs>
          <w:tab w:val="num" w:pos="0"/>
        </w:tabs>
        <w:ind w:left="720" w:hanging="360"/>
      </w:pPr>
      <w:rPr>
        <w:rFonts w:ascii="Wingdings" w:hAnsi="Wingdings" w:cs="Wingdings" w:hint="default"/>
      </w:rPr>
    </w:lvl>
    <w:lvl w:ilvl="1">
      <w:start w:val="1"/>
      <w:numFmt w:val="bullet"/>
      <w:lvlText w:val=""/>
      <w:lvlJc w:val="left"/>
      <w:pPr>
        <w:tabs>
          <w:tab w:val="num" w:pos="0"/>
        </w:tabs>
        <w:ind w:left="1440" w:hanging="360"/>
      </w:pPr>
      <w:rPr>
        <w:rFonts w:ascii="Wingdings 2" w:hAnsi="Wingdings 2" w:cs="Wingdings 2" w:hint="default"/>
      </w:rPr>
    </w:lvl>
    <w:lvl w:ilvl="2">
      <w:start w:val="1"/>
      <w:numFmt w:val="bullet"/>
      <w:lvlText w:val="■"/>
      <w:lvlJc w:val="left"/>
      <w:pPr>
        <w:tabs>
          <w:tab w:val="num" w:pos="0"/>
        </w:tabs>
        <w:ind w:left="2160" w:hanging="360"/>
      </w:pPr>
      <w:rPr>
        <w:rFonts w:ascii="OpenSymbol" w:hAnsi="OpenSymbol" w:cs="OpenSymbol" w:hint="default"/>
      </w:rPr>
    </w:lvl>
    <w:lvl w:ilvl="3">
      <w:start w:val="1"/>
      <w:numFmt w:val="bullet"/>
      <w:lvlText w:val=""/>
      <w:lvlJc w:val="left"/>
      <w:pPr>
        <w:tabs>
          <w:tab w:val="num" w:pos="0"/>
        </w:tabs>
        <w:ind w:left="2880" w:hanging="360"/>
      </w:pPr>
      <w:rPr>
        <w:rFonts w:ascii="Wingdings" w:hAnsi="Wingdings" w:cs="Wingdings" w:hint="default"/>
      </w:rPr>
    </w:lvl>
    <w:lvl w:ilvl="4">
      <w:start w:val="1"/>
      <w:numFmt w:val="bullet"/>
      <w:lvlText w:val=""/>
      <w:lvlJc w:val="left"/>
      <w:pPr>
        <w:tabs>
          <w:tab w:val="num" w:pos="0"/>
        </w:tabs>
        <w:ind w:left="3600" w:hanging="360"/>
      </w:pPr>
      <w:rPr>
        <w:rFonts w:ascii="Wingdings 2" w:hAnsi="Wingdings 2" w:cs="Wingdings 2" w:hint="default"/>
      </w:rPr>
    </w:lvl>
    <w:lvl w:ilvl="5">
      <w:start w:val="1"/>
      <w:numFmt w:val="bullet"/>
      <w:lvlText w:val="■"/>
      <w:lvlJc w:val="left"/>
      <w:pPr>
        <w:tabs>
          <w:tab w:val="num" w:pos="0"/>
        </w:tabs>
        <w:ind w:left="4320" w:hanging="360"/>
      </w:pPr>
      <w:rPr>
        <w:rFonts w:ascii="OpenSymbol" w:hAnsi="OpenSymbol" w:cs="OpenSymbol" w:hint="default"/>
      </w:rPr>
    </w:lvl>
    <w:lvl w:ilvl="6">
      <w:start w:val="1"/>
      <w:numFmt w:val="bullet"/>
      <w:lvlText w:val=""/>
      <w:lvlJc w:val="left"/>
      <w:pPr>
        <w:tabs>
          <w:tab w:val="num" w:pos="0"/>
        </w:tabs>
        <w:ind w:left="5040" w:hanging="360"/>
      </w:pPr>
      <w:rPr>
        <w:rFonts w:ascii="Wingdings" w:hAnsi="Wingdings" w:cs="Wingdings" w:hint="default"/>
      </w:rPr>
    </w:lvl>
    <w:lvl w:ilvl="7">
      <w:start w:val="1"/>
      <w:numFmt w:val="bullet"/>
      <w:lvlText w:val=""/>
      <w:lvlJc w:val="left"/>
      <w:pPr>
        <w:tabs>
          <w:tab w:val="num" w:pos="0"/>
        </w:tabs>
        <w:ind w:left="5760" w:hanging="360"/>
      </w:pPr>
      <w:rPr>
        <w:rFonts w:ascii="Wingdings" w:hAnsi="Wingdings" w:cs="Wingdings" w:hint="default"/>
      </w:rPr>
    </w:lvl>
    <w:lvl w:ilvl="8">
      <w:start w:val="1"/>
      <w:numFmt w:val="bullet"/>
      <w:lvlText w:val=""/>
      <w:lvlJc w:val="left"/>
      <w:pPr>
        <w:tabs>
          <w:tab w:val="num" w:pos="0"/>
        </w:tabs>
        <w:ind w:left="6480" w:hanging="360"/>
      </w:pPr>
      <w:rPr>
        <w:rFonts w:ascii="Wingdings" w:hAnsi="Wingdings" w:cs="Wingdings" w:hint="default"/>
      </w:rPr>
    </w:lvl>
  </w:abstractNum>
  <w:num w:numId="1" w16cid:durableId="962612154">
    <w:abstractNumId w:val="3"/>
  </w:num>
  <w:num w:numId="2" w16cid:durableId="866599001">
    <w:abstractNumId w:val="2"/>
  </w:num>
  <w:num w:numId="3" w16cid:durableId="2083290847">
    <w:abstractNumId w:val="3"/>
    <w:lvlOverride w:ilvl="0">
      <w:startOverride w:val="1"/>
    </w:lvlOverride>
  </w:num>
  <w:num w:numId="4" w16cid:durableId="781073802">
    <w:abstractNumId w:val="0"/>
  </w:num>
  <w:num w:numId="5" w16cid:durableId="429507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writeProtection w:recommended="1"/>
  <w:view w:val="web"/>
  <w:zoom w:percent="45"/>
  <w:removePersonalInformation/>
  <w:removeDateAndTime/>
  <w:revisionView w:inkAnnotations="0"/>
  <w:defaultTabStop w:val="720"/>
  <w:autoHyphenation/>
  <w:characterSpacingControl w:val="doNotCompress"/>
  <w:hdrShapeDefaults>
    <o:shapedefaults v:ext="edit" spidmax="30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A34"/>
    <w:rsid w:val="000D44D1"/>
    <w:rsid w:val="00155A6C"/>
    <w:rsid w:val="00684A34"/>
    <w:rsid w:val="006A1283"/>
    <w:rsid w:val="007C2B7E"/>
    <w:rsid w:val="00863BFF"/>
    <w:rsid w:val="008949C9"/>
    <w:rsid w:val="00A2593E"/>
    <w:rsid w:val="00AE1FB9"/>
    <w:rsid w:val="00C877E7"/>
    <w:rsid w:val="00D26C7C"/>
    <w:rsid w:val="00E63174"/>
    <w:rsid w:val="00EF7414"/>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3073"/>
    <o:shapelayout v:ext="edit">
      <o:idmap v:ext="edit" data="2"/>
    </o:shapelayout>
  </w:shapeDefaults>
  <w:decimalSymbol w:val="."/>
  <w:listSeparator w:val=","/>
  <w14:docId w14:val="13283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color w:val="1A1A1A"/>
        <w:sz w:val="24"/>
        <w:szCs w:val="24"/>
        <w:lang w:val="en-US"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
    <w:uiPriority w:val="9"/>
    <w:qFormat/>
    <w:rsid w:val="00863BFF"/>
    <w:pPr>
      <w:numPr>
        <w:numId w:val="5"/>
      </w:numPr>
      <w:outlineLvl w:val="0"/>
    </w:pPr>
    <w:rPr>
      <w:rFonts w:ascii="Times New Roman" w:eastAsia="Arial" w:hAnsi="Times New Roman" w:cs="Arial"/>
      <w:b/>
      <w:bCs/>
      <w:color w:val="auto"/>
      <w:szCs w:val="30"/>
    </w:rPr>
  </w:style>
  <w:style w:type="paragraph" w:styleId="Heading2">
    <w:name w:val="heading 2"/>
    <w:basedOn w:val="Heading"/>
    <w:uiPriority w:val="9"/>
    <w:unhideWhenUsed/>
    <w:qFormat/>
    <w:rsid w:val="00863BFF"/>
    <w:pPr>
      <w:numPr>
        <w:ilvl w:val="1"/>
        <w:numId w:val="5"/>
      </w:numPr>
      <w:spacing w:before="120" w:after="0"/>
      <w:outlineLvl w:val="1"/>
    </w:pPr>
    <w:rPr>
      <w:rFonts w:ascii="Times New Roman" w:eastAsia="Arial" w:hAnsi="Times New Roman" w:cs="Arial"/>
      <w:b/>
      <w:bCs/>
      <w:color w:val="auto"/>
      <w:sz w:val="24"/>
      <w:szCs w:val="26"/>
    </w:rPr>
  </w:style>
  <w:style w:type="paragraph" w:styleId="Heading3">
    <w:name w:val="heading 3"/>
    <w:basedOn w:val="Heading"/>
    <w:uiPriority w:val="9"/>
    <w:unhideWhenUsed/>
    <w:qFormat/>
    <w:pPr>
      <w:numPr>
        <w:ilvl w:val="2"/>
        <w:numId w:val="5"/>
      </w:numPr>
      <w:outlineLvl w:val="2"/>
    </w:pPr>
    <w:rPr>
      <w:rFonts w:ascii="Arial" w:eastAsia="Arial" w:hAnsi="Arial" w:cs="Arial"/>
      <w:b/>
      <w:bCs/>
      <w:color w:val="404040"/>
      <w:sz w:val="24"/>
      <w:szCs w:val="24"/>
    </w:rPr>
  </w:style>
  <w:style w:type="paragraph" w:styleId="Heading4">
    <w:name w:val="heading 4"/>
    <w:basedOn w:val="Heading"/>
    <w:uiPriority w:val="9"/>
    <w:semiHidden/>
    <w:unhideWhenUsed/>
    <w:qFormat/>
    <w:pPr>
      <w:numPr>
        <w:ilvl w:val="3"/>
        <w:numId w:val="5"/>
      </w:numPr>
      <w:outlineLvl w:val="3"/>
    </w:pPr>
    <w:rPr>
      <w:i/>
      <w:iCs/>
      <w:color w:val="2E74B5"/>
    </w:rPr>
  </w:style>
  <w:style w:type="paragraph" w:styleId="Heading5">
    <w:name w:val="heading 5"/>
    <w:basedOn w:val="Heading"/>
    <w:uiPriority w:val="9"/>
    <w:semiHidden/>
    <w:unhideWhenUsed/>
    <w:qFormat/>
    <w:pPr>
      <w:numPr>
        <w:ilvl w:val="4"/>
        <w:numId w:val="5"/>
      </w:numPr>
      <w:outlineLvl w:val="4"/>
    </w:pPr>
    <w:rPr>
      <w:color w:val="2E74B5"/>
    </w:rPr>
  </w:style>
  <w:style w:type="paragraph" w:styleId="Heading6">
    <w:name w:val="heading 6"/>
    <w:basedOn w:val="Heading"/>
    <w:uiPriority w:val="9"/>
    <w:semiHidden/>
    <w:unhideWhenUsed/>
    <w:qFormat/>
    <w:pPr>
      <w:numPr>
        <w:ilvl w:val="5"/>
        <w:numId w:val="5"/>
      </w:numPr>
      <w:outlineLvl w:val="5"/>
    </w:pPr>
    <w:rPr>
      <w:color w:val="1F4D78"/>
    </w:rPr>
  </w:style>
  <w:style w:type="paragraph" w:styleId="Heading7">
    <w:name w:val="heading 7"/>
    <w:basedOn w:val="Normal"/>
    <w:next w:val="Normal"/>
    <w:link w:val="Heading7Char"/>
    <w:uiPriority w:val="9"/>
    <w:semiHidden/>
    <w:unhideWhenUsed/>
    <w:qFormat/>
    <w:rsid w:val="00D26C7C"/>
    <w:pPr>
      <w:keepNext/>
      <w:keepLines/>
      <w:numPr>
        <w:ilvl w:val="6"/>
        <w:numId w:val="5"/>
      </w:numPr>
      <w:spacing w:before="40"/>
      <w:outlineLvl w:val="6"/>
    </w:pPr>
    <w:rPr>
      <w:rFonts w:asciiTheme="majorHAnsi" w:eastAsiaTheme="majorEastAsia" w:hAnsiTheme="majorHAnsi" w:cs="Mangal"/>
      <w:i/>
      <w:iCs/>
      <w:color w:val="0B5101" w:themeColor="accent1" w:themeShade="7F"/>
      <w:szCs w:val="21"/>
    </w:rPr>
  </w:style>
  <w:style w:type="paragraph" w:styleId="Heading8">
    <w:name w:val="heading 8"/>
    <w:basedOn w:val="Normal"/>
    <w:next w:val="Normal"/>
    <w:link w:val="Heading8Char"/>
    <w:uiPriority w:val="9"/>
    <w:semiHidden/>
    <w:unhideWhenUsed/>
    <w:qFormat/>
    <w:rsid w:val="00D26C7C"/>
    <w:pPr>
      <w:keepNext/>
      <w:keepLines/>
      <w:numPr>
        <w:ilvl w:val="7"/>
        <w:numId w:val="5"/>
      </w:numPr>
      <w:spacing w:before="40"/>
      <w:outlineLvl w:val="7"/>
    </w:pPr>
    <w:rPr>
      <w:rFonts w:asciiTheme="majorHAnsi" w:eastAsiaTheme="majorEastAsia" w:hAnsiTheme="majorHAnsi" w:cs="Mangal"/>
      <w:color w:val="272727" w:themeColor="text1" w:themeTint="D8"/>
      <w:sz w:val="21"/>
      <w:szCs w:val="19"/>
    </w:rPr>
  </w:style>
  <w:style w:type="paragraph" w:styleId="Heading9">
    <w:name w:val="heading 9"/>
    <w:basedOn w:val="Normal"/>
    <w:next w:val="Normal"/>
    <w:link w:val="Heading9Char"/>
    <w:uiPriority w:val="9"/>
    <w:semiHidden/>
    <w:unhideWhenUsed/>
    <w:qFormat/>
    <w:rsid w:val="00D26C7C"/>
    <w:pPr>
      <w:keepNext/>
      <w:keepLines/>
      <w:numPr>
        <w:ilvl w:val="8"/>
        <w:numId w:val="5"/>
      </w:numPr>
      <w:spacing w:before="40"/>
      <w:outlineLvl w:val="8"/>
    </w:pPr>
    <w:rPr>
      <w:rFonts w:asciiTheme="majorHAnsi" w:eastAsiaTheme="majorEastAsia" w:hAnsiTheme="majorHAnsi" w:cs="Mangal"/>
      <w:i/>
      <w:iCs/>
      <w:color w:val="272727" w:themeColor="text1" w:themeTint="D8"/>
      <w:sz w:val="21"/>
      <w:szCs w:val="1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Pr>
      <w:color w:val="0563C1"/>
      <w:u w:val="single"/>
    </w:rPr>
  </w:style>
  <w:style w:type="character" w:customStyle="1" w:styleId="FootnoteCharacters">
    <w:name w:val="Footnote Characters"/>
    <w:uiPriority w:val="99"/>
    <w:semiHidden/>
    <w:unhideWhenUsed/>
    <w:qFormat/>
    <w:rPr>
      <w:vertAlign w:val="superscript"/>
    </w:rPr>
  </w:style>
  <w:style w:type="character" w:styleId="FootnoteReference">
    <w:name w:val="footnote reference"/>
    <w:rPr>
      <w:vertAlign w:val="superscript"/>
    </w:rPr>
  </w:style>
  <w:style w:type="character" w:customStyle="1" w:styleId="FootnoteTextChar">
    <w:name w:val="Footnote Text Char"/>
    <w:link w:val="FootnoteText"/>
    <w:uiPriority w:val="99"/>
    <w:semiHidden/>
    <w:unhideWhenUsed/>
    <w:qFormat/>
    <w:rPr>
      <w:sz w:val="20"/>
      <w:szCs w:val="20"/>
    </w:rPr>
  </w:style>
  <w:style w:type="character" w:customStyle="1" w:styleId="EndnoteCharacters">
    <w:name w:val="Endnote Characters"/>
    <w:uiPriority w:val="99"/>
    <w:semiHidden/>
    <w:unhideWhenUsed/>
    <w:qFormat/>
    <w:rPr>
      <w:vertAlign w:val="superscript"/>
    </w:rPr>
  </w:style>
  <w:style w:type="character" w:styleId="EndnoteReference">
    <w:name w:val="endnote reference"/>
    <w:rPr>
      <w:vertAlign w:val="superscript"/>
    </w:rPr>
  </w:style>
  <w:style w:type="character" w:customStyle="1" w:styleId="EndnoteTextChar">
    <w:name w:val="Endnote Text Char"/>
    <w:link w:val="EndnoteText"/>
    <w:uiPriority w:val="99"/>
    <w:semiHidden/>
    <w:unhideWhenUsed/>
    <w:qFormat/>
    <w:rPr>
      <w:sz w:val="20"/>
      <w:szCs w:val="20"/>
    </w:rPr>
  </w:style>
  <w:style w:type="paragraph" w:customStyle="1" w:styleId="Heading">
    <w:name w:val="Heading"/>
    <w:basedOn w:val="Normal"/>
    <w:next w:val="BodyText"/>
    <w:qFormat/>
    <w:pPr>
      <w:keepNext/>
      <w:spacing w:before="240" w:after="120"/>
    </w:pPr>
    <w:rPr>
      <w:rFonts w:ascii="Liberation Sans" w:eastAsia="Noto Sans CJK SC" w:hAnsi="Liberation Sans" w:cs="FreeSans"/>
      <w:sz w:val="28"/>
      <w:szCs w:val="28"/>
    </w:rPr>
  </w:style>
  <w:style w:type="paragraph" w:styleId="BodyText">
    <w:name w:val="Body Text"/>
    <w:basedOn w:val="Normal"/>
    <w:pPr>
      <w:spacing w:after="140" w:line="276" w:lineRule="auto"/>
    </w:pPr>
  </w:style>
  <w:style w:type="paragraph" w:styleId="List">
    <w:name w:val="List"/>
    <w:basedOn w:val="BodyText"/>
    <w:rPr>
      <w:rFonts w:cs="FreeSans"/>
    </w:rPr>
  </w:style>
  <w:style w:type="paragraph" w:styleId="Caption">
    <w:name w:val="caption"/>
    <w:basedOn w:val="Normal"/>
    <w:qFormat/>
    <w:pPr>
      <w:suppressLineNumbers/>
      <w:spacing w:before="120" w:after="120"/>
    </w:pPr>
    <w:rPr>
      <w:rFonts w:cs="FreeSans"/>
      <w:i/>
      <w:iCs/>
    </w:rPr>
  </w:style>
  <w:style w:type="paragraph" w:customStyle="1" w:styleId="Index">
    <w:name w:val="Index"/>
    <w:basedOn w:val="Normal"/>
    <w:qFormat/>
    <w:pPr>
      <w:suppressLineNumbers/>
    </w:pPr>
    <w:rPr>
      <w:rFonts w:cs="FreeSans"/>
    </w:rPr>
  </w:style>
  <w:style w:type="paragraph" w:styleId="Title">
    <w:name w:val="Title"/>
    <w:basedOn w:val="Heading"/>
    <w:uiPriority w:val="10"/>
    <w:qFormat/>
    <w:rPr>
      <w:sz w:val="56"/>
      <w:szCs w:val="56"/>
    </w:rPr>
  </w:style>
  <w:style w:type="paragraph" w:customStyle="1" w:styleId="StrongEmphasis">
    <w:name w:val="Strong Emphasis"/>
    <w:qFormat/>
    <w:rPr>
      <w:b/>
      <w:bCs/>
    </w:rPr>
  </w:style>
  <w:style w:type="paragraph" w:styleId="ListParagraph">
    <w:name w:val="List Paragraph"/>
    <w:qFormat/>
  </w:style>
  <w:style w:type="paragraph" w:styleId="FootnoteText">
    <w:name w:val="footnote text"/>
    <w:basedOn w:val="Normal"/>
    <w:link w:val="FootnoteTextChar"/>
    <w:uiPriority w:val="99"/>
    <w:semiHidden/>
    <w:unhideWhenUsed/>
    <w:rPr>
      <w:sz w:val="20"/>
      <w:szCs w:val="20"/>
    </w:rPr>
  </w:style>
  <w:style w:type="paragraph" w:styleId="EndnoteText">
    <w:name w:val="endnote text"/>
    <w:basedOn w:val="Normal"/>
    <w:link w:val="EndnoteTextChar"/>
    <w:uiPriority w:val="99"/>
    <w:semiHidden/>
    <w:unhideWhenUsed/>
    <w:rPr>
      <w:sz w:val="20"/>
      <w:szCs w:val="20"/>
    </w:rPr>
  </w:style>
  <w:style w:type="table" w:styleId="GridTable5Dark-Accent6">
    <w:name w:val="Grid Table 5 Dark Accent 6"/>
    <w:basedOn w:val="TableNormal"/>
    <w:uiPriority w:val="50"/>
    <w:rsid w:val="00863BF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7CECE"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9211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9211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9211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9211E" w:themeFill="accent6"/>
      </w:tcPr>
    </w:tblStylePr>
    <w:tblStylePr w:type="band1Vert">
      <w:tblPr/>
      <w:tcPr>
        <w:shd w:val="clear" w:color="auto" w:fill="F09F9D" w:themeFill="accent6" w:themeFillTint="66"/>
      </w:tcPr>
    </w:tblStylePr>
    <w:tblStylePr w:type="band1Horz">
      <w:tblPr/>
      <w:tcPr>
        <w:shd w:val="clear" w:color="auto" w:fill="F09F9D" w:themeFill="accent6" w:themeFillTint="66"/>
      </w:tcPr>
    </w:tblStylePr>
  </w:style>
  <w:style w:type="table" w:styleId="GridTable5Dark-Accent2">
    <w:name w:val="Grid Table 5 Dark Accent 2"/>
    <w:basedOn w:val="TableNormal"/>
    <w:uiPriority w:val="50"/>
    <w:rsid w:val="00863BF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BE5FD"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369A3"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369A3"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369A3"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369A3" w:themeFill="accent2"/>
      </w:tcPr>
    </w:tblStylePr>
    <w:tblStylePr w:type="band1Vert">
      <w:tblPr/>
      <w:tcPr>
        <w:shd w:val="clear" w:color="auto" w:fill="77CCFC" w:themeFill="accent2" w:themeFillTint="66"/>
      </w:tcPr>
    </w:tblStylePr>
    <w:tblStylePr w:type="band1Horz">
      <w:tblPr/>
      <w:tcPr>
        <w:shd w:val="clear" w:color="auto" w:fill="77CCFC" w:themeFill="accent2" w:themeFillTint="66"/>
      </w:tcPr>
    </w:tblStylePr>
  </w:style>
  <w:style w:type="table" w:styleId="GridTable5Dark-Accent4">
    <w:name w:val="Grid Table 5 Dark Accent 4"/>
    <w:basedOn w:val="TableNormal"/>
    <w:uiPriority w:val="50"/>
    <w:rsid w:val="00863BF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4BBFD"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E03A3"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E03A3"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E03A3"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E03A3" w:themeFill="accent4"/>
      </w:tcPr>
    </w:tblStylePr>
    <w:tblStylePr w:type="band1Vert">
      <w:tblPr/>
      <w:tcPr>
        <w:shd w:val="clear" w:color="auto" w:fill="EA77FC" w:themeFill="accent4" w:themeFillTint="66"/>
      </w:tcPr>
    </w:tblStylePr>
    <w:tblStylePr w:type="band1Horz">
      <w:tblPr/>
      <w:tcPr>
        <w:shd w:val="clear" w:color="auto" w:fill="EA77FC" w:themeFill="accent4" w:themeFillTint="66"/>
      </w:tcPr>
    </w:tblStylePr>
  </w:style>
  <w:style w:type="table" w:styleId="GridTable5Dark">
    <w:name w:val="Grid Table 5 Dark"/>
    <w:basedOn w:val="TableNormal"/>
    <w:uiPriority w:val="50"/>
    <w:rsid w:val="008949C9"/>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5">
    <w:name w:val="Grid Table 5 Dark Accent 5"/>
    <w:basedOn w:val="TableNormal"/>
    <w:uiPriority w:val="50"/>
    <w:rsid w:val="008949C9"/>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0C1"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99C00"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99C00"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99C00"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99C00" w:themeFill="accent5"/>
      </w:tcPr>
    </w:tblStylePr>
    <w:tblStylePr w:type="band1Vert">
      <w:tblPr/>
      <w:tcPr>
        <w:shd w:val="clear" w:color="auto" w:fill="FFE283" w:themeFill="accent5" w:themeFillTint="66"/>
      </w:tcPr>
    </w:tblStylePr>
    <w:tblStylePr w:type="band1Horz">
      <w:tblPr/>
      <w:tcPr>
        <w:shd w:val="clear" w:color="auto" w:fill="FFE283" w:themeFill="accent5" w:themeFillTint="66"/>
      </w:tcPr>
    </w:tblStylePr>
  </w:style>
  <w:style w:type="table" w:styleId="GridTable6Colorful-Accent2">
    <w:name w:val="Grid Table 6 Colorful Accent 2"/>
    <w:basedOn w:val="TableNormal"/>
    <w:uiPriority w:val="51"/>
    <w:rsid w:val="008949C9"/>
    <w:rPr>
      <w:color w:val="024E7A" w:themeColor="accent2" w:themeShade="BF"/>
    </w:rPr>
    <w:tblPr>
      <w:tblStyleRowBandSize w:val="1"/>
      <w:tblStyleColBandSize w:val="1"/>
      <w:tblBorders>
        <w:top w:val="single" w:sz="4" w:space="0" w:color="34B2FB" w:themeColor="accent2" w:themeTint="99"/>
        <w:left w:val="single" w:sz="4" w:space="0" w:color="34B2FB" w:themeColor="accent2" w:themeTint="99"/>
        <w:bottom w:val="single" w:sz="4" w:space="0" w:color="34B2FB" w:themeColor="accent2" w:themeTint="99"/>
        <w:right w:val="single" w:sz="4" w:space="0" w:color="34B2FB" w:themeColor="accent2" w:themeTint="99"/>
        <w:insideH w:val="single" w:sz="4" w:space="0" w:color="34B2FB" w:themeColor="accent2" w:themeTint="99"/>
        <w:insideV w:val="single" w:sz="4" w:space="0" w:color="34B2FB" w:themeColor="accent2" w:themeTint="99"/>
      </w:tblBorders>
    </w:tblPr>
    <w:tblStylePr w:type="firstRow">
      <w:rPr>
        <w:b/>
        <w:bCs/>
      </w:rPr>
      <w:tblPr/>
      <w:tcPr>
        <w:tcBorders>
          <w:bottom w:val="single" w:sz="12" w:space="0" w:color="34B2FB" w:themeColor="accent2" w:themeTint="99"/>
        </w:tcBorders>
      </w:tcPr>
    </w:tblStylePr>
    <w:tblStylePr w:type="lastRow">
      <w:rPr>
        <w:b/>
        <w:bCs/>
      </w:rPr>
      <w:tblPr/>
      <w:tcPr>
        <w:tcBorders>
          <w:top w:val="double" w:sz="4" w:space="0" w:color="34B2FB" w:themeColor="accent2" w:themeTint="99"/>
        </w:tcBorders>
      </w:tcPr>
    </w:tblStylePr>
    <w:tblStylePr w:type="firstCol">
      <w:rPr>
        <w:b/>
        <w:bCs/>
      </w:rPr>
    </w:tblStylePr>
    <w:tblStylePr w:type="lastCol">
      <w:rPr>
        <w:b/>
        <w:bCs/>
      </w:rPr>
    </w:tblStylePr>
    <w:tblStylePr w:type="band1Vert">
      <w:tblPr/>
      <w:tcPr>
        <w:shd w:val="clear" w:color="auto" w:fill="BBE5FD" w:themeFill="accent2" w:themeFillTint="33"/>
      </w:tcPr>
    </w:tblStylePr>
    <w:tblStylePr w:type="band1Horz">
      <w:tblPr/>
      <w:tcPr>
        <w:shd w:val="clear" w:color="auto" w:fill="BBE5FD" w:themeFill="accent2" w:themeFillTint="33"/>
      </w:tcPr>
    </w:tblStylePr>
  </w:style>
  <w:style w:type="table" w:styleId="GridTable4-Accent6">
    <w:name w:val="Grid Table 4 Accent 6"/>
    <w:basedOn w:val="TableNormal"/>
    <w:uiPriority w:val="49"/>
    <w:rsid w:val="00D26C7C"/>
    <w:tblPr>
      <w:tblStyleRowBandSize w:val="1"/>
      <w:tblStyleColBandSize w:val="1"/>
      <w:tblBorders>
        <w:top w:val="single" w:sz="4" w:space="0" w:color="E96E6D" w:themeColor="accent6" w:themeTint="99"/>
        <w:left w:val="single" w:sz="4" w:space="0" w:color="E96E6D" w:themeColor="accent6" w:themeTint="99"/>
        <w:bottom w:val="single" w:sz="4" w:space="0" w:color="E96E6D" w:themeColor="accent6" w:themeTint="99"/>
        <w:right w:val="single" w:sz="4" w:space="0" w:color="E96E6D" w:themeColor="accent6" w:themeTint="99"/>
        <w:insideH w:val="single" w:sz="4" w:space="0" w:color="E96E6D" w:themeColor="accent6" w:themeTint="99"/>
        <w:insideV w:val="single" w:sz="4" w:space="0" w:color="E96E6D" w:themeColor="accent6" w:themeTint="99"/>
      </w:tblBorders>
    </w:tblPr>
    <w:tblStylePr w:type="firstRow">
      <w:rPr>
        <w:b/>
        <w:bCs/>
        <w:color w:val="FFFFFF" w:themeColor="background1"/>
      </w:rPr>
      <w:tblPr/>
      <w:tcPr>
        <w:tcBorders>
          <w:top w:val="single" w:sz="4" w:space="0" w:color="C9211E" w:themeColor="accent6"/>
          <w:left w:val="single" w:sz="4" w:space="0" w:color="C9211E" w:themeColor="accent6"/>
          <w:bottom w:val="single" w:sz="4" w:space="0" w:color="C9211E" w:themeColor="accent6"/>
          <w:right w:val="single" w:sz="4" w:space="0" w:color="C9211E" w:themeColor="accent6"/>
          <w:insideH w:val="nil"/>
          <w:insideV w:val="nil"/>
        </w:tcBorders>
        <w:shd w:val="clear" w:color="auto" w:fill="C9211E" w:themeFill="accent6"/>
      </w:tcPr>
    </w:tblStylePr>
    <w:tblStylePr w:type="lastRow">
      <w:rPr>
        <w:b/>
        <w:bCs/>
      </w:rPr>
      <w:tblPr/>
      <w:tcPr>
        <w:tcBorders>
          <w:top w:val="double" w:sz="4" w:space="0" w:color="C9211E" w:themeColor="accent6"/>
        </w:tcBorders>
      </w:tcPr>
    </w:tblStylePr>
    <w:tblStylePr w:type="firstCol">
      <w:rPr>
        <w:b/>
        <w:bCs/>
      </w:rPr>
    </w:tblStylePr>
    <w:tblStylePr w:type="lastCol">
      <w:rPr>
        <w:b/>
        <w:bCs/>
      </w:rPr>
    </w:tblStylePr>
    <w:tblStylePr w:type="band1Vert">
      <w:tblPr/>
      <w:tcPr>
        <w:shd w:val="clear" w:color="auto" w:fill="F7CECE" w:themeFill="accent6" w:themeFillTint="33"/>
      </w:tcPr>
    </w:tblStylePr>
    <w:tblStylePr w:type="band1Horz">
      <w:tblPr/>
      <w:tcPr>
        <w:shd w:val="clear" w:color="auto" w:fill="F7CECE" w:themeFill="accent6" w:themeFillTint="33"/>
      </w:tcPr>
    </w:tblStylePr>
  </w:style>
  <w:style w:type="table" w:styleId="GridTable5Dark-Accent1">
    <w:name w:val="Grid Table 5 Dark Accent 1"/>
    <w:basedOn w:val="TableNormal"/>
    <w:uiPriority w:val="50"/>
    <w:rsid w:val="00D26C7C"/>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3FDB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8A303"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8A303"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8A303"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8A303" w:themeFill="accent1"/>
      </w:tcPr>
    </w:tblStylePr>
    <w:tblStylePr w:type="band1Vert">
      <w:tblPr/>
      <w:tcPr>
        <w:shd w:val="clear" w:color="auto" w:fill="89FC77" w:themeFill="accent1" w:themeFillTint="66"/>
      </w:tcPr>
    </w:tblStylePr>
    <w:tblStylePr w:type="band1Horz">
      <w:tblPr/>
      <w:tcPr>
        <w:shd w:val="clear" w:color="auto" w:fill="89FC77" w:themeFill="accent1" w:themeFillTint="66"/>
      </w:tcPr>
    </w:tblStylePr>
  </w:style>
  <w:style w:type="table" w:styleId="TableGrid">
    <w:name w:val="Table Grid"/>
    <w:basedOn w:val="TableNormal"/>
    <w:uiPriority w:val="39"/>
    <w:rsid w:val="00D26C7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7Char">
    <w:name w:val="Heading 7 Char"/>
    <w:basedOn w:val="DefaultParagraphFont"/>
    <w:link w:val="Heading7"/>
    <w:uiPriority w:val="9"/>
    <w:semiHidden/>
    <w:rsid w:val="00D26C7C"/>
    <w:rPr>
      <w:rFonts w:asciiTheme="majorHAnsi" w:eastAsiaTheme="majorEastAsia" w:hAnsiTheme="majorHAnsi" w:cs="Mangal"/>
      <w:i/>
      <w:iCs/>
      <w:color w:val="0B5101" w:themeColor="accent1" w:themeShade="7F"/>
      <w:szCs w:val="21"/>
    </w:rPr>
  </w:style>
  <w:style w:type="character" w:customStyle="1" w:styleId="Heading8Char">
    <w:name w:val="Heading 8 Char"/>
    <w:basedOn w:val="DefaultParagraphFont"/>
    <w:link w:val="Heading8"/>
    <w:uiPriority w:val="9"/>
    <w:semiHidden/>
    <w:rsid w:val="00D26C7C"/>
    <w:rPr>
      <w:rFonts w:asciiTheme="majorHAnsi" w:eastAsiaTheme="majorEastAsia" w:hAnsiTheme="majorHAnsi" w:cs="Mangal"/>
      <w:color w:val="272727" w:themeColor="text1" w:themeTint="D8"/>
      <w:sz w:val="21"/>
      <w:szCs w:val="19"/>
    </w:rPr>
  </w:style>
  <w:style w:type="character" w:customStyle="1" w:styleId="Heading9Char">
    <w:name w:val="Heading 9 Char"/>
    <w:basedOn w:val="DefaultParagraphFont"/>
    <w:link w:val="Heading9"/>
    <w:uiPriority w:val="9"/>
    <w:semiHidden/>
    <w:rsid w:val="00D26C7C"/>
    <w:rPr>
      <w:rFonts w:asciiTheme="majorHAnsi" w:eastAsiaTheme="majorEastAsia" w:hAnsiTheme="majorHAnsi" w:cs="Mangal"/>
      <w:i/>
      <w:iCs/>
      <w:color w:val="272727" w:themeColor="text1" w:themeTint="D8"/>
      <w:sz w:val="21"/>
      <w:szCs w:val="19"/>
    </w:rPr>
  </w:style>
  <w:style w:type="paragraph" w:styleId="TOCHeading">
    <w:name w:val="TOC Heading"/>
    <w:basedOn w:val="Heading1"/>
    <w:next w:val="Normal"/>
    <w:uiPriority w:val="39"/>
    <w:unhideWhenUsed/>
    <w:qFormat/>
    <w:rsid w:val="00D26C7C"/>
    <w:pPr>
      <w:keepLines/>
      <w:numPr>
        <w:numId w:val="0"/>
      </w:numPr>
      <w:suppressAutoHyphens w:val="0"/>
      <w:spacing w:after="0" w:line="259" w:lineRule="auto"/>
      <w:outlineLvl w:val="9"/>
    </w:pPr>
    <w:rPr>
      <w:rFonts w:asciiTheme="majorHAnsi" w:eastAsiaTheme="majorEastAsia" w:hAnsiTheme="majorHAnsi" w:cstheme="majorBidi"/>
      <w:b w:val="0"/>
      <w:bCs w:val="0"/>
      <w:color w:val="117A02" w:themeColor="accent1" w:themeShade="BF"/>
      <w:sz w:val="32"/>
      <w:szCs w:val="32"/>
      <w:lang w:eastAsia="en-US" w:bidi="ar-SA"/>
    </w:rPr>
  </w:style>
  <w:style w:type="paragraph" w:styleId="TOC1">
    <w:name w:val="toc 1"/>
    <w:basedOn w:val="Normal"/>
    <w:next w:val="Normal"/>
    <w:autoRedefine/>
    <w:uiPriority w:val="39"/>
    <w:unhideWhenUsed/>
    <w:rsid w:val="00D26C7C"/>
    <w:pPr>
      <w:spacing w:after="100"/>
    </w:pPr>
    <w:rPr>
      <w:rFonts w:cs="Mangal"/>
      <w:szCs w:val="21"/>
    </w:rPr>
  </w:style>
  <w:style w:type="paragraph" w:styleId="TOC2">
    <w:name w:val="toc 2"/>
    <w:basedOn w:val="Normal"/>
    <w:next w:val="Normal"/>
    <w:autoRedefine/>
    <w:uiPriority w:val="39"/>
    <w:unhideWhenUsed/>
    <w:rsid w:val="00D26C7C"/>
    <w:pPr>
      <w:spacing w:after="100"/>
      <w:ind w:left="240"/>
    </w:pPr>
    <w:rPr>
      <w:rFonts w:cs="Mangal"/>
      <w:szCs w:val="21"/>
    </w:rPr>
  </w:style>
  <w:style w:type="paragraph" w:styleId="Header">
    <w:name w:val="header"/>
    <w:basedOn w:val="Normal"/>
    <w:link w:val="HeaderChar"/>
    <w:uiPriority w:val="99"/>
    <w:unhideWhenUsed/>
    <w:rsid w:val="00D26C7C"/>
    <w:pPr>
      <w:tabs>
        <w:tab w:val="center" w:pos="4680"/>
        <w:tab w:val="right" w:pos="9360"/>
      </w:tabs>
    </w:pPr>
    <w:rPr>
      <w:rFonts w:cs="Mangal"/>
      <w:szCs w:val="21"/>
    </w:rPr>
  </w:style>
  <w:style w:type="character" w:customStyle="1" w:styleId="HeaderChar">
    <w:name w:val="Header Char"/>
    <w:basedOn w:val="DefaultParagraphFont"/>
    <w:link w:val="Header"/>
    <w:uiPriority w:val="99"/>
    <w:rsid w:val="00D26C7C"/>
    <w:rPr>
      <w:rFonts w:cs="Mangal"/>
      <w:szCs w:val="21"/>
    </w:rPr>
  </w:style>
  <w:style w:type="paragraph" w:styleId="Footer">
    <w:name w:val="footer"/>
    <w:basedOn w:val="Normal"/>
    <w:link w:val="FooterChar"/>
    <w:uiPriority w:val="99"/>
    <w:unhideWhenUsed/>
    <w:rsid w:val="00D26C7C"/>
    <w:pPr>
      <w:tabs>
        <w:tab w:val="center" w:pos="4680"/>
        <w:tab w:val="right" w:pos="9360"/>
      </w:tabs>
    </w:pPr>
    <w:rPr>
      <w:rFonts w:cs="Mangal"/>
      <w:szCs w:val="21"/>
    </w:rPr>
  </w:style>
  <w:style w:type="character" w:customStyle="1" w:styleId="FooterChar">
    <w:name w:val="Footer Char"/>
    <w:basedOn w:val="DefaultParagraphFont"/>
    <w:link w:val="Footer"/>
    <w:uiPriority w:val="99"/>
    <w:rsid w:val="00D26C7C"/>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6.png" /><Relationship Id="rId17"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image" Target="media/image10.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5.png" /><Relationship Id="rId5" Type="http://schemas.openxmlformats.org/officeDocument/2006/relationships/webSettings" Target="webSettings.xml" /><Relationship Id="rId15" Type="http://schemas.openxmlformats.org/officeDocument/2006/relationships/image" Target="media/image9.png" /><Relationship Id="rId10" Type="http://schemas.openxmlformats.org/officeDocument/2006/relationships/image" Target="media/image4.png"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3.png" /><Relationship Id="rId14" Type="http://schemas.openxmlformats.org/officeDocument/2006/relationships/image" Target="media/image8.png" /></Relationships>
</file>

<file path=word/_rels/numbering.xml.rels><?xml version="1.0" encoding="UTF-8" standalone="yes"?>
<Relationships xmlns="http://schemas.openxmlformats.org/package/2006/relationships"><Relationship Id="rId1" Type="http://schemas.openxmlformats.org/officeDocument/2006/relationships/image" Target="media/image1.gif" /></Relationships>
</file>

<file path=word/theme/theme1.xml><?xml version="1.0" encoding="utf-8"?>
<a:theme xmlns:a="http://schemas.openxmlformats.org/drawingml/2006/main"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a:ea typeface="DejaVu Sans"/>
        <a:cs typeface="DejaVu Sans"/>
      </a:majorFont>
      <a:minorFont>
        <a:latin typeface="Arial"/>
        <a:ea typeface="DejaVu Sans"/>
        <a:cs typeface="DejaVu Sans"/>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AA7C8F-4C9B-4F84-876A-0918ED53C15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6888</Words>
  <Characters>39265</Characters>
  <Application>Microsoft Office Word</Application>
  <DocSecurity>2</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description/>
  <cp:lastModifiedBy/>
  <cp:revision>1</cp:revision>
  <dcterms:created xsi:type="dcterms:W3CDTF">2026-08-12T17:50:00Z</dcterms:created>
  <dcterms:modified xsi:type="dcterms:W3CDTF">2026-08-12T17:50:00Z</dcterms:modified>
  <dc:language/>
</cp:coreProperties>
</file>