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b/>
          <w:bCs/>
          <w:color w:val="1F1F1F"/>
          <w:sz w:val="24"/>
          <w:szCs w:val="24"/>
          <w:bdr w:val="none" w:sz="0" w:space="0" w:color="auto" w:frame="1"/>
          <w:lang w:eastAsia="en-GB"/>
        </w:rPr>
        <w:t>Student Name:</w:t>
      </w:r>
      <w:r w:rsidRPr="00DD6372">
        <w:rPr>
          <w:rFonts w:ascii="Arial" w:eastAsia="Times New Roman" w:hAnsi="Arial" w:cs="Arial"/>
          <w:color w:val="1F1F1F"/>
          <w:sz w:val="24"/>
          <w:szCs w:val="24"/>
          <w:lang w:eastAsia="en-GB"/>
        </w:rPr>
        <w:t xml:space="preserve"> </w:t>
      </w:r>
      <w:proofErr w:type="spellStart"/>
      <w:r w:rsidRPr="00DD6372">
        <w:rPr>
          <w:rFonts w:ascii="Arial" w:eastAsia="Times New Roman" w:hAnsi="Arial" w:cs="Arial"/>
          <w:color w:val="1F1F1F"/>
          <w:sz w:val="24"/>
          <w:szCs w:val="24"/>
          <w:lang w:eastAsia="en-GB"/>
        </w:rPr>
        <w:t>Eman</w:t>
      </w:r>
      <w:proofErr w:type="spellEnd"/>
      <w:r w:rsidRPr="00DD6372">
        <w:rPr>
          <w:rFonts w:ascii="Arial" w:eastAsia="Times New Roman" w:hAnsi="Arial" w:cs="Arial"/>
          <w:color w:val="1F1F1F"/>
          <w:sz w:val="24"/>
          <w:szCs w:val="24"/>
          <w:lang w:eastAsia="en-GB"/>
        </w:rPr>
        <w:t xml:space="preserve"> Ali</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b/>
          <w:bCs/>
          <w:color w:val="1F1F1F"/>
          <w:sz w:val="24"/>
          <w:szCs w:val="24"/>
          <w:bdr w:val="none" w:sz="0" w:space="0" w:color="auto" w:frame="1"/>
          <w:lang w:eastAsia="en-GB"/>
        </w:rPr>
        <w:t>Student ID Number:</w:t>
      </w:r>
      <w:r w:rsidRPr="00DD6372">
        <w:rPr>
          <w:rFonts w:ascii="Arial" w:eastAsia="Times New Roman" w:hAnsi="Arial" w:cs="Arial"/>
          <w:color w:val="1F1F1F"/>
          <w:sz w:val="24"/>
          <w:szCs w:val="24"/>
          <w:lang w:eastAsia="en-GB"/>
        </w:rPr>
        <w:t xml:space="preserve"> 2507026</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b/>
          <w:bCs/>
          <w:color w:val="1F1F1F"/>
          <w:sz w:val="24"/>
          <w:szCs w:val="24"/>
          <w:bdr w:val="none" w:sz="0" w:space="0" w:color="auto" w:frame="1"/>
          <w:lang w:eastAsia="en-GB"/>
        </w:rPr>
        <w:t>Programme:</w:t>
      </w:r>
      <w:r w:rsidRPr="00DD6372">
        <w:rPr>
          <w:rFonts w:ascii="Arial" w:eastAsia="Times New Roman" w:hAnsi="Arial" w:cs="Arial"/>
          <w:color w:val="1F1F1F"/>
          <w:sz w:val="24"/>
          <w:szCs w:val="24"/>
          <w:lang w:eastAsia="en-GB"/>
        </w:rPr>
        <w:t xml:space="preserve"> Certificate of Higher Education in Employability Skills</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b/>
          <w:bCs/>
          <w:color w:val="1F1F1F"/>
          <w:sz w:val="24"/>
          <w:szCs w:val="24"/>
          <w:bdr w:val="none" w:sz="0" w:space="0" w:color="auto" w:frame="1"/>
          <w:lang w:eastAsia="en-GB"/>
        </w:rPr>
        <w:t>Module Name:</w:t>
      </w:r>
      <w:r w:rsidRPr="00DD6372">
        <w:rPr>
          <w:rFonts w:ascii="Arial" w:eastAsia="Times New Roman" w:hAnsi="Arial" w:cs="Arial"/>
          <w:color w:val="1F1F1F"/>
          <w:sz w:val="24"/>
          <w:szCs w:val="24"/>
          <w:lang w:eastAsia="en-GB"/>
        </w:rPr>
        <w:t xml:space="preserve"> Professional Career Development</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b/>
          <w:bCs/>
          <w:color w:val="1F1F1F"/>
          <w:sz w:val="24"/>
          <w:szCs w:val="24"/>
          <w:bdr w:val="none" w:sz="0" w:space="0" w:color="auto" w:frame="1"/>
          <w:lang w:eastAsia="en-GB"/>
        </w:rPr>
        <w:t>Module Code:</w:t>
      </w:r>
      <w:r w:rsidRPr="00DD6372">
        <w:rPr>
          <w:rFonts w:ascii="Arial" w:eastAsia="Times New Roman" w:hAnsi="Arial" w:cs="Arial"/>
          <w:color w:val="1F1F1F"/>
          <w:sz w:val="24"/>
          <w:szCs w:val="24"/>
          <w:lang w:eastAsia="en-GB"/>
        </w:rPr>
        <w:t xml:space="preserve"> BMSW4012</w:t>
      </w:r>
    </w:p>
    <w:p w:rsid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b/>
          <w:bCs/>
          <w:color w:val="1F1F1F"/>
          <w:sz w:val="24"/>
          <w:szCs w:val="24"/>
          <w:bdr w:val="none" w:sz="0" w:space="0" w:color="auto" w:frame="1"/>
          <w:lang w:eastAsia="en-GB"/>
        </w:rPr>
        <w:t>Lecturer:</w:t>
      </w:r>
      <w:r w:rsidRPr="00DD6372">
        <w:rPr>
          <w:rFonts w:ascii="Arial" w:eastAsia="Times New Roman" w:hAnsi="Arial" w:cs="Arial"/>
          <w:color w:val="1F1F1F"/>
          <w:sz w:val="24"/>
          <w:szCs w:val="24"/>
          <w:lang w:eastAsia="en-GB"/>
        </w:rPr>
        <w:t xml:space="preserve"> Scott James</w:t>
      </w:r>
    </w:p>
    <w:p w:rsidR="00E12E5A" w:rsidRPr="00DD6372" w:rsidRDefault="00E12E5A" w:rsidP="00854C36">
      <w:pPr>
        <w:spacing w:before="100" w:beforeAutospacing="1" w:after="0" w:line="360" w:lineRule="auto"/>
        <w:jc w:val="both"/>
        <w:rPr>
          <w:rFonts w:ascii="Arial" w:eastAsia="Times New Roman" w:hAnsi="Arial" w:cs="Arial"/>
          <w:color w:val="1F1F1F"/>
          <w:sz w:val="24"/>
          <w:szCs w:val="24"/>
          <w:lang w:eastAsia="en-GB"/>
        </w:rPr>
      </w:pPr>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t>AI Acknowledgement Statement</w:t>
      </w:r>
      <w:r w:rsidR="00E12E5A">
        <w:rPr>
          <w:rFonts w:ascii="Arial" w:eastAsia="Times New Roman" w:hAnsi="Arial" w:cs="Arial"/>
          <w:b/>
          <w:bCs/>
          <w:color w:val="1F1F1F"/>
          <w:sz w:val="24"/>
          <w:szCs w:val="24"/>
          <w:lang w:eastAsia="en-GB"/>
        </w:rPr>
        <w:t>:</w:t>
      </w:r>
    </w:p>
    <w:p w:rsid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I confirm that I have not presented any AI-generated text as my own work. I confirm I have copies of my drafts, notes, and other resources I used before and after the use of AI tools, which I may be asked to provide in evidence.</w:t>
      </w:r>
    </w:p>
    <w:p w:rsidR="00EB1F1E" w:rsidRPr="00DD6372" w:rsidRDefault="00EB1F1E" w:rsidP="00854C36">
      <w:pPr>
        <w:spacing w:before="100" w:beforeAutospacing="1" w:after="0" w:line="360" w:lineRule="auto"/>
        <w:jc w:val="both"/>
        <w:rPr>
          <w:rFonts w:ascii="Arial" w:eastAsia="Times New Roman" w:hAnsi="Arial" w:cs="Arial"/>
          <w:color w:val="1F1F1F"/>
          <w:sz w:val="24"/>
          <w:szCs w:val="24"/>
          <w:lang w:eastAsia="en-GB"/>
        </w:rPr>
      </w:pPr>
    </w:p>
    <w:p w:rsidR="00DD6372" w:rsidRPr="00DD6372" w:rsidRDefault="00DD6372" w:rsidP="00854C36">
      <w:pPr>
        <w:pStyle w:val="Title"/>
        <w:spacing w:line="360" w:lineRule="auto"/>
        <w:jc w:val="both"/>
        <w:rPr>
          <w:rFonts w:eastAsia="Times New Roman"/>
          <w:lang w:eastAsia="en-GB"/>
        </w:rPr>
      </w:pPr>
      <w:r w:rsidRPr="00DD6372">
        <w:rPr>
          <w:rFonts w:eastAsia="Times New Roman"/>
          <w:lang w:eastAsia="en-GB"/>
        </w:rPr>
        <w:t>Reflection on Career Journey to Date and Future Professional Development</w:t>
      </w:r>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t>Introduction</w:t>
      </w:r>
    </w:p>
    <w:p w:rsidR="009951DB" w:rsidRDefault="009951DB" w:rsidP="00854C36">
      <w:pPr>
        <w:spacing w:before="100" w:beforeAutospacing="1" w:after="0" w:line="360" w:lineRule="auto"/>
        <w:jc w:val="both"/>
        <w:outlineLvl w:val="2"/>
        <w:rPr>
          <w:rFonts w:ascii="Arial" w:eastAsia="Times New Roman" w:hAnsi="Arial" w:cs="Arial"/>
          <w:color w:val="1F1F1F"/>
          <w:sz w:val="24"/>
          <w:szCs w:val="24"/>
          <w:lang w:eastAsia="en-GB"/>
        </w:rPr>
      </w:pPr>
      <w:r w:rsidRPr="009951DB">
        <w:rPr>
          <w:rFonts w:ascii="Arial" w:eastAsia="Times New Roman" w:hAnsi="Arial" w:cs="Arial"/>
          <w:color w:val="1F1F1F"/>
          <w:sz w:val="24"/>
          <w:szCs w:val="24"/>
          <w:lang w:eastAsia="en-GB"/>
        </w:rPr>
        <w:t xml:space="preserve">Stepping into higher education fundamentally alters a student's academic approach and eventual career trajectory. This essay uses Gibbs’ (1988) Reflective Cycle to critically evaluate my professional journey, current employability, and long-term development goals. Moving away from the rigid structure of secondary school into an autonomous university environment heavily challenges a student's self-management frameworks. It is a sharp adjustment. By </w:t>
      </w:r>
      <w:r w:rsidR="00EB1F1E" w:rsidRPr="009951DB">
        <w:rPr>
          <w:rFonts w:ascii="Arial" w:eastAsia="Times New Roman" w:hAnsi="Arial" w:cs="Arial"/>
          <w:color w:val="1F1F1F"/>
          <w:sz w:val="24"/>
          <w:szCs w:val="24"/>
          <w:lang w:eastAsia="en-GB"/>
        </w:rPr>
        <w:t>analysing</w:t>
      </w:r>
      <w:r w:rsidRPr="009951DB">
        <w:rPr>
          <w:rFonts w:ascii="Arial" w:eastAsia="Times New Roman" w:hAnsi="Arial" w:cs="Arial"/>
          <w:color w:val="1F1F1F"/>
          <w:sz w:val="24"/>
          <w:szCs w:val="24"/>
          <w:lang w:eastAsia="en-GB"/>
        </w:rPr>
        <w:t xml:space="preserve"> this evolving professional identity, this paper directly connects academic theory with real-world career readiness. To ensure analytical depth, I evaluate my experiences against three core module </w:t>
      </w:r>
      <w:r w:rsidRPr="009951DB">
        <w:rPr>
          <w:rFonts w:ascii="Arial" w:eastAsia="Times New Roman" w:hAnsi="Arial" w:cs="Arial"/>
          <w:color w:val="1F1F1F"/>
          <w:sz w:val="24"/>
          <w:szCs w:val="24"/>
          <w:lang w:eastAsia="en-GB"/>
        </w:rPr>
        <w:lastRenderedPageBreak/>
        <w:t xml:space="preserve">concepts: </w:t>
      </w:r>
      <w:r w:rsidR="00EB1F1E" w:rsidRPr="009951DB">
        <w:rPr>
          <w:rFonts w:ascii="Arial" w:eastAsia="Times New Roman" w:hAnsi="Arial" w:cs="Arial"/>
          <w:color w:val="1F1F1F"/>
          <w:sz w:val="24"/>
          <w:szCs w:val="24"/>
          <w:lang w:eastAsia="en-GB"/>
        </w:rPr>
        <w:t>A</w:t>
      </w:r>
      <w:r w:rsidRPr="009951DB">
        <w:rPr>
          <w:rFonts w:ascii="Arial" w:eastAsia="Times New Roman" w:hAnsi="Arial" w:cs="Arial"/>
          <w:color w:val="1F1F1F"/>
          <w:sz w:val="24"/>
          <w:szCs w:val="24"/>
          <w:lang w:eastAsia="en-GB"/>
        </w:rPr>
        <w:t xml:space="preserve"> Personal SWOT Analysis, Law and Watts’ (1977) DOTS Model, and Knight and Yorke’s (2003) USEM Employability Model. Ultimately, this reflection builds toward a concrete SMART action plan designed to guide my strategic entry into a highly competitive graduate job market.</w:t>
      </w:r>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t>Description</w:t>
      </w:r>
    </w:p>
    <w:p w:rsidR="005D5EB2" w:rsidRP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My professional journey started with a simple focus on hitting academic benchmarks, working under the assumption that good grades alone would secure a career. It was a naive perspective. Before entering the University of Wales Trinity Saint David, my grasp of the corporate world was purely theoretical, lacking any real-world application.</w:t>
      </w:r>
    </w:p>
    <w:p w:rsidR="005D5EB2" w:rsidRP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Starting the Professional Career Development module forced a swift reality check regarding recruitment, talent acquisition, and graduate employability metrics. The module demanded immediate, active engagement: evaluating vocational skills, building a professional network, and using career planning tools. Initially, I stumbled. Aligning my academic history with the precise competencies employers actually want—like digital proficiency, industry networking, and commercial awareness—proved difficult. I was stuck in a transition phase where past experiences felt entirely disconnected from future goals, exposing a total lack of prior engagement with structured career planning.</w:t>
      </w:r>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t>Feelings</w:t>
      </w:r>
    </w:p>
    <w:p w:rsidR="005D5EB2" w:rsidRP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At the start of this transition, my emotional state shifted rapidly from baseline optimism to deep uncertainty and anxiety. Initially, I felt confident that my general capabilities would make entering professional spaces effortless. That changed quickly. As the module introduced real-world employment data, intense interview requirements, and rigid selection metrics, my confidence turned into a sense of vulnerability about my actual marketability.</w:t>
      </w:r>
    </w:p>
    <w:p w:rsidR="005D5EB2" w:rsidRP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 xml:space="preserve">The realization that thousands of graduates compete for the same limited corporate positions felt overwhelming. It made me question whether my existing skill set was distinctive enough to even attract a recruiter's attention. This anxiety peaked when it came to networking and professional exposure; the prospect of reaching out to </w:t>
      </w:r>
      <w:r w:rsidRPr="005D5EB2">
        <w:rPr>
          <w:rFonts w:ascii="Arial" w:eastAsia="Times New Roman" w:hAnsi="Arial" w:cs="Arial"/>
          <w:color w:val="1F1F1F"/>
          <w:sz w:val="24"/>
          <w:szCs w:val="24"/>
          <w:lang w:eastAsia="en-GB"/>
        </w:rPr>
        <w:lastRenderedPageBreak/>
        <w:t>industry mentors or putting myself out there on digital corporate platforms left me feeling self-conscious and isolated. Eventually, navigating these anxieties through classroom discussions allowed me to reframe the stress. I began to view it as a constructive catalyst for self-improvement, turning that initial vulnerability into a proactive drive to close my competency gaps.</w:t>
      </w:r>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t>Evaluation</w:t>
      </w:r>
    </w:p>
    <w:p w:rsidR="005D5EB2" w:rsidRP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 xml:space="preserve">Evaluating my career preparation reveals a mix of successful strategic choices and sharp developmental obstacles. On a positive note, choosing to pursue higher education and actively diving into this module has completely changed my view on what true professional readiness requires. I have learned to evaluate recruitment pipelines from an objective standpoint, finally understanding the actual mechanics behind CV screening and </w:t>
      </w:r>
      <w:r w:rsidR="00EB1F1E" w:rsidRPr="005D5EB2">
        <w:rPr>
          <w:rFonts w:ascii="Arial" w:eastAsia="Times New Roman" w:hAnsi="Arial" w:cs="Arial"/>
          <w:color w:val="1F1F1F"/>
          <w:sz w:val="24"/>
          <w:szCs w:val="24"/>
          <w:lang w:eastAsia="en-GB"/>
        </w:rPr>
        <w:t>behavioural</w:t>
      </w:r>
      <w:r w:rsidRPr="005D5EB2">
        <w:rPr>
          <w:rFonts w:ascii="Arial" w:eastAsia="Times New Roman" w:hAnsi="Arial" w:cs="Arial"/>
          <w:color w:val="1F1F1F"/>
          <w:sz w:val="24"/>
          <w:szCs w:val="24"/>
          <w:lang w:eastAsia="en-GB"/>
        </w:rPr>
        <w:t xml:space="preserve"> interviews.</w:t>
      </w:r>
    </w:p>
    <w:p w:rsidR="005D5EB2" w:rsidRP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However, the experience also exposed major deficiencies. My primary challenge was past passivity; I spent years accumulating academic knowledge while completely neglecting practical networking, internship acquisition, and personal branding. Furthermore, balancing the intense demands of academic writing with continuous career self-assessment proved logistically difficult. This imbalance highlighted a core issue: while my internal motivation was strong, my structural approach to managing long-term career benchmarks completely lacked tactical execution and realistic planning.</w:t>
      </w:r>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t>Analysis</w:t>
      </w:r>
    </w:p>
    <w:p w:rsidR="00BB7637" w:rsidRPr="00BB7637" w:rsidRDefault="00BB7637" w:rsidP="00854C36">
      <w:pPr>
        <w:spacing w:before="100" w:beforeAutospacing="1" w:after="0" w:line="360" w:lineRule="auto"/>
        <w:jc w:val="both"/>
        <w:outlineLvl w:val="2"/>
        <w:rPr>
          <w:rFonts w:ascii="Arial" w:eastAsia="Times New Roman" w:hAnsi="Arial" w:cs="Arial"/>
          <w:color w:val="1F1F1F"/>
          <w:sz w:val="24"/>
          <w:szCs w:val="24"/>
          <w:lang w:eastAsia="en-GB"/>
        </w:rPr>
      </w:pPr>
      <w:r w:rsidRPr="00BB7637">
        <w:rPr>
          <w:rFonts w:ascii="Arial" w:eastAsia="Times New Roman" w:hAnsi="Arial" w:cs="Arial"/>
          <w:color w:val="1F1F1F"/>
          <w:sz w:val="24"/>
          <w:szCs w:val="24"/>
          <w:lang w:eastAsia="en-GB"/>
        </w:rPr>
        <w:t xml:space="preserve">To understand these experiences comprehensively, they must be </w:t>
      </w:r>
      <w:proofErr w:type="spellStart"/>
      <w:r w:rsidRPr="00BB7637">
        <w:rPr>
          <w:rFonts w:ascii="Arial" w:eastAsia="Times New Roman" w:hAnsi="Arial" w:cs="Arial"/>
          <w:color w:val="1F1F1F"/>
          <w:sz w:val="24"/>
          <w:szCs w:val="24"/>
          <w:lang w:eastAsia="en-GB"/>
        </w:rPr>
        <w:t>analyzed</w:t>
      </w:r>
      <w:proofErr w:type="spellEnd"/>
      <w:r w:rsidRPr="00BB7637">
        <w:rPr>
          <w:rFonts w:ascii="Arial" w:eastAsia="Times New Roman" w:hAnsi="Arial" w:cs="Arial"/>
          <w:color w:val="1F1F1F"/>
          <w:sz w:val="24"/>
          <w:szCs w:val="24"/>
          <w:lang w:eastAsia="en-GB"/>
        </w:rPr>
        <w:t xml:space="preserve"> through established career development frameworks, moving beyond mere narrative description toward critical evaluation.</w:t>
      </w:r>
    </w:p>
    <w:p w:rsidR="00BB7637" w:rsidRPr="00BB7637" w:rsidRDefault="00BB7637"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BB7637">
        <w:rPr>
          <w:rFonts w:ascii="Arial" w:eastAsia="Times New Roman" w:hAnsi="Arial" w:cs="Arial"/>
          <w:b/>
          <w:bCs/>
          <w:color w:val="1F1F1F"/>
          <w:sz w:val="24"/>
          <w:szCs w:val="24"/>
          <w:lang w:eastAsia="en-GB"/>
        </w:rPr>
        <w:t>The Personal SWOT Analysis</w:t>
      </w:r>
    </w:p>
    <w:p w:rsidR="00BB7637" w:rsidRPr="00BB7637" w:rsidRDefault="00BB7637" w:rsidP="00854C36">
      <w:pPr>
        <w:spacing w:before="100" w:beforeAutospacing="1" w:after="0" w:line="360" w:lineRule="auto"/>
        <w:jc w:val="both"/>
        <w:outlineLvl w:val="2"/>
        <w:rPr>
          <w:rFonts w:ascii="Arial" w:eastAsia="Times New Roman" w:hAnsi="Arial" w:cs="Arial"/>
          <w:color w:val="1F1F1F"/>
          <w:sz w:val="24"/>
          <w:szCs w:val="24"/>
          <w:lang w:eastAsia="en-GB"/>
        </w:rPr>
      </w:pPr>
      <w:r w:rsidRPr="00BB7637">
        <w:rPr>
          <w:rFonts w:ascii="Arial" w:eastAsia="Times New Roman" w:hAnsi="Arial" w:cs="Arial"/>
          <w:color w:val="1F1F1F"/>
          <w:sz w:val="24"/>
          <w:szCs w:val="24"/>
          <w:lang w:eastAsia="en-GB"/>
        </w:rPr>
        <w:t xml:space="preserve">Applying a Personal SWOT Analysis categorizes internal attributes against external market variables. My primary internal </w:t>
      </w:r>
      <w:r w:rsidRPr="00BB7637">
        <w:rPr>
          <w:rFonts w:ascii="Arial" w:eastAsia="Times New Roman" w:hAnsi="Arial" w:cs="Arial"/>
          <w:b/>
          <w:bCs/>
          <w:color w:val="1F1F1F"/>
          <w:sz w:val="24"/>
          <w:szCs w:val="24"/>
          <w:lang w:eastAsia="en-GB"/>
        </w:rPr>
        <w:t>Strength</w:t>
      </w:r>
      <w:r w:rsidRPr="00BB7637">
        <w:rPr>
          <w:rFonts w:ascii="Arial" w:eastAsia="Times New Roman" w:hAnsi="Arial" w:cs="Arial"/>
          <w:color w:val="1F1F1F"/>
          <w:sz w:val="24"/>
          <w:szCs w:val="24"/>
          <w:lang w:eastAsia="en-GB"/>
        </w:rPr>
        <w:t xml:space="preserve"> lies in strong written communication and analytical capacity, which enables efficient synthesis of complex information. </w:t>
      </w:r>
      <w:r w:rsidRPr="00BB7637">
        <w:rPr>
          <w:rFonts w:ascii="Arial" w:eastAsia="Times New Roman" w:hAnsi="Arial" w:cs="Arial"/>
          <w:color w:val="1F1F1F"/>
          <w:sz w:val="24"/>
          <w:szCs w:val="24"/>
          <w:lang w:eastAsia="en-GB"/>
        </w:rPr>
        <w:lastRenderedPageBreak/>
        <w:t xml:space="preserve">Conversely, my core internal </w:t>
      </w:r>
      <w:r w:rsidRPr="00BB7637">
        <w:rPr>
          <w:rFonts w:ascii="Arial" w:eastAsia="Times New Roman" w:hAnsi="Arial" w:cs="Arial"/>
          <w:b/>
          <w:bCs/>
          <w:color w:val="1F1F1F"/>
          <w:sz w:val="24"/>
          <w:szCs w:val="24"/>
          <w:lang w:eastAsia="en-GB"/>
        </w:rPr>
        <w:t>Weakness</w:t>
      </w:r>
      <w:r w:rsidRPr="00BB7637">
        <w:rPr>
          <w:rFonts w:ascii="Arial" w:eastAsia="Times New Roman" w:hAnsi="Arial" w:cs="Arial"/>
          <w:color w:val="1F1F1F"/>
          <w:sz w:val="24"/>
          <w:szCs w:val="24"/>
          <w:lang w:eastAsia="en-GB"/>
        </w:rPr>
        <w:t xml:space="preserve"> is a lack of formal, direct work experience within my target sector, compounded by an initial hesitation to network.</w:t>
      </w:r>
    </w:p>
    <w:p w:rsidR="00BB7637" w:rsidRPr="00BB7637" w:rsidRDefault="00BB7637" w:rsidP="00854C36">
      <w:pPr>
        <w:spacing w:before="100" w:beforeAutospacing="1" w:after="0" w:line="360" w:lineRule="auto"/>
        <w:jc w:val="both"/>
        <w:outlineLvl w:val="2"/>
        <w:rPr>
          <w:rFonts w:ascii="Arial" w:eastAsia="Times New Roman" w:hAnsi="Arial" w:cs="Arial"/>
          <w:color w:val="1F1F1F"/>
          <w:sz w:val="24"/>
          <w:szCs w:val="24"/>
          <w:lang w:eastAsia="en-GB"/>
        </w:rPr>
      </w:pPr>
      <w:r w:rsidRPr="00BB7637">
        <w:rPr>
          <w:rFonts w:ascii="Arial" w:eastAsia="Times New Roman" w:hAnsi="Arial" w:cs="Arial"/>
          <w:color w:val="1F1F1F"/>
          <w:sz w:val="24"/>
          <w:szCs w:val="24"/>
          <w:lang w:eastAsia="en-GB"/>
        </w:rPr>
        <w:t xml:space="preserve">Externally, the university environment presents major </w:t>
      </w:r>
      <w:r w:rsidRPr="00BB7637">
        <w:rPr>
          <w:rFonts w:ascii="Arial" w:eastAsia="Times New Roman" w:hAnsi="Arial" w:cs="Arial"/>
          <w:b/>
          <w:bCs/>
          <w:color w:val="1F1F1F"/>
          <w:sz w:val="24"/>
          <w:szCs w:val="24"/>
          <w:lang w:eastAsia="en-GB"/>
        </w:rPr>
        <w:t>Opportunities</w:t>
      </w:r>
      <w:r w:rsidRPr="00BB7637">
        <w:rPr>
          <w:rFonts w:ascii="Arial" w:eastAsia="Times New Roman" w:hAnsi="Arial" w:cs="Arial"/>
          <w:color w:val="1F1F1F"/>
          <w:sz w:val="24"/>
          <w:szCs w:val="24"/>
          <w:lang w:eastAsia="en-GB"/>
        </w:rPr>
        <w:t xml:space="preserve">, including dedicated institutional careers clinics, industry guest lectures, and employer-led workshops that provide a direct line to corporate recruiters. However, these are balanced against external </w:t>
      </w:r>
      <w:r w:rsidRPr="00BB7637">
        <w:rPr>
          <w:rFonts w:ascii="Arial" w:eastAsia="Times New Roman" w:hAnsi="Arial" w:cs="Arial"/>
          <w:b/>
          <w:bCs/>
          <w:color w:val="1F1F1F"/>
          <w:sz w:val="24"/>
          <w:szCs w:val="24"/>
          <w:lang w:eastAsia="en-GB"/>
        </w:rPr>
        <w:t>Threats</w:t>
      </w:r>
      <w:r w:rsidRPr="00BB7637">
        <w:rPr>
          <w:rFonts w:ascii="Arial" w:eastAsia="Times New Roman" w:hAnsi="Arial" w:cs="Arial"/>
          <w:color w:val="1F1F1F"/>
          <w:sz w:val="24"/>
          <w:szCs w:val="24"/>
          <w:lang w:eastAsia="en-GB"/>
        </w:rPr>
        <w:t xml:space="preserve">, notably a saturated, hyper-competitive graduate job market and rapidly evolving digital </w:t>
      </w:r>
      <w:r w:rsidR="00407340" w:rsidRPr="00407340">
        <w:rPr>
          <w:rFonts w:ascii="Arial" w:eastAsia="Times New Roman" w:hAnsi="Arial" w:cs="Arial"/>
          <w:color w:val="1F1F1F"/>
          <w:sz w:val="24"/>
          <w:szCs w:val="24"/>
          <w:lang w:eastAsia="en-GB"/>
        </w:rPr>
        <w:t>recruitment algorithms that filter out applications missing key industry competencies</w:t>
      </w:r>
      <w:r w:rsidRPr="00BB7637">
        <w:rPr>
          <w:rFonts w:ascii="Arial" w:eastAsia="Times New Roman" w:hAnsi="Arial" w:cs="Arial"/>
          <w:color w:val="1F1F1F"/>
          <w:sz w:val="24"/>
          <w:szCs w:val="24"/>
          <w:lang w:eastAsia="en-GB"/>
        </w:rPr>
        <w:t>. This external pressure is mirrored in the World Economic Forum’s</w:t>
      </w:r>
      <w:r w:rsidR="008D15AE">
        <w:rPr>
          <w:rFonts w:ascii="Arial" w:eastAsia="Times New Roman" w:hAnsi="Arial" w:cs="Arial"/>
          <w:color w:val="1F1F1F"/>
          <w:sz w:val="24"/>
          <w:szCs w:val="24"/>
          <w:lang w:eastAsia="en-GB"/>
        </w:rPr>
        <w:t xml:space="preserve"> (2025)</w:t>
      </w:r>
      <w:r w:rsidRPr="00BB7637">
        <w:rPr>
          <w:rFonts w:ascii="Arial" w:eastAsia="Times New Roman" w:hAnsi="Arial" w:cs="Arial"/>
          <w:color w:val="1F1F1F"/>
          <w:sz w:val="24"/>
          <w:szCs w:val="24"/>
          <w:lang w:eastAsia="en-GB"/>
        </w:rPr>
        <w:t xml:space="preserve"> findings, which emphasize that modern macroeconomic shifts require graduates to possess highly agile digital skills and continuous commercial awareness just to pass automated recruitment screening systems.</w:t>
      </w:r>
    </w:p>
    <w:p w:rsidR="00BB7637" w:rsidRPr="00BB7637" w:rsidRDefault="00BB7637"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BB7637">
        <w:rPr>
          <w:rFonts w:ascii="Arial" w:eastAsia="Times New Roman" w:hAnsi="Arial" w:cs="Arial"/>
          <w:b/>
          <w:bCs/>
          <w:color w:val="1F1F1F"/>
          <w:sz w:val="24"/>
          <w:szCs w:val="24"/>
          <w:lang w:eastAsia="en-GB"/>
        </w:rPr>
        <w:t>The DOTS Model</w:t>
      </w:r>
    </w:p>
    <w:p w:rsidR="00BB7637" w:rsidRDefault="00BB7637" w:rsidP="00854C36">
      <w:pPr>
        <w:spacing w:before="100" w:beforeAutospacing="1" w:after="0" w:line="360" w:lineRule="auto"/>
        <w:jc w:val="both"/>
        <w:outlineLvl w:val="2"/>
        <w:rPr>
          <w:rFonts w:ascii="Arial" w:eastAsia="Times New Roman" w:hAnsi="Arial" w:cs="Arial"/>
          <w:color w:val="1F1F1F"/>
          <w:sz w:val="24"/>
          <w:szCs w:val="24"/>
          <w:lang w:eastAsia="en-GB"/>
        </w:rPr>
      </w:pPr>
      <w:r w:rsidRPr="00BB7637">
        <w:rPr>
          <w:rFonts w:ascii="Arial" w:eastAsia="Times New Roman" w:hAnsi="Arial" w:cs="Arial"/>
          <w:color w:val="1F1F1F"/>
          <w:sz w:val="24"/>
          <w:szCs w:val="24"/>
          <w:lang w:eastAsia="en-GB"/>
        </w:rPr>
        <w:t xml:space="preserve">This dynamic is further illuminated by Law and Watts’ (1977) DOTS Model of Employability, which outlines four critical components: </w:t>
      </w:r>
      <w:r w:rsidRPr="00BB7637">
        <w:rPr>
          <w:rFonts w:ascii="Arial" w:eastAsia="Times New Roman" w:hAnsi="Arial" w:cs="Arial"/>
          <w:b/>
          <w:bCs/>
          <w:color w:val="1F1F1F"/>
          <w:sz w:val="24"/>
          <w:szCs w:val="24"/>
          <w:lang w:eastAsia="en-GB"/>
        </w:rPr>
        <w:t>Decision learning, Opportunity awareness, Transition learning, and Self-awareness</w:t>
      </w:r>
      <w:r w:rsidRPr="00BB7637">
        <w:rPr>
          <w:rFonts w:ascii="Arial" w:eastAsia="Times New Roman" w:hAnsi="Arial" w:cs="Arial"/>
          <w:color w:val="1F1F1F"/>
          <w:sz w:val="24"/>
          <w:szCs w:val="24"/>
          <w:lang w:eastAsia="en-GB"/>
        </w:rPr>
        <w:t>. Within this framework, Self-Awareness requires recognizing core values and matching them deliberately with corporate roles. Opportunity Awareness demands moving beyond basic job search engines to map out the hidden graduate job market effectively. Decision Learning builds an understanding of how to make highly structured, informed choices about specific industries, while Transition Learning focuses on developing the tactical skills, such as CV writing and interviewing, to move seamlessly from university to employment.</w:t>
      </w:r>
    </w:p>
    <w:p w:rsidR="00BB7637" w:rsidRPr="00BB7637" w:rsidRDefault="00BB7637" w:rsidP="00854C36">
      <w:pPr>
        <w:spacing w:before="100" w:beforeAutospacing="1" w:after="0" w:line="360" w:lineRule="auto"/>
        <w:jc w:val="both"/>
        <w:outlineLvl w:val="2"/>
        <w:rPr>
          <w:rFonts w:ascii="Arial" w:eastAsia="Times New Roman" w:hAnsi="Arial" w:cs="Arial"/>
          <w:color w:val="1F1F1F"/>
          <w:sz w:val="24"/>
          <w:szCs w:val="24"/>
          <w:lang w:eastAsia="en-GB"/>
        </w:rPr>
      </w:pPr>
      <w:r w:rsidRPr="00BB7637">
        <w:rPr>
          <w:rFonts w:ascii="Arial" w:eastAsia="Times New Roman" w:hAnsi="Arial" w:cs="Arial"/>
          <w:color w:val="1F1F1F"/>
          <w:sz w:val="24"/>
          <w:szCs w:val="24"/>
          <w:lang w:eastAsia="en-GB"/>
        </w:rPr>
        <w:t>Reflecting on my journey through this model, my initial anxieties clearly stemmed from a historical deficit in Opportunity Awareness and Transition Learning. I was unaware of the diverse entry pathways within my chosen sector and lacked the practical tools to transition smoothly from an academic setting to an interview boardroom. The module served as an essential intervention, enhancing my Self-Awareness by pushing me to audit my skills, which directly improved my Decision Learning capabilities by shifting my approach from a passive student to an active, informed candidate.</w:t>
      </w:r>
    </w:p>
    <w:p w:rsidR="00BB7637" w:rsidRPr="00BB7637" w:rsidRDefault="00BB7637"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BB7637">
        <w:rPr>
          <w:rFonts w:ascii="Arial" w:eastAsia="Times New Roman" w:hAnsi="Arial" w:cs="Arial"/>
          <w:b/>
          <w:bCs/>
          <w:color w:val="1F1F1F"/>
          <w:sz w:val="24"/>
          <w:szCs w:val="24"/>
          <w:lang w:eastAsia="en-GB"/>
        </w:rPr>
        <w:t>The USEM Employability Model</w:t>
      </w:r>
    </w:p>
    <w:p w:rsidR="00BB7637" w:rsidRPr="00BB7637" w:rsidRDefault="00BB7637" w:rsidP="00854C36">
      <w:pPr>
        <w:spacing w:before="100" w:beforeAutospacing="1" w:after="0" w:line="360" w:lineRule="auto"/>
        <w:jc w:val="both"/>
        <w:outlineLvl w:val="2"/>
        <w:rPr>
          <w:rFonts w:ascii="Arial" w:eastAsia="Times New Roman" w:hAnsi="Arial" w:cs="Arial"/>
          <w:color w:val="1F1F1F"/>
          <w:sz w:val="24"/>
          <w:szCs w:val="24"/>
          <w:lang w:eastAsia="en-GB"/>
        </w:rPr>
      </w:pPr>
      <w:r w:rsidRPr="00BB7637">
        <w:rPr>
          <w:rFonts w:ascii="Arial" w:eastAsia="Times New Roman" w:hAnsi="Arial" w:cs="Arial"/>
          <w:color w:val="1F1F1F"/>
          <w:sz w:val="24"/>
          <w:szCs w:val="24"/>
          <w:lang w:eastAsia="en-GB"/>
        </w:rPr>
        <w:lastRenderedPageBreak/>
        <w:t xml:space="preserve">Knight and Yorke’s (2003) USEM Employability Model provides an excellent lens for evaluating professional growth. The model comprises four tightly interconnected quadrants: </w:t>
      </w:r>
      <w:r w:rsidRPr="00BB7637">
        <w:rPr>
          <w:rFonts w:ascii="Arial" w:eastAsia="Times New Roman" w:hAnsi="Arial" w:cs="Arial"/>
          <w:b/>
          <w:bCs/>
          <w:color w:val="1F1F1F"/>
          <w:sz w:val="24"/>
          <w:szCs w:val="24"/>
          <w:lang w:eastAsia="en-GB"/>
        </w:rPr>
        <w:t>Understanding</w:t>
      </w:r>
      <w:r w:rsidRPr="00BB7637">
        <w:rPr>
          <w:rFonts w:ascii="Arial" w:eastAsia="Times New Roman" w:hAnsi="Arial" w:cs="Arial"/>
          <w:color w:val="1F1F1F"/>
          <w:sz w:val="24"/>
          <w:szCs w:val="24"/>
          <w:lang w:eastAsia="en-GB"/>
        </w:rPr>
        <w:t xml:space="preserve"> (disciplinary knowledge), </w:t>
      </w:r>
      <w:r w:rsidRPr="00BB7637">
        <w:rPr>
          <w:rFonts w:ascii="Arial" w:eastAsia="Times New Roman" w:hAnsi="Arial" w:cs="Arial"/>
          <w:b/>
          <w:bCs/>
          <w:color w:val="1F1F1F"/>
          <w:sz w:val="24"/>
          <w:szCs w:val="24"/>
          <w:lang w:eastAsia="en-GB"/>
        </w:rPr>
        <w:t>Skills</w:t>
      </w:r>
      <w:r w:rsidRPr="00BB7637">
        <w:rPr>
          <w:rFonts w:ascii="Arial" w:eastAsia="Times New Roman" w:hAnsi="Arial" w:cs="Arial"/>
          <w:color w:val="1F1F1F"/>
          <w:sz w:val="24"/>
          <w:szCs w:val="24"/>
          <w:lang w:eastAsia="en-GB"/>
        </w:rPr>
        <w:t xml:space="preserve"> (subject-specific and generic traits), </w:t>
      </w:r>
      <w:r w:rsidRPr="00BB7637">
        <w:rPr>
          <w:rFonts w:ascii="Arial" w:eastAsia="Times New Roman" w:hAnsi="Arial" w:cs="Arial"/>
          <w:b/>
          <w:bCs/>
          <w:color w:val="1F1F1F"/>
          <w:sz w:val="24"/>
          <w:szCs w:val="24"/>
          <w:lang w:eastAsia="en-GB"/>
        </w:rPr>
        <w:t>Efficacy beliefs</w:t>
      </w:r>
      <w:r w:rsidRPr="00BB7637">
        <w:rPr>
          <w:rFonts w:ascii="Arial" w:eastAsia="Times New Roman" w:hAnsi="Arial" w:cs="Arial"/>
          <w:color w:val="1F1F1F"/>
          <w:sz w:val="24"/>
          <w:szCs w:val="24"/>
          <w:lang w:eastAsia="en-GB"/>
        </w:rPr>
        <w:t xml:space="preserve"> (self-theories and confidence), and </w:t>
      </w:r>
      <w:r w:rsidRPr="00BB7637">
        <w:rPr>
          <w:rFonts w:ascii="Arial" w:eastAsia="Times New Roman" w:hAnsi="Arial" w:cs="Arial"/>
          <w:b/>
          <w:bCs/>
          <w:color w:val="1F1F1F"/>
          <w:sz w:val="24"/>
          <w:szCs w:val="24"/>
          <w:lang w:eastAsia="en-GB"/>
        </w:rPr>
        <w:t>Metacognition</w:t>
      </w:r>
      <w:r w:rsidRPr="00BB7637">
        <w:rPr>
          <w:rFonts w:ascii="Arial" w:eastAsia="Times New Roman" w:hAnsi="Arial" w:cs="Arial"/>
          <w:color w:val="1F1F1F"/>
          <w:sz w:val="24"/>
          <w:szCs w:val="24"/>
          <w:lang w:eastAsia="en-GB"/>
        </w:rPr>
        <w:t xml:space="preserve"> (the capacity for reflection).</w:t>
      </w:r>
    </w:p>
    <w:p w:rsidR="00BB7637" w:rsidRPr="00BB7637" w:rsidRDefault="00BB7637" w:rsidP="00854C36">
      <w:pPr>
        <w:spacing w:before="100" w:beforeAutospacing="1" w:after="0" w:line="360" w:lineRule="auto"/>
        <w:jc w:val="both"/>
        <w:outlineLvl w:val="2"/>
        <w:rPr>
          <w:rFonts w:ascii="Arial" w:eastAsia="Times New Roman" w:hAnsi="Arial" w:cs="Arial"/>
          <w:color w:val="1F1F1F"/>
          <w:sz w:val="24"/>
          <w:szCs w:val="24"/>
          <w:lang w:eastAsia="en-GB"/>
        </w:rPr>
      </w:pPr>
      <w:r w:rsidRPr="00BB7637">
        <w:rPr>
          <w:rFonts w:ascii="Arial" w:eastAsia="Times New Roman" w:hAnsi="Arial" w:cs="Arial"/>
          <w:color w:val="1F1F1F"/>
          <w:sz w:val="24"/>
          <w:szCs w:val="24"/>
          <w:lang w:eastAsia="en-GB"/>
        </w:rPr>
        <w:t>Historically, my sole focus was on the Understanding quadrant—amassing theoretical academic data. I completely undervalued the Skills and Efficacy elements. By participating in practical interview workshops and digital profile building during this module, I directly enhanced my generic skills, including communication, presentation, and negotiation. Crucially, this exposure altered my Efficacy Beliefs; as my practical competence increased, my professional self-esteem grew</w:t>
      </w:r>
      <w:r w:rsidR="00407340">
        <w:rPr>
          <w:rFonts w:ascii="Arial" w:eastAsia="Times New Roman" w:hAnsi="Arial" w:cs="Arial"/>
          <w:color w:val="1F1F1F"/>
          <w:sz w:val="24"/>
          <w:szCs w:val="24"/>
          <w:lang w:eastAsia="en-GB"/>
        </w:rPr>
        <w:t>,</w:t>
      </w:r>
      <w:r w:rsidR="00407340" w:rsidRPr="00407340">
        <w:t xml:space="preserve"> </w:t>
      </w:r>
      <w:r w:rsidR="00407340" w:rsidRPr="00407340">
        <w:rPr>
          <w:rFonts w:ascii="Arial" w:eastAsia="Times New Roman" w:hAnsi="Arial" w:cs="Arial"/>
          <w:color w:val="1F1F1F"/>
          <w:sz w:val="24"/>
          <w:szCs w:val="24"/>
          <w:lang w:eastAsia="en-GB"/>
        </w:rPr>
        <w:t>aligning with Dacre Pool and Sewell’s (2007) links between self-efficacy and graduate success.</w:t>
      </w:r>
      <w:r w:rsidRPr="00BB7637">
        <w:rPr>
          <w:rFonts w:ascii="Arial" w:eastAsia="Times New Roman" w:hAnsi="Arial" w:cs="Arial"/>
          <w:color w:val="1F1F1F"/>
          <w:sz w:val="24"/>
          <w:szCs w:val="24"/>
          <w:lang w:eastAsia="en-GB"/>
        </w:rPr>
        <w:t xml:space="preserve"> This shift validates the core tenet of the USEM framework that structural reflection, or Metacognition, acts as the primary engine driving overall personal development, workplace competence, and long-term graduate employability.</w:t>
      </w:r>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t>Conclusion</w:t>
      </w:r>
    </w:p>
    <w:p w:rsid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In conclusion, this reflective exercise has allowed me to evaluate my developing professional identity objectively using Gibbs’ framework. Moving into higher education has proven that academic achievement alone is entirely insufficient within the contemporary knowledge economy. Sustained success requires a parallel commitment to cultivating commercial awareness, digital literacy, and robust networking frameworks.</w:t>
      </w:r>
      <w:r w:rsidR="005302EF">
        <w:rPr>
          <w:rFonts w:ascii="Arial" w:eastAsia="Times New Roman" w:hAnsi="Arial" w:cs="Arial"/>
          <w:color w:val="1F1F1F"/>
          <w:sz w:val="24"/>
          <w:szCs w:val="24"/>
          <w:lang w:eastAsia="en-GB"/>
        </w:rPr>
        <w:t xml:space="preserve"> </w:t>
      </w:r>
      <w:r w:rsidRPr="005D5EB2">
        <w:rPr>
          <w:rFonts w:ascii="Arial" w:eastAsia="Times New Roman" w:hAnsi="Arial" w:cs="Arial"/>
          <w:color w:val="1F1F1F"/>
          <w:sz w:val="24"/>
          <w:szCs w:val="24"/>
          <w:lang w:eastAsia="en-GB"/>
        </w:rPr>
        <w:t>While my initial journey was marked by anxiety, passivity, and a lack of structural direction, confronting these shortcomings through the lens of SWOT, DOTS, and the USEM models has illuminated a clear path forward. I now recognize that employability is not a static destination reached upon graduation. Instead, it is a continuous, dynamic process of self-improvement, adaptability, and strategic positioning that must be managed proactively throughout my academic tenure.</w:t>
      </w:r>
    </w:p>
    <w:p w:rsidR="00854C36" w:rsidRDefault="00854C36" w:rsidP="00854C36">
      <w:pPr>
        <w:spacing w:before="100" w:beforeAutospacing="1" w:after="0" w:line="360" w:lineRule="auto"/>
        <w:jc w:val="both"/>
        <w:outlineLvl w:val="2"/>
        <w:rPr>
          <w:rFonts w:ascii="Arial" w:eastAsia="Times New Roman" w:hAnsi="Arial" w:cs="Arial"/>
          <w:color w:val="1F1F1F"/>
          <w:sz w:val="24"/>
          <w:szCs w:val="24"/>
          <w:lang w:eastAsia="en-GB"/>
        </w:rPr>
      </w:pPr>
    </w:p>
    <w:p w:rsidR="005302EF" w:rsidRPr="005D5EB2" w:rsidRDefault="005302EF" w:rsidP="00854C36">
      <w:pPr>
        <w:spacing w:before="100" w:beforeAutospacing="1" w:after="0" w:line="360" w:lineRule="auto"/>
        <w:jc w:val="both"/>
        <w:outlineLvl w:val="2"/>
        <w:rPr>
          <w:rFonts w:ascii="Arial" w:eastAsia="Times New Roman" w:hAnsi="Arial" w:cs="Arial"/>
          <w:color w:val="1F1F1F"/>
          <w:sz w:val="24"/>
          <w:szCs w:val="24"/>
          <w:lang w:eastAsia="en-GB"/>
        </w:rPr>
      </w:pPr>
      <w:bookmarkStart w:id="0" w:name="_GoBack"/>
      <w:bookmarkEnd w:id="0"/>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lastRenderedPageBreak/>
        <w:t>Action Plan</w:t>
      </w:r>
    </w:p>
    <w:p w:rsidR="005D5EB2" w:rsidRP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To translate these reflective insights into tangible professional progression, I have developed a structured, future-focused SMART action plan designed for implementation over the upcoming academic term.</w:t>
      </w:r>
    </w:p>
    <w:p w:rsidR="005D5EB2" w:rsidRP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 xml:space="preserve">In terms of specificity, I will enhance my industry-specific network, practical interview capabilities, and commercial awareness by actively engaging with institutional career infrastructures and professional digital ecosystems. To ensure this plan is measurable, my progress will be quantified by executing three distinct benchmarks: updating and optimizing my LinkedIn profile to achieve official comprehensive status, attending a minimum of two formal university-hosted career networking fairs, and conducting two mock interview sessions through the university’s employability advisory desk. Optimizing my professional digital profile directly aligns with contemporary market data from the LinkedIn Learning report, which notes that proactive online career branding significantly accelerates graduate placement rates in an increasingly shifting </w:t>
      </w:r>
      <w:r w:rsidR="00EB1F1E" w:rsidRPr="005D5EB2">
        <w:rPr>
          <w:rFonts w:ascii="Arial" w:eastAsia="Times New Roman" w:hAnsi="Arial" w:cs="Arial"/>
          <w:color w:val="1F1F1F"/>
          <w:sz w:val="24"/>
          <w:szCs w:val="24"/>
          <w:lang w:eastAsia="en-GB"/>
        </w:rPr>
        <w:t>labour</w:t>
      </w:r>
      <w:r w:rsidRPr="005D5EB2">
        <w:rPr>
          <w:rFonts w:ascii="Arial" w:eastAsia="Times New Roman" w:hAnsi="Arial" w:cs="Arial"/>
          <w:color w:val="1F1F1F"/>
          <w:sz w:val="24"/>
          <w:szCs w:val="24"/>
          <w:lang w:eastAsia="en-GB"/>
        </w:rPr>
        <w:t xml:space="preserve"> market.</w:t>
      </w:r>
    </w:p>
    <w:p w:rsid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r w:rsidRPr="005D5EB2">
        <w:rPr>
          <w:rFonts w:ascii="Arial" w:eastAsia="Times New Roman" w:hAnsi="Arial" w:cs="Arial"/>
          <w:color w:val="1F1F1F"/>
          <w:sz w:val="24"/>
          <w:szCs w:val="24"/>
          <w:lang w:eastAsia="en-GB"/>
        </w:rPr>
        <w:t xml:space="preserve">These activities are highly achievable and realistic as they directly leverage existing campus resources, free corporate digital platforms, and the professional networks established by the university's placement officers. This plan is directly relevant because it mitigates the weaknesses identified in my SWOT analysis and </w:t>
      </w:r>
      <w:r w:rsidR="00E12E5A" w:rsidRPr="005D5EB2">
        <w:rPr>
          <w:rFonts w:ascii="Arial" w:eastAsia="Times New Roman" w:hAnsi="Arial" w:cs="Arial"/>
          <w:color w:val="1F1F1F"/>
          <w:sz w:val="24"/>
          <w:szCs w:val="24"/>
          <w:lang w:eastAsia="en-GB"/>
        </w:rPr>
        <w:t>fulfils</w:t>
      </w:r>
      <w:r w:rsidRPr="005D5EB2">
        <w:rPr>
          <w:rFonts w:ascii="Arial" w:eastAsia="Times New Roman" w:hAnsi="Arial" w:cs="Arial"/>
          <w:color w:val="1F1F1F"/>
          <w:sz w:val="24"/>
          <w:szCs w:val="24"/>
          <w:lang w:eastAsia="en-GB"/>
        </w:rPr>
        <w:t xml:space="preserve"> the transition learning demands of the DOTS model, ensuring I shift from a passive student to an active, employable candidate. </w:t>
      </w:r>
      <w:r w:rsidR="00407340" w:rsidRPr="00407340">
        <w:rPr>
          <w:rFonts w:ascii="Arial" w:eastAsia="Times New Roman" w:hAnsi="Arial" w:cs="Arial"/>
          <w:color w:val="1F1F1F"/>
          <w:sz w:val="24"/>
          <w:szCs w:val="24"/>
          <w:lang w:eastAsia="en-GB"/>
        </w:rPr>
        <w:t>To ensure strict accountability,</w:t>
      </w:r>
      <w:r w:rsidR="00407340">
        <w:rPr>
          <w:rFonts w:ascii="Arial" w:eastAsia="Times New Roman" w:hAnsi="Arial" w:cs="Arial"/>
          <w:color w:val="1F1F1F"/>
          <w:sz w:val="24"/>
          <w:szCs w:val="24"/>
          <w:lang w:eastAsia="en-GB"/>
        </w:rPr>
        <w:t xml:space="preserve"> </w:t>
      </w:r>
      <w:r w:rsidRPr="005D5EB2">
        <w:rPr>
          <w:rFonts w:ascii="Arial" w:eastAsia="Times New Roman" w:hAnsi="Arial" w:cs="Arial"/>
          <w:color w:val="1F1F1F"/>
          <w:sz w:val="24"/>
          <w:szCs w:val="24"/>
          <w:lang w:eastAsia="en-GB"/>
        </w:rPr>
        <w:t>all target metrics, including profile optimization, career fair attendance, and mock interview completion, will be fully executed within the first six weeks of the next academic term, culminating in a formal review with my career mentor by the mid-term break.</w:t>
      </w:r>
    </w:p>
    <w:p w:rsidR="005D5EB2" w:rsidRDefault="005D5EB2" w:rsidP="00854C36">
      <w:pPr>
        <w:spacing w:before="100" w:beforeAutospacing="1" w:after="0" w:line="360" w:lineRule="auto"/>
        <w:jc w:val="both"/>
        <w:outlineLvl w:val="2"/>
        <w:rPr>
          <w:rFonts w:ascii="Arial" w:eastAsia="Times New Roman" w:hAnsi="Arial" w:cs="Arial"/>
          <w:color w:val="1F1F1F"/>
          <w:sz w:val="24"/>
          <w:szCs w:val="24"/>
          <w:lang w:eastAsia="en-GB"/>
        </w:rPr>
      </w:pPr>
    </w:p>
    <w:p w:rsidR="00854C36" w:rsidRDefault="00854C36" w:rsidP="00854C36">
      <w:pPr>
        <w:spacing w:before="100" w:beforeAutospacing="1" w:after="0" w:line="360" w:lineRule="auto"/>
        <w:jc w:val="both"/>
        <w:outlineLvl w:val="2"/>
        <w:rPr>
          <w:rFonts w:ascii="Arial" w:eastAsia="Times New Roman" w:hAnsi="Arial" w:cs="Arial"/>
          <w:color w:val="1F1F1F"/>
          <w:sz w:val="24"/>
          <w:szCs w:val="24"/>
          <w:lang w:eastAsia="en-GB"/>
        </w:rPr>
      </w:pPr>
    </w:p>
    <w:p w:rsidR="00854C36" w:rsidRDefault="00854C36" w:rsidP="00854C36">
      <w:pPr>
        <w:spacing w:before="100" w:beforeAutospacing="1" w:after="0" w:line="360" w:lineRule="auto"/>
        <w:jc w:val="both"/>
        <w:outlineLvl w:val="2"/>
        <w:rPr>
          <w:rFonts w:ascii="Arial" w:eastAsia="Times New Roman" w:hAnsi="Arial" w:cs="Arial"/>
          <w:color w:val="1F1F1F"/>
          <w:sz w:val="24"/>
          <w:szCs w:val="24"/>
          <w:lang w:eastAsia="en-GB"/>
        </w:rPr>
      </w:pPr>
    </w:p>
    <w:p w:rsidR="00854C36" w:rsidRDefault="00854C36" w:rsidP="00854C36">
      <w:pPr>
        <w:spacing w:before="100" w:beforeAutospacing="1" w:after="0" w:line="360" w:lineRule="auto"/>
        <w:jc w:val="both"/>
        <w:outlineLvl w:val="2"/>
        <w:rPr>
          <w:rFonts w:ascii="Arial" w:eastAsia="Times New Roman" w:hAnsi="Arial" w:cs="Arial"/>
          <w:color w:val="1F1F1F"/>
          <w:sz w:val="24"/>
          <w:szCs w:val="24"/>
          <w:lang w:eastAsia="en-GB"/>
        </w:rPr>
      </w:pPr>
    </w:p>
    <w:p w:rsidR="00854C36" w:rsidRPr="005D5EB2" w:rsidRDefault="00854C36" w:rsidP="00854C36">
      <w:pPr>
        <w:spacing w:before="100" w:beforeAutospacing="1" w:after="0" w:line="360" w:lineRule="auto"/>
        <w:jc w:val="both"/>
        <w:outlineLvl w:val="2"/>
        <w:rPr>
          <w:rFonts w:ascii="Arial" w:eastAsia="Times New Roman" w:hAnsi="Arial" w:cs="Arial"/>
          <w:color w:val="1F1F1F"/>
          <w:sz w:val="24"/>
          <w:szCs w:val="24"/>
          <w:lang w:eastAsia="en-GB"/>
        </w:rPr>
      </w:pPr>
    </w:p>
    <w:p w:rsidR="00DD6372" w:rsidRPr="00DD6372" w:rsidRDefault="00DD6372" w:rsidP="00854C36">
      <w:pPr>
        <w:spacing w:before="100" w:beforeAutospacing="1" w:after="0" w:line="360" w:lineRule="auto"/>
        <w:jc w:val="both"/>
        <w:outlineLvl w:val="2"/>
        <w:rPr>
          <w:rFonts w:ascii="Arial" w:eastAsia="Times New Roman" w:hAnsi="Arial" w:cs="Arial"/>
          <w:b/>
          <w:bCs/>
          <w:color w:val="1F1F1F"/>
          <w:sz w:val="24"/>
          <w:szCs w:val="24"/>
          <w:lang w:eastAsia="en-GB"/>
        </w:rPr>
      </w:pPr>
      <w:r w:rsidRPr="00DD6372">
        <w:rPr>
          <w:rFonts w:ascii="Arial" w:eastAsia="Times New Roman" w:hAnsi="Arial" w:cs="Arial"/>
          <w:b/>
          <w:bCs/>
          <w:color w:val="1F1F1F"/>
          <w:sz w:val="24"/>
          <w:szCs w:val="24"/>
          <w:lang w:eastAsia="en-GB"/>
        </w:rPr>
        <w:t>REFERENCES</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 xml:space="preserve">Dacre Pool, L. and Sewell, P., 2007. The practical model of graduate employability: Emotional intelligence and self-efficacy. </w:t>
      </w:r>
      <w:r w:rsidRPr="00DD6372">
        <w:rPr>
          <w:rFonts w:ascii="Arial" w:eastAsia="Times New Roman" w:hAnsi="Arial" w:cs="Arial"/>
          <w:i/>
          <w:iCs/>
          <w:color w:val="1F1F1F"/>
          <w:sz w:val="24"/>
          <w:szCs w:val="24"/>
          <w:bdr w:val="none" w:sz="0" w:space="0" w:color="auto" w:frame="1"/>
          <w:lang w:eastAsia="en-GB"/>
        </w:rPr>
        <w:t>Education + Training</w:t>
      </w:r>
      <w:r w:rsidRPr="00DD6372">
        <w:rPr>
          <w:rFonts w:ascii="Arial" w:eastAsia="Times New Roman" w:hAnsi="Arial" w:cs="Arial"/>
          <w:color w:val="1F1F1F"/>
          <w:sz w:val="24"/>
          <w:szCs w:val="24"/>
          <w:lang w:eastAsia="en-GB"/>
        </w:rPr>
        <w:t>, 49(4), pp.277-289.</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 xml:space="preserve">Gibbs, G., 1988. </w:t>
      </w:r>
      <w:r w:rsidRPr="00DD6372">
        <w:rPr>
          <w:rFonts w:ascii="Arial" w:eastAsia="Times New Roman" w:hAnsi="Arial" w:cs="Arial"/>
          <w:i/>
          <w:iCs/>
          <w:color w:val="1F1F1F"/>
          <w:sz w:val="24"/>
          <w:szCs w:val="24"/>
          <w:bdr w:val="none" w:sz="0" w:space="0" w:color="auto" w:frame="1"/>
          <w:lang w:eastAsia="en-GB"/>
        </w:rPr>
        <w:t>Learning by doing: A guide to teaching and learning methods</w:t>
      </w:r>
      <w:r w:rsidRPr="00DD6372">
        <w:rPr>
          <w:rFonts w:ascii="Arial" w:eastAsia="Times New Roman" w:hAnsi="Arial" w:cs="Arial"/>
          <w:color w:val="1F1F1F"/>
          <w:sz w:val="24"/>
          <w:szCs w:val="24"/>
          <w:lang w:eastAsia="en-GB"/>
        </w:rPr>
        <w:t>. Further Education Unit. Oxford: Oxford Polytechnic.</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 xml:space="preserve">Knight, P.T. and Yorke, M., 2003. </w:t>
      </w:r>
      <w:r w:rsidRPr="00DD6372">
        <w:rPr>
          <w:rFonts w:ascii="Arial" w:eastAsia="Times New Roman" w:hAnsi="Arial" w:cs="Arial"/>
          <w:i/>
          <w:iCs/>
          <w:color w:val="1F1F1F"/>
          <w:sz w:val="24"/>
          <w:szCs w:val="24"/>
          <w:bdr w:val="none" w:sz="0" w:space="0" w:color="auto" w:frame="1"/>
          <w:lang w:eastAsia="en-GB"/>
        </w:rPr>
        <w:t>Assessment, learning and employability</w:t>
      </w:r>
      <w:r w:rsidRPr="00DD6372">
        <w:rPr>
          <w:rFonts w:ascii="Arial" w:eastAsia="Times New Roman" w:hAnsi="Arial" w:cs="Arial"/>
          <w:color w:val="1F1F1F"/>
          <w:sz w:val="24"/>
          <w:szCs w:val="24"/>
          <w:lang w:eastAsia="en-GB"/>
        </w:rPr>
        <w:t>. Maidenhead: Society for Research into Higher Education &amp; Open University Press.</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 xml:space="preserve">Law, B. and Watts, A.G., 1977. </w:t>
      </w:r>
      <w:r w:rsidRPr="00DD6372">
        <w:rPr>
          <w:rFonts w:ascii="Arial" w:eastAsia="Times New Roman" w:hAnsi="Arial" w:cs="Arial"/>
          <w:i/>
          <w:iCs/>
          <w:color w:val="1F1F1F"/>
          <w:sz w:val="24"/>
          <w:szCs w:val="24"/>
          <w:bdr w:val="none" w:sz="0" w:space="0" w:color="auto" w:frame="1"/>
          <w:lang w:eastAsia="en-GB"/>
        </w:rPr>
        <w:t>Schools, careers and community: A study of some approaches to career education in schools</w:t>
      </w:r>
      <w:r w:rsidRPr="00DD6372">
        <w:rPr>
          <w:rFonts w:ascii="Arial" w:eastAsia="Times New Roman" w:hAnsi="Arial" w:cs="Arial"/>
          <w:color w:val="1F1F1F"/>
          <w:sz w:val="24"/>
          <w:szCs w:val="24"/>
          <w:lang w:eastAsia="en-GB"/>
        </w:rPr>
        <w:t>. London: Church Information Office.</w:t>
      </w:r>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 xml:space="preserve">LinkedIn Learning, 2024. </w:t>
      </w:r>
      <w:r w:rsidRPr="00DD6372">
        <w:rPr>
          <w:rFonts w:ascii="Arial" w:eastAsia="Times New Roman" w:hAnsi="Arial" w:cs="Arial"/>
          <w:i/>
          <w:iCs/>
          <w:color w:val="1F1F1F"/>
          <w:sz w:val="24"/>
          <w:szCs w:val="24"/>
          <w:bdr w:val="none" w:sz="0" w:space="0" w:color="auto" w:frame="1"/>
          <w:lang w:eastAsia="en-GB"/>
        </w:rPr>
        <w:t>2024 Workplace Learning Report: The Rise of Career Champions</w:t>
      </w:r>
      <w:r w:rsidRPr="00DD6372">
        <w:rPr>
          <w:rFonts w:ascii="Arial" w:eastAsia="Times New Roman" w:hAnsi="Arial" w:cs="Arial"/>
          <w:color w:val="1F1F1F"/>
          <w:sz w:val="24"/>
          <w:szCs w:val="24"/>
          <w:lang w:eastAsia="en-GB"/>
        </w:rPr>
        <w:t xml:space="preserve">. Sunnyvale: LinkedIn Corporation. Available at: </w:t>
      </w:r>
      <w:hyperlink r:id="rId5" w:tgtFrame="_blank" w:history="1">
        <w:r w:rsidRPr="00DD6372">
          <w:rPr>
            <w:rFonts w:ascii="Arial" w:eastAsia="Times New Roman" w:hAnsi="Arial" w:cs="Arial"/>
            <w:color w:val="1F1F1F"/>
            <w:sz w:val="24"/>
            <w:szCs w:val="24"/>
            <w:u w:val="single"/>
            <w:bdr w:val="none" w:sz="0" w:space="0" w:color="auto" w:frame="1"/>
            <w:lang w:eastAsia="en-GB"/>
          </w:rPr>
          <w:t>www.learning.linkedin.com/resources/workplace-learning-report</w:t>
        </w:r>
      </w:hyperlink>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 xml:space="preserve">Tomlinson, M., 2012. Graduate employability: A review of conceptual and empirical themes. </w:t>
      </w:r>
      <w:r w:rsidRPr="00DD6372">
        <w:rPr>
          <w:rFonts w:ascii="Arial" w:eastAsia="Times New Roman" w:hAnsi="Arial" w:cs="Arial"/>
          <w:i/>
          <w:iCs/>
          <w:color w:val="1F1F1F"/>
          <w:sz w:val="24"/>
          <w:szCs w:val="24"/>
          <w:bdr w:val="none" w:sz="0" w:space="0" w:color="auto" w:frame="1"/>
          <w:lang w:eastAsia="en-GB"/>
        </w:rPr>
        <w:t>Higher Education Policy</w:t>
      </w:r>
      <w:r w:rsidRPr="00DD6372">
        <w:rPr>
          <w:rFonts w:ascii="Arial" w:eastAsia="Times New Roman" w:hAnsi="Arial" w:cs="Arial"/>
          <w:color w:val="1F1F1F"/>
          <w:sz w:val="24"/>
          <w:szCs w:val="24"/>
          <w:lang w:eastAsia="en-GB"/>
        </w:rPr>
        <w:t>, 25(4), pp.407-431.</w:t>
      </w:r>
    </w:p>
    <w:p w:rsidR="00CD1BE9"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World Economic Forum, 202</w:t>
      </w:r>
      <w:r w:rsidR="00407340">
        <w:rPr>
          <w:rFonts w:ascii="Arial" w:eastAsia="Times New Roman" w:hAnsi="Arial" w:cs="Arial"/>
          <w:color w:val="1F1F1F"/>
          <w:sz w:val="24"/>
          <w:szCs w:val="24"/>
          <w:lang w:eastAsia="en-GB"/>
        </w:rPr>
        <w:t>5</w:t>
      </w:r>
      <w:r w:rsidRPr="00DD6372">
        <w:rPr>
          <w:rFonts w:ascii="Arial" w:eastAsia="Times New Roman" w:hAnsi="Arial" w:cs="Arial"/>
          <w:color w:val="1F1F1F"/>
          <w:sz w:val="24"/>
          <w:szCs w:val="24"/>
          <w:lang w:eastAsia="en-GB"/>
        </w:rPr>
        <w:t xml:space="preserve">. </w:t>
      </w:r>
      <w:r w:rsidRPr="00DD6372">
        <w:rPr>
          <w:rFonts w:ascii="Arial" w:eastAsia="Times New Roman" w:hAnsi="Arial" w:cs="Arial"/>
          <w:i/>
          <w:iCs/>
          <w:color w:val="1F1F1F"/>
          <w:sz w:val="24"/>
          <w:szCs w:val="24"/>
          <w:bdr w:val="none" w:sz="0" w:space="0" w:color="auto" w:frame="1"/>
          <w:lang w:eastAsia="en-GB"/>
        </w:rPr>
        <w:t>The Future of Jobs Report 2024</w:t>
      </w:r>
      <w:r w:rsidRPr="00DD6372">
        <w:rPr>
          <w:rFonts w:ascii="Arial" w:eastAsia="Times New Roman" w:hAnsi="Arial" w:cs="Arial"/>
          <w:color w:val="1F1F1F"/>
          <w:sz w:val="24"/>
          <w:szCs w:val="24"/>
          <w:lang w:eastAsia="en-GB"/>
        </w:rPr>
        <w:t xml:space="preserve">. Geneva: World Economic Forum. Available at: </w:t>
      </w:r>
      <w:hyperlink r:id="rId6" w:history="1">
        <w:r w:rsidR="00CD1BE9" w:rsidRPr="00CD1BE9">
          <w:rPr>
            <w:rStyle w:val="Hyperlink"/>
            <w:rFonts w:ascii="Arial" w:eastAsia="Times New Roman" w:hAnsi="Arial" w:cs="Arial"/>
            <w:sz w:val="24"/>
            <w:szCs w:val="24"/>
            <w:lang w:eastAsia="en-GB"/>
          </w:rPr>
          <w:t>https://</w:t>
        </w:r>
        <w:r w:rsidR="00CD1BE9" w:rsidRPr="00CD1BE9">
          <w:rPr>
            <w:rStyle w:val="Hyperlink"/>
            <w:rFonts w:ascii="Arial" w:eastAsia="Times New Roman" w:hAnsi="Arial" w:cs="Arial"/>
            <w:sz w:val="24"/>
            <w:szCs w:val="24"/>
            <w:lang w:eastAsia="en-GB"/>
          </w:rPr>
          <w:t>w</w:t>
        </w:r>
        <w:r w:rsidR="00CD1BE9" w:rsidRPr="00CD1BE9">
          <w:rPr>
            <w:rStyle w:val="Hyperlink"/>
            <w:rFonts w:ascii="Arial" w:eastAsia="Times New Roman" w:hAnsi="Arial" w:cs="Arial"/>
            <w:sz w:val="24"/>
            <w:szCs w:val="24"/>
            <w:lang w:eastAsia="en-GB"/>
          </w:rPr>
          <w:t>ww.weforum.org/publications/the-future-of-jobs-report-2025/</w:t>
        </w:r>
      </w:hyperlink>
    </w:p>
    <w:p w:rsidR="00DD6372" w:rsidRPr="00DD6372" w:rsidRDefault="00DD6372" w:rsidP="00854C36">
      <w:pPr>
        <w:spacing w:before="100" w:beforeAutospacing="1" w:after="0" w:line="360" w:lineRule="auto"/>
        <w:jc w:val="both"/>
        <w:rPr>
          <w:rFonts w:ascii="Arial" w:eastAsia="Times New Roman" w:hAnsi="Arial" w:cs="Arial"/>
          <w:color w:val="1F1F1F"/>
          <w:sz w:val="24"/>
          <w:szCs w:val="24"/>
          <w:lang w:eastAsia="en-GB"/>
        </w:rPr>
      </w:pPr>
      <w:r w:rsidRPr="00DD6372">
        <w:rPr>
          <w:rFonts w:ascii="Arial" w:eastAsia="Times New Roman" w:hAnsi="Arial" w:cs="Arial"/>
          <w:color w:val="1F1F1F"/>
          <w:sz w:val="24"/>
          <w:szCs w:val="24"/>
          <w:lang w:eastAsia="en-GB"/>
        </w:rPr>
        <w:t xml:space="preserve">Yorke, M. and Knight, P.T., 2007. Evidence-informed pedagogy and the enhancement of student employability. </w:t>
      </w:r>
      <w:r w:rsidRPr="00DD6372">
        <w:rPr>
          <w:rFonts w:ascii="Arial" w:eastAsia="Times New Roman" w:hAnsi="Arial" w:cs="Arial"/>
          <w:i/>
          <w:iCs/>
          <w:color w:val="1F1F1F"/>
          <w:sz w:val="24"/>
          <w:szCs w:val="24"/>
          <w:bdr w:val="none" w:sz="0" w:space="0" w:color="auto" w:frame="1"/>
          <w:lang w:eastAsia="en-GB"/>
        </w:rPr>
        <w:t>Teaching in Higher Education</w:t>
      </w:r>
      <w:r w:rsidRPr="00DD6372">
        <w:rPr>
          <w:rFonts w:ascii="Arial" w:eastAsia="Times New Roman" w:hAnsi="Arial" w:cs="Arial"/>
          <w:color w:val="1F1F1F"/>
          <w:sz w:val="24"/>
          <w:szCs w:val="24"/>
          <w:lang w:eastAsia="en-GB"/>
        </w:rPr>
        <w:t>, 12(2), pp.157-170.</w:t>
      </w:r>
    </w:p>
    <w:sectPr w:rsidR="00DD6372" w:rsidRPr="00DD6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F719B6"/>
    <w:multiLevelType w:val="multilevel"/>
    <w:tmpl w:val="1D98A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094AF1"/>
    <w:multiLevelType w:val="multilevel"/>
    <w:tmpl w:val="6970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372"/>
    <w:rsid w:val="001D1CC0"/>
    <w:rsid w:val="00407340"/>
    <w:rsid w:val="005302EF"/>
    <w:rsid w:val="005D5EB2"/>
    <w:rsid w:val="00854C36"/>
    <w:rsid w:val="008D15AE"/>
    <w:rsid w:val="009951DB"/>
    <w:rsid w:val="00AF6318"/>
    <w:rsid w:val="00B34F3B"/>
    <w:rsid w:val="00BB7637"/>
    <w:rsid w:val="00CD1BE9"/>
    <w:rsid w:val="00DD6372"/>
    <w:rsid w:val="00E12E5A"/>
    <w:rsid w:val="00EB1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23848"/>
  <w15:chartTrackingRefBased/>
  <w15:docId w15:val="{2E1F01B5-B5B3-4A0B-93A5-C2372110B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D637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D637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D637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37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D637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D637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D63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D6372"/>
    <w:rPr>
      <w:color w:val="0000FF"/>
      <w:u w:val="single"/>
    </w:rPr>
  </w:style>
  <w:style w:type="character" w:styleId="UnresolvedMention">
    <w:name w:val="Unresolved Mention"/>
    <w:basedOn w:val="DefaultParagraphFont"/>
    <w:uiPriority w:val="99"/>
    <w:semiHidden/>
    <w:unhideWhenUsed/>
    <w:rsid w:val="00CD1BE9"/>
    <w:rPr>
      <w:color w:val="605E5C"/>
      <w:shd w:val="clear" w:color="auto" w:fill="E1DFDD"/>
    </w:rPr>
  </w:style>
  <w:style w:type="paragraph" w:styleId="Title">
    <w:name w:val="Title"/>
    <w:basedOn w:val="Normal"/>
    <w:next w:val="Normal"/>
    <w:link w:val="TitleChar"/>
    <w:uiPriority w:val="10"/>
    <w:qFormat/>
    <w:rsid w:val="00EB1F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F1E"/>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4073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528646">
      <w:bodyDiv w:val="1"/>
      <w:marLeft w:val="0"/>
      <w:marRight w:val="0"/>
      <w:marTop w:val="0"/>
      <w:marBottom w:val="0"/>
      <w:divBdr>
        <w:top w:val="none" w:sz="0" w:space="0" w:color="auto"/>
        <w:left w:val="none" w:sz="0" w:space="0" w:color="auto"/>
        <w:bottom w:val="none" w:sz="0" w:space="0" w:color="auto"/>
        <w:right w:val="none" w:sz="0" w:space="0" w:color="auto"/>
      </w:divBdr>
    </w:div>
    <w:div w:id="538979703">
      <w:bodyDiv w:val="1"/>
      <w:marLeft w:val="0"/>
      <w:marRight w:val="0"/>
      <w:marTop w:val="0"/>
      <w:marBottom w:val="0"/>
      <w:divBdr>
        <w:top w:val="none" w:sz="0" w:space="0" w:color="auto"/>
        <w:left w:val="none" w:sz="0" w:space="0" w:color="auto"/>
        <w:bottom w:val="none" w:sz="0" w:space="0" w:color="auto"/>
        <w:right w:val="none" w:sz="0" w:space="0" w:color="auto"/>
      </w:divBdr>
    </w:div>
    <w:div w:id="591469560">
      <w:bodyDiv w:val="1"/>
      <w:marLeft w:val="0"/>
      <w:marRight w:val="0"/>
      <w:marTop w:val="0"/>
      <w:marBottom w:val="0"/>
      <w:divBdr>
        <w:top w:val="none" w:sz="0" w:space="0" w:color="auto"/>
        <w:left w:val="none" w:sz="0" w:space="0" w:color="auto"/>
        <w:bottom w:val="none" w:sz="0" w:space="0" w:color="auto"/>
        <w:right w:val="none" w:sz="0" w:space="0" w:color="auto"/>
      </w:divBdr>
    </w:div>
    <w:div w:id="1009597822">
      <w:bodyDiv w:val="1"/>
      <w:marLeft w:val="0"/>
      <w:marRight w:val="0"/>
      <w:marTop w:val="0"/>
      <w:marBottom w:val="0"/>
      <w:divBdr>
        <w:top w:val="none" w:sz="0" w:space="0" w:color="auto"/>
        <w:left w:val="none" w:sz="0" w:space="0" w:color="auto"/>
        <w:bottom w:val="none" w:sz="0" w:space="0" w:color="auto"/>
        <w:right w:val="none" w:sz="0" w:space="0" w:color="auto"/>
      </w:divBdr>
    </w:div>
    <w:div w:id="1022820576">
      <w:bodyDiv w:val="1"/>
      <w:marLeft w:val="0"/>
      <w:marRight w:val="0"/>
      <w:marTop w:val="0"/>
      <w:marBottom w:val="0"/>
      <w:divBdr>
        <w:top w:val="none" w:sz="0" w:space="0" w:color="auto"/>
        <w:left w:val="none" w:sz="0" w:space="0" w:color="auto"/>
        <w:bottom w:val="none" w:sz="0" w:space="0" w:color="auto"/>
        <w:right w:val="none" w:sz="0" w:space="0" w:color="auto"/>
      </w:divBdr>
    </w:div>
    <w:div w:id="1296255074">
      <w:bodyDiv w:val="1"/>
      <w:marLeft w:val="0"/>
      <w:marRight w:val="0"/>
      <w:marTop w:val="0"/>
      <w:marBottom w:val="0"/>
      <w:divBdr>
        <w:top w:val="none" w:sz="0" w:space="0" w:color="auto"/>
        <w:left w:val="none" w:sz="0" w:space="0" w:color="auto"/>
        <w:bottom w:val="none" w:sz="0" w:space="0" w:color="auto"/>
        <w:right w:val="none" w:sz="0" w:space="0" w:color="auto"/>
      </w:divBdr>
    </w:div>
    <w:div w:id="1852377598">
      <w:bodyDiv w:val="1"/>
      <w:marLeft w:val="0"/>
      <w:marRight w:val="0"/>
      <w:marTop w:val="0"/>
      <w:marBottom w:val="0"/>
      <w:divBdr>
        <w:top w:val="none" w:sz="0" w:space="0" w:color="auto"/>
        <w:left w:val="none" w:sz="0" w:space="0" w:color="auto"/>
        <w:bottom w:val="none" w:sz="0" w:space="0" w:color="auto"/>
        <w:right w:val="none" w:sz="0" w:space="0" w:color="auto"/>
      </w:divBdr>
    </w:div>
    <w:div w:id="2056463733">
      <w:bodyDiv w:val="1"/>
      <w:marLeft w:val="0"/>
      <w:marRight w:val="0"/>
      <w:marTop w:val="0"/>
      <w:marBottom w:val="0"/>
      <w:divBdr>
        <w:top w:val="none" w:sz="0" w:space="0" w:color="auto"/>
        <w:left w:val="none" w:sz="0" w:space="0" w:color="auto"/>
        <w:bottom w:val="none" w:sz="0" w:space="0" w:color="auto"/>
        <w:right w:val="none" w:sz="0" w:space="0" w:color="auto"/>
      </w:divBdr>
    </w:div>
    <w:div w:id="2066181018">
      <w:bodyDiv w:val="1"/>
      <w:marLeft w:val="0"/>
      <w:marRight w:val="0"/>
      <w:marTop w:val="0"/>
      <w:marBottom w:val="0"/>
      <w:divBdr>
        <w:top w:val="none" w:sz="0" w:space="0" w:color="auto"/>
        <w:left w:val="none" w:sz="0" w:space="0" w:color="auto"/>
        <w:bottom w:val="none" w:sz="0" w:space="0" w:color="auto"/>
        <w:right w:val="none" w:sz="0" w:space="0" w:color="auto"/>
      </w:divBdr>
    </w:div>
    <w:div w:id="2138795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eforum.org/publications/the-future-of-jobs-report-2025/" TargetMode="External"/><Relationship Id="rId5" Type="http://schemas.openxmlformats.org/officeDocument/2006/relationships/hyperlink" Target="https://www.learning.linkedin.com/resources/workplace-learning-repor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7</Pages>
  <Words>1914</Words>
  <Characters>10911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007</dc:creator>
  <cp:keywords/>
  <dc:description/>
  <cp:lastModifiedBy>007</cp:lastModifiedBy>
  <cp:revision>5</cp:revision>
  <dcterms:created xsi:type="dcterms:W3CDTF">2026-06-18T20:47:00Z</dcterms:created>
  <dcterms:modified xsi:type="dcterms:W3CDTF">2026-06-19T16:15:00Z</dcterms:modified>
</cp:coreProperties>
</file>