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6A8965F5" w14:textId="5939F451" w:rsidR="00F37B62" w:rsidRDefault="00E23941" w:rsidP="00D557C5">
      <w:pPr>
        <w:jc w:val="center"/>
        <w:rPr>
          <w:b/>
          <w:bCs/>
          <w:sz w:val="52"/>
          <w:szCs w:val="52"/>
        </w:rPr>
      </w:pPr>
      <w:r w:rsidRPr="00D557C5">
        <w:rPr>
          <w:b/>
          <w:bCs/>
          <w:sz w:val="52"/>
          <w:szCs w:val="52"/>
        </w:rPr>
        <w:t>BA(Hons) Business Management</w:t>
      </w:r>
    </w:p>
    <w:p w14:paraId="25C0FE51" w14:textId="77777777" w:rsidR="00156748" w:rsidRDefault="00156748" w:rsidP="00D557C5">
      <w:pPr>
        <w:jc w:val="center"/>
        <w:rPr>
          <w:b/>
          <w:bCs/>
          <w:sz w:val="36"/>
          <w:szCs w:val="36"/>
        </w:rPr>
      </w:pPr>
    </w:p>
    <w:p w14:paraId="3D897D85" w14:textId="59838638" w:rsidR="00156748" w:rsidRPr="00156748" w:rsidRDefault="00156748" w:rsidP="00D557C5">
      <w:pPr>
        <w:jc w:val="center"/>
        <w:rPr>
          <w:rFonts w:ascii="Arial" w:hAnsi="Arial" w:cs="Arial"/>
          <w:b/>
          <w:bCs/>
          <w:sz w:val="36"/>
          <w:szCs w:val="36"/>
        </w:rPr>
      </w:pPr>
      <w:r w:rsidRPr="00156748">
        <w:rPr>
          <w:b/>
          <w:bCs/>
          <w:sz w:val="36"/>
          <w:szCs w:val="36"/>
        </w:rPr>
        <w:t>Havering Council Gallows Corner Development Project</w:t>
      </w:r>
    </w:p>
    <w:p w14:paraId="43FA50BC" w14:textId="77777777" w:rsidR="00F37B62" w:rsidRDefault="00F37B62" w:rsidP="00F37B62">
      <w:pPr>
        <w:spacing w:line="600" w:lineRule="auto"/>
        <w:rPr>
          <w:rFonts w:ascii="Arial" w:hAnsi="Arial" w:cs="Arial"/>
          <w:i/>
          <w:iCs/>
        </w:rPr>
      </w:pPr>
    </w:p>
    <w:p w14:paraId="1EE10BBF" w14:textId="1084D037" w:rsidR="00F37B62" w:rsidRPr="008F4215" w:rsidRDefault="00F37B62" w:rsidP="00F37B62">
      <w:pPr>
        <w:spacing w:line="600" w:lineRule="auto"/>
        <w:rPr>
          <w:rFonts w:ascii="Arial" w:hAnsi="Arial" w:cs="Arial"/>
          <w:b/>
          <w:bCs/>
          <w:i/>
          <w:iCs/>
        </w:rPr>
      </w:pPr>
      <w:r w:rsidRPr="008F4215">
        <w:rPr>
          <w:rFonts w:ascii="Arial" w:hAnsi="Arial" w:cs="Arial"/>
          <w:b/>
          <w:bCs/>
          <w:i/>
          <w:iCs/>
        </w:rPr>
        <w:t>Student Name:</w:t>
      </w:r>
      <w:r w:rsidR="00C75BC3">
        <w:rPr>
          <w:rFonts w:ascii="Arial" w:hAnsi="Arial" w:cs="Arial"/>
          <w:b/>
          <w:bCs/>
          <w:i/>
          <w:iCs/>
        </w:rPr>
        <w:t xml:space="preserve"> </w:t>
      </w:r>
      <w:r w:rsidR="00156748" w:rsidRPr="00156748">
        <w:rPr>
          <w:rFonts w:ascii="Arial" w:hAnsi="Arial" w:cs="Arial"/>
          <w:i/>
          <w:iCs/>
        </w:rPr>
        <w:t>Ileana Galatanu</w:t>
      </w:r>
    </w:p>
    <w:p w14:paraId="432CDF3F" w14:textId="6E5C3808" w:rsidR="00F37B62" w:rsidRPr="00156748" w:rsidRDefault="00F37B62" w:rsidP="00F37B62">
      <w:pPr>
        <w:spacing w:line="600" w:lineRule="auto"/>
        <w:rPr>
          <w:rFonts w:ascii="Arial" w:hAnsi="Arial" w:cs="Arial"/>
          <w:i/>
          <w:iCs/>
        </w:rPr>
      </w:pPr>
      <w:r w:rsidRPr="008F4215">
        <w:rPr>
          <w:rFonts w:ascii="Arial" w:hAnsi="Arial" w:cs="Arial"/>
          <w:b/>
          <w:bCs/>
          <w:i/>
          <w:iCs/>
        </w:rPr>
        <w:t>Student Number:</w:t>
      </w:r>
      <w:r w:rsidR="00156748" w:rsidRPr="00156748">
        <w:rPr>
          <w:rFonts w:ascii="Arial" w:hAnsi="Arial" w:cs="Arial"/>
          <w:i/>
          <w:iCs/>
        </w:rPr>
        <w:t>2418480</w:t>
      </w:r>
    </w:p>
    <w:p w14:paraId="777CB569" w14:textId="2C081868" w:rsidR="00F37B62" w:rsidRPr="00F37B62" w:rsidRDefault="00F37B62" w:rsidP="19DF5ED4">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D557C5">
        <w:rPr>
          <w:rFonts w:ascii="Arial" w:hAnsi="Arial" w:cs="Arial"/>
          <w:i/>
          <w:iCs/>
        </w:rPr>
        <w:t>Stakeholder Engagement LCBB4013</w:t>
      </w:r>
    </w:p>
    <w:p w14:paraId="556C6252" w14:textId="7008F184" w:rsidR="00F37B62" w:rsidRPr="00F37B62" w:rsidRDefault="00F37B62" w:rsidP="00F37B62">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CF901E6" w14:textId="066F0435" w:rsidR="00F37B62" w:rsidRPr="00F37B62" w:rsidRDefault="00F37B62" w:rsidP="19DF5ED4">
      <w:pPr>
        <w:spacing w:line="60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BF557E">
        <w:rPr>
          <w:rFonts w:ascii="Arial" w:hAnsi="Arial" w:cs="Arial"/>
          <w:i/>
          <w:iCs/>
        </w:rPr>
        <w:t>February 2026</w:t>
      </w:r>
      <w:r w:rsidRPr="19DF5ED4">
        <w:rPr>
          <w:rFonts w:ascii="Arial" w:hAnsi="Arial" w:cs="Arial"/>
          <w:b/>
          <w:bCs/>
          <w:i/>
          <w:iCs/>
        </w:rPr>
        <w:t xml:space="preserve"> </w:t>
      </w:r>
      <w:r w:rsidRPr="00156748">
        <w:rPr>
          <w:rFonts w:ascii="Arial" w:hAnsi="Arial" w:cs="Arial"/>
          <w:i/>
          <w:iCs/>
        </w:rPr>
        <w:t xml:space="preserve">Term </w:t>
      </w:r>
    </w:p>
    <w:p w14:paraId="5A7D7C48" w14:textId="45598E74" w:rsidR="19DF5ED4" w:rsidRDefault="19DF5ED4" w:rsidP="19DF5ED4">
      <w:pPr>
        <w:spacing w:line="600" w:lineRule="auto"/>
        <w:rPr>
          <w:rFonts w:ascii="Arial" w:hAnsi="Arial" w:cs="Arial"/>
          <w:b/>
          <w:bCs/>
          <w:i/>
          <w:iCs/>
        </w:rPr>
      </w:pPr>
    </w:p>
    <w:p w14:paraId="0EDBFF4D" w14:textId="77777777" w:rsidR="00156748" w:rsidRDefault="00156748" w:rsidP="19DF5ED4">
      <w:pPr>
        <w:spacing w:line="600" w:lineRule="auto"/>
        <w:rPr>
          <w:rFonts w:ascii="Arial" w:hAnsi="Arial" w:cs="Arial"/>
          <w:b/>
          <w:bCs/>
          <w:i/>
          <w:iCs/>
        </w:rPr>
      </w:pPr>
    </w:p>
    <w:p w14:paraId="63E702B7" w14:textId="77777777" w:rsidR="00156748" w:rsidRDefault="00156748" w:rsidP="19DF5ED4">
      <w:pPr>
        <w:spacing w:line="600" w:lineRule="auto"/>
        <w:rPr>
          <w:rFonts w:ascii="Arial" w:hAnsi="Arial" w:cs="Arial"/>
          <w:b/>
          <w:bCs/>
          <w:i/>
          <w:iCs/>
        </w:rPr>
      </w:pPr>
    </w:p>
    <w:p w14:paraId="6E6376AC" w14:textId="77777777" w:rsidR="00156748" w:rsidRDefault="00156748" w:rsidP="19DF5ED4">
      <w:pPr>
        <w:spacing w:line="600" w:lineRule="auto"/>
        <w:rPr>
          <w:rFonts w:ascii="Arial" w:hAnsi="Arial" w:cs="Arial"/>
          <w:b/>
          <w:bCs/>
          <w:i/>
          <w:iCs/>
        </w:rPr>
      </w:pPr>
    </w:p>
    <w:p w14:paraId="3A4AF166" w14:textId="77777777" w:rsidR="003F1F30" w:rsidRDefault="003F1F30" w:rsidP="00156748">
      <w:pPr>
        <w:spacing w:line="600" w:lineRule="auto"/>
        <w:jc w:val="center"/>
        <w:rPr>
          <w:rFonts w:ascii="Arial" w:hAnsi="Arial" w:cs="Arial"/>
          <w:b/>
          <w:bCs/>
        </w:rPr>
      </w:pPr>
    </w:p>
    <w:p w14:paraId="095194B4" w14:textId="77777777" w:rsidR="003F1F30" w:rsidRDefault="003F1F30" w:rsidP="00156748">
      <w:pPr>
        <w:spacing w:line="600" w:lineRule="auto"/>
        <w:jc w:val="center"/>
        <w:rPr>
          <w:rFonts w:ascii="Arial" w:hAnsi="Arial" w:cs="Arial"/>
          <w:b/>
          <w:bCs/>
        </w:rPr>
      </w:pPr>
    </w:p>
    <w:p w14:paraId="5DEAE4DA" w14:textId="681BB091" w:rsidR="00156748" w:rsidRPr="008C5E05" w:rsidRDefault="00156748" w:rsidP="00156748">
      <w:pPr>
        <w:spacing w:line="600" w:lineRule="auto"/>
        <w:jc w:val="center"/>
        <w:rPr>
          <w:rFonts w:cstheme="minorHAnsi"/>
          <w:b/>
          <w:bCs/>
          <w:sz w:val="24"/>
          <w:szCs w:val="24"/>
        </w:rPr>
      </w:pPr>
      <w:r w:rsidRPr="008C5E05">
        <w:rPr>
          <w:rFonts w:cstheme="minorHAnsi"/>
          <w:b/>
          <w:bCs/>
          <w:sz w:val="24"/>
          <w:szCs w:val="24"/>
        </w:rPr>
        <w:lastRenderedPageBreak/>
        <w:t>Table of Contents</w:t>
      </w:r>
    </w:p>
    <w:p w14:paraId="4AAE9AD4" w14:textId="2B59E6F0" w:rsidR="00156748" w:rsidRPr="008C5E05" w:rsidRDefault="00156748" w:rsidP="00156748">
      <w:pPr>
        <w:pStyle w:val="ListParagraph"/>
        <w:numPr>
          <w:ilvl w:val="0"/>
          <w:numId w:val="1"/>
        </w:numPr>
        <w:spacing w:line="600" w:lineRule="auto"/>
        <w:rPr>
          <w:rFonts w:cstheme="minorHAnsi"/>
          <w:b/>
          <w:bCs/>
          <w:sz w:val="24"/>
          <w:szCs w:val="24"/>
        </w:rPr>
      </w:pPr>
      <w:r w:rsidRPr="008C5E05">
        <w:rPr>
          <w:rFonts w:cstheme="minorHAnsi"/>
          <w:b/>
          <w:bCs/>
          <w:sz w:val="24"/>
          <w:szCs w:val="24"/>
        </w:rPr>
        <w:t>Introduction</w:t>
      </w:r>
    </w:p>
    <w:p w14:paraId="3AF47B15" w14:textId="45CA5DF5" w:rsidR="00156748" w:rsidRPr="008C5E05" w:rsidRDefault="009F3699" w:rsidP="00156748">
      <w:pPr>
        <w:pStyle w:val="ListParagraph"/>
        <w:numPr>
          <w:ilvl w:val="0"/>
          <w:numId w:val="1"/>
        </w:numPr>
        <w:spacing w:line="600" w:lineRule="auto"/>
        <w:rPr>
          <w:rFonts w:cstheme="minorHAnsi"/>
          <w:b/>
          <w:bCs/>
          <w:sz w:val="24"/>
          <w:szCs w:val="24"/>
        </w:rPr>
      </w:pPr>
      <w:r w:rsidRPr="008C5E05">
        <w:rPr>
          <w:rFonts w:cstheme="minorHAnsi"/>
          <w:b/>
          <w:bCs/>
          <w:sz w:val="24"/>
          <w:szCs w:val="24"/>
        </w:rPr>
        <w:t>Stakeholder Engagement Strategies</w:t>
      </w:r>
    </w:p>
    <w:p w14:paraId="6FEEE48C" w14:textId="171578A0" w:rsidR="009F3699" w:rsidRPr="008C5E05" w:rsidRDefault="009F3699" w:rsidP="00156748">
      <w:pPr>
        <w:pStyle w:val="ListParagraph"/>
        <w:numPr>
          <w:ilvl w:val="0"/>
          <w:numId w:val="1"/>
        </w:numPr>
        <w:spacing w:line="600" w:lineRule="auto"/>
        <w:rPr>
          <w:rFonts w:cstheme="minorHAnsi"/>
          <w:b/>
          <w:bCs/>
          <w:sz w:val="24"/>
          <w:szCs w:val="24"/>
        </w:rPr>
      </w:pPr>
      <w:r w:rsidRPr="008C5E05">
        <w:rPr>
          <w:rFonts w:cstheme="minorHAnsi"/>
          <w:b/>
          <w:bCs/>
          <w:sz w:val="24"/>
          <w:szCs w:val="24"/>
        </w:rPr>
        <w:t>Ethical Considerations in Stakeholders Consultation</w:t>
      </w:r>
    </w:p>
    <w:p w14:paraId="6AEE32BC" w14:textId="6DF60866" w:rsidR="009F3699" w:rsidRPr="008C5E05" w:rsidRDefault="009F3699" w:rsidP="00156748">
      <w:pPr>
        <w:pStyle w:val="ListParagraph"/>
        <w:numPr>
          <w:ilvl w:val="0"/>
          <w:numId w:val="1"/>
        </w:numPr>
        <w:spacing w:line="600" w:lineRule="auto"/>
        <w:rPr>
          <w:rFonts w:cstheme="minorHAnsi"/>
          <w:b/>
          <w:bCs/>
          <w:sz w:val="24"/>
          <w:szCs w:val="24"/>
        </w:rPr>
      </w:pPr>
      <w:r w:rsidRPr="008C5E05">
        <w:rPr>
          <w:rFonts w:cstheme="minorHAnsi"/>
          <w:b/>
          <w:bCs/>
          <w:sz w:val="24"/>
          <w:szCs w:val="24"/>
        </w:rPr>
        <w:t>Conclusion</w:t>
      </w:r>
    </w:p>
    <w:p w14:paraId="735D7893" w14:textId="239F3252" w:rsidR="008C5E05" w:rsidRPr="008C5E05" w:rsidRDefault="008C5E05" w:rsidP="00156748">
      <w:pPr>
        <w:pStyle w:val="ListParagraph"/>
        <w:numPr>
          <w:ilvl w:val="0"/>
          <w:numId w:val="1"/>
        </w:numPr>
        <w:spacing w:line="600" w:lineRule="auto"/>
        <w:rPr>
          <w:rFonts w:cstheme="minorHAnsi"/>
          <w:b/>
          <w:bCs/>
          <w:sz w:val="24"/>
          <w:szCs w:val="24"/>
        </w:rPr>
      </w:pPr>
      <w:r w:rsidRPr="008C5E05">
        <w:rPr>
          <w:rFonts w:cstheme="minorHAnsi"/>
          <w:b/>
          <w:bCs/>
          <w:sz w:val="24"/>
          <w:szCs w:val="24"/>
        </w:rPr>
        <w:t>Refences</w:t>
      </w:r>
    </w:p>
    <w:p w14:paraId="199DBED9" w14:textId="77777777" w:rsidR="009F3699" w:rsidRPr="008C5E05" w:rsidRDefault="009F3699" w:rsidP="009F3699">
      <w:pPr>
        <w:spacing w:line="600" w:lineRule="auto"/>
        <w:rPr>
          <w:rFonts w:ascii="Arial" w:hAnsi="Arial" w:cs="Arial"/>
          <w:b/>
          <w:bCs/>
          <w:sz w:val="22"/>
          <w:szCs w:val="22"/>
        </w:rPr>
      </w:pPr>
    </w:p>
    <w:p w14:paraId="5D267312" w14:textId="77777777" w:rsidR="009F3699" w:rsidRPr="003F1F30" w:rsidRDefault="009F3699" w:rsidP="009F3699">
      <w:pPr>
        <w:spacing w:line="600" w:lineRule="auto"/>
        <w:rPr>
          <w:rFonts w:ascii="Arial" w:hAnsi="Arial" w:cs="Arial"/>
          <w:b/>
          <w:bCs/>
          <w:sz w:val="22"/>
          <w:szCs w:val="22"/>
        </w:rPr>
      </w:pPr>
    </w:p>
    <w:p w14:paraId="15A5939D" w14:textId="17918457" w:rsidR="009F3699" w:rsidRPr="008C5E05" w:rsidRDefault="009F3699" w:rsidP="008C5E05">
      <w:pPr>
        <w:pStyle w:val="ListParagraph"/>
        <w:numPr>
          <w:ilvl w:val="0"/>
          <w:numId w:val="3"/>
        </w:numPr>
        <w:spacing w:after="0" w:line="600" w:lineRule="auto"/>
        <w:rPr>
          <w:rFonts w:cstheme="minorHAnsi"/>
          <w:b/>
          <w:bCs/>
          <w:sz w:val="24"/>
          <w:szCs w:val="24"/>
        </w:rPr>
      </w:pPr>
      <w:r w:rsidRPr="008C5E05">
        <w:rPr>
          <w:rFonts w:cstheme="minorHAnsi"/>
          <w:b/>
          <w:bCs/>
          <w:sz w:val="24"/>
          <w:szCs w:val="24"/>
        </w:rPr>
        <w:t>Introduction</w:t>
      </w:r>
    </w:p>
    <w:p w14:paraId="30F4680D" w14:textId="2E21D1EE" w:rsidR="009F3699" w:rsidRPr="003F1F30" w:rsidRDefault="009F3699" w:rsidP="00360B7B">
      <w:pPr>
        <w:spacing w:after="0" w:line="600" w:lineRule="auto"/>
        <w:rPr>
          <w:rFonts w:cstheme="minorHAnsi"/>
          <w:sz w:val="22"/>
          <w:szCs w:val="22"/>
        </w:rPr>
      </w:pPr>
      <w:r w:rsidRPr="003F1F30">
        <w:rPr>
          <w:rFonts w:cstheme="minorHAnsi"/>
          <w:sz w:val="22"/>
          <w:szCs w:val="22"/>
        </w:rPr>
        <w:t xml:space="preserve"> This portfolio examines the proposed Gallows Corner development project, led by the Havering Council, a major infrastructure initiative aimed to improve transport efficiency, reduce congestion and enhance safety within the borough of Havering. Gallows Corner is a key junction connecting major routes such as the A12 and A127, and its development is essential to support regional mobility and economic growth (Transport for London, 2023).</w:t>
      </w:r>
    </w:p>
    <w:p w14:paraId="4AB5107A" w14:textId="0AB6BFBF" w:rsidR="009F3699" w:rsidRPr="003F1F30" w:rsidRDefault="009F3699" w:rsidP="00360B7B">
      <w:pPr>
        <w:spacing w:after="0" w:line="600" w:lineRule="auto"/>
        <w:rPr>
          <w:rFonts w:cstheme="minorHAnsi"/>
          <w:sz w:val="22"/>
          <w:szCs w:val="22"/>
        </w:rPr>
      </w:pPr>
      <w:r w:rsidRPr="003F1F30">
        <w:rPr>
          <w:rFonts w:cstheme="minorHAnsi"/>
          <w:sz w:val="22"/>
          <w:szCs w:val="22"/>
        </w:rPr>
        <w:t xml:space="preserve">The portfolio will </w:t>
      </w:r>
      <w:r w:rsidR="004E494A" w:rsidRPr="003F1F30">
        <w:rPr>
          <w:rFonts w:cstheme="minorHAnsi"/>
          <w:sz w:val="22"/>
          <w:szCs w:val="22"/>
        </w:rPr>
        <w:t>present four key elements of the project, in element 1 defining its purpose, scope and objectives, while identifying key stakeholders involved in the development. It also identifies SMART objectives and evaluates the success rate of the project. Element 2 provides a deeper analysis of the strategies used with the help of SWOT, PESTLE and VRIO frameworks, alongside stakeholders mapping and communication planning. Element 3 ethical considerations in stakeholder engagement, focusing on consultation methods, bias control and inclusion.</w:t>
      </w:r>
      <w:r w:rsidR="00B65FEA" w:rsidRPr="003F1F30">
        <w:rPr>
          <w:rFonts w:cstheme="minorHAnsi"/>
          <w:sz w:val="22"/>
          <w:szCs w:val="22"/>
        </w:rPr>
        <w:t xml:space="preserve"> It evaluates how ethical </w:t>
      </w:r>
      <w:r w:rsidR="00B65FEA" w:rsidRPr="003F1F30">
        <w:rPr>
          <w:rFonts w:cstheme="minorHAnsi"/>
          <w:sz w:val="22"/>
          <w:szCs w:val="22"/>
        </w:rPr>
        <w:lastRenderedPageBreak/>
        <w:t>decision making ensures transparency, fairness and accountability in stakeholder engagement.</w:t>
      </w:r>
      <w:r w:rsidR="004E494A" w:rsidRPr="003F1F30">
        <w:rPr>
          <w:rFonts w:cstheme="minorHAnsi"/>
          <w:sz w:val="22"/>
          <w:szCs w:val="22"/>
        </w:rPr>
        <w:t xml:space="preserve"> </w:t>
      </w:r>
      <w:r w:rsidR="002F18CF" w:rsidRPr="003F1F30">
        <w:rPr>
          <w:rFonts w:cstheme="minorHAnsi"/>
          <w:sz w:val="22"/>
          <w:szCs w:val="22"/>
        </w:rPr>
        <w:t>El</w:t>
      </w:r>
      <w:r w:rsidR="004E494A" w:rsidRPr="003F1F30">
        <w:rPr>
          <w:rFonts w:cstheme="minorHAnsi"/>
          <w:sz w:val="22"/>
          <w:szCs w:val="22"/>
        </w:rPr>
        <w:t>ement 4</w:t>
      </w:r>
      <w:r w:rsidR="002F18CF" w:rsidRPr="003F1F30">
        <w:rPr>
          <w:rFonts w:cstheme="minorHAnsi"/>
          <w:sz w:val="22"/>
          <w:szCs w:val="22"/>
        </w:rPr>
        <w:t xml:space="preserve"> concludes the report </w:t>
      </w:r>
      <w:r w:rsidR="00B65FEA" w:rsidRPr="003F1F30">
        <w:rPr>
          <w:rFonts w:cstheme="minorHAnsi"/>
          <w:sz w:val="22"/>
          <w:szCs w:val="22"/>
        </w:rPr>
        <w:t>by summarising key insights and reflecting on the learning outcomes, particularly in developing essential project management skills such as communication, leadership and conflict resolution.</w:t>
      </w:r>
    </w:p>
    <w:p w14:paraId="406849CB" w14:textId="4C0A185C" w:rsidR="002F18CF" w:rsidRPr="003F1F30" w:rsidRDefault="002F18CF" w:rsidP="00360B7B">
      <w:pPr>
        <w:spacing w:after="0" w:line="600" w:lineRule="auto"/>
        <w:rPr>
          <w:rFonts w:cstheme="minorHAnsi"/>
          <w:sz w:val="22"/>
          <w:szCs w:val="22"/>
        </w:rPr>
      </w:pPr>
      <w:r w:rsidRPr="003F1F30">
        <w:rPr>
          <w:rFonts w:cstheme="minorHAnsi"/>
          <w:sz w:val="22"/>
          <w:szCs w:val="22"/>
        </w:rPr>
        <w:t>The goal of Gallows Corner development includes redesigning the junction layout, upgrading the infrastructure, improving pedestrian and cycling facilities and building smart traffic management systems. The purpose of the project is to reduce congestion, improve safety and sustainability solutions in line with London’s wider transport strategy (Greater London Authority, 2022).</w:t>
      </w:r>
    </w:p>
    <w:p w14:paraId="1B6E9D6C" w14:textId="12DF3C95" w:rsidR="002F18CF" w:rsidRPr="003F1F30" w:rsidRDefault="002F18CF" w:rsidP="00360B7B">
      <w:pPr>
        <w:spacing w:after="0" w:line="600" w:lineRule="auto"/>
        <w:rPr>
          <w:rFonts w:cstheme="minorHAnsi"/>
          <w:b/>
          <w:bCs/>
          <w:sz w:val="22"/>
          <w:szCs w:val="22"/>
        </w:rPr>
      </w:pPr>
      <w:r w:rsidRPr="003F1F30">
        <w:rPr>
          <w:rFonts w:cstheme="minorHAnsi"/>
          <w:b/>
          <w:bCs/>
          <w:sz w:val="22"/>
          <w:szCs w:val="22"/>
        </w:rPr>
        <w:t xml:space="preserve">Stakeholder identification </w:t>
      </w:r>
    </w:p>
    <w:p w14:paraId="4F7212B5" w14:textId="61DCE911" w:rsidR="00F70225" w:rsidRPr="003F1F30" w:rsidRDefault="00F70225" w:rsidP="00360B7B">
      <w:pPr>
        <w:spacing w:after="0" w:line="600" w:lineRule="auto"/>
        <w:rPr>
          <w:rFonts w:cstheme="minorHAnsi"/>
          <w:sz w:val="22"/>
          <w:szCs w:val="22"/>
        </w:rPr>
      </w:pPr>
      <w:r w:rsidRPr="003F1F30">
        <w:rPr>
          <w:rFonts w:cstheme="minorHAnsi"/>
          <w:sz w:val="22"/>
          <w:szCs w:val="22"/>
        </w:rPr>
        <w:t>Internal Stakeholders: Project Manager, Engineering Team, Construction Manager</w:t>
      </w:r>
    </w:p>
    <w:p w14:paraId="0268FA47" w14:textId="633467AE" w:rsidR="00F70225" w:rsidRPr="003F1F30" w:rsidRDefault="00F70225" w:rsidP="00360B7B">
      <w:pPr>
        <w:spacing w:after="0" w:line="600" w:lineRule="auto"/>
        <w:rPr>
          <w:rFonts w:cstheme="minorHAnsi"/>
          <w:sz w:val="22"/>
          <w:szCs w:val="22"/>
        </w:rPr>
      </w:pPr>
      <w:r w:rsidRPr="003F1F30">
        <w:rPr>
          <w:rFonts w:cstheme="minorHAnsi"/>
          <w:sz w:val="22"/>
          <w:szCs w:val="22"/>
        </w:rPr>
        <w:t xml:space="preserve">External Stakeholders: Havering Council, </w:t>
      </w:r>
      <w:proofErr w:type="gramStart"/>
      <w:r w:rsidRPr="003F1F30">
        <w:rPr>
          <w:rFonts w:cstheme="minorHAnsi"/>
          <w:sz w:val="22"/>
          <w:szCs w:val="22"/>
        </w:rPr>
        <w:t>Local Residents</w:t>
      </w:r>
      <w:proofErr w:type="gramEnd"/>
      <w:r w:rsidRPr="003F1F30">
        <w:rPr>
          <w:rFonts w:cstheme="minorHAnsi"/>
          <w:sz w:val="22"/>
          <w:szCs w:val="22"/>
        </w:rPr>
        <w:t xml:space="preserve">, Local Businesses </w:t>
      </w:r>
    </w:p>
    <w:p w14:paraId="2F3FBD7D" w14:textId="46B59DA5" w:rsidR="00F70225" w:rsidRPr="003F1F30" w:rsidRDefault="00F70225" w:rsidP="00360B7B">
      <w:pPr>
        <w:spacing w:after="0" w:line="600" w:lineRule="auto"/>
        <w:rPr>
          <w:rFonts w:cstheme="minorHAnsi"/>
          <w:sz w:val="22"/>
          <w:szCs w:val="22"/>
        </w:rPr>
      </w:pPr>
      <w:r w:rsidRPr="003F1F30">
        <w:rPr>
          <w:rFonts w:cstheme="minorHAnsi"/>
          <w:b/>
          <w:bCs/>
          <w:sz w:val="22"/>
          <w:szCs w:val="22"/>
        </w:rPr>
        <w:t>Roles and Responsibilities</w:t>
      </w:r>
    </w:p>
    <w:p w14:paraId="4F0E6BF3" w14:textId="77777777" w:rsidR="00D07611" w:rsidRPr="003F1F30" w:rsidRDefault="00F70225" w:rsidP="00360B7B">
      <w:pPr>
        <w:spacing w:after="0" w:line="600" w:lineRule="auto"/>
        <w:rPr>
          <w:rFonts w:cstheme="minorHAnsi"/>
          <w:sz w:val="22"/>
          <w:szCs w:val="22"/>
        </w:rPr>
      </w:pPr>
      <w:r w:rsidRPr="003F1F30">
        <w:rPr>
          <w:rFonts w:cstheme="minorHAnsi"/>
          <w:sz w:val="22"/>
          <w:szCs w:val="22"/>
        </w:rPr>
        <w:t>Havering Council acts as the project sponsor, responsible for funding, approvals and governance. The project Manager oversees planning and execution, ensuring timelines and budgets are met. Engineers design the infrastructure, while construction managers supervise implementation. Residents provide feedback as primary users and local businesses are affected economically by the development</w:t>
      </w:r>
      <w:r w:rsidR="00D07611" w:rsidRPr="003F1F30">
        <w:rPr>
          <w:rFonts w:cstheme="minorHAnsi"/>
          <w:sz w:val="22"/>
          <w:szCs w:val="22"/>
        </w:rPr>
        <w:t xml:space="preserve"> (Greater London Authority, 2022).</w:t>
      </w:r>
    </w:p>
    <w:p w14:paraId="6ABBBCEC" w14:textId="775028CF" w:rsidR="00F70225" w:rsidRPr="00360B7B" w:rsidRDefault="00F70225" w:rsidP="00360B7B">
      <w:pPr>
        <w:spacing w:after="0" w:line="600" w:lineRule="auto"/>
        <w:rPr>
          <w:rFonts w:cstheme="minorHAnsi"/>
          <w:sz w:val="24"/>
          <w:szCs w:val="24"/>
        </w:rPr>
      </w:pPr>
    </w:p>
    <w:p w14:paraId="005FBFBF" w14:textId="5FC1F29E" w:rsidR="00F70225" w:rsidRPr="003F1F30" w:rsidRDefault="00F70225" w:rsidP="00360B7B">
      <w:pPr>
        <w:spacing w:after="0" w:line="600" w:lineRule="auto"/>
        <w:rPr>
          <w:rFonts w:cstheme="minorHAnsi"/>
          <w:sz w:val="22"/>
          <w:szCs w:val="22"/>
        </w:rPr>
      </w:pPr>
      <w:r w:rsidRPr="003F1F30">
        <w:rPr>
          <w:rFonts w:cstheme="minorHAnsi"/>
          <w:b/>
          <w:bCs/>
          <w:sz w:val="22"/>
          <w:szCs w:val="22"/>
        </w:rPr>
        <w:t>SMART Objectives</w:t>
      </w:r>
    </w:p>
    <w:p w14:paraId="33F6B545" w14:textId="022679BC" w:rsidR="00D07611" w:rsidRPr="003F1F30" w:rsidRDefault="00D07611" w:rsidP="00360B7B">
      <w:pPr>
        <w:spacing w:after="0" w:line="600" w:lineRule="auto"/>
        <w:rPr>
          <w:rFonts w:eastAsia="Aptos" w:cstheme="minorHAnsi"/>
          <w:sz w:val="22"/>
          <w:szCs w:val="22"/>
        </w:rPr>
      </w:pPr>
      <w:r w:rsidRPr="003F1F30">
        <w:rPr>
          <w:rFonts w:cstheme="minorHAnsi"/>
          <w:sz w:val="22"/>
          <w:szCs w:val="22"/>
        </w:rPr>
        <w:t xml:space="preserve">Complete the project within 18 months and a </w:t>
      </w:r>
      <w:r w:rsidRPr="003F1F30">
        <w:rPr>
          <w:rFonts w:eastAsia="Aptos" w:cstheme="minorHAnsi"/>
          <w:sz w:val="22"/>
          <w:szCs w:val="22"/>
        </w:rPr>
        <w:t>£25 million budget.</w:t>
      </w:r>
    </w:p>
    <w:p w14:paraId="68BBA0B2" w14:textId="37CC2965" w:rsidR="00D07611" w:rsidRPr="003F1F30" w:rsidRDefault="00D07611" w:rsidP="00360B7B">
      <w:pPr>
        <w:spacing w:after="0" w:line="600" w:lineRule="auto"/>
        <w:rPr>
          <w:rFonts w:eastAsia="Aptos" w:cstheme="minorHAnsi"/>
          <w:sz w:val="22"/>
          <w:szCs w:val="22"/>
        </w:rPr>
      </w:pPr>
      <w:r w:rsidRPr="003F1F30">
        <w:rPr>
          <w:rFonts w:eastAsia="Aptos" w:cstheme="minorHAnsi"/>
          <w:sz w:val="22"/>
          <w:szCs w:val="22"/>
        </w:rPr>
        <w:t>Reduce traffic congestion by 20% within one year of completion.</w:t>
      </w:r>
    </w:p>
    <w:p w14:paraId="3B3C7BFA" w14:textId="077B535C" w:rsidR="00D07611" w:rsidRPr="003F1F30" w:rsidRDefault="00D07611" w:rsidP="00360B7B">
      <w:pPr>
        <w:spacing w:after="0" w:line="600" w:lineRule="auto"/>
        <w:rPr>
          <w:rFonts w:eastAsia="Aptos" w:cstheme="minorHAnsi"/>
          <w:sz w:val="22"/>
          <w:szCs w:val="22"/>
        </w:rPr>
      </w:pPr>
      <w:r w:rsidRPr="003F1F30">
        <w:rPr>
          <w:rFonts w:eastAsia="Aptos" w:cstheme="minorHAnsi"/>
          <w:sz w:val="22"/>
          <w:szCs w:val="22"/>
        </w:rPr>
        <w:lastRenderedPageBreak/>
        <w:t>Improve road safety, reducing accidents by 15%.</w:t>
      </w:r>
    </w:p>
    <w:p w14:paraId="25F39530" w14:textId="2B3410F5" w:rsidR="00D07611" w:rsidRPr="003F1F30" w:rsidRDefault="00D07611" w:rsidP="00360B7B">
      <w:pPr>
        <w:spacing w:after="0" w:line="600" w:lineRule="auto"/>
        <w:rPr>
          <w:rFonts w:eastAsia="Aptos" w:cstheme="minorHAnsi"/>
          <w:sz w:val="22"/>
          <w:szCs w:val="22"/>
        </w:rPr>
      </w:pPr>
      <w:r w:rsidRPr="003F1F30">
        <w:rPr>
          <w:rFonts w:eastAsia="Aptos" w:cstheme="minorHAnsi"/>
          <w:sz w:val="22"/>
          <w:szCs w:val="22"/>
        </w:rPr>
        <w:t>Increase pedestrian and cyclist accessibility by 30%.</w:t>
      </w:r>
    </w:p>
    <w:p w14:paraId="7F403D6C" w14:textId="7F9E7B51" w:rsidR="00D07611" w:rsidRPr="003F1F30" w:rsidRDefault="00D07611" w:rsidP="00360B7B">
      <w:pPr>
        <w:spacing w:after="0" w:line="600" w:lineRule="auto"/>
        <w:rPr>
          <w:rFonts w:eastAsia="Aptos" w:cstheme="minorHAnsi"/>
          <w:sz w:val="22"/>
          <w:szCs w:val="22"/>
        </w:rPr>
      </w:pPr>
      <w:r w:rsidRPr="003F1F30">
        <w:rPr>
          <w:rFonts w:eastAsia="Aptos" w:cstheme="minorHAnsi"/>
          <w:sz w:val="22"/>
          <w:szCs w:val="22"/>
        </w:rPr>
        <w:t>Achieve 75% stakeholder satisfaction post-completion.</w:t>
      </w:r>
    </w:p>
    <w:p w14:paraId="7DB3C632" w14:textId="2693EFEC" w:rsidR="003725D5" w:rsidRPr="003F1F30" w:rsidRDefault="003725D5" w:rsidP="00360B7B">
      <w:pPr>
        <w:spacing w:after="0" w:line="600" w:lineRule="auto"/>
        <w:rPr>
          <w:rFonts w:eastAsia="Aptos" w:cstheme="minorHAnsi"/>
          <w:b/>
          <w:bCs/>
          <w:sz w:val="22"/>
          <w:szCs w:val="22"/>
        </w:rPr>
      </w:pPr>
      <w:r w:rsidRPr="003F1F30">
        <w:rPr>
          <w:rFonts w:eastAsia="Aptos" w:cstheme="minorHAnsi"/>
          <w:b/>
          <w:bCs/>
          <w:sz w:val="22"/>
          <w:szCs w:val="22"/>
        </w:rPr>
        <w:t xml:space="preserve">Success criteria </w:t>
      </w:r>
    </w:p>
    <w:p w14:paraId="7220C71C" w14:textId="0EABE70A" w:rsidR="00850A2A" w:rsidRPr="003F1F30" w:rsidRDefault="00850A2A" w:rsidP="00360B7B">
      <w:pPr>
        <w:spacing w:after="0" w:line="600" w:lineRule="auto"/>
        <w:rPr>
          <w:rFonts w:eastAsia="Aptos" w:cstheme="minorHAnsi"/>
          <w:sz w:val="22"/>
          <w:szCs w:val="22"/>
        </w:rPr>
      </w:pPr>
      <w:r w:rsidRPr="003F1F30">
        <w:rPr>
          <w:rFonts w:eastAsia="Aptos" w:cstheme="minorHAnsi"/>
          <w:sz w:val="22"/>
          <w:szCs w:val="22"/>
        </w:rPr>
        <w:t>Project success will be evaluated based on efficiency improvements, stakeholder satisfaction, adherence to budget and timelines, and long-term sustainability outcomes (Kerzner,2017).</w:t>
      </w:r>
    </w:p>
    <w:p w14:paraId="0115802C" w14:textId="77777777" w:rsidR="00360B7B" w:rsidRPr="003F1F30" w:rsidRDefault="00360B7B" w:rsidP="00360B7B">
      <w:pPr>
        <w:spacing w:after="0" w:line="600" w:lineRule="auto"/>
        <w:rPr>
          <w:rFonts w:eastAsia="Aptos" w:cstheme="minorHAnsi"/>
          <w:b/>
          <w:bCs/>
          <w:sz w:val="22"/>
          <w:szCs w:val="22"/>
        </w:rPr>
      </w:pPr>
    </w:p>
    <w:p w14:paraId="632E2A72" w14:textId="44CBFC03" w:rsidR="00360B7B" w:rsidRPr="008C5E05" w:rsidRDefault="00360B7B" w:rsidP="008C5E05">
      <w:pPr>
        <w:pStyle w:val="ListParagraph"/>
        <w:numPr>
          <w:ilvl w:val="0"/>
          <w:numId w:val="3"/>
        </w:numPr>
        <w:spacing w:after="0" w:line="600" w:lineRule="auto"/>
        <w:rPr>
          <w:rFonts w:eastAsia="Aptos" w:cstheme="minorHAnsi"/>
          <w:b/>
          <w:bCs/>
          <w:sz w:val="24"/>
          <w:szCs w:val="24"/>
        </w:rPr>
      </w:pPr>
      <w:r w:rsidRPr="008C5E05">
        <w:rPr>
          <w:rFonts w:eastAsia="Aptos" w:cstheme="minorHAnsi"/>
          <w:b/>
          <w:bCs/>
          <w:sz w:val="24"/>
          <w:szCs w:val="24"/>
        </w:rPr>
        <w:t>Stakeholder Engagement Strategies</w:t>
      </w:r>
    </w:p>
    <w:p w14:paraId="6EC63126" w14:textId="4CDBC0BD" w:rsidR="00850A2A" w:rsidRPr="003F1F30" w:rsidRDefault="00850A2A" w:rsidP="00360B7B">
      <w:pPr>
        <w:spacing w:after="0" w:line="600" w:lineRule="auto"/>
        <w:rPr>
          <w:rFonts w:eastAsia="Aptos" w:cstheme="minorHAnsi"/>
          <w:b/>
          <w:bCs/>
          <w:sz w:val="22"/>
          <w:szCs w:val="22"/>
        </w:rPr>
      </w:pPr>
      <w:r w:rsidRPr="003F1F30">
        <w:rPr>
          <w:rFonts w:eastAsia="Aptos" w:cstheme="minorHAnsi"/>
          <w:b/>
          <w:bCs/>
          <w:sz w:val="22"/>
          <w:szCs w:val="22"/>
        </w:rPr>
        <w:t>SWOT Analysis</w:t>
      </w:r>
    </w:p>
    <w:p w14:paraId="2B4D0E19" w14:textId="0FE2A879" w:rsidR="00AA7199" w:rsidRPr="003F1F30" w:rsidRDefault="00AA7199" w:rsidP="00360B7B">
      <w:pPr>
        <w:spacing w:after="0" w:line="600" w:lineRule="auto"/>
        <w:rPr>
          <w:rFonts w:eastAsia="Aptos" w:cstheme="minorHAnsi"/>
          <w:sz w:val="22"/>
          <w:szCs w:val="22"/>
        </w:rPr>
      </w:pPr>
      <w:r w:rsidRPr="003F1F30">
        <w:rPr>
          <w:rFonts w:eastAsia="Aptos" w:cstheme="minorHAnsi"/>
          <w:sz w:val="22"/>
          <w:szCs w:val="22"/>
        </w:rPr>
        <w:t>A SWOT analysis evaluates the internal strengths and weaknesses along the external opportunities and threats affecting the Gallows Corner development project</w:t>
      </w:r>
      <w:r w:rsidR="00F03166">
        <w:rPr>
          <w:rFonts w:eastAsia="Aptos" w:cstheme="minorHAnsi"/>
          <w:sz w:val="22"/>
          <w:szCs w:val="22"/>
        </w:rPr>
        <w:t xml:space="preserve"> (Gurel and Tat, 2017).</w:t>
      </w:r>
    </w:p>
    <w:p w14:paraId="08D4F1D6" w14:textId="5D739C37" w:rsidR="00360B7B" w:rsidRPr="003F1F30" w:rsidRDefault="00360B7B" w:rsidP="00360B7B">
      <w:pPr>
        <w:spacing w:after="0" w:line="600" w:lineRule="auto"/>
        <w:rPr>
          <w:rFonts w:eastAsia="Aptos" w:cstheme="minorHAnsi"/>
          <w:b/>
          <w:bCs/>
          <w:sz w:val="22"/>
          <w:szCs w:val="22"/>
        </w:rPr>
      </w:pPr>
      <w:r w:rsidRPr="003F1F30">
        <w:rPr>
          <w:rFonts w:eastAsia="Aptos" w:cstheme="minorHAnsi"/>
          <w:b/>
          <w:bCs/>
          <w:sz w:val="22"/>
          <w:szCs w:val="22"/>
        </w:rPr>
        <w:t xml:space="preserve">Strengths </w:t>
      </w:r>
    </w:p>
    <w:p w14:paraId="76389ABC" w14:textId="5C3323B7" w:rsidR="00360B7B" w:rsidRPr="003F1F30" w:rsidRDefault="00360B7B" w:rsidP="00360B7B">
      <w:pPr>
        <w:spacing w:after="0" w:line="600" w:lineRule="auto"/>
        <w:rPr>
          <w:rFonts w:eastAsia="Aptos" w:cstheme="minorHAnsi"/>
          <w:sz w:val="22"/>
          <w:szCs w:val="22"/>
        </w:rPr>
      </w:pPr>
      <w:r w:rsidRPr="003F1F30">
        <w:rPr>
          <w:rFonts w:eastAsia="Aptos" w:cstheme="minorHAnsi"/>
          <w:sz w:val="22"/>
          <w:szCs w:val="22"/>
        </w:rPr>
        <w:t>The Gallows Corner project is strategically located, making it highly valuable for improving regional connectivity</w:t>
      </w:r>
      <w:r w:rsidR="009D31A9">
        <w:rPr>
          <w:rFonts w:eastAsia="Aptos" w:cstheme="minorHAnsi"/>
          <w:sz w:val="22"/>
          <w:szCs w:val="22"/>
        </w:rPr>
        <w:t xml:space="preserve"> and reducing congestion</w:t>
      </w:r>
      <w:r w:rsidR="00AA7199" w:rsidRPr="003F1F30">
        <w:rPr>
          <w:rFonts w:eastAsia="Aptos" w:cstheme="minorHAnsi"/>
          <w:sz w:val="22"/>
          <w:szCs w:val="22"/>
        </w:rPr>
        <w:t>, linking the A12 and A127. This makes it a high-impact infrastructure investment with s</w:t>
      </w:r>
      <w:r w:rsidRPr="003F1F30">
        <w:rPr>
          <w:rFonts w:eastAsia="Aptos" w:cstheme="minorHAnsi"/>
          <w:sz w:val="22"/>
          <w:szCs w:val="22"/>
        </w:rPr>
        <w:t>trong backing from Havering Council and alignment with London transport policies enhances its feasibility</w:t>
      </w:r>
      <w:r w:rsidR="009D31A9">
        <w:rPr>
          <w:rFonts w:eastAsia="Aptos" w:cstheme="minorHAnsi"/>
          <w:sz w:val="22"/>
          <w:szCs w:val="22"/>
        </w:rPr>
        <w:t xml:space="preserve">, ensures policy alignment and funding </w:t>
      </w:r>
      <w:r w:rsidRPr="003F1F30">
        <w:rPr>
          <w:rFonts w:eastAsia="Aptos" w:cstheme="minorHAnsi"/>
          <w:sz w:val="22"/>
          <w:szCs w:val="22"/>
        </w:rPr>
        <w:t>(TfL,2023)</w:t>
      </w:r>
      <w:r w:rsidR="00E67F24" w:rsidRPr="003F1F30">
        <w:rPr>
          <w:rFonts w:eastAsia="Aptos" w:cstheme="minorHAnsi"/>
          <w:sz w:val="22"/>
          <w:szCs w:val="22"/>
        </w:rPr>
        <w:t>.</w:t>
      </w:r>
      <w:r w:rsidR="00AA7199" w:rsidRPr="003F1F30">
        <w:rPr>
          <w:rFonts w:eastAsia="Aptos" w:cstheme="minorHAnsi"/>
          <w:sz w:val="22"/>
          <w:szCs w:val="22"/>
        </w:rPr>
        <w:t xml:space="preserve"> Additionally, the project benefits from strong institutional support from Havering council and Transport for London (TfL). This support </w:t>
      </w:r>
      <w:r w:rsidR="00EB508D" w:rsidRPr="003F1F30">
        <w:rPr>
          <w:rFonts w:eastAsia="Aptos" w:cstheme="minorHAnsi"/>
          <w:sz w:val="22"/>
          <w:szCs w:val="22"/>
        </w:rPr>
        <w:t>increases efficient</w:t>
      </w:r>
      <w:r w:rsidR="00AA7199" w:rsidRPr="003F1F30">
        <w:rPr>
          <w:rFonts w:eastAsia="Aptos" w:cstheme="minorHAnsi"/>
          <w:sz w:val="22"/>
          <w:szCs w:val="22"/>
        </w:rPr>
        <w:t xml:space="preserve"> governance and alignment with broader transport strategies such as the Mayor’s Transport Strategy (Greater London Authority, 2022).</w:t>
      </w:r>
      <w:r w:rsidR="009D31A9">
        <w:rPr>
          <w:rFonts w:eastAsia="Aptos" w:cstheme="minorHAnsi"/>
          <w:sz w:val="22"/>
          <w:szCs w:val="22"/>
        </w:rPr>
        <w:t xml:space="preserve"> The use of smart technologies supports sustainability and efficiency (Banister, 2008).</w:t>
      </w:r>
    </w:p>
    <w:p w14:paraId="2B638DAD" w14:textId="4390ABF9" w:rsidR="00E67F24" w:rsidRPr="003F1F30" w:rsidRDefault="00E67F24" w:rsidP="00360B7B">
      <w:pPr>
        <w:spacing w:after="0" w:line="600" w:lineRule="auto"/>
        <w:rPr>
          <w:rFonts w:eastAsia="Aptos" w:cstheme="minorHAnsi"/>
          <w:b/>
          <w:bCs/>
          <w:sz w:val="22"/>
          <w:szCs w:val="22"/>
        </w:rPr>
      </w:pPr>
      <w:r w:rsidRPr="003F1F30">
        <w:rPr>
          <w:rFonts w:eastAsia="Aptos" w:cstheme="minorHAnsi"/>
          <w:b/>
          <w:bCs/>
          <w:sz w:val="22"/>
          <w:szCs w:val="22"/>
        </w:rPr>
        <w:t>Weaknesses</w:t>
      </w:r>
    </w:p>
    <w:p w14:paraId="5FE9A8B1" w14:textId="7F23E017" w:rsidR="00E67F24" w:rsidRPr="003F1F30" w:rsidRDefault="00E67F24" w:rsidP="00360B7B">
      <w:pPr>
        <w:spacing w:after="0" w:line="600" w:lineRule="auto"/>
        <w:rPr>
          <w:rFonts w:eastAsia="Aptos" w:cstheme="minorHAnsi"/>
          <w:sz w:val="22"/>
          <w:szCs w:val="22"/>
        </w:rPr>
      </w:pPr>
      <w:r w:rsidRPr="003F1F30">
        <w:rPr>
          <w:rFonts w:eastAsia="Aptos" w:cstheme="minorHAnsi"/>
          <w:sz w:val="22"/>
          <w:szCs w:val="22"/>
        </w:rPr>
        <w:lastRenderedPageBreak/>
        <w:t xml:space="preserve">High costs and potential disruption may negatively impact local businesses and commuters. </w:t>
      </w:r>
      <w:r w:rsidR="00EC1B77" w:rsidRPr="003F1F30">
        <w:rPr>
          <w:rFonts w:eastAsia="Aptos" w:cstheme="minorHAnsi"/>
          <w:sz w:val="22"/>
          <w:szCs w:val="22"/>
        </w:rPr>
        <w:t xml:space="preserve">Despite its strengths, the project faces several internal limitations. A major weakness is the high capital cost, estimated at approximately £25 million. Infrastructure projects of this scale often face budget constraints and require careful financial management (Kerzner, 2017). Additionally, the project involves complex coordination between multiple stakeholders, including engineers, planners and regulatory bodies. Poor coordination may lead to delays, inefficiencies and miscommunication. </w:t>
      </w:r>
    </w:p>
    <w:p w14:paraId="44B5CDFB" w14:textId="7E74565B" w:rsidR="00E67F24" w:rsidRPr="003F1F30" w:rsidRDefault="00E67F24" w:rsidP="00360B7B">
      <w:pPr>
        <w:spacing w:after="0" w:line="600" w:lineRule="auto"/>
        <w:rPr>
          <w:rFonts w:eastAsia="Aptos" w:cstheme="minorHAnsi"/>
          <w:b/>
          <w:bCs/>
          <w:sz w:val="22"/>
          <w:szCs w:val="22"/>
        </w:rPr>
      </w:pPr>
      <w:r w:rsidRPr="003F1F30">
        <w:rPr>
          <w:rFonts w:eastAsia="Aptos" w:cstheme="minorHAnsi"/>
          <w:b/>
          <w:bCs/>
          <w:sz w:val="22"/>
          <w:szCs w:val="22"/>
        </w:rPr>
        <w:t>Opportunities</w:t>
      </w:r>
    </w:p>
    <w:p w14:paraId="3FFC4B61" w14:textId="66B824FD" w:rsidR="00E67F24" w:rsidRPr="003F1F30" w:rsidRDefault="00E67F24" w:rsidP="00360B7B">
      <w:pPr>
        <w:spacing w:after="0" w:line="600" w:lineRule="auto"/>
        <w:rPr>
          <w:rFonts w:cstheme="minorHAnsi"/>
          <w:sz w:val="22"/>
          <w:szCs w:val="22"/>
        </w:rPr>
      </w:pPr>
      <w:r w:rsidRPr="003F1F30">
        <w:rPr>
          <w:rFonts w:eastAsia="Aptos" w:cstheme="minorHAnsi"/>
          <w:sz w:val="22"/>
          <w:szCs w:val="22"/>
        </w:rPr>
        <w:t xml:space="preserve">The project presents opportunities to introduce smart traffic systems and promote sustainable transport. It can also boost local economic growths through improved accessibility </w:t>
      </w:r>
      <w:r w:rsidRPr="003F1F30">
        <w:rPr>
          <w:rFonts w:cstheme="minorHAnsi"/>
          <w:sz w:val="22"/>
          <w:szCs w:val="22"/>
        </w:rPr>
        <w:t>(Greater London Authority, 2022).</w:t>
      </w:r>
      <w:r w:rsidR="00EC1B77" w:rsidRPr="003F1F30">
        <w:rPr>
          <w:rFonts w:cstheme="minorHAnsi"/>
          <w:sz w:val="22"/>
          <w:szCs w:val="22"/>
        </w:rPr>
        <w:t xml:space="preserve"> There is also an opportunity </w:t>
      </w:r>
      <w:r w:rsidR="00A73D23" w:rsidRPr="003F1F30">
        <w:rPr>
          <w:rFonts w:cstheme="minorHAnsi"/>
          <w:sz w:val="22"/>
          <w:szCs w:val="22"/>
        </w:rPr>
        <w:t>to promote sustainable transport, including cycling and walking infrastructure. This aligns with environmental goals and can reduce carbon emissions in the long term (GLA, 2022).</w:t>
      </w:r>
    </w:p>
    <w:p w14:paraId="7BE84495" w14:textId="77777777" w:rsidR="00A73D23" w:rsidRPr="003F1F30" w:rsidRDefault="00A73D23" w:rsidP="00360B7B">
      <w:pPr>
        <w:spacing w:after="0" w:line="600" w:lineRule="auto"/>
        <w:rPr>
          <w:rFonts w:cstheme="minorHAnsi"/>
          <w:b/>
          <w:bCs/>
          <w:sz w:val="22"/>
          <w:szCs w:val="22"/>
        </w:rPr>
      </w:pPr>
    </w:p>
    <w:p w14:paraId="320FF80C" w14:textId="77777777" w:rsidR="00A73D23" w:rsidRPr="003F1F30" w:rsidRDefault="00A73D23" w:rsidP="00360B7B">
      <w:pPr>
        <w:spacing w:after="0" w:line="600" w:lineRule="auto"/>
        <w:rPr>
          <w:rFonts w:cstheme="minorHAnsi"/>
          <w:b/>
          <w:bCs/>
          <w:sz w:val="22"/>
          <w:szCs w:val="22"/>
        </w:rPr>
      </w:pPr>
    </w:p>
    <w:p w14:paraId="454D9EE2" w14:textId="189BF4ED" w:rsidR="00E67F24" w:rsidRPr="003F1F30" w:rsidRDefault="00E67F24" w:rsidP="00360B7B">
      <w:pPr>
        <w:spacing w:after="0" w:line="600" w:lineRule="auto"/>
        <w:rPr>
          <w:rFonts w:cstheme="minorHAnsi"/>
          <w:b/>
          <w:bCs/>
          <w:sz w:val="22"/>
          <w:szCs w:val="22"/>
        </w:rPr>
      </w:pPr>
      <w:r w:rsidRPr="003F1F30">
        <w:rPr>
          <w:rFonts w:cstheme="minorHAnsi"/>
          <w:b/>
          <w:bCs/>
          <w:sz w:val="22"/>
          <w:szCs w:val="22"/>
        </w:rPr>
        <w:t>Threats</w:t>
      </w:r>
    </w:p>
    <w:p w14:paraId="1E7135AC" w14:textId="341A9EFC" w:rsidR="00E67F24" w:rsidRPr="003F1F30" w:rsidRDefault="00E67F24" w:rsidP="00360B7B">
      <w:pPr>
        <w:spacing w:after="0" w:line="600" w:lineRule="auto"/>
        <w:rPr>
          <w:rFonts w:cstheme="minorHAnsi"/>
          <w:sz w:val="22"/>
          <w:szCs w:val="22"/>
        </w:rPr>
      </w:pPr>
      <w:r w:rsidRPr="003F1F30">
        <w:rPr>
          <w:rFonts w:cstheme="minorHAnsi"/>
          <w:sz w:val="22"/>
          <w:szCs w:val="22"/>
        </w:rPr>
        <w:t>Risks include budget overruns</w:t>
      </w:r>
      <w:r w:rsidR="00A73D23" w:rsidRPr="003F1F30">
        <w:rPr>
          <w:rFonts w:cstheme="minorHAnsi"/>
          <w:sz w:val="22"/>
          <w:szCs w:val="22"/>
        </w:rPr>
        <w:t xml:space="preserve"> and delays,</w:t>
      </w:r>
      <w:r w:rsidRPr="003F1F30">
        <w:rPr>
          <w:rFonts w:cstheme="minorHAnsi"/>
          <w:sz w:val="22"/>
          <w:szCs w:val="22"/>
        </w:rPr>
        <w:t xml:space="preserve"> political changes and public opposition due to construction disruptions (Flyvbjerg,2014).</w:t>
      </w:r>
      <w:r w:rsidR="00A73D23" w:rsidRPr="003F1F30">
        <w:rPr>
          <w:rFonts w:cstheme="minorHAnsi"/>
          <w:sz w:val="22"/>
          <w:szCs w:val="22"/>
        </w:rPr>
        <w:t xml:space="preserve"> Unexpected costs or technical challenges could impact delivery. Another significant threat is public opposition, particularly if residents feel the disruption outweighs the benefits. Finally, regulatory and environmental constrains pose risks. The project must comply with strict planning and environmental regulations and failure to comply with can result in penalties or project suspension.</w:t>
      </w:r>
    </w:p>
    <w:p w14:paraId="37B40696" w14:textId="77777777" w:rsidR="00EB508D" w:rsidRDefault="00EB508D" w:rsidP="00360B7B">
      <w:pPr>
        <w:spacing w:after="0" w:line="600" w:lineRule="auto"/>
        <w:rPr>
          <w:rFonts w:cstheme="minorHAnsi"/>
          <w:b/>
          <w:bCs/>
          <w:sz w:val="22"/>
          <w:szCs w:val="22"/>
        </w:rPr>
      </w:pPr>
    </w:p>
    <w:p w14:paraId="552D9D0A" w14:textId="77777777" w:rsidR="00EB508D" w:rsidRDefault="00EB508D" w:rsidP="00360B7B">
      <w:pPr>
        <w:spacing w:after="0" w:line="600" w:lineRule="auto"/>
        <w:rPr>
          <w:rFonts w:cstheme="minorHAnsi"/>
          <w:b/>
          <w:bCs/>
          <w:sz w:val="22"/>
          <w:szCs w:val="22"/>
        </w:rPr>
      </w:pPr>
    </w:p>
    <w:p w14:paraId="5A6194CB" w14:textId="106D8901" w:rsidR="00E67F24" w:rsidRPr="003F1F30" w:rsidRDefault="00E67F24" w:rsidP="00360B7B">
      <w:pPr>
        <w:spacing w:after="0" w:line="600" w:lineRule="auto"/>
        <w:rPr>
          <w:rFonts w:cstheme="minorHAnsi"/>
          <w:sz w:val="22"/>
          <w:szCs w:val="22"/>
        </w:rPr>
      </w:pPr>
      <w:r w:rsidRPr="003F1F30">
        <w:rPr>
          <w:rFonts w:cstheme="minorHAnsi"/>
          <w:b/>
          <w:bCs/>
          <w:sz w:val="22"/>
          <w:szCs w:val="22"/>
        </w:rPr>
        <w:t xml:space="preserve">PESTLE analysis </w:t>
      </w:r>
    </w:p>
    <w:p w14:paraId="686FAA72" w14:textId="7055C1E3" w:rsidR="000B3E45" w:rsidRPr="003F1F30" w:rsidRDefault="000B3E45" w:rsidP="00360B7B">
      <w:pPr>
        <w:spacing w:after="0" w:line="600" w:lineRule="auto"/>
        <w:rPr>
          <w:rFonts w:cstheme="minorHAnsi"/>
          <w:sz w:val="22"/>
          <w:szCs w:val="22"/>
        </w:rPr>
      </w:pPr>
      <w:r w:rsidRPr="003F1F30">
        <w:rPr>
          <w:rFonts w:cstheme="minorHAnsi"/>
          <w:sz w:val="22"/>
          <w:szCs w:val="22"/>
        </w:rPr>
        <w:t xml:space="preserve">A PESTLE analysis provides a </w:t>
      </w:r>
      <w:r w:rsidR="00EB508D">
        <w:rPr>
          <w:rFonts w:cstheme="minorHAnsi"/>
          <w:sz w:val="22"/>
          <w:szCs w:val="22"/>
        </w:rPr>
        <w:t xml:space="preserve">comprehensive evaluation of the macro-environmental factors influencing the Gallows Corner development project. This framework is essential in infrastructure planning as it enables project managers to anticipate external risks and opportunities beyond internal control </w:t>
      </w:r>
      <w:r w:rsidR="00F03166">
        <w:rPr>
          <w:rFonts w:cstheme="minorHAnsi"/>
          <w:sz w:val="22"/>
          <w:szCs w:val="22"/>
        </w:rPr>
        <w:t>(Johnson, Scholes and Whittington, 2020).</w:t>
      </w:r>
    </w:p>
    <w:p w14:paraId="34A81E8B" w14:textId="06A22B2B" w:rsidR="00E67F24" w:rsidRPr="003F1F30" w:rsidRDefault="00E67F24" w:rsidP="00360B7B">
      <w:pPr>
        <w:spacing w:after="0" w:line="600" w:lineRule="auto"/>
        <w:rPr>
          <w:rFonts w:cstheme="minorHAnsi"/>
          <w:b/>
          <w:bCs/>
          <w:sz w:val="22"/>
          <w:szCs w:val="22"/>
        </w:rPr>
      </w:pPr>
      <w:r w:rsidRPr="003F1F30">
        <w:rPr>
          <w:rFonts w:cstheme="minorHAnsi"/>
          <w:b/>
          <w:bCs/>
          <w:sz w:val="22"/>
          <w:szCs w:val="22"/>
        </w:rPr>
        <w:t>Political</w:t>
      </w:r>
      <w:r w:rsidR="00B600B3">
        <w:rPr>
          <w:rFonts w:cstheme="minorHAnsi"/>
          <w:b/>
          <w:bCs/>
          <w:sz w:val="22"/>
          <w:szCs w:val="22"/>
        </w:rPr>
        <w:t xml:space="preserve"> Factors</w:t>
      </w:r>
    </w:p>
    <w:p w14:paraId="217FC87B" w14:textId="0419CD3C" w:rsidR="00E67F24" w:rsidRPr="003F1F30" w:rsidRDefault="00E67F24" w:rsidP="00360B7B">
      <w:pPr>
        <w:spacing w:after="0" w:line="600" w:lineRule="auto"/>
        <w:rPr>
          <w:rFonts w:cstheme="minorHAnsi"/>
          <w:sz w:val="22"/>
          <w:szCs w:val="22"/>
        </w:rPr>
      </w:pPr>
      <w:r w:rsidRPr="003F1F30">
        <w:rPr>
          <w:rFonts w:cstheme="minorHAnsi"/>
          <w:sz w:val="22"/>
          <w:szCs w:val="22"/>
        </w:rPr>
        <w:t>Government support is crucial</w:t>
      </w:r>
      <w:r w:rsidR="00FA198E" w:rsidRPr="003F1F30">
        <w:rPr>
          <w:rFonts w:cstheme="minorHAnsi"/>
          <w:sz w:val="22"/>
          <w:szCs w:val="22"/>
        </w:rPr>
        <w:t>. Changes in policy or funding priorities could affect progress (GLA, 2022).</w:t>
      </w:r>
      <w:r w:rsidR="00B600B3">
        <w:rPr>
          <w:rFonts w:cstheme="minorHAnsi"/>
          <w:sz w:val="22"/>
          <w:szCs w:val="22"/>
        </w:rPr>
        <w:t xml:space="preserve"> The Gallows Corner project is heavily influenced by political decisions at both local and regional levels. Havering Council plays a central role as the project sponsor, while Transport for London (TfL) provides strategic direction and potential funding support. Alignment with the Mayor’s Transport Strategy is critical to ensure policy consistency</w:t>
      </w:r>
      <w:r w:rsidR="007A105B">
        <w:rPr>
          <w:rFonts w:cstheme="minorHAnsi"/>
          <w:sz w:val="22"/>
          <w:szCs w:val="22"/>
        </w:rPr>
        <w:t xml:space="preserve"> and long-term viability (GLA, 2022). However, political factors also introduce uncertainty. Changes in government priorities, leadership, or funding allocations could delay or alter the project scope.</w:t>
      </w:r>
    </w:p>
    <w:p w14:paraId="75669FC7" w14:textId="70A5C41E" w:rsidR="00FA198E" w:rsidRPr="003F1F30" w:rsidRDefault="00FA198E" w:rsidP="00360B7B">
      <w:pPr>
        <w:spacing w:after="0" w:line="600" w:lineRule="auto"/>
        <w:rPr>
          <w:rFonts w:cstheme="minorHAnsi"/>
          <w:b/>
          <w:bCs/>
          <w:sz w:val="22"/>
          <w:szCs w:val="22"/>
        </w:rPr>
      </w:pPr>
      <w:r w:rsidRPr="003F1F30">
        <w:rPr>
          <w:rFonts w:cstheme="minorHAnsi"/>
          <w:b/>
          <w:bCs/>
          <w:sz w:val="22"/>
          <w:szCs w:val="22"/>
        </w:rPr>
        <w:t>Economic</w:t>
      </w:r>
      <w:r w:rsidR="00B600B3">
        <w:rPr>
          <w:rFonts w:cstheme="minorHAnsi"/>
          <w:b/>
          <w:bCs/>
          <w:sz w:val="22"/>
          <w:szCs w:val="22"/>
        </w:rPr>
        <w:t xml:space="preserve"> Factors</w:t>
      </w:r>
    </w:p>
    <w:p w14:paraId="32ABF81A" w14:textId="62D7FADF" w:rsidR="00FA198E" w:rsidRPr="003F1F30" w:rsidRDefault="00FA198E" w:rsidP="00360B7B">
      <w:pPr>
        <w:spacing w:after="0" w:line="600" w:lineRule="auto"/>
        <w:rPr>
          <w:rFonts w:cstheme="minorHAnsi"/>
          <w:sz w:val="22"/>
          <w:szCs w:val="22"/>
        </w:rPr>
      </w:pPr>
      <w:r w:rsidRPr="003F1F30">
        <w:rPr>
          <w:rFonts w:cstheme="minorHAnsi"/>
          <w:sz w:val="22"/>
          <w:szCs w:val="22"/>
        </w:rPr>
        <w:t>The project requires significant investment</w:t>
      </w:r>
      <w:r w:rsidR="0035445D" w:rsidRPr="003F1F30">
        <w:rPr>
          <w:rFonts w:cstheme="minorHAnsi"/>
          <w:sz w:val="22"/>
          <w:szCs w:val="22"/>
        </w:rPr>
        <w:t>, making it sensitive to inflation, budget constraints and economic conditions.</w:t>
      </w:r>
      <w:r w:rsidR="00B8607C">
        <w:rPr>
          <w:rFonts w:cstheme="minorHAnsi"/>
          <w:sz w:val="22"/>
          <w:szCs w:val="22"/>
        </w:rPr>
        <w:t xml:space="preserve"> The economic environment significantly impacts the feasibility and sustainability of the Gallows Corner project. The estimated £25 million investment requires careful financial planning, particularly in the context of inflation, rising material costs and labour shortages </w:t>
      </w:r>
      <w:r w:rsidR="00B8607C">
        <w:rPr>
          <w:rFonts w:cstheme="minorHAnsi"/>
          <w:sz w:val="22"/>
          <w:szCs w:val="22"/>
        </w:rPr>
        <w:lastRenderedPageBreak/>
        <w:t>(Flyvbjerg, 2014).</w:t>
      </w:r>
      <w:r w:rsidR="0035445D" w:rsidRPr="003F1F30">
        <w:rPr>
          <w:rFonts w:cstheme="minorHAnsi"/>
          <w:sz w:val="22"/>
          <w:szCs w:val="22"/>
        </w:rPr>
        <w:t xml:space="preserve"> However, successful completion of the project can lead to economic benefits, including increased local business activity and job creation (</w:t>
      </w:r>
      <w:r w:rsidR="00F03166">
        <w:rPr>
          <w:rFonts w:cstheme="minorHAnsi"/>
          <w:sz w:val="22"/>
          <w:szCs w:val="22"/>
        </w:rPr>
        <w:t>Rodrik, 2016</w:t>
      </w:r>
      <w:r w:rsidR="0035445D" w:rsidRPr="003F1F30">
        <w:rPr>
          <w:rFonts w:cstheme="minorHAnsi"/>
          <w:sz w:val="22"/>
          <w:szCs w:val="22"/>
        </w:rPr>
        <w:t xml:space="preserve">). </w:t>
      </w:r>
    </w:p>
    <w:p w14:paraId="37C1EAD2" w14:textId="77777777" w:rsidR="0035445D" w:rsidRPr="003F1F30" w:rsidRDefault="0035445D" w:rsidP="00360B7B">
      <w:pPr>
        <w:spacing w:after="0" w:line="600" w:lineRule="auto"/>
        <w:rPr>
          <w:rFonts w:cstheme="minorHAnsi"/>
          <w:b/>
          <w:bCs/>
          <w:sz w:val="22"/>
          <w:szCs w:val="22"/>
        </w:rPr>
      </w:pPr>
    </w:p>
    <w:p w14:paraId="611CD7C0" w14:textId="61370945" w:rsidR="00FA198E" w:rsidRPr="00C76F96" w:rsidRDefault="00FA198E" w:rsidP="00360B7B">
      <w:pPr>
        <w:spacing w:after="0" w:line="600" w:lineRule="auto"/>
        <w:rPr>
          <w:rFonts w:cstheme="minorHAnsi"/>
          <w:sz w:val="22"/>
          <w:szCs w:val="22"/>
        </w:rPr>
      </w:pPr>
      <w:r w:rsidRPr="003F1F30">
        <w:rPr>
          <w:rFonts w:cstheme="minorHAnsi"/>
          <w:b/>
          <w:bCs/>
          <w:sz w:val="22"/>
          <w:szCs w:val="22"/>
        </w:rPr>
        <w:t>Social</w:t>
      </w:r>
      <w:r w:rsidR="00017DF4">
        <w:rPr>
          <w:rFonts w:cstheme="minorHAnsi"/>
          <w:b/>
          <w:bCs/>
          <w:sz w:val="22"/>
          <w:szCs w:val="22"/>
        </w:rPr>
        <w:t xml:space="preserve"> Factors</w:t>
      </w:r>
    </w:p>
    <w:p w14:paraId="554BC7CB" w14:textId="256D95E5" w:rsidR="00C76F96" w:rsidRPr="00C76F96" w:rsidRDefault="00C76F96" w:rsidP="00360B7B">
      <w:pPr>
        <w:spacing w:after="0" w:line="600" w:lineRule="auto"/>
        <w:rPr>
          <w:rFonts w:cstheme="minorHAnsi"/>
          <w:sz w:val="22"/>
          <w:szCs w:val="22"/>
        </w:rPr>
      </w:pPr>
      <w:r>
        <w:rPr>
          <w:rFonts w:cstheme="minorHAnsi"/>
          <w:sz w:val="22"/>
          <w:szCs w:val="22"/>
        </w:rPr>
        <w:t xml:space="preserve">Social factors are central to the </w:t>
      </w:r>
      <w:r w:rsidR="00211CA2">
        <w:rPr>
          <w:rFonts w:cstheme="minorHAnsi"/>
          <w:sz w:val="22"/>
          <w:szCs w:val="22"/>
        </w:rPr>
        <w:t xml:space="preserve">success of the Gallows Corner development, as the project directly affects daily lives of </w:t>
      </w:r>
      <w:proofErr w:type="gramStart"/>
      <w:r w:rsidR="00211CA2">
        <w:rPr>
          <w:rFonts w:cstheme="minorHAnsi"/>
          <w:sz w:val="22"/>
          <w:szCs w:val="22"/>
        </w:rPr>
        <w:t>local residents</w:t>
      </w:r>
      <w:proofErr w:type="gramEnd"/>
      <w:r w:rsidR="00211CA2">
        <w:rPr>
          <w:rFonts w:cstheme="minorHAnsi"/>
          <w:sz w:val="22"/>
          <w:szCs w:val="22"/>
        </w:rPr>
        <w:t xml:space="preserve"> and commuters. </w:t>
      </w:r>
    </w:p>
    <w:p w14:paraId="485462D1" w14:textId="40E0AF5A" w:rsidR="00FA198E" w:rsidRPr="003F1F30" w:rsidRDefault="00FA198E" w:rsidP="00360B7B">
      <w:pPr>
        <w:spacing w:after="0" w:line="600" w:lineRule="auto"/>
        <w:rPr>
          <w:rFonts w:cstheme="minorHAnsi"/>
          <w:sz w:val="22"/>
          <w:szCs w:val="22"/>
        </w:rPr>
      </w:pPr>
      <w:r w:rsidRPr="003F1F30">
        <w:rPr>
          <w:rFonts w:cstheme="minorHAnsi"/>
          <w:sz w:val="22"/>
          <w:szCs w:val="22"/>
        </w:rPr>
        <w:t>Improved infrastructure enhances quality of life</w:t>
      </w:r>
      <w:r w:rsidR="0035445D" w:rsidRPr="003F1F30">
        <w:rPr>
          <w:rFonts w:cstheme="minorHAnsi"/>
          <w:sz w:val="22"/>
          <w:szCs w:val="22"/>
        </w:rPr>
        <w:t xml:space="preserve"> in a densely populated area</w:t>
      </w:r>
      <w:r w:rsidRPr="003F1F30">
        <w:rPr>
          <w:rFonts w:cstheme="minorHAnsi"/>
          <w:sz w:val="22"/>
          <w:szCs w:val="22"/>
        </w:rPr>
        <w:t xml:space="preserve">, </w:t>
      </w:r>
      <w:r w:rsidR="00211CA2">
        <w:rPr>
          <w:rFonts w:cstheme="minorHAnsi"/>
          <w:sz w:val="22"/>
          <w:szCs w:val="22"/>
        </w:rPr>
        <w:t xml:space="preserve">reduce travel stress and improve safety (Banister, 2008). In the </w:t>
      </w:r>
      <w:proofErr w:type="gramStart"/>
      <w:r w:rsidR="00211CA2">
        <w:rPr>
          <w:rFonts w:cstheme="minorHAnsi"/>
          <w:sz w:val="22"/>
          <w:szCs w:val="22"/>
        </w:rPr>
        <w:t>meantime</w:t>
      </w:r>
      <w:proofErr w:type="gramEnd"/>
      <w:r w:rsidR="00211CA2">
        <w:rPr>
          <w:rFonts w:cstheme="minorHAnsi"/>
          <w:sz w:val="22"/>
          <w:szCs w:val="22"/>
        </w:rPr>
        <w:t xml:space="preserve"> </w:t>
      </w:r>
      <w:r w:rsidR="00211CA2" w:rsidRPr="003F1F30">
        <w:rPr>
          <w:rFonts w:cstheme="minorHAnsi"/>
          <w:sz w:val="22"/>
          <w:szCs w:val="22"/>
        </w:rPr>
        <w:t>construction</w:t>
      </w:r>
      <w:r w:rsidRPr="003F1F30">
        <w:rPr>
          <w:rFonts w:cstheme="minorHAnsi"/>
          <w:sz w:val="22"/>
          <w:szCs w:val="22"/>
        </w:rPr>
        <w:t xml:space="preserve"> disruption may cause</w:t>
      </w:r>
      <w:r w:rsidR="0035445D" w:rsidRPr="003F1F30">
        <w:rPr>
          <w:rFonts w:cstheme="minorHAnsi"/>
          <w:sz w:val="22"/>
          <w:szCs w:val="22"/>
        </w:rPr>
        <w:t xml:space="preserve"> public</w:t>
      </w:r>
      <w:r w:rsidRPr="003F1F30">
        <w:rPr>
          <w:rFonts w:cstheme="minorHAnsi"/>
          <w:sz w:val="22"/>
          <w:szCs w:val="22"/>
        </w:rPr>
        <w:t xml:space="preserve"> dissatisfaction.</w:t>
      </w:r>
      <w:r w:rsidR="0035445D" w:rsidRPr="003F1F30">
        <w:rPr>
          <w:rFonts w:cstheme="minorHAnsi"/>
          <w:sz w:val="22"/>
          <w:szCs w:val="22"/>
        </w:rPr>
        <w:t xml:space="preserve"> Public perception is critical, as community support </w:t>
      </w:r>
      <w:r w:rsidR="00A672C4" w:rsidRPr="003F1F30">
        <w:rPr>
          <w:rFonts w:cstheme="minorHAnsi"/>
          <w:sz w:val="22"/>
          <w:szCs w:val="22"/>
        </w:rPr>
        <w:t>can influence project success</w:t>
      </w:r>
      <w:r w:rsidR="00277942" w:rsidRPr="003F1F30">
        <w:rPr>
          <w:rFonts w:cstheme="minorHAnsi"/>
          <w:sz w:val="22"/>
          <w:szCs w:val="22"/>
        </w:rPr>
        <w:t xml:space="preserve"> (GLA, 2022)</w:t>
      </w:r>
      <w:r w:rsidR="003A651F">
        <w:rPr>
          <w:rFonts w:cstheme="minorHAnsi"/>
          <w:sz w:val="22"/>
          <w:szCs w:val="22"/>
        </w:rPr>
        <w:t>. Demographic diversity within Havering also requires careful consideration. Different groups (e.g., elderly residents, commuters, cyclists) have varying needs and expectations. Failure to address these differences may result in unequal benefits. Continuous stakeholder engagement and transparency are essential to maintain public trust and support.</w:t>
      </w:r>
    </w:p>
    <w:p w14:paraId="51D65831" w14:textId="18912BE7" w:rsidR="00FA198E" w:rsidRDefault="00FA198E" w:rsidP="00360B7B">
      <w:pPr>
        <w:spacing w:after="0" w:line="600" w:lineRule="auto"/>
        <w:rPr>
          <w:rFonts w:cstheme="minorHAnsi"/>
          <w:b/>
          <w:bCs/>
          <w:sz w:val="22"/>
          <w:szCs w:val="22"/>
        </w:rPr>
      </w:pPr>
      <w:r w:rsidRPr="003F1F30">
        <w:rPr>
          <w:rFonts w:cstheme="minorHAnsi"/>
          <w:b/>
          <w:bCs/>
          <w:sz w:val="22"/>
          <w:szCs w:val="22"/>
        </w:rPr>
        <w:t>Technological</w:t>
      </w:r>
      <w:r w:rsidR="00017DF4">
        <w:rPr>
          <w:rFonts w:cstheme="minorHAnsi"/>
          <w:b/>
          <w:bCs/>
          <w:sz w:val="22"/>
          <w:szCs w:val="22"/>
        </w:rPr>
        <w:t xml:space="preserve"> Factors</w:t>
      </w:r>
    </w:p>
    <w:p w14:paraId="0D933E4A" w14:textId="462940AD" w:rsidR="00017DF4" w:rsidRPr="003F1F30" w:rsidRDefault="00017DF4" w:rsidP="00360B7B">
      <w:pPr>
        <w:spacing w:after="0" w:line="600" w:lineRule="auto"/>
        <w:rPr>
          <w:rFonts w:cstheme="minorHAnsi"/>
          <w:sz w:val="22"/>
          <w:szCs w:val="22"/>
        </w:rPr>
      </w:pPr>
      <w:r>
        <w:rPr>
          <w:rFonts w:cstheme="minorHAnsi"/>
          <w:sz w:val="22"/>
          <w:szCs w:val="22"/>
        </w:rPr>
        <w:t xml:space="preserve">Technological innovation plays a significant role in enhancing the effectiveness of the Gallows Corner project. The integration of smart traffic management systems, such as adaptive traffic signals and real time monitoring, can significantly improve </w:t>
      </w:r>
      <w:r w:rsidR="00EB04B4">
        <w:rPr>
          <w:rFonts w:cstheme="minorHAnsi"/>
          <w:sz w:val="22"/>
          <w:szCs w:val="22"/>
        </w:rPr>
        <w:t>traffic flow and reduce congestion (Banister, 2008).</w:t>
      </w:r>
      <w:r w:rsidR="004C3E13">
        <w:rPr>
          <w:rFonts w:cstheme="minorHAnsi"/>
          <w:sz w:val="22"/>
          <w:szCs w:val="22"/>
        </w:rPr>
        <w:t xml:space="preserve"> Additionally, the project may incorporate sustainable construction technologies, including low carbon materials and energy efficiency.  These </w:t>
      </w:r>
      <w:r w:rsidR="000573C8">
        <w:rPr>
          <w:rFonts w:cstheme="minorHAnsi"/>
          <w:sz w:val="22"/>
          <w:szCs w:val="22"/>
        </w:rPr>
        <w:t>innovations</w:t>
      </w:r>
      <w:r w:rsidR="004C3E13">
        <w:rPr>
          <w:rFonts w:cstheme="minorHAnsi"/>
          <w:sz w:val="22"/>
          <w:szCs w:val="22"/>
        </w:rPr>
        <w:t xml:space="preserve"> support </w:t>
      </w:r>
      <w:r w:rsidR="000573C8">
        <w:rPr>
          <w:rFonts w:cstheme="minorHAnsi"/>
          <w:sz w:val="22"/>
          <w:szCs w:val="22"/>
        </w:rPr>
        <w:t xml:space="preserve">long-term environmental </w:t>
      </w:r>
      <w:proofErr w:type="gramStart"/>
      <w:r w:rsidR="000573C8">
        <w:rPr>
          <w:rFonts w:cstheme="minorHAnsi"/>
          <w:sz w:val="22"/>
          <w:szCs w:val="22"/>
        </w:rPr>
        <w:t>goals  and</w:t>
      </w:r>
      <w:proofErr w:type="gramEnd"/>
      <w:r w:rsidR="000573C8">
        <w:rPr>
          <w:rFonts w:cstheme="minorHAnsi"/>
          <w:sz w:val="22"/>
          <w:szCs w:val="22"/>
        </w:rPr>
        <w:t xml:space="preserve"> improve operational efficiency. However, reliance on technology introduces risks, such as system failures, cybersecurity concerns, and the need for ongoing maintenance and upgrades. </w:t>
      </w:r>
    </w:p>
    <w:p w14:paraId="5369C233" w14:textId="04971A0B" w:rsidR="00FA198E" w:rsidRPr="003F1F30" w:rsidRDefault="00FA198E" w:rsidP="00360B7B">
      <w:pPr>
        <w:spacing w:after="0" w:line="600" w:lineRule="auto"/>
        <w:rPr>
          <w:rFonts w:cstheme="minorHAnsi"/>
          <w:b/>
          <w:bCs/>
          <w:sz w:val="22"/>
          <w:szCs w:val="22"/>
        </w:rPr>
      </w:pPr>
      <w:r w:rsidRPr="003F1F30">
        <w:rPr>
          <w:rFonts w:cstheme="minorHAnsi"/>
          <w:b/>
          <w:bCs/>
          <w:sz w:val="22"/>
          <w:szCs w:val="22"/>
        </w:rPr>
        <w:lastRenderedPageBreak/>
        <w:t>Legal</w:t>
      </w:r>
    </w:p>
    <w:p w14:paraId="219F98C4" w14:textId="42CFE46C" w:rsidR="00FA198E" w:rsidRPr="003F1F30" w:rsidRDefault="00FA198E" w:rsidP="00360B7B">
      <w:pPr>
        <w:spacing w:after="0" w:line="600" w:lineRule="auto"/>
        <w:rPr>
          <w:rFonts w:cstheme="minorHAnsi"/>
          <w:sz w:val="22"/>
          <w:szCs w:val="22"/>
        </w:rPr>
      </w:pPr>
      <w:r w:rsidRPr="003F1F30">
        <w:rPr>
          <w:rFonts w:cstheme="minorHAnsi"/>
          <w:sz w:val="22"/>
          <w:szCs w:val="22"/>
        </w:rPr>
        <w:t>Compliance with UK planning and environmental laws</w:t>
      </w:r>
      <w:r w:rsidR="00A672C4" w:rsidRPr="003F1F30">
        <w:rPr>
          <w:rFonts w:cstheme="minorHAnsi"/>
          <w:sz w:val="22"/>
          <w:szCs w:val="22"/>
        </w:rPr>
        <w:t>, health and safety regulations are mandatory. Non-compliance can result in delays, fines or legal challenges</w:t>
      </w:r>
      <w:r w:rsidR="00277942" w:rsidRPr="003F1F30">
        <w:rPr>
          <w:rFonts w:cstheme="minorHAnsi"/>
          <w:sz w:val="22"/>
          <w:szCs w:val="22"/>
        </w:rPr>
        <w:t xml:space="preserve"> (GLA, 2022).</w:t>
      </w:r>
      <w:r w:rsidR="003A41A2">
        <w:rPr>
          <w:rFonts w:cstheme="minorHAnsi"/>
          <w:sz w:val="22"/>
          <w:szCs w:val="22"/>
        </w:rPr>
        <w:t xml:space="preserve"> For example, planning permission processes can be </w:t>
      </w:r>
      <w:proofErr w:type="gramStart"/>
      <w:r w:rsidR="003A41A2">
        <w:rPr>
          <w:rFonts w:cstheme="minorHAnsi"/>
          <w:sz w:val="22"/>
          <w:szCs w:val="22"/>
        </w:rPr>
        <w:t>lengthy  and</w:t>
      </w:r>
      <w:proofErr w:type="gramEnd"/>
      <w:r w:rsidR="003A41A2">
        <w:rPr>
          <w:rFonts w:cstheme="minorHAnsi"/>
          <w:sz w:val="22"/>
          <w:szCs w:val="22"/>
        </w:rPr>
        <w:t xml:space="preserve"> complex, particularly if objections are raised by stakeholders. Additionally, compliance with the Equality Act (2010) ensures that infrastructure is accessible to all users, including individuals with disabilities.  Legal compliance is not only a requirement but also a risk management strategy. Early engagement with regulatory agencies can help prevent delays and ensure smoother project delivery.</w:t>
      </w:r>
    </w:p>
    <w:p w14:paraId="0D9E9DF5" w14:textId="7B5B4C5C" w:rsidR="00FA198E" w:rsidRPr="003F1F30" w:rsidRDefault="00FA198E" w:rsidP="00360B7B">
      <w:pPr>
        <w:spacing w:after="0" w:line="600" w:lineRule="auto"/>
        <w:rPr>
          <w:rFonts w:cstheme="minorHAnsi"/>
          <w:b/>
          <w:bCs/>
          <w:sz w:val="22"/>
          <w:szCs w:val="22"/>
        </w:rPr>
      </w:pPr>
      <w:r w:rsidRPr="003F1F30">
        <w:rPr>
          <w:rFonts w:cstheme="minorHAnsi"/>
          <w:b/>
          <w:bCs/>
          <w:sz w:val="22"/>
          <w:szCs w:val="22"/>
        </w:rPr>
        <w:t>Environmental</w:t>
      </w:r>
      <w:r w:rsidR="00EC069F">
        <w:rPr>
          <w:rFonts w:cstheme="minorHAnsi"/>
          <w:b/>
          <w:bCs/>
          <w:sz w:val="22"/>
          <w:szCs w:val="22"/>
        </w:rPr>
        <w:t xml:space="preserve"> Factors</w:t>
      </w:r>
    </w:p>
    <w:p w14:paraId="6B1E5B0F" w14:textId="3F2591EF" w:rsidR="00FA198E" w:rsidRPr="003F1F30" w:rsidRDefault="00FA198E" w:rsidP="00360B7B">
      <w:pPr>
        <w:spacing w:after="0" w:line="600" w:lineRule="auto"/>
        <w:rPr>
          <w:rFonts w:cstheme="minorHAnsi"/>
          <w:sz w:val="22"/>
          <w:szCs w:val="22"/>
        </w:rPr>
      </w:pPr>
      <w:r w:rsidRPr="003F1F30">
        <w:rPr>
          <w:rFonts w:cstheme="minorHAnsi"/>
          <w:sz w:val="22"/>
          <w:szCs w:val="22"/>
        </w:rPr>
        <w:t>The project must minimise environmental impact</w:t>
      </w:r>
      <w:r w:rsidR="00EC069F">
        <w:rPr>
          <w:rFonts w:cstheme="minorHAnsi"/>
          <w:sz w:val="22"/>
          <w:szCs w:val="22"/>
        </w:rPr>
        <w:t>, including carbon emissions, air pollution and noise levels</w:t>
      </w:r>
      <w:r w:rsidRPr="003F1F30">
        <w:rPr>
          <w:rFonts w:cstheme="minorHAnsi"/>
          <w:sz w:val="22"/>
          <w:szCs w:val="22"/>
        </w:rPr>
        <w:t>.</w:t>
      </w:r>
      <w:r w:rsidR="00A672C4" w:rsidRPr="003F1F30">
        <w:rPr>
          <w:rFonts w:cstheme="minorHAnsi"/>
          <w:sz w:val="22"/>
          <w:szCs w:val="22"/>
        </w:rPr>
        <w:t xml:space="preserve"> At the same time, it offers opportunities to enhance sustainability through greener infrastructure and reduced emissions</w:t>
      </w:r>
      <w:r w:rsidR="00277942" w:rsidRPr="003F1F30">
        <w:rPr>
          <w:rFonts w:cstheme="minorHAnsi"/>
          <w:sz w:val="22"/>
          <w:szCs w:val="22"/>
        </w:rPr>
        <w:t xml:space="preserve"> (GLA, 2022).</w:t>
      </w:r>
      <w:r w:rsidR="00E158BA">
        <w:rPr>
          <w:rFonts w:cstheme="minorHAnsi"/>
          <w:sz w:val="22"/>
          <w:szCs w:val="22"/>
        </w:rPr>
        <w:t xml:space="preserve"> However, construction activities may temporarily harm the environment, for example through increased emissions or disruptions to local ecosystems.  Implementing environmentally responsible practices can enhance the project’s overall value and public perception. </w:t>
      </w:r>
    </w:p>
    <w:p w14:paraId="19E6C23D" w14:textId="544C0410" w:rsidR="00FA198E" w:rsidRPr="003F1F30" w:rsidRDefault="000E4892" w:rsidP="00360B7B">
      <w:pPr>
        <w:spacing w:after="0" w:line="600" w:lineRule="auto"/>
        <w:rPr>
          <w:rFonts w:cstheme="minorHAnsi"/>
          <w:sz w:val="22"/>
          <w:szCs w:val="22"/>
        </w:rPr>
      </w:pPr>
      <w:r w:rsidRPr="003F1F30">
        <w:rPr>
          <w:rFonts w:cstheme="minorHAnsi"/>
          <w:b/>
          <w:bCs/>
          <w:sz w:val="22"/>
          <w:szCs w:val="22"/>
        </w:rPr>
        <w:t>VRIO analysis</w:t>
      </w:r>
    </w:p>
    <w:p w14:paraId="65468697" w14:textId="48978035" w:rsidR="00A672C4" w:rsidRPr="003F1F30" w:rsidRDefault="00A672C4" w:rsidP="00360B7B">
      <w:pPr>
        <w:spacing w:after="0" w:line="600" w:lineRule="auto"/>
        <w:rPr>
          <w:rFonts w:cstheme="minorHAnsi"/>
          <w:sz w:val="22"/>
          <w:szCs w:val="22"/>
        </w:rPr>
      </w:pPr>
      <w:r w:rsidRPr="003F1F30">
        <w:rPr>
          <w:rFonts w:cstheme="minorHAnsi"/>
          <w:sz w:val="22"/>
          <w:szCs w:val="22"/>
        </w:rPr>
        <w:t>The VRIO framework evaluates the project’s resources and capabilities to determine competitive advantage</w:t>
      </w:r>
      <w:r w:rsidR="00443564">
        <w:rPr>
          <w:rFonts w:cstheme="minorHAnsi"/>
          <w:sz w:val="22"/>
          <w:szCs w:val="22"/>
        </w:rPr>
        <w:t xml:space="preserve"> (Barney, 1991).</w:t>
      </w:r>
    </w:p>
    <w:p w14:paraId="11E5A63D" w14:textId="77777777" w:rsidR="007C3AEB" w:rsidRPr="003F1F30" w:rsidRDefault="007C3AEB" w:rsidP="00360B7B">
      <w:pPr>
        <w:spacing w:after="0" w:line="600" w:lineRule="auto"/>
        <w:rPr>
          <w:rFonts w:cstheme="minorHAnsi"/>
          <w:sz w:val="22"/>
          <w:szCs w:val="22"/>
        </w:rPr>
      </w:pPr>
    </w:p>
    <w:p w14:paraId="1A25E822" w14:textId="77777777" w:rsidR="008C5E05" w:rsidRDefault="008C5E05" w:rsidP="00360B7B">
      <w:pPr>
        <w:spacing w:after="0" w:line="600" w:lineRule="auto"/>
        <w:rPr>
          <w:rFonts w:cstheme="minorHAnsi"/>
          <w:b/>
          <w:bCs/>
          <w:sz w:val="22"/>
          <w:szCs w:val="22"/>
        </w:rPr>
      </w:pPr>
    </w:p>
    <w:p w14:paraId="351A8C49" w14:textId="77777777" w:rsidR="008C5E05" w:rsidRDefault="008C5E05" w:rsidP="00360B7B">
      <w:pPr>
        <w:spacing w:after="0" w:line="600" w:lineRule="auto"/>
        <w:rPr>
          <w:rFonts w:cstheme="minorHAnsi"/>
          <w:b/>
          <w:bCs/>
          <w:sz w:val="22"/>
          <w:szCs w:val="22"/>
        </w:rPr>
      </w:pPr>
    </w:p>
    <w:p w14:paraId="7760A724" w14:textId="3B473073" w:rsidR="007C3AEB" w:rsidRPr="003F1F30" w:rsidRDefault="007C3AEB" w:rsidP="00360B7B">
      <w:pPr>
        <w:spacing w:after="0" w:line="600" w:lineRule="auto"/>
        <w:rPr>
          <w:rFonts w:cstheme="minorHAnsi"/>
          <w:b/>
          <w:bCs/>
          <w:sz w:val="22"/>
          <w:szCs w:val="22"/>
        </w:rPr>
      </w:pPr>
      <w:r w:rsidRPr="003F1F30">
        <w:rPr>
          <w:rFonts w:cstheme="minorHAnsi"/>
          <w:b/>
          <w:bCs/>
          <w:sz w:val="22"/>
          <w:szCs w:val="22"/>
        </w:rPr>
        <w:lastRenderedPageBreak/>
        <w:t>Strategic Location</w:t>
      </w:r>
    </w:p>
    <w:p w14:paraId="56926939" w14:textId="443D26A5" w:rsidR="007C3AEB" w:rsidRPr="003F1F30" w:rsidRDefault="007C3AEB" w:rsidP="00360B7B">
      <w:pPr>
        <w:spacing w:after="0" w:line="600" w:lineRule="auto"/>
        <w:rPr>
          <w:rFonts w:cstheme="minorHAnsi"/>
          <w:sz w:val="22"/>
          <w:szCs w:val="22"/>
        </w:rPr>
      </w:pPr>
      <w:r w:rsidRPr="003F1F30">
        <w:rPr>
          <w:rFonts w:cstheme="minorHAnsi"/>
          <w:sz w:val="22"/>
          <w:szCs w:val="22"/>
        </w:rPr>
        <w:t xml:space="preserve">The Gallows Corner junction is highly valuable due to its importance in the transport network. It is rare and difficult to </w:t>
      </w:r>
      <w:r w:rsidR="00277942" w:rsidRPr="003F1F30">
        <w:rPr>
          <w:rFonts w:cstheme="minorHAnsi"/>
          <w:sz w:val="22"/>
          <w:szCs w:val="22"/>
        </w:rPr>
        <w:t xml:space="preserve">replicate, providing a sustained strategic advantage (TfL, </w:t>
      </w:r>
      <w:r w:rsidR="00530135" w:rsidRPr="003F1F30">
        <w:rPr>
          <w:rFonts w:cstheme="minorHAnsi"/>
          <w:sz w:val="22"/>
          <w:szCs w:val="22"/>
        </w:rPr>
        <w:t>2023).</w:t>
      </w:r>
    </w:p>
    <w:p w14:paraId="532CB91E" w14:textId="7D377B29" w:rsidR="00277942" w:rsidRPr="003F1F30" w:rsidRDefault="00277942" w:rsidP="00360B7B">
      <w:pPr>
        <w:spacing w:after="0" w:line="600" w:lineRule="auto"/>
        <w:rPr>
          <w:rFonts w:cstheme="minorHAnsi"/>
          <w:b/>
          <w:bCs/>
          <w:sz w:val="22"/>
          <w:szCs w:val="22"/>
        </w:rPr>
      </w:pPr>
      <w:r w:rsidRPr="003F1F30">
        <w:rPr>
          <w:rFonts w:cstheme="minorHAnsi"/>
          <w:b/>
          <w:bCs/>
          <w:sz w:val="22"/>
          <w:szCs w:val="22"/>
        </w:rPr>
        <w:t>Skilled Workforce</w:t>
      </w:r>
    </w:p>
    <w:p w14:paraId="3C3BCA4F" w14:textId="6BB60678" w:rsidR="00277942" w:rsidRPr="003F1F30" w:rsidRDefault="00277942" w:rsidP="00360B7B">
      <w:pPr>
        <w:spacing w:after="0" w:line="600" w:lineRule="auto"/>
        <w:rPr>
          <w:rFonts w:cstheme="minorHAnsi"/>
          <w:sz w:val="22"/>
          <w:szCs w:val="22"/>
        </w:rPr>
      </w:pPr>
      <w:r w:rsidRPr="003F1F30">
        <w:rPr>
          <w:rFonts w:cstheme="minorHAnsi"/>
          <w:sz w:val="22"/>
          <w:szCs w:val="22"/>
        </w:rPr>
        <w:t>The project benefits from experienced engineers and project managers. While valuable, such skills are not rare, resulting in competitive parity</w:t>
      </w:r>
      <w:r w:rsidR="00443564">
        <w:rPr>
          <w:rFonts w:cstheme="minorHAnsi"/>
          <w:sz w:val="22"/>
          <w:szCs w:val="22"/>
        </w:rPr>
        <w:t xml:space="preserve"> (Kerzner, 2017).</w:t>
      </w:r>
    </w:p>
    <w:p w14:paraId="60D02941" w14:textId="749D7877" w:rsidR="00277942" w:rsidRPr="003F1F30" w:rsidRDefault="00277942" w:rsidP="00360B7B">
      <w:pPr>
        <w:spacing w:after="0" w:line="600" w:lineRule="auto"/>
        <w:rPr>
          <w:rFonts w:cstheme="minorHAnsi"/>
          <w:sz w:val="22"/>
          <w:szCs w:val="22"/>
        </w:rPr>
      </w:pPr>
      <w:r w:rsidRPr="003F1F30">
        <w:rPr>
          <w:rFonts w:cstheme="minorHAnsi"/>
          <w:b/>
          <w:bCs/>
          <w:sz w:val="22"/>
          <w:szCs w:val="22"/>
        </w:rPr>
        <w:t xml:space="preserve">Funding and Institutional Support </w:t>
      </w:r>
    </w:p>
    <w:p w14:paraId="5DCBDF74" w14:textId="5A752E3A" w:rsidR="00277942" w:rsidRPr="003F1F30" w:rsidRDefault="00277942" w:rsidP="00360B7B">
      <w:pPr>
        <w:spacing w:after="0" w:line="600" w:lineRule="auto"/>
        <w:rPr>
          <w:rFonts w:cstheme="minorHAnsi"/>
          <w:sz w:val="22"/>
          <w:szCs w:val="22"/>
        </w:rPr>
      </w:pPr>
      <w:r w:rsidRPr="003F1F30">
        <w:rPr>
          <w:rFonts w:cstheme="minorHAnsi"/>
          <w:sz w:val="22"/>
          <w:szCs w:val="22"/>
        </w:rPr>
        <w:t>Financial backing from public authorities is valuable but not unique. This provides a temporary advantage, as funding can fluctuate</w:t>
      </w:r>
      <w:r w:rsidR="00443564">
        <w:rPr>
          <w:rFonts w:cstheme="minorHAnsi"/>
          <w:sz w:val="22"/>
          <w:szCs w:val="22"/>
        </w:rPr>
        <w:t xml:space="preserve"> (Banister, 2008)</w:t>
      </w:r>
    </w:p>
    <w:p w14:paraId="30B4AB48" w14:textId="02AD6764" w:rsidR="00277942" w:rsidRPr="003F1F30" w:rsidRDefault="00277942" w:rsidP="00360B7B">
      <w:pPr>
        <w:spacing w:after="0" w:line="600" w:lineRule="auto"/>
        <w:rPr>
          <w:rFonts w:cstheme="minorHAnsi"/>
          <w:b/>
          <w:bCs/>
          <w:sz w:val="22"/>
          <w:szCs w:val="22"/>
        </w:rPr>
      </w:pPr>
      <w:r w:rsidRPr="003F1F30">
        <w:rPr>
          <w:rFonts w:cstheme="minorHAnsi"/>
          <w:b/>
          <w:bCs/>
          <w:sz w:val="22"/>
          <w:szCs w:val="22"/>
        </w:rPr>
        <w:t>Smart Technology Integration</w:t>
      </w:r>
    </w:p>
    <w:p w14:paraId="083164D7" w14:textId="3C22A4FD" w:rsidR="00277942" w:rsidRPr="003F1F30" w:rsidRDefault="00277942" w:rsidP="00360B7B">
      <w:pPr>
        <w:spacing w:after="0" w:line="600" w:lineRule="auto"/>
        <w:rPr>
          <w:rFonts w:cstheme="minorHAnsi"/>
          <w:sz w:val="22"/>
          <w:szCs w:val="22"/>
        </w:rPr>
      </w:pPr>
      <w:r w:rsidRPr="003F1F30">
        <w:rPr>
          <w:rFonts w:cstheme="minorHAnsi"/>
          <w:sz w:val="22"/>
          <w:szCs w:val="22"/>
        </w:rPr>
        <w:t>The use of advanced traffic systems is both valuable and relatively new, offering a competitive advantage in improving efficiency and sustainability</w:t>
      </w:r>
      <w:r w:rsidR="00443564">
        <w:rPr>
          <w:rFonts w:cstheme="minorHAnsi"/>
          <w:sz w:val="22"/>
          <w:szCs w:val="22"/>
        </w:rPr>
        <w:t xml:space="preserve"> (Banister, 2008).</w:t>
      </w:r>
    </w:p>
    <w:tbl>
      <w:tblPr>
        <w:tblStyle w:val="TableGrid"/>
        <w:tblpPr w:leftFromText="180" w:rightFromText="180" w:vertAnchor="text" w:horzAnchor="margin" w:tblpY="-28"/>
        <w:tblW w:w="9285" w:type="dxa"/>
        <w:tblLayout w:type="fixed"/>
        <w:tblLook w:val="04A0" w:firstRow="1" w:lastRow="0" w:firstColumn="1" w:lastColumn="0" w:noHBand="0" w:noVBand="1"/>
      </w:tblPr>
      <w:tblGrid>
        <w:gridCol w:w="1849"/>
        <w:gridCol w:w="1244"/>
        <w:gridCol w:w="1548"/>
        <w:gridCol w:w="1548"/>
        <w:gridCol w:w="1548"/>
        <w:gridCol w:w="1548"/>
      </w:tblGrid>
      <w:tr w:rsidR="00ED220A" w:rsidRPr="003F1F30" w14:paraId="36CA4823" w14:textId="77777777" w:rsidTr="00ED220A">
        <w:trPr>
          <w:trHeight w:val="321"/>
        </w:trPr>
        <w:tc>
          <w:tcPr>
            <w:tcW w:w="1849" w:type="dxa"/>
          </w:tcPr>
          <w:p w14:paraId="56F8DCCD"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lastRenderedPageBreak/>
              <w:t xml:space="preserve">RESOURCES </w:t>
            </w:r>
          </w:p>
        </w:tc>
        <w:tc>
          <w:tcPr>
            <w:tcW w:w="1244" w:type="dxa"/>
          </w:tcPr>
          <w:p w14:paraId="243B7BEA"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VALUABE</w:t>
            </w:r>
          </w:p>
        </w:tc>
        <w:tc>
          <w:tcPr>
            <w:tcW w:w="1548" w:type="dxa"/>
          </w:tcPr>
          <w:p w14:paraId="190D98E0"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RARE</w:t>
            </w:r>
          </w:p>
        </w:tc>
        <w:tc>
          <w:tcPr>
            <w:tcW w:w="1548" w:type="dxa"/>
          </w:tcPr>
          <w:p w14:paraId="39AE8D30"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INIMITABLE</w:t>
            </w:r>
          </w:p>
        </w:tc>
        <w:tc>
          <w:tcPr>
            <w:tcW w:w="1548" w:type="dxa"/>
          </w:tcPr>
          <w:p w14:paraId="786B2CAC"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ORGANIZED</w:t>
            </w:r>
          </w:p>
        </w:tc>
        <w:tc>
          <w:tcPr>
            <w:tcW w:w="1548" w:type="dxa"/>
          </w:tcPr>
          <w:p w14:paraId="429DB234"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OUTCOME</w:t>
            </w:r>
          </w:p>
        </w:tc>
      </w:tr>
      <w:tr w:rsidR="00ED220A" w:rsidRPr="003F1F30" w14:paraId="38375067" w14:textId="77777777" w:rsidTr="00ED220A">
        <w:trPr>
          <w:trHeight w:val="838"/>
        </w:trPr>
        <w:tc>
          <w:tcPr>
            <w:tcW w:w="1849" w:type="dxa"/>
          </w:tcPr>
          <w:p w14:paraId="093E38FD"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Strategic location</w:t>
            </w:r>
          </w:p>
        </w:tc>
        <w:tc>
          <w:tcPr>
            <w:tcW w:w="1244" w:type="dxa"/>
          </w:tcPr>
          <w:p w14:paraId="331D0652"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7B884B68"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36C1C9E5"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436B2C6F"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01947ACA"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Sustained advantage</w:t>
            </w:r>
          </w:p>
        </w:tc>
      </w:tr>
      <w:tr w:rsidR="00ED220A" w:rsidRPr="003F1F30" w14:paraId="283939F3" w14:textId="77777777" w:rsidTr="00ED220A">
        <w:trPr>
          <w:trHeight w:val="974"/>
        </w:trPr>
        <w:tc>
          <w:tcPr>
            <w:tcW w:w="1849" w:type="dxa"/>
          </w:tcPr>
          <w:p w14:paraId="3D146206"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Skilled workforce</w:t>
            </w:r>
          </w:p>
        </w:tc>
        <w:tc>
          <w:tcPr>
            <w:tcW w:w="1244" w:type="dxa"/>
          </w:tcPr>
          <w:p w14:paraId="520166FB"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1AD88D1E"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no</w:t>
            </w:r>
          </w:p>
        </w:tc>
        <w:tc>
          <w:tcPr>
            <w:tcW w:w="1548" w:type="dxa"/>
          </w:tcPr>
          <w:p w14:paraId="00AA7AE3"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no</w:t>
            </w:r>
          </w:p>
        </w:tc>
        <w:tc>
          <w:tcPr>
            <w:tcW w:w="1548" w:type="dxa"/>
          </w:tcPr>
          <w:p w14:paraId="273918C7"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54785A9E"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Competitive parity</w:t>
            </w:r>
          </w:p>
        </w:tc>
      </w:tr>
      <w:tr w:rsidR="00ED220A" w:rsidRPr="003F1F30" w14:paraId="67B44704" w14:textId="77777777" w:rsidTr="00ED220A">
        <w:trPr>
          <w:trHeight w:val="974"/>
        </w:trPr>
        <w:tc>
          <w:tcPr>
            <w:tcW w:w="1849" w:type="dxa"/>
          </w:tcPr>
          <w:p w14:paraId="3670F9A4"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 xml:space="preserve">Funding support </w:t>
            </w:r>
          </w:p>
        </w:tc>
        <w:tc>
          <w:tcPr>
            <w:tcW w:w="1244" w:type="dxa"/>
          </w:tcPr>
          <w:p w14:paraId="2725E4AB"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73C230A9"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no</w:t>
            </w:r>
          </w:p>
        </w:tc>
        <w:tc>
          <w:tcPr>
            <w:tcW w:w="1548" w:type="dxa"/>
          </w:tcPr>
          <w:p w14:paraId="7BD1BA9A"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no</w:t>
            </w:r>
          </w:p>
        </w:tc>
        <w:tc>
          <w:tcPr>
            <w:tcW w:w="1548" w:type="dxa"/>
          </w:tcPr>
          <w:p w14:paraId="37F0A5D9"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26175212"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Temporary advantage</w:t>
            </w:r>
          </w:p>
        </w:tc>
      </w:tr>
      <w:tr w:rsidR="00ED220A" w:rsidRPr="003F1F30" w14:paraId="23A20955" w14:textId="77777777" w:rsidTr="00ED220A">
        <w:trPr>
          <w:trHeight w:val="623"/>
        </w:trPr>
        <w:tc>
          <w:tcPr>
            <w:tcW w:w="1849" w:type="dxa"/>
          </w:tcPr>
          <w:p w14:paraId="0A15536D"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Smart Technology</w:t>
            </w:r>
          </w:p>
        </w:tc>
        <w:tc>
          <w:tcPr>
            <w:tcW w:w="1244" w:type="dxa"/>
          </w:tcPr>
          <w:p w14:paraId="6F2E3072"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5A0579ED"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1F236453"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2BCC74DB"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yes</w:t>
            </w:r>
          </w:p>
        </w:tc>
        <w:tc>
          <w:tcPr>
            <w:tcW w:w="1548" w:type="dxa"/>
          </w:tcPr>
          <w:p w14:paraId="5DABD1F2" w14:textId="77777777" w:rsidR="00ED220A" w:rsidRPr="003F1F30" w:rsidRDefault="00ED220A" w:rsidP="00ED220A">
            <w:pPr>
              <w:spacing w:line="600" w:lineRule="auto"/>
              <w:rPr>
                <w:rFonts w:cstheme="minorHAnsi"/>
                <w:b/>
                <w:bCs/>
                <w:sz w:val="22"/>
                <w:szCs w:val="22"/>
              </w:rPr>
            </w:pPr>
            <w:r w:rsidRPr="003F1F30">
              <w:rPr>
                <w:rFonts w:cstheme="minorHAnsi"/>
                <w:b/>
                <w:bCs/>
                <w:sz w:val="22"/>
                <w:szCs w:val="22"/>
              </w:rPr>
              <w:t xml:space="preserve">Competitive advantage </w:t>
            </w:r>
          </w:p>
        </w:tc>
      </w:tr>
    </w:tbl>
    <w:p w14:paraId="1719E35C" w14:textId="77777777" w:rsidR="00ED220A" w:rsidRPr="003F1F30" w:rsidRDefault="00ED220A" w:rsidP="00360B7B">
      <w:pPr>
        <w:spacing w:after="0" w:line="600" w:lineRule="auto"/>
        <w:rPr>
          <w:rFonts w:cstheme="minorHAnsi"/>
          <w:sz w:val="22"/>
          <w:szCs w:val="22"/>
        </w:rPr>
      </w:pPr>
    </w:p>
    <w:p w14:paraId="55BBDF6A" w14:textId="6C95CBB6" w:rsidR="00277942" w:rsidRPr="003F1F30" w:rsidRDefault="00277942" w:rsidP="00360B7B">
      <w:pPr>
        <w:spacing w:after="0" w:line="600" w:lineRule="auto"/>
        <w:rPr>
          <w:rFonts w:cstheme="minorHAnsi"/>
          <w:b/>
          <w:bCs/>
          <w:sz w:val="22"/>
          <w:szCs w:val="22"/>
        </w:rPr>
      </w:pPr>
    </w:p>
    <w:p w14:paraId="3F1AD413" w14:textId="77777777" w:rsidR="007C3AEB" w:rsidRPr="003F1F30" w:rsidRDefault="007C3AEB" w:rsidP="00360B7B">
      <w:pPr>
        <w:spacing w:after="0" w:line="600" w:lineRule="auto"/>
        <w:rPr>
          <w:rFonts w:cstheme="minorHAnsi"/>
          <w:sz w:val="22"/>
          <w:szCs w:val="22"/>
        </w:rPr>
      </w:pPr>
    </w:p>
    <w:p w14:paraId="7D67E271" w14:textId="77777777" w:rsidR="000E4892" w:rsidRPr="003F1F30" w:rsidRDefault="000E4892" w:rsidP="00360B7B">
      <w:pPr>
        <w:spacing w:after="0" w:line="600" w:lineRule="auto"/>
        <w:rPr>
          <w:rFonts w:cstheme="minorHAnsi"/>
          <w:b/>
          <w:bCs/>
          <w:sz w:val="22"/>
          <w:szCs w:val="22"/>
        </w:rPr>
      </w:pPr>
    </w:p>
    <w:p w14:paraId="4E26335B" w14:textId="4677C00E" w:rsidR="00E67F24" w:rsidRPr="003F1F30" w:rsidRDefault="006636E3" w:rsidP="00360B7B">
      <w:pPr>
        <w:spacing w:after="0" w:line="600" w:lineRule="auto"/>
        <w:rPr>
          <w:rFonts w:cstheme="minorHAnsi"/>
          <w:sz w:val="22"/>
          <w:szCs w:val="22"/>
        </w:rPr>
      </w:pPr>
      <w:r w:rsidRPr="003F1F30">
        <w:rPr>
          <w:rFonts w:cstheme="minorHAnsi"/>
          <w:b/>
          <w:bCs/>
          <w:sz w:val="22"/>
          <w:szCs w:val="22"/>
        </w:rPr>
        <w:t>Stakeholder Power-Influence-Interest Matrix</w:t>
      </w:r>
    </w:p>
    <w:p w14:paraId="3CB4859C" w14:textId="0DB78D31" w:rsidR="00530135" w:rsidRPr="003F1F30" w:rsidRDefault="00530135" w:rsidP="00360B7B">
      <w:pPr>
        <w:spacing w:after="0" w:line="600" w:lineRule="auto"/>
        <w:rPr>
          <w:rFonts w:cstheme="minorHAnsi"/>
          <w:sz w:val="22"/>
          <w:szCs w:val="22"/>
        </w:rPr>
      </w:pPr>
      <w:r w:rsidRPr="003F1F30">
        <w:rPr>
          <w:rFonts w:cstheme="minorHAnsi"/>
          <w:sz w:val="22"/>
          <w:szCs w:val="22"/>
        </w:rPr>
        <w:t xml:space="preserve">Effective stakeholder management is essential for project success. Based on the earlier stakeholder table: </w:t>
      </w:r>
    </w:p>
    <w:p w14:paraId="288A66B8" w14:textId="4230AFCA" w:rsidR="00C90E36" w:rsidRPr="003F1F30" w:rsidRDefault="00C90E36" w:rsidP="00360B7B">
      <w:pPr>
        <w:spacing w:after="0" w:line="600" w:lineRule="auto"/>
        <w:rPr>
          <w:rFonts w:cstheme="minorHAnsi"/>
          <w:b/>
          <w:bCs/>
          <w:sz w:val="22"/>
          <w:szCs w:val="22"/>
        </w:rPr>
      </w:pPr>
      <w:r w:rsidRPr="003F1F30">
        <w:rPr>
          <w:rFonts w:cstheme="minorHAnsi"/>
          <w:b/>
          <w:bCs/>
          <w:sz w:val="22"/>
          <w:szCs w:val="22"/>
        </w:rPr>
        <w:t>Manage closely</w:t>
      </w:r>
      <w:r w:rsidR="00556225" w:rsidRPr="003F1F30">
        <w:rPr>
          <w:rFonts w:cstheme="minorHAnsi"/>
          <w:b/>
          <w:bCs/>
          <w:sz w:val="22"/>
          <w:szCs w:val="22"/>
        </w:rPr>
        <w:t xml:space="preserve"> (High Power, High Interest) </w:t>
      </w:r>
    </w:p>
    <w:p w14:paraId="352D6C50" w14:textId="53A4EA2A" w:rsidR="00C90E36" w:rsidRPr="003F1F30" w:rsidRDefault="00C90E36" w:rsidP="00360B7B">
      <w:pPr>
        <w:spacing w:after="0" w:line="600" w:lineRule="auto"/>
        <w:rPr>
          <w:rFonts w:cstheme="minorHAnsi"/>
          <w:sz w:val="22"/>
          <w:szCs w:val="22"/>
        </w:rPr>
      </w:pPr>
      <w:r w:rsidRPr="003F1F30">
        <w:rPr>
          <w:rFonts w:cstheme="minorHAnsi"/>
          <w:sz w:val="22"/>
          <w:szCs w:val="22"/>
        </w:rPr>
        <w:t>Havering Council</w:t>
      </w:r>
      <w:r w:rsidR="00556225" w:rsidRPr="003F1F30">
        <w:rPr>
          <w:rFonts w:cstheme="minorHAnsi"/>
          <w:sz w:val="22"/>
          <w:szCs w:val="22"/>
        </w:rPr>
        <w:t>: Controls funding and approvals</w:t>
      </w:r>
    </w:p>
    <w:p w14:paraId="4B352A83" w14:textId="4B918FBC" w:rsidR="00C90E36" w:rsidRPr="003F1F30" w:rsidRDefault="00C90E36" w:rsidP="00360B7B">
      <w:pPr>
        <w:spacing w:after="0" w:line="600" w:lineRule="auto"/>
        <w:rPr>
          <w:rFonts w:cstheme="minorHAnsi"/>
          <w:sz w:val="22"/>
          <w:szCs w:val="22"/>
        </w:rPr>
      </w:pPr>
      <w:r w:rsidRPr="003F1F30">
        <w:rPr>
          <w:rFonts w:cstheme="minorHAnsi"/>
          <w:sz w:val="22"/>
          <w:szCs w:val="22"/>
        </w:rPr>
        <w:t>Project Manager</w:t>
      </w:r>
      <w:r w:rsidR="00556225" w:rsidRPr="003F1F30">
        <w:rPr>
          <w:rFonts w:cstheme="minorHAnsi"/>
          <w:sz w:val="22"/>
          <w:szCs w:val="22"/>
        </w:rPr>
        <w:t>: Responsible for execution</w:t>
      </w:r>
    </w:p>
    <w:p w14:paraId="0F37A8AE" w14:textId="7F885D3A" w:rsidR="00556225" w:rsidRPr="003F1F30" w:rsidRDefault="00556225" w:rsidP="00360B7B">
      <w:pPr>
        <w:spacing w:after="0" w:line="600" w:lineRule="auto"/>
        <w:rPr>
          <w:rFonts w:cstheme="minorHAnsi"/>
          <w:sz w:val="22"/>
          <w:szCs w:val="22"/>
        </w:rPr>
      </w:pPr>
      <w:r w:rsidRPr="003F1F30">
        <w:rPr>
          <w:rFonts w:cstheme="minorHAnsi"/>
          <w:sz w:val="22"/>
          <w:szCs w:val="22"/>
        </w:rPr>
        <w:t xml:space="preserve">These stakeholders require continuous engagement and </w:t>
      </w:r>
      <w:proofErr w:type="gramStart"/>
      <w:r w:rsidRPr="003F1F30">
        <w:rPr>
          <w:rFonts w:cstheme="minorHAnsi"/>
          <w:sz w:val="22"/>
          <w:szCs w:val="22"/>
        </w:rPr>
        <w:t>decision making</w:t>
      </w:r>
      <w:proofErr w:type="gramEnd"/>
      <w:r w:rsidRPr="003F1F30">
        <w:rPr>
          <w:rFonts w:cstheme="minorHAnsi"/>
          <w:sz w:val="22"/>
          <w:szCs w:val="22"/>
        </w:rPr>
        <w:t xml:space="preserve"> involvement.</w:t>
      </w:r>
    </w:p>
    <w:p w14:paraId="291477FC" w14:textId="6FB838B2" w:rsidR="00E31504" w:rsidRPr="003F1F30" w:rsidRDefault="00E31504" w:rsidP="00360B7B">
      <w:pPr>
        <w:spacing w:after="0" w:line="600" w:lineRule="auto"/>
        <w:rPr>
          <w:rFonts w:cstheme="minorHAnsi"/>
          <w:b/>
          <w:bCs/>
          <w:sz w:val="22"/>
          <w:szCs w:val="22"/>
        </w:rPr>
      </w:pPr>
      <w:r w:rsidRPr="003F1F30">
        <w:rPr>
          <w:rFonts w:cstheme="minorHAnsi"/>
          <w:b/>
          <w:bCs/>
          <w:sz w:val="22"/>
          <w:szCs w:val="22"/>
        </w:rPr>
        <w:t xml:space="preserve">Keep satisfied </w:t>
      </w:r>
      <w:r w:rsidR="00556225" w:rsidRPr="003F1F30">
        <w:rPr>
          <w:rFonts w:cstheme="minorHAnsi"/>
          <w:b/>
          <w:bCs/>
          <w:sz w:val="22"/>
          <w:szCs w:val="22"/>
        </w:rPr>
        <w:t>(High Power, Low Interest)</w:t>
      </w:r>
    </w:p>
    <w:p w14:paraId="6E7CEC38" w14:textId="6733CC75" w:rsidR="00E31504" w:rsidRPr="003F1F30" w:rsidRDefault="00E31504" w:rsidP="00360B7B">
      <w:pPr>
        <w:spacing w:after="0" w:line="600" w:lineRule="auto"/>
        <w:rPr>
          <w:rFonts w:cstheme="minorHAnsi"/>
          <w:sz w:val="22"/>
          <w:szCs w:val="22"/>
        </w:rPr>
      </w:pPr>
      <w:r w:rsidRPr="003F1F30">
        <w:rPr>
          <w:rFonts w:cstheme="minorHAnsi"/>
          <w:sz w:val="22"/>
          <w:szCs w:val="22"/>
        </w:rPr>
        <w:lastRenderedPageBreak/>
        <w:t>Environmental Agencies</w:t>
      </w:r>
      <w:r w:rsidR="00ED220A" w:rsidRPr="003F1F30">
        <w:rPr>
          <w:rFonts w:cstheme="minorHAnsi"/>
          <w:sz w:val="22"/>
          <w:szCs w:val="22"/>
        </w:rPr>
        <w:t>: Can approve or halt the project</w:t>
      </w:r>
    </w:p>
    <w:p w14:paraId="7266B716" w14:textId="72F61AC6" w:rsidR="00ED220A" w:rsidRPr="003F1F30" w:rsidRDefault="00ED220A" w:rsidP="00360B7B">
      <w:pPr>
        <w:spacing w:after="0" w:line="600" w:lineRule="auto"/>
        <w:rPr>
          <w:rFonts w:cstheme="minorHAnsi"/>
          <w:sz w:val="22"/>
          <w:szCs w:val="22"/>
        </w:rPr>
      </w:pPr>
      <w:r w:rsidRPr="003F1F30">
        <w:rPr>
          <w:rFonts w:cstheme="minorHAnsi"/>
          <w:sz w:val="22"/>
          <w:szCs w:val="22"/>
        </w:rPr>
        <w:t>They must be kept satisfied to avoid regulatory issues.</w:t>
      </w:r>
    </w:p>
    <w:p w14:paraId="240AFD62" w14:textId="32E4E499" w:rsidR="00E31504" w:rsidRPr="003F1F30" w:rsidRDefault="00E31504" w:rsidP="00360B7B">
      <w:pPr>
        <w:spacing w:after="0" w:line="600" w:lineRule="auto"/>
        <w:rPr>
          <w:rFonts w:cstheme="minorHAnsi"/>
          <w:b/>
          <w:bCs/>
          <w:sz w:val="22"/>
          <w:szCs w:val="22"/>
        </w:rPr>
      </w:pPr>
      <w:r w:rsidRPr="003F1F30">
        <w:rPr>
          <w:rFonts w:cstheme="minorHAnsi"/>
          <w:b/>
          <w:bCs/>
          <w:sz w:val="22"/>
          <w:szCs w:val="22"/>
        </w:rPr>
        <w:t>Keep informed</w:t>
      </w:r>
      <w:r w:rsidR="00ED220A" w:rsidRPr="003F1F30">
        <w:rPr>
          <w:rFonts w:cstheme="minorHAnsi"/>
          <w:b/>
          <w:bCs/>
          <w:sz w:val="22"/>
          <w:szCs w:val="22"/>
        </w:rPr>
        <w:t xml:space="preserve"> (Low Power, High Interest)</w:t>
      </w:r>
    </w:p>
    <w:p w14:paraId="394C8CFA" w14:textId="4D133F23" w:rsidR="00E31504" w:rsidRPr="003F1F30" w:rsidRDefault="00ED220A" w:rsidP="00360B7B">
      <w:pPr>
        <w:spacing w:after="0" w:line="600" w:lineRule="auto"/>
        <w:rPr>
          <w:rFonts w:cstheme="minorHAnsi"/>
          <w:sz w:val="22"/>
          <w:szCs w:val="22"/>
        </w:rPr>
      </w:pPr>
      <w:r w:rsidRPr="003F1F30">
        <w:rPr>
          <w:rFonts w:cstheme="minorHAnsi"/>
          <w:sz w:val="22"/>
          <w:szCs w:val="22"/>
        </w:rPr>
        <w:t>Residents: Primary users affected by disruption</w:t>
      </w:r>
    </w:p>
    <w:p w14:paraId="213571E0" w14:textId="553E6EC6" w:rsidR="00E31504" w:rsidRPr="003F1F30" w:rsidRDefault="00E31504" w:rsidP="00360B7B">
      <w:pPr>
        <w:spacing w:after="0" w:line="600" w:lineRule="auto"/>
        <w:rPr>
          <w:rFonts w:cstheme="minorHAnsi"/>
          <w:sz w:val="22"/>
          <w:szCs w:val="22"/>
        </w:rPr>
      </w:pPr>
      <w:r w:rsidRPr="003F1F30">
        <w:rPr>
          <w:rFonts w:cstheme="minorHAnsi"/>
          <w:sz w:val="22"/>
          <w:szCs w:val="22"/>
        </w:rPr>
        <w:t>Planning Author</w:t>
      </w:r>
      <w:r w:rsidR="00ED220A" w:rsidRPr="003F1F30">
        <w:rPr>
          <w:rFonts w:cstheme="minorHAnsi"/>
          <w:sz w:val="22"/>
          <w:szCs w:val="22"/>
        </w:rPr>
        <w:t>ities: Ensure</w:t>
      </w:r>
    </w:p>
    <w:p w14:paraId="628EEF7A" w14:textId="74FAFE54" w:rsidR="00ED220A" w:rsidRPr="003F1F30" w:rsidRDefault="00ED220A" w:rsidP="00360B7B">
      <w:pPr>
        <w:spacing w:after="0" w:line="600" w:lineRule="auto"/>
        <w:rPr>
          <w:rFonts w:cstheme="minorHAnsi"/>
          <w:sz w:val="22"/>
          <w:szCs w:val="22"/>
        </w:rPr>
      </w:pPr>
      <w:r w:rsidRPr="003F1F30">
        <w:rPr>
          <w:rFonts w:cstheme="minorHAnsi"/>
          <w:sz w:val="22"/>
          <w:szCs w:val="22"/>
        </w:rPr>
        <w:t>Regular updates are essential to maintain support</w:t>
      </w:r>
    </w:p>
    <w:p w14:paraId="69E823BF" w14:textId="67E5D0E1" w:rsidR="00E31504" w:rsidRPr="003F1F30" w:rsidRDefault="00E31504" w:rsidP="00360B7B">
      <w:pPr>
        <w:spacing w:after="0" w:line="600" w:lineRule="auto"/>
        <w:rPr>
          <w:rFonts w:cstheme="minorHAnsi"/>
          <w:b/>
          <w:bCs/>
          <w:sz w:val="22"/>
          <w:szCs w:val="22"/>
        </w:rPr>
      </w:pPr>
      <w:r w:rsidRPr="003F1F30">
        <w:rPr>
          <w:rFonts w:cstheme="minorHAnsi"/>
          <w:b/>
          <w:bCs/>
          <w:sz w:val="22"/>
          <w:szCs w:val="22"/>
        </w:rPr>
        <w:t>Minimal Effort</w:t>
      </w:r>
      <w:r w:rsidR="00ED220A" w:rsidRPr="003F1F30">
        <w:rPr>
          <w:rFonts w:cstheme="minorHAnsi"/>
          <w:b/>
          <w:bCs/>
          <w:sz w:val="22"/>
          <w:szCs w:val="22"/>
        </w:rPr>
        <w:t xml:space="preserve"> (Low Power, Low Interest)</w:t>
      </w:r>
    </w:p>
    <w:p w14:paraId="71D4C6B9" w14:textId="1F1F0C05" w:rsidR="00E31504" w:rsidRPr="003F1F30" w:rsidRDefault="00E31504" w:rsidP="00360B7B">
      <w:pPr>
        <w:spacing w:after="0" w:line="600" w:lineRule="auto"/>
        <w:rPr>
          <w:rFonts w:cstheme="minorHAnsi"/>
          <w:sz w:val="22"/>
          <w:szCs w:val="22"/>
        </w:rPr>
      </w:pPr>
      <w:r w:rsidRPr="003F1F30">
        <w:rPr>
          <w:rFonts w:cstheme="minorHAnsi"/>
          <w:sz w:val="22"/>
          <w:szCs w:val="22"/>
        </w:rPr>
        <w:t>Local Businesses</w:t>
      </w:r>
      <w:r w:rsidR="00ED220A" w:rsidRPr="003F1F30">
        <w:rPr>
          <w:rFonts w:cstheme="minorHAnsi"/>
          <w:sz w:val="22"/>
          <w:szCs w:val="22"/>
        </w:rPr>
        <w:t>: Indirectly affected</w:t>
      </w:r>
    </w:p>
    <w:p w14:paraId="40208133" w14:textId="42384DEF" w:rsidR="00ED220A" w:rsidRPr="003F1F30" w:rsidRDefault="00ED220A" w:rsidP="00360B7B">
      <w:pPr>
        <w:spacing w:after="0" w:line="600" w:lineRule="auto"/>
        <w:rPr>
          <w:rFonts w:cstheme="minorHAnsi"/>
          <w:sz w:val="22"/>
          <w:szCs w:val="22"/>
        </w:rPr>
      </w:pPr>
      <w:r w:rsidRPr="003F1F30">
        <w:rPr>
          <w:rFonts w:cstheme="minorHAnsi"/>
          <w:sz w:val="22"/>
          <w:szCs w:val="22"/>
        </w:rPr>
        <w:t>They require limited, but consistent communication.</w:t>
      </w:r>
    </w:p>
    <w:p w14:paraId="1A98C204" w14:textId="11DD432F" w:rsidR="00E31504" w:rsidRPr="003F1F30" w:rsidRDefault="00E31504" w:rsidP="00360B7B">
      <w:pPr>
        <w:spacing w:after="0" w:line="600" w:lineRule="auto"/>
        <w:rPr>
          <w:rFonts w:cstheme="minorHAnsi"/>
          <w:b/>
          <w:bCs/>
          <w:sz w:val="22"/>
          <w:szCs w:val="22"/>
        </w:rPr>
      </w:pPr>
      <w:r w:rsidRPr="003F1F30">
        <w:rPr>
          <w:rFonts w:cstheme="minorHAnsi"/>
          <w:b/>
          <w:bCs/>
          <w:sz w:val="22"/>
          <w:szCs w:val="22"/>
        </w:rPr>
        <w:t>Power Interest Table</w:t>
      </w:r>
    </w:p>
    <w:tbl>
      <w:tblPr>
        <w:tblStyle w:val="TableGrid"/>
        <w:tblW w:w="0" w:type="auto"/>
        <w:tblLook w:val="06A0" w:firstRow="1" w:lastRow="0" w:firstColumn="1" w:lastColumn="0" w:noHBand="1" w:noVBand="1"/>
      </w:tblPr>
      <w:tblGrid>
        <w:gridCol w:w="2014"/>
        <w:gridCol w:w="953"/>
        <w:gridCol w:w="1674"/>
        <w:gridCol w:w="1163"/>
        <w:gridCol w:w="3212"/>
      </w:tblGrid>
      <w:tr w:rsidR="00E31504" w14:paraId="2D7B84C2" w14:textId="77777777" w:rsidTr="00FC6146">
        <w:trPr>
          <w:trHeight w:val="300"/>
        </w:trPr>
        <w:tc>
          <w:tcPr>
            <w:tcW w:w="2098" w:type="dxa"/>
            <w:shd w:val="clear" w:color="auto" w:fill="00B0F0"/>
          </w:tcPr>
          <w:p w14:paraId="33DAB015" w14:textId="77777777" w:rsidR="00E31504" w:rsidRDefault="00E31504" w:rsidP="00FC6146">
            <w:pPr>
              <w:jc w:val="center"/>
            </w:pPr>
            <w:r w:rsidRPr="772A6BD0">
              <w:rPr>
                <w:b/>
                <w:bCs/>
              </w:rPr>
              <w:t>Stakeholder</w:t>
            </w:r>
          </w:p>
        </w:tc>
        <w:tc>
          <w:tcPr>
            <w:tcW w:w="960" w:type="dxa"/>
            <w:shd w:val="clear" w:color="auto" w:fill="00B0F0"/>
          </w:tcPr>
          <w:p w14:paraId="67A1E0A1" w14:textId="77777777" w:rsidR="00E31504" w:rsidRDefault="00E31504" w:rsidP="00FC6146">
            <w:pPr>
              <w:jc w:val="center"/>
            </w:pPr>
            <w:r w:rsidRPr="772A6BD0">
              <w:rPr>
                <w:b/>
                <w:bCs/>
              </w:rPr>
              <w:t>Power</w:t>
            </w:r>
          </w:p>
        </w:tc>
        <w:tc>
          <w:tcPr>
            <w:tcW w:w="1770" w:type="dxa"/>
            <w:shd w:val="clear" w:color="auto" w:fill="00B0F0"/>
          </w:tcPr>
          <w:p w14:paraId="483379DF" w14:textId="77777777" w:rsidR="00E31504" w:rsidRDefault="00E31504" w:rsidP="00FC6146">
            <w:pPr>
              <w:jc w:val="center"/>
            </w:pPr>
            <w:r w:rsidRPr="772A6BD0">
              <w:rPr>
                <w:b/>
                <w:bCs/>
              </w:rPr>
              <w:t>Influence</w:t>
            </w:r>
          </w:p>
        </w:tc>
        <w:tc>
          <w:tcPr>
            <w:tcW w:w="1200" w:type="dxa"/>
            <w:shd w:val="clear" w:color="auto" w:fill="00B0F0"/>
          </w:tcPr>
          <w:p w14:paraId="79D743BD" w14:textId="77777777" w:rsidR="00E31504" w:rsidRDefault="00E31504" w:rsidP="00FC6146">
            <w:pPr>
              <w:jc w:val="center"/>
            </w:pPr>
            <w:r w:rsidRPr="772A6BD0">
              <w:rPr>
                <w:b/>
                <w:bCs/>
              </w:rPr>
              <w:t>Interest</w:t>
            </w:r>
          </w:p>
        </w:tc>
        <w:tc>
          <w:tcPr>
            <w:tcW w:w="3465" w:type="dxa"/>
            <w:shd w:val="clear" w:color="auto" w:fill="00B0F0"/>
          </w:tcPr>
          <w:p w14:paraId="524EA0CC" w14:textId="77777777" w:rsidR="00E31504" w:rsidRDefault="00E31504" w:rsidP="00FC6146">
            <w:pPr>
              <w:jc w:val="center"/>
            </w:pPr>
            <w:r w:rsidRPr="772A6BD0">
              <w:rPr>
                <w:b/>
                <w:bCs/>
              </w:rPr>
              <w:t>Reason</w:t>
            </w:r>
          </w:p>
        </w:tc>
      </w:tr>
      <w:tr w:rsidR="00E31504" w14:paraId="335C645A" w14:textId="77777777" w:rsidTr="00FC6146">
        <w:trPr>
          <w:trHeight w:val="300"/>
        </w:trPr>
        <w:tc>
          <w:tcPr>
            <w:tcW w:w="2098" w:type="dxa"/>
          </w:tcPr>
          <w:p w14:paraId="76A0C75D" w14:textId="77777777" w:rsidR="00E31504" w:rsidRDefault="00E31504" w:rsidP="00FC6146">
            <w:r>
              <w:t>Local Council (Project Sponsor)</w:t>
            </w:r>
          </w:p>
        </w:tc>
        <w:tc>
          <w:tcPr>
            <w:tcW w:w="960" w:type="dxa"/>
          </w:tcPr>
          <w:p w14:paraId="110D202B" w14:textId="77777777" w:rsidR="00E31504" w:rsidRDefault="00E31504" w:rsidP="00FC6146">
            <w:r>
              <w:t>High</w:t>
            </w:r>
          </w:p>
        </w:tc>
        <w:tc>
          <w:tcPr>
            <w:tcW w:w="1770" w:type="dxa"/>
          </w:tcPr>
          <w:p w14:paraId="3F97BBF5" w14:textId="77777777" w:rsidR="00E31504" w:rsidRDefault="00E31504" w:rsidP="00FC6146">
            <w:r>
              <w:t>High</w:t>
            </w:r>
          </w:p>
        </w:tc>
        <w:tc>
          <w:tcPr>
            <w:tcW w:w="1200" w:type="dxa"/>
          </w:tcPr>
          <w:p w14:paraId="3B127188" w14:textId="77777777" w:rsidR="00E31504" w:rsidRDefault="00E31504" w:rsidP="00FC6146">
            <w:r>
              <w:t>High</w:t>
            </w:r>
          </w:p>
        </w:tc>
        <w:tc>
          <w:tcPr>
            <w:tcW w:w="3465" w:type="dxa"/>
          </w:tcPr>
          <w:p w14:paraId="4D9A4BD7" w14:textId="77777777" w:rsidR="00E31504" w:rsidRDefault="00E31504" w:rsidP="00FC6146">
            <w:r>
              <w:t>Provides funding, approvals, and final decision-making authority.</w:t>
            </w:r>
          </w:p>
        </w:tc>
      </w:tr>
      <w:tr w:rsidR="00E31504" w14:paraId="1F0BC419" w14:textId="77777777" w:rsidTr="00FC6146">
        <w:trPr>
          <w:trHeight w:val="300"/>
        </w:trPr>
        <w:tc>
          <w:tcPr>
            <w:tcW w:w="2098" w:type="dxa"/>
          </w:tcPr>
          <w:p w14:paraId="7A82A416" w14:textId="77777777" w:rsidR="00E31504" w:rsidRDefault="00E31504" w:rsidP="00FC6146">
            <w:r>
              <w:t>Project Manager</w:t>
            </w:r>
          </w:p>
        </w:tc>
        <w:tc>
          <w:tcPr>
            <w:tcW w:w="960" w:type="dxa"/>
          </w:tcPr>
          <w:p w14:paraId="00DDE691" w14:textId="77777777" w:rsidR="00E31504" w:rsidRDefault="00E31504" w:rsidP="00FC6146">
            <w:r>
              <w:t>Medium</w:t>
            </w:r>
          </w:p>
        </w:tc>
        <w:tc>
          <w:tcPr>
            <w:tcW w:w="1770" w:type="dxa"/>
          </w:tcPr>
          <w:p w14:paraId="5BE304D8" w14:textId="77777777" w:rsidR="00E31504" w:rsidRDefault="00E31504" w:rsidP="00FC6146">
            <w:r>
              <w:t>High</w:t>
            </w:r>
          </w:p>
        </w:tc>
        <w:tc>
          <w:tcPr>
            <w:tcW w:w="1200" w:type="dxa"/>
          </w:tcPr>
          <w:p w14:paraId="2F3DA6D7" w14:textId="77777777" w:rsidR="00E31504" w:rsidRDefault="00E31504" w:rsidP="00FC6146">
            <w:r>
              <w:t>High</w:t>
            </w:r>
          </w:p>
        </w:tc>
        <w:tc>
          <w:tcPr>
            <w:tcW w:w="3465" w:type="dxa"/>
          </w:tcPr>
          <w:p w14:paraId="6B365946" w14:textId="77777777" w:rsidR="00E31504" w:rsidRDefault="00E31504" w:rsidP="00FC6146">
            <w:r>
              <w:t>Manages daily operations and delivery but does not control funding.</w:t>
            </w:r>
          </w:p>
        </w:tc>
      </w:tr>
      <w:tr w:rsidR="00E31504" w14:paraId="57F4DF02" w14:textId="77777777" w:rsidTr="00FC6146">
        <w:trPr>
          <w:trHeight w:val="300"/>
        </w:trPr>
        <w:tc>
          <w:tcPr>
            <w:tcW w:w="2098" w:type="dxa"/>
          </w:tcPr>
          <w:p w14:paraId="216EBBB1" w14:textId="77777777" w:rsidR="00E31504" w:rsidRDefault="00E31504" w:rsidP="00FC6146">
            <w:r>
              <w:t>Planning Department</w:t>
            </w:r>
          </w:p>
        </w:tc>
        <w:tc>
          <w:tcPr>
            <w:tcW w:w="960" w:type="dxa"/>
          </w:tcPr>
          <w:p w14:paraId="30232927" w14:textId="77777777" w:rsidR="00E31504" w:rsidRDefault="00E31504" w:rsidP="00FC6146">
            <w:r>
              <w:t>Medium</w:t>
            </w:r>
          </w:p>
        </w:tc>
        <w:tc>
          <w:tcPr>
            <w:tcW w:w="1770" w:type="dxa"/>
          </w:tcPr>
          <w:p w14:paraId="4FEE8B51" w14:textId="77777777" w:rsidR="00E31504" w:rsidRDefault="00E31504" w:rsidP="00FC6146">
            <w:r>
              <w:t>Medium</w:t>
            </w:r>
          </w:p>
        </w:tc>
        <w:tc>
          <w:tcPr>
            <w:tcW w:w="1200" w:type="dxa"/>
          </w:tcPr>
          <w:p w14:paraId="0D638D94" w14:textId="77777777" w:rsidR="00E31504" w:rsidRDefault="00E31504" w:rsidP="00FC6146">
            <w:r>
              <w:t>High</w:t>
            </w:r>
          </w:p>
        </w:tc>
        <w:tc>
          <w:tcPr>
            <w:tcW w:w="3465" w:type="dxa"/>
          </w:tcPr>
          <w:p w14:paraId="3F3B1080" w14:textId="77777777" w:rsidR="00E31504" w:rsidRDefault="00E31504" w:rsidP="00FC6146">
            <w:r>
              <w:t>Ensures legal and regulatory compliance.</w:t>
            </w:r>
          </w:p>
        </w:tc>
      </w:tr>
      <w:tr w:rsidR="00E31504" w14:paraId="35ECA67D" w14:textId="77777777" w:rsidTr="00FC6146">
        <w:trPr>
          <w:trHeight w:val="300"/>
        </w:trPr>
        <w:tc>
          <w:tcPr>
            <w:tcW w:w="2098" w:type="dxa"/>
          </w:tcPr>
          <w:p w14:paraId="681C27C4" w14:textId="77777777" w:rsidR="00E31504" w:rsidRDefault="00E31504" w:rsidP="00FC6146">
            <w:r>
              <w:t>Environmental Agency</w:t>
            </w:r>
          </w:p>
        </w:tc>
        <w:tc>
          <w:tcPr>
            <w:tcW w:w="960" w:type="dxa"/>
          </w:tcPr>
          <w:p w14:paraId="1B2E7474" w14:textId="77777777" w:rsidR="00E31504" w:rsidRDefault="00E31504" w:rsidP="00FC6146">
            <w:r>
              <w:t>High</w:t>
            </w:r>
          </w:p>
        </w:tc>
        <w:tc>
          <w:tcPr>
            <w:tcW w:w="1770" w:type="dxa"/>
          </w:tcPr>
          <w:p w14:paraId="60364F58" w14:textId="77777777" w:rsidR="00E31504" w:rsidRDefault="00E31504" w:rsidP="00FC6146">
            <w:r>
              <w:t>Medium</w:t>
            </w:r>
          </w:p>
        </w:tc>
        <w:tc>
          <w:tcPr>
            <w:tcW w:w="1200" w:type="dxa"/>
          </w:tcPr>
          <w:p w14:paraId="1E8ECE91" w14:textId="77777777" w:rsidR="00E31504" w:rsidRDefault="00E31504" w:rsidP="00FC6146">
            <w:r>
              <w:t>Medium</w:t>
            </w:r>
          </w:p>
        </w:tc>
        <w:tc>
          <w:tcPr>
            <w:tcW w:w="3465" w:type="dxa"/>
          </w:tcPr>
          <w:p w14:paraId="67976438" w14:textId="77777777" w:rsidR="00E31504" w:rsidRDefault="00E31504" w:rsidP="00FC6146">
            <w:r>
              <w:t>Can approve or stop project based on environmental impact.</w:t>
            </w:r>
          </w:p>
        </w:tc>
      </w:tr>
      <w:tr w:rsidR="00E31504" w14:paraId="5815E8B1" w14:textId="77777777" w:rsidTr="00FC6146">
        <w:trPr>
          <w:trHeight w:val="300"/>
        </w:trPr>
        <w:tc>
          <w:tcPr>
            <w:tcW w:w="2098" w:type="dxa"/>
          </w:tcPr>
          <w:p w14:paraId="52BBE3B3" w14:textId="77777777" w:rsidR="00E31504" w:rsidRDefault="00E31504" w:rsidP="00FC6146">
            <w:proofErr w:type="gramStart"/>
            <w:r>
              <w:t>Local Residents</w:t>
            </w:r>
            <w:proofErr w:type="gramEnd"/>
          </w:p>
        </w:tc>
        <w:tc>
          <w:tcPr>
            <w:tcW w:w="960" w:type="dxa"/>
          </w:tcPr>
          <w:p w14:paraId="0D1B1F26" w14:textId="77777777" w:rsidR="00E31504" w:rsidRDefault="00E31504" w:rsidP="00FC6146">
            <w:r>
              <w:t>Low</w:t>
            </w:r>
          </w:p>
        </w:tc>
        <w:tc>
          <w:tcPr>
            <w:tcW w:w="1770" w:type="dxa"/>
          </w:tcPr>
          <w:p w14:paraId="6486B577" w14:textId="77777777" w:rsidR="00E31504" w:rsidRDefault="00E31504" w:rsidP="00FC6146">
            <w:r>
              <w:t>Medium</w:t>
            </w:r>
          </w:p>
        </w:tc>
        <w:tc>
          <w:tcPr>
            <w:tcW w:w="1200" w:type="dxa"/>
          </w:tcPr>
          <w:p w14:paraId="1EEC8D12" w14:textId="77777777" w:rsidR="00E31504" w:rsidRDefault="00E31504" w:rsidP="00FC6146">
            <w:r>
              <w:t>High</w:t>
            </w:r>
          </w:p>
        </w:tc>
        <w:tc>
          <w:tcPr>
            <w:tcW w:w="3465" w:type="dxa"/>
          </w:tcPr>
          <w:p w14:paraId="73ECA229" w14:textId="77E3A9CB" w:rsidR="00E31504" w:rsidRDefault="00E31504" w:rsidP="00FC6146">
            <w:r>
              <w:t>Main users of the road can influence through public opinion.</w:t>
            </w:r>
          </w:p>
        </w:tc>
      </w:tr>
      <w:tr w:rsidR="00E31504" w14:paraId="57FDD394" w14:textId="77777777" w:rsidTr="00FC6146">
        <w:trPr>
          <w:trHeight w:val="300"/>
        </w:trPr>
        <w:tc>
          <w:tcPr>
            <w:tcW w:w="2098" w:type="dxa"/>
          </w:tcPr>
          <w:p w14:paraId="5B8CBA6C" w14:textId="77777777" w:rsidR="00E31504" w:rsidRDefault="00E31504" w:rsidP="00FC6146">
            <w:r>
              <w:t>Local Businesses</w:t>
            </w:r>
          </w:p>
        </w:tc>
        <w:tc>
          <w:tcPr>
            <w:tcW w:w="960" w:type="dxa"/>
          </w:tcPr>
          <w:p w14:paraId="40D89F32" w14:textId="77777777" w:rsidR="00E31504" w:rsidRDefault="00E31504" w:rsidP="00FC6146">
            <w:r>
              <w:t>Low</w:t>
            </w:r>
          </w:p>
        </w:tc>
        <w:tc>
          <w:tcPr>
            <w:tcW w:w="1770" w:type="dxa"/>
          </w:tcPr>
          <w:p w14:paraId="51601276" w14:textId="77777777" w:rsidR="00E31504" w:rsidRDefault="00E31504" w:rsidP="00FC6146">
            <w:r>
              <w:t>Low</w:t>
            </w:r>
          </w:p>
        </w:tc>
        <w:tc>
          <w:tcPr>
            <w:tcW w:w="1200" w:type="dxa"/>
          </w:tcPr>
          <w:p w14:paraId="6DB115C7" w14:textId="0F4852A3" w:rsidR="00E31504" w:rsidRDefault="00E31504" w:rsidP="00FC6146">
            <w:r>
              <w:t>High</w:t>
            </w:r>
          </w:p>
        </w:tc>
        <w:tc>
          <w:tcPr>
            <w:tcW w:w="3465" w:type="dxa"/>
          </w:tcPr>
          <w:p w14:paraId="3D9D5620" w14:textId="1E183213" w:rsidR="00E31504" w:rsidRDefault="00E31504" w:rsidP="00FC6146">
            <w:r>
              <w:t>Directly affected by construction and made access more difficult</w:t>
            </w:r>
          </w:p>
        </w:tc>
      </w:tr>
    </w:tbl>
    <w:p w14:paraId="3FAAB952" w14:textId="77777777" w:rsidR="00E31504" w:rsidRDefault="00E31504" w:rsidP="00E31504">
      <w:pPr>
        <w:spacing w:line="360" w:lineRule="auto"/>
        <w:rPr>
          <w:b/>
          <w:bCs/>
          <w:highlight w:val="green"/>
        </w:rPr>
      </w:pPr>
    </w:p>
    <w:p w14:paraId="1BDACC42" w14:textId="77777777" w:rsidR="00E31504" w:rsidRPr="00E31504" w:rsidRDefault="00E31504" w:rsidP="00360B7B">
      <w:pPr>
        <w:spacing w:after="0" w:line="600" w:lineRule="auto"/>
        <w:rPr>
          <w:rFonts w:cstheme="minorHAnsi"/>
          <w:sz w:val="24"/>
          <w:szCs w:val="24"/>
        </w:rPr>
      </w:pPr>
    </w:p>
    <w:p w14:paraId="0DC4AA35" w14:textId="77777777" w:rsidR="00E67F24" w:rsidRDefault="00E67F24" w:rsidP="00360B7B">
      <w:pPr>
        <w:spacing w:after="0" w:line="600" w:lineRule="auto"/>
        <w:rPr>
          <w:rFonts w:cstheme="minorHAnsi"/>
          <w:sz w:val="24"/>
          <w:szCs w:val="24"/>
        </w:rPr>
      </w:pPr>
    </w:p>
    <w:p w14:paraId="04386733" w14:textId="77777777" w:rsidR="009913E5" w:rsidRDefault="009913E5" w:rsidP="009F3699">
      <w:pPr>
        <w:spacing w:line="600" w:lineRule="auto"/>
        <w:rPr>
          <w:rFonts w:eastAsia="Aptos" w:cstheme="minorHAnsi"/>
          <w:b/>
          <w:bCs/>
          <w:sz w:val="22"/>
          <w:szCs w:val="22"/>
        </w:rPr>
      </w:pPr>
    </w:p>
    <w:p w14:paraId="65BA0A51" w14:textId="22647DBC" w:rsidR="00850A2A" w:rsidRPr="003F1F30" w:rsidRDefault="00463976" w:rsidP="009F3699">
      <w:pPr>
        <w:spacing w:line="600" w:lineRule="auto"/>
        <w:rPr>
          <w:rFonts w:eastAsia="Aptos" w:cstheme="minorHAnsi"/>
          <w:b/>
          <w:bCs/>
          <w:sz w:val="22"/>
          <w:szCs w:val="22"/>
        </w:rPr>
      </w:pPr>
      <w:r w:rsidRPr="003F1F30">
        <w:rPr>
          <w:rFonts w:eastAsia="Aptos" w:cstheme="minorHAnsi"/>
          <w:b/>
          <w:bCs/>
          <w:sz w:val="22"/>
          <w:szCs w:val="22"/>
        </w:rPr>
        <w:t>Stakeholder Communication Plan</w:t>
      </w:r>
    </w:p>
    <w:tbl>
      <w:tblPr>
        <w:tblStyle w:val="TableGrid"/>
        <w:tblW w:w="0" w:type="auto"/>
        <w:tblLook w:val="04A0" w:firstRow="1" w:lastRow="0" w:firstColumn="1" w:lastColumn="0" w:noHBand="0" w:noVBand="1"/>
      </w:tblPr>
      <w:tblGrid>
        <w:gridCol w:w="1570"/>
        <w:gridCol w:w="1301"/>
        <w:gridCol w:w="2223"/>
      </w:tblGrid>
      <w:tr w:rsidR="00463976" w14:paraId="76ABEF2D" w14:textId="77777777">
        <w:tc>
          <w:tcPr>
            <w:tcW w:w="0" w:type="auto"/>
          </w:tcPr>
          <w:p w14:paraId="669FBCF4" w14:textId="78DC5DA3" w:rsidR="00463976" w:rsidRPr="003F1F30" w:rsidRDefault="00463976" w:rsidP="009F3699">
            <w:pPr>
              <w:spacing w:line="600" w:lineRule="auto"/>
              <w:rPr>
                <w:rFonts w:eastAsia="Aptos" w:cstheme="minorHAnsi"/>
                <w:b/>
                <w:bCs/>
              </w:rPr>
            </w:pPr>
            <w:r w:rsidRPr="003F1F30">
              <w:rPr>
                <w:rFonts w:eastAsia="Aptos" w:cstheme="minorHAnsi"/>
                <w:b/>
                <w:bCs/>
              </w:rPr>
              <w:lastRenderedPageBreak/>
              <w:t>Stakeholder</w:t>
            </w:r>
          </w:p>
        </w:tc>
        <w:tc>
          <w:tcPr>
            <w:tcW w:w="0" w:type="auto"/>
          </w:tcPr>
          <w:p w14:paraId="1920CBE9" w14:textId="5DC15A89" w:rsidR="00463976" w:rsidRPr="003F1F30" w:rsidRDefault="00463976" w:rsidP="009F3699">
            <w:pPr>
              <w:spacing w:line="600" w:lineRule="auto"/>
              <w:rPr>
                <w:rFonts w:eastAsia="Aptos" w:cstheme="minorHAnsi"/>
                <w:b/>
                <w:bCs/>
              </w:rPr>
            </w:pPr>
            <w:r w:rsidRPr="003F1F30">
              <w:rPr>
                <w:rFonts w:eastAsia="Aptos" w:cstheme="minorHAnsi"/>
                <w:b/>
                <w:bCs/>
              </w:rPr>
              <w:t>Frequency</w:t>
            </w:r>
          </w:p>
        </w:tc>
        <w:tc>
          <w:tcPr>
            <w:tcW w:w="0" w:type="auto"/>
          </w:tcPr>
          <w:p w14:paraId="1A3B795F" w14:textId="388D457A" w:rsidR="00463976" w:rsidRPr="003F1F30" w:rsidRDefault="00463976" w:rsidP="009F3699">
            <w:pPr>
              <w:spacing w:line="600" w:lineRule="auto"/>
              <w:rPr>
                <w:rFonts w:eastAsia="Aptos" w:cstheme="minorHAnsi"/>
                <w:b/>
                <w:bCs/>
              </w:rPr>
            </w:pPr>
            <w:r w:rsidRPr="003F1F30">
              <w:rPr>
                <w:rFonts w:eastAsia="Aptos" w:cstheme="minorHAnsi"/>
                <w:b/>
                <w:bCs/>
              </w:rPr>
              <w:t>Method</w:t>
            </w:r>
          </w:p>
        </w:tc>
      </w:tr>
      <w:tr w:rsidR="00463976" w14:paraId="63EB4A36" w14:textId="77777777">
        <w:tc>
          <w:tcPr>
            <w:tcW w:w="0" w:type="auto"/>
          </w:tcPr>
          <w:p w14:paraId="3D037DFF" w14:textId="7585070A" w:rsidR="00463976" w:rsidRPr="003F1F30" w:rsidRDefault="00940246" w:rsidP="009F3699">
            <w:pPr>
              <w:spacing w:line="600" w:lineRule="auto"/>
              <w:rPr>
                <w:rFonts w:eastAsia="Aptos" w:cstheme="minorHAnsi"/>
              </w:rPr>
            </w:pPr>
            <w:r w:rsidRPr="003F1F30">
              <w:rPr>
                <w:rFonts w:eastAsia="Aptos" w:cstheme="minorHAnsi"/>
              </w:rPr>
              <w:t>Havering council</w:t>
            </w:r>
          </w:p>
        </w:tc>
        <w:tc>
          <w:tcPr>
            <w:tcW w:w="0" w:type="auto"/>
          </w:tcPr>
          <w:p w14:paraId="4A0561CC" w14:textId="39CB55F1" w:rsidR="00463976" w:rsidRPr="003F1F30" w:rsidRDefault="00940246" w:rsidP="009F3699">
            <w:pPr>
              <w:spacing w:line="600" w:lineRule="auto"/>
              <w:rPr>
                <w:rFonts w:eastAsia="Aptos" w:cstheme="minorHAnsi"/>
              </w:rPr>
            </w:pPr>
            <w:r w:rsidRPr="003F1F30">
              <w:rPr>
                <w:rFonts w:eastAsia="Aptos" w:cstheme="minorHAnsi"/>
              </w:rPr>
              <w:t>Monthly</w:t>
            </w:r>
          </w:p>
        </w:tc>
        <w:tc>
          <w:tcPr>
            <w:tcW w:w="0" w:type="auto"/>
          </w:tcPr>
          <w:p w14:paraId="4B85B7DC" w14:textId="7637F1F1" w:rsidR="00463976" w:rsidRPr="003F1F30" w:rsidRDefault="00940246" w:rsidP="009F3699">
            <w:pPr>
              <w:spacing w:line="600" w:lineRule="auto"/>
              <w:rPr>
                <w:rFonts w:eastAsia="Aptos" w:cstheme="minorHAnsi"/>
              </w:rPr>
            </w:pPr>
            <w:r w:rsidRPr="003F1F30">
              <w:rPr>
                <w:rFonts w:eastAsia="Aptos" w:cstheme="minorHAnsi"/>
              </w:rPr>
              <w:t>Reports, meetings</w:t>
            </w:r>
          </w:p>
        </w:tc>
      </w:tr>
      <w:tr w:rsidR="00463976" w14:paraId="3FD3D480" w14:textId="77777777">
        <w:tc>
          <w:tcPr>
            <w:tcW w:w="0" w:type="auto"/>
          </w:tcPr>
          <w:p w14:paraId="548AEAE8" w14:textId="564A4F13" w:rsidR="00463976" w:rsidRPr="003F1F30" w:rsidRDefault="00940246" w:rsidP="009F3699">
            <w:pPr>
              <w:spacing w:line="600" w:lineRule="auto"/>
              <w:rPr>
                <w:rFonts w:eastAsia="Aptos" w:cstheme="minorHAnsi"/>
              </w:rPr>
            </w:pPr>
            <w:r w:rsidRPr="003F1F30">
              <w:rPr>
                <w:rFonts w:eastAsia="Aptos" w:cstheme="minorHAnsi"/>
              </w:rPr>
              <w:t>Project Manager</w:t>
            </w:r>
          </w:p>
        </w:tc>
        <w:tc>
          <w:tcPr>
            <w:tcW w:w="0" w:type="auto"/>
          </w:tcPr>
          <w:p w14:paraId="7062B8B2" w14:textId="0F15DF8B" w:rsidR="00463976" w:rsidRPr="003F1F30" w:rsidRDefault="00940246" w:rsidP="009F3699">
            <w:pPr>
              <w:spacing w:line="600" w:lineRule="auto"/>
              <w:rPr>
                <w:rFonts w:eastAsia="Aptos" w:cstheme="minorHAnsi"/>
              </w:rPr>
            </w:pPr>
            <w:r w:rsidRPr="003F1F30">
              <w:rPr>
                <w:rFonts w:eastAsia="Aptos" w:cstheme="minorHAnsi"/>
              </w:rPr>
              <w:t>Weekly</w:t>
            </w:r>
          </w:p>
        </w:tc>
        <w:tc>
          <w:tcPr>
            <w:tcW w:w="0" w:type="auto"/>
          </w:tcPr>
          <w:p w14:paraId="16546C84" w14:textId="729ECBE3" w:rsidR="00463976" w:rsidRPr="003F1F30" w:rsidRDefault="00940246" w:rsidP="009F3699">
            <w:pPr>
              <w:spacing w:line="600" w:lineRule="auto"/>
              <w:rPr>
                <w:rFonts w:eastAsia="Aptos" w:cstheme="minorHAnsi"/>
              </w:rPr>
            </w:pPr>
            <w:r w:rsidRPr="003F1F30">
              <w:rPr>
                <w:rFonts w:eastAsia="Aptos" w:cstheme="minorHAnsi"/>
              </w:rPr>
              <w:t>Internal meetings</w:t>
            </w:r>
          </w:p>
        </w:tc>
      </w:tr>
      <w:tr w:rsidR="00463976" w14:paraId="6B80BCAC" w14:textId="77777777">
        <w:tc>
          <w:tcPr>
            <w:tcW w:w="0" w:type="auto"/>
          </w:tcPr>
          <w:p w14:paraId="3C8C1674" w14:textId="0CFEEF82" w:rsidR="00463976" w:rsidRPr="003F1F30" w:rsidRDefault="00940246" w:rsidP="009F3699">
            <w:pPr>
              <w:spacing w:line="600" w:lineRule="auto"/>
              <w:rPr>
                <w:rFonts w:eastAsia="Aptos" w:cstheme="minorHAnsi"/>
              </w:rPr>
            </w:pPr>
            <w:r w:rsidRPr="003F1F30">
              <w:rPr>
                <w:rFonts w:eastAsia="Aptos" w:cstheme="minorHAnsi"/>
              </w:rPr>
              <w:t>Engineers</w:t>
            </w:r>
          </w:p>
        </w:tc>
        <w:tc>
          <w:tcPr>
            <w:tcW w:w="0" w:type="auto"/>
          </w:tcPr>
          <w:p w14:paraId="654645D1" w14:textId="52CFD5FA" w:rsidR="00463976" w:rsidRPr="003F1F30" w:rsidRDefault="00940246" w:rsidP="009F3699">
            <w:pPr>
              <w:spacing w:line="600" w:lineRule="auto"/>
              <w:rPr>
                <w:rFonts w:eastAsia="Aptos" w:cstheme="minorHAnsi"/>
              </w:rPr>
            </w:pPr>
            <w:r w:rsidRPr="003F1F30">
              <w:rPr>
                <w:rFonts w:eastAsia="Aptos" w:cstheme="minorHAnsi"/>
              </w:rPr>
              <w:t>Twice weekly</w:t>
            </w:r>
          </w:p>
        </w:tc>
        <w:tc>
          <w:tcPr>
            <w:tcW w:w="0" w:type="auto"/>
          </w:tcPr>
          <w:p w14:paraId="53F14F6C" w14:textId="6883710E" w:rsidR="00463976" w:rsidRPr="003F1F30" w:rsidRDefault="00940246" w:rsidP="009F3699">
            <w:pPr>
              <w:spacing w:line="600" w:lineRule="auto"/>
              <w:rPr>
                <w:rFonts w:eastAsia="Aptos" w:cstheme="minorHAnsi"/>
              </w:rPr>
            </w:pPr>
            <w:r w:rsidRPr="003F1F30">
              <w:rPr>
                <w:rFonts w:eastAsia="Aptos" w:cstheme="minorHAnsi"/>
              </w:rPr>
              <w:t>Technical discussions</w:t>
            </w:r>
          </w:p>
        </w:tc>
      </w:tr>
      <w:tr w:rsidR="00463976" w14:paraId="158D0E18" w14:textId="77777777">
        <w:tc>
          <w:tcPr>
            <w:tcW w:w="0" w:type="auto"/>
          </w:tcPr>
          <w:p w14:paraId="44D2F58A" w14:textId="364E3487" w:rsidR="00463976" w:rsidRPr="003F1F30" w:rsidRDefault="00940246" w:rsidP="009F3699">
            <w:pPr>
              <w:spacing w:line="600" w:lineRule="auto"/>
              <w:rPr>
                <w:rFonts w:eastAsia="Aptos" w:cstheme="minorHAnsi"/>
              </w:rPr>
            </w:pPr>
            <w:r w:rsidRPr="003F1F30">
              <w:rPr>
                <w:rFonts w:eastAsia="Aptos" w:cstheme="minorHAnsi"/>
              </w:rPr>
              <w:t>Residents</w:t>
            </w:r>
          </w:p>
        </w:tc>
        <w:tc>
          <w:tcPr>
            <w:tcW w:w="0" w:type="auto"/>
          </w:tcPr>
          <w:p w14:paraId="6C228E11" w14:textId="680B3034" w:rsidR="00463976" w:rsidRPr="003F1F30" w:rsidRDefault="00940246" w:rsidP="009F3699">
            <w:pPr>
              <w:spacing w:line="600" w:lineRule="auto"/>
              <w:rPr>
                <w:rFonts w:eastAsia="Aptos" w:cstheme="minorHAnsi"/>
              </w:rPr>
            </w:pPr>
            <w:r w:rsidRPr="003F1F30">
              <w:rPr>
                <w:rFonts w:eastAsia="Aptos" w:cstheme="minorHAnsi"/>
              </w:rPr>
              <w:t>Monthly</w:t>
            </w:r>
          </w:p>
        </w:tc>
        <w:tc>
          <w:tcPr>
            <w:tcW w:w="0" w:type="auto"/>
          </w:tcPr>
          <w:p w14:paraId="04B10157" w14:textId="2C88B330" w:rsidR="00463976" w:rsidRPr="003F1F30" w:rsidRDefault="00940246" w:rsidP="009F3699">
            <w:pPr>
              <w:spacing w:line="600" w:lineRule="auto"/>
              <w:rPr>
                <w:rFonts w:eastAsia="Aptos" w:cstheme="minorHAnsi"/>
              </w:rPr>
            </w:pPr>
            <w:r w:rsidRPr="003F1F30">
              <w:rPr>
                <w:rFonts w:eastAsia="Aptos" w:cstheme="minorHAnsi"/>
              </w:rPr>
              <w:t>Surveys, public meetings</w:t>
            </w:r>
          </w:p>
        </w:tc>
      </w:tr>
      <w:tr w:rsidR="00463976" w14:paraId="1E9E71CE" w14:textId="77777777">
        <w:tc>
          <w:tcPr>
            <w:tcW w:w="0" w:type="auto"/>
          </w:tcPr>
          <w:p w14:paraId="5F627DFE" w14:textId="4EDCAA78" w:rsidR="00463976" w:rsidRPr="003F1F30" w:rsidRDefault="00940246" w:rsidP="009F3699">
            <w:pPr>
              <w:spacing w:line="600" w:lineRule="auto"/>
              <w:rPr>
                <w:rFonts w:eastAsia="Aptos" w:cstheme="minorHAnsi"/>
              </w:rPr>
            </w:pPr>
            <w:r w:rsidRPr="003F1F30">
              <w:rPr>
                <w:rFonts w:eastAsia="Aptos" w:cstheme="minorHAnsi"/>
              </w:rPr>
              <w:t>Businesses</w:t>
            </w:r>
          </w:p>
        </w:tc>
        <w:tc>
          <w:tcPr>
            <w:tcW w:w="0" w:type="auto"/>
          </w:tcPr>
          <w:p w14:paraId="608859DB" w14:textId="4DA10A09" w:rsidR="00463976" w:rsidRPr="003F1F30" w:rsidRDefault="00940246" w:rsidP="009F3699">
            <w:pPr>
              <w:spacing w:line="600" w:lineRule="auto"/>
              <w:rPr>
                <w:rFonts w:eastAsia="Aptos" w:cstheme="minorHAnsi"/>
              </w:rPr>
            </w:pPr>
            <w:r w:rsidRPr="003F1F30">
              <w:rPr>
                <w:rFonts w:eastAsia="Aptos" w:cstheme="minorHAnsi"/>
              </w:rPr>
              <w:t xml:space="preserve">Quarterly </w:t>
            </w:r>
          </w:p>
        </w:tc>
        <w:tc>
          <w:tcPr>
            <w:tcW w:w="0" w:type="auto"/>
          </w:tcPr>
          <w:p w14:paraId="69EC0591" w14:textId="133C5AC9" w:rsidR="00463976" w:rsidRPr="003F1F30" w:rsidRDefault="00940246" w:rsidP="009F3699">
            <w:pPr>
              <w:spacing w:line="600" w:lineRule="auto"/>
              <w:rPr>
                <w:rFonts w:eastAsia="Aptos" w:cstheme="minorHAnsi"/>
              </w:rPr>
            </w:pPr>
            <w:r w:rsidRPr="003F1F30">
              <w:rPr>
                <w:rFonts w:eastAsia="Aptos" w:cstheme="minorHAnsi"/>
              </w:rPr>
              <w:t>Emails updates</w:t>
            </w:r>
          </w:p>
        </w:tc>
      </w:tr>
      <w:tr w:rsidR="00463976" w14:paraId="6C0743FA" w14:textId="77777777">
        <w:tc>
          <w:tcPr>
            <w:tcW w:w="0" w:type="auto"/>
          </w:tcPr>
          <w:p w14:paraId="3F80B56A" w14:textId="52677603" w:rsidR="00463976" w:rsidRPr="003F1F30" w:rsidRDefault="00940246" w:rsidP="009F3699">
            <w:pPr>
              <w:spacing w:line="600" w:lineRule="auto"/>
              <w:rPr>
                <w:rFonts w:eastAsia="Aptos" w:cstheme="minorHAnsi"/>
              </w:rPr>
            </w:pPr>
            <w:r w:rsidRPr="003F1F30">
              <w:rPr>
                <w:rFonts w:eastAsia="Aptos" w:cstheme="minorHAnsi"/>
              </w:rPr>
              <w:t>Agencies</w:t>
            </w:r>
          </w:p>
        </w:tc>
        <w:tc>
          <w:tcPr>
            <w:tcW w:w="0" w:type="auto"/>
          </w:tcPr>
          <w:p w14:paraId="47BC8B95" w14:textId="4256CC29" w:rsidR="00463976" w:rsidRPr="003F1F30" w:rsidRDefault="00940246" w:rsidP="009F3699">
            <w:pPr>
              <w:spacing w:line="600" w:lineRule="auto"/>
              <w:rPr>
                <w:rFonts w:eastAsia="Aptos" w:cstheme="minorHAnsi"/>
              </w:rPr>
            </w:pPr>
            <w:r w:rsidRPr="003F1F30">
              <w:rPr>
                <w:rFonts w:eastAsia="Aptos" w:cstheme="minorHAnsi"/>
              </w:rPr>
              <w:t>Monthly</w:t>
            </w:r>
          </w:p>
        </w:tc>
        <w:tc>
          <w:tcPr>
            <w:tcW w:w="0" w:type="auto"/>
          </w:tcPr>
          <w:p w14:paraId="2743B86F" w14:textId="6A556C2C" w:rsidR="00463976" w:rsidRPr="003F1F30" w:rsidRDefault="00940246" w:rsidP="009F3699">
            <w:pPr>
              <w:spacing w:line="600" w:lineRule="auto"/>
              <w:rPr>
                <w:rFonts w:eastAsia="Aptos" w:cstheme="minorHAnsi"/>
              </w:rPr>
            </w:pPr>
            <w:r w:rsidRPr="003F1F30">
              <w:rPr>
                <w:rFonts w:eastAsia="Aptos" w:cstheme="minorHAnsi"/>
              </w:rPr>
              <w:t>Compliance reports</w:t>
            </w:r>
          </w:p>
        </w:tc>
      </w:tr>
    </w:tbl>
    <w:p w14:paraId="042B962F" w14:textId="77777777" w:rsidR="00463976" w:rsidRDefault="00463976" w:rsidP="009F3699">
      <w:pPr>
        <w:spacing w:line="600" w:lineRule="auto"/>
        <w:rPr>
          <w:rFonts w:ascii="Arial" w:eastAsia="Aptos" w:hAnsi="Arial" w:cs="Arial"/>
        </w:rPr>
      </w:pPr>
    </w:p>
    <w:p w14:paraId="5886E6DD" w14:textId="1C859C83" w:rsidR="00B53439" w:rsidRPr="003F1F30" w:rsidRDefault="00940246" w:rsidP="009F3699">
      <w:pPr>
        <w:spacing w:line="600" w:lineRule="auto"/>
        <w:rPr>
          <w:rFonts w:eastAsia="Aptos" w:cstheme="minorHAnsi"/>
          <w:sz w:val="22"/>
          <w:szCs w:val="22"/>
        </w:rPr>
      </w:pPr>
      <w:r w:rsidRPr="003F1F30">
        <w:rPr>
          <w:rFonts w:eastAsia="Aptos" w:cstheme="minorHAnsi"/>
          <w:sz w:val="22"/>
          <w:szCs w:val="22"/>
        </w:rPr>
        <w:t>Effective communication reduces resistance and improves project outcomes (PMI, 2021).</w:t>
      </w:r>
    </w:p>
    <w:p w14:paraId="326DF918" w14:textId="5C65C33C"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Different stakeholders require tailored engagement strategies</w:t>
      </w:r>
      <w:r w:rsidR="008F4621">
        <w:rPr>
          <w:rFonts w:eastAsia="Aptos" w:cstheme="minorHAnsi"/>
          <w:sz w:val="22"/>
          <w:szCs w:val="22"/>
        </w:rPr>
        <w:t xml:space="preserve"> to ensure project success (Bryson, 2018).</w:t>
      </w:r>
    </w:p>
    <w:p w14:paraId="7596C1D2" w14:textId="25499994"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Havering Council: Formal reporting, strategic meetings</w:t>
      </w:r>
    </w:p>
    <w:p w14:paraId="6B86706C" w14:textId="7C37585E"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Project Manager and Engineers: Daily/ weekly operational coordination</w:t>
      </w:r>
    </w:p>
    <w:p w14:paraId="0661D045" w14:textId="2437A707"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Residents: Public consultations and updates</w:t>
      </w:r>
    </w:p>
    <w:p w14:paraId="1C57E4A6" w14:textId="55C6EBAF"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Businesses: Periodic communication regarding disruptions</w:t>
      </w:r>
    </w:p>
    <w:p w14:paraId="4F667753" w14:textId="1D1B3C65"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This structured approach ensures effective stakeholder management (PMI, 2021).</w:t>
      </w:r>
    </w:p>
    <w:p w14:paraId="507113FB" w14:textId="1B02BD82" w:rsidR="00B53439" w:rsidRPr="003F1F30" w:rsidRDefault="00B53439" w:rsidP="009F3699">
      <w:pPr>
        <w:spacing w:line="600" w:lineRule="auto"/>
        <w:rPr>
          <w:rFonts w:eastAsia="Aptos" w:cstheme="minorHAnsi"/>
          <w:sz w:val="22"/>
          <w:szCs w:val="22"/>
        </w:rPr>
      </w:pPr>
      <w:r w:rsidRPr="003F1F30">
        <w:rPr>
          <w:rFonts w:eastAsia="Aptos" w:cstheme="minorHAnsi"/>
          <w:b/>
          <w:bCs/>
          <w:sz w:val="22"/>
          <w:szCs w:val="22"/>
        </w:rPr>
        <w:t>Evaluation of Communication Effectiveness</w:t>
      </w:r>
    </w:p>
    <w:p w14:paraId="159237F1" w14:textId="1B12871D"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t>Effective communication builds trust with stakeholders, reduces resistance and conflict, ensures alignment with project goals, improves decision making</w:t>
      </w:r>
      <w:r w:rsidR="009913E5">
        <w:rPr>
          <w:rFonts w:eastAsia="Aptos" w:cstheme="minorHAnsi"/>
          <w:sz w:val="22"/>
          <w:szCs w:val="22"/>
        </w:rPr>
        <w:t xml:space="preserve"> (PMI, 2021; Kerzner</w:t>
      </w:r>
      <w:r w:rsidR="00D12670">
        <w:rPr>
          <w:rFonts w:eastAsia="Aptos" w:cstheme="minorHAnsi"/>
          <w:sz w:val="22"/>
          <w:szCs w:val="22"/>
        </w:rPr>
        <w:t>, 2017)</w:t>
      </w:r>
    </w:p>
    <w:p w14:paraId="2C66FA5B" w14:textId="5D04DD4C" w:rsidR="00B53439" w:rsidRPr="003F1F30" w:rsidRDefault="00B53439" w:rsidP="009F3699">
      <w:pPr>
        <w:spacing w:line="600" w:lineRule="auto"/>
        <w:rPr>
          <w:rFonts w:eastAsia="Aptos" w:cstheme="minorHAnsi"/>
          <w:sz w:val="22"/>
          <w:szCs w:val="22"/>
        </w:rPr>
      </w:pPr>
      <w:r w:rsidRPr="003F1F30">
        <w:rPr>
          <w:rFonts w:eastAsia="Aptos" w:cstheme="minorHAnsi"/>
          <w:sz w:val="22"/>
          <w:szCs w:val="22"/>
        </w:rPr>
        <w:lastRenderedPageBreak/>
        <w:t>Poor communication</w:t>
      </w:r>
      <w:r w:rsidR="008D3E9A" w:rsidRPr="003F1F30">
        <w:rPr>
          <w:rFonts w:eastAsia="Aptos" w:cstheme="minorHAnsi"/>
          <w:sz w:val="22"/>
          <w:szCs w:val="22"/>
        </w:rPr>
        <w:t>, on the other hand, can lead to misunderstanding, delays and stakeholder dissatisfaction.</w:t>
      </w:r>
    </w:p>
    <w:p w14:paraId="158FA418" w14:textId="5E268E54" w:rsidR="003F1F30" w:rsidRDefault="003F1F30" w:rsidP="009F3699">
      <w:pPr>
        <w:spacing w:line="600" w:lineRule="auto"/>
        <w:rPr>
          <w:rFonts w:eastAsia="Aptos" w:cstheme="minorHAnsi"/>
          <w:b/>
          <w:bCs/>
          <w:sz w:val="22"/>
          <w:szCs w:val="22"/>
        </w:rPr>
      </w:pPr>
      <w:r w:rsidRPr="003F1F30">
        <w:rPr>
          <w:rFonts w:eastAsia="Aptos" w:cstheme="minorHAnsi"/>
          <w:b/>
          <w:bCs/>
          <w:sz w:val="22"/>
          <w:szCs w:val="22"/>
        </w:rPr>
        <w:t>Critical Evaluation</w:t>
      </w:r>
    </w:p>
    <w:p w14:paraId="4125CDF2" w14:textId="354B74E5" w:rsidR="009913E5" w:rsidRDefault="009913E5" w:rsidP="009F3699">
      <w:pPr>
        <w:spacing w:line="600" w:lineRule="auto"/>
        <w:rPr>
          <w:rFonts w:eastAsia="Aptos" w:cstheme="minorHAnsi"/>
          <w:sz w:val="22"/>
          <w:szCs w:val="22"/>
        </w:rPr>
      </w:pPr>
      <w:r>
        <w:rPr>
          <w:rFonts w:eastAsia="Aptos" w:cstheme="minorHAnsi"/>
          <w:sz w:val="22"/>
          <w:szCs w:val="22"/>
        </w:rPr>
        <w:t>While the Gallows Corner project offers significant benefits, its success depends on managing risks and stakeholder expectations effectively. The SWOT and PESTLE analyses highlight that external factors such as political support and economic conditions play a crucial role, while the VRIO analysis shows that strategic location and technology provide long-term advantages.</w:t>
      </w:r>
    </w:p>
    <w:p w14:paraId="45207193" w14:textId="7B335065" w:rsidR="009913E5" w:rsidRDefault="009913E5" w:rsidP="009F3699">
      <w:pPr>
        <w:spacing w:line="600" w:lineRule="auto"/>
        <w:rPr>
          <w:rFonts w:eastAsia="Aptos" w:cstheme="minorHAnsi"/>
          <w:sz w:val="22"/>
          <w:szCs w:val="22"/>
        </w:rPr>
      </w:pPr>
      <w:r>
        <w:rPr>
          <w:rFonts w:eastAsia="Aptos" w:cstheme="minorHAnsi"/>
          <w:sz w:val="22"/>
          <w:szCs w:val="22"/>
        </w:rPr>
        <w:t>However, challenges such as disruption, cost management and public perception must be addressed through strong leadership, effective communication and ethical stakeholder engagement</w:t>
      </w:r>
      <w:r w:rsidR="00D12670">
        <w:rPr>
          <w:rFonts w:eastAsia="Aptos" w:cstheme="minorHAnsi"/>
          <w:sz w:val="22"/>
          <w:szCs w:val="22"/>
        </w:rPr>
        <w:t xml:space="preserve"> (Flyvbjerg, 2014).</w:t>
      </w:r>
    </w:p>
    <w:p w14:paraId="6E7CD08F" w14:textId="0DCA678D" w:rsidR="00D12670" w:rsidRDefault="00D12670" w:rsidP="009F3699">
      <w:pPr>
        <w:spacing w:line="600" w:lineRule="auto"/>
        <w:rPr>
          <w:rFonts w:eastAsia="Aptos" w:cstheme="minorHAnsi"/>
          <w:sz w:val="22"/>
          <w:szCs w:val="22"/>
        </w:rPr>
      </w:pPr>
      <w:r>
        <w:rPr>
          <w:rFonts w:eastAsia="Aptos" w:cstheme="minorHAnsi"/>
          <w:sz w:val="22"/>
          <w:szCs w:val="22"/>
        </w:rPr>
        <w:t>Strong stakeholder engagement, supported by ethical practices and transparent communication, is essential to ensure project success (Bryson, 2018).</w:t>
      </w:r>
    </w:p>
    <w:p w14:paraId="18CA8EAD" w14:textId="77777777" w:rsidR="009913E5" w:rsidRPr="009913E5" w:rsidRDefault="009913E5" w:rsidP="009F3699">
      <w:pPr>
        <w:spacing w:line="600" w:lineRule="auto"/>
        <w:rPr>
          <w:rFonts w:eastAsia="Aptos" w:cstheme="minorHAnsi"/>
          <w:sz w:val="22"/>
          <w:szCs w:val="22"/>
        </w:rPr>
      </w:pPr>
    </w:p>
    <w:p w14:paraId="4ABC4AD7" w14:textId="2F30CDD0" w:rsidR="009D6793" w:rsidRPr="008C5E05" w:rsidRDefault="009D6793" w:rsidP="008C5E05">
      <w:pPr>
        <w:pStyle w:val="ListParagraph"/>
        <w:numPr>
          <w:ilvl w:val="0"/>
          <w:numId w:val="3"/>
        </w:numPr>
        <w:spacing w:line="600" w:lineRule="auto"/>
        <w:rPr>
          <w:rFonts w:cstheme="minorHAnsi"/>
          <w:b/>
          <w:bCs/>
          <w:sz w:val="24"/>
          <w:szCs w:val="24"/>
        </w:rPr>
      </w:pPr>
      <w:r w:rsidRPr="008C5E05">
        <w:rPr>
          <w:rFonts w:cstheme="minorHAnsi"/>
          <w:b/>
          <w:bCs/>
          <w:sz w:val="24"/>
          <w:szCs w:val="24"/>
        </w:rPr>
        <w:t>Ethical Considerations in Stakeholders Consultation</w:t>
      </w:r>
    </w:p>
    <w:p w14:paraId="48ADED3B" w14:textId="28BE3ED4" w:rsidR="009D6793" w:rsidRPr="00B5790E" w:rsidRDefault="009D6793" w:rsidP="009D6793">
      <w:pPr>
        <w:spacing w:line="600" w:lineRule="auto"/>
        <w:rPr>
          <w:rFonts w:cstheme="minorHAnsi"/>
          <w:sz w:val="22"/>
          <w:szCs w:val="22"/>
        </w:rPr>
      </w:pPr>
      <w:r w:rsidRPr="00B5790E">
        <w:rPr>
          <w:rFonts w:cstheme="minorHAnsi"/>
          <w:sz w:val="22"/>
          <w:szCs w:val="22"/>
        </w:rPr>
        <w:t xml:space="preserve">Ethical considerations play a crucial role in the successful planning and delivery of the Gallows Corner development project, particularly due to its direct impact on the local community. Ethical </w:t>
      </w:r>
      <w:r w:rsidR="00B5790E" w:rsidRPr="00B5790E">
        <w:rPr>
          <w:rFonts w:cstheme="minorHAnsi"/>
          <w:sz w:val="22"/>
          <w:szCs w:val="22"/>
        </w:rPr>
        <w:t>stakeholder engagement ensures that decisions are transparent, inclusive and aligned with legal and moral responsibility (Bryson, 2018).</w:t>
      </w:r>
    </w:p>
    <w:p w14:paraId="5CD65C13" w14:textId="77777777" w:rsidR="009542D8" w:rsidRDefault="009542D8" w:rsidP="009D6793">
      <w:pPr>
        <w:spacing w:line="600" w:lineRule="auto"/>
        <w:rPr>
          <w:rFonts w:cstheme="minorHAnsi"/>
          <w:b/>
          <w:bCs/>
          <w:sz w:val="22"/>
          <w:szCs w:val="22"/>
        </w:rPr>
      </w:pPr>
    </w:p>
    <w:p w14:paraId="4C21410F" w14:textId="610A2265" w:rsidR="00B5790E" w:rsidRDefault="00B5790E" w:rsidP="009D6793">
      <w:pPr>
        <w:spacing w:line="600" w:lineRule="auto"/>
        <w:rPr>
          <w:rFonts w:cstheme="minorHAnsi"/>
          <w:b/>
          <w:bCs/>
          <w:sz w:val="22"/>
          <w:szCs w:val="22"/>
        </w:rPr>
      </w:pPr>
      <w:r w:rsidRPr="00B5790E">
        <w:rPr>
          <w:rFonts w:cstheme="minorHAnsi"/>
          <w:b/>
          <w:bCs/>
          <w:sz w:val="22"/>
          <w:szCs w:val="22"/>
        </w:rPr>
        <w:lastRenderedPageBreak/>
        <w:t>Methods of Consultation</w:t>
      </w:r>
    </w:p>
    <w:p w14:paraId="14D240BC" w14:textId="30A404BF" w:rsidR="009542D8" w:rsidRPr="00223455" w:rsidRDefault="009542D8" w:rsidP="009D6793">
      <w:pPr>
        <w:spacing w:line="600" w:lineRule="auto"/>
        <w:rPr>
          <w:rFonts w:cstheme="minorHAnsi"/>
          <w:b/>
          <w:bCs/>
          <w:sz w:val="22"/>
          <w:szCs w:val="22"/>
        </w:rPr>
      </w:pPr>
      <w:r w:rsidRPr="00223455">
        <w:rPr>
          <w:rFonts w:cstheme="minorHAnsi"/>
          <w:b/>
          <w:bCs/>
          <w:sz w:val="22"/>
          <w:szCs w:val="22"/>
        </w:rPr>
        <w:t>Online and Paper Surveys</w:t>
      </w:r>
    </w:p>
    <w:p w14:paraId="628D361F" w14:textId="777BAA4E" w:rsidR="009542D8" w:rsidRDefault="009542D8" w:rsidP="009D6793">
      <w:pPr>
        <w:spacing w:line="600" w:lineRule="auto"/>
        <w:rPr>
          <w:rFonts w:cstheme="minorHAnsi"/>
          <w:sz w:val="22"/>
          <w:szCs w:val="22"/>
        </w:rPr>
      </w:pPr>
      <w:r>
        <w:rPr>
          <w:rFonts w:cstheme="minorHAnsi"/>
          <w:sz w:val="22"/>
          <w:szCs w:val="22"/>
        </w:rPr>
        <w:t xml:space="preserve">Online and paper-based surveys are effective tools gathering large scale feedback from stakeholders. They allow the project team to collect both quantitative and qualitative data effectively while ensuring accessibility for individuals with different levels of digital literacy </w:t>
      </w:r>
      <w:r w:rsidR="00EB2D34">
        <w:rPr>
          <w:rFonts w:cstheme="minorHAnsi"/>
          <w:sz w:val="22"/>
          <w:szCs w:val="22"/>
        </w:rPr>
        <w:t>(Saunders</w:t>
      </w:r>
      <w:r>
        <w:rPr>
          <w:rFonts w:cstheme="minorHAnsi"/>
          <w:sz w:val="22"/>
          <w:szCs w:val="22"/>
        </w:rPr>
        <w:t>, Lewis and Thornhill, 2019).  In the context of Gallows Corner project, surveys enable Havering Council to understand the community concerns regarding traffic disruptions, safety and environmental impact</w:t>
      </w:r>
      <w:r w:rsidR="00EB2D34">
        <w:rPr>
          <w:rFonts w:cstheme="minorHAnsi"/>
          <w:sz w:val="22"/>
          <w:szCs w:val="22"/>
        </w:rPr>
        <w:t>. However, surveys may lack depth compared to face-to-face engagement and can result in low response rates if not carefully designed.</w:t>
      </w:r>
    </w:p>
    <w:p w14:paraId="38B61C5B" w14:textId="38C67D7A" w:rsidR="00EB2D34" w:rsidRPr="00223455" w:rsidRDefault="00EB2D34" w:rsidP="009D6793">
      <w:pPr>
        <w:spacing w:line="600" w:lineRule="auto"/>
        <w:rPr>
          <w:rFonts w:cstheme="minorHAnsi"/>
          <w:b/>
          <w:bCs/>
          <w:sz w:val="22"/>
          <w:szCs w:val="22"/>
        </w:rPr>
      </w:pPr>
      <w:r w:rsidRPr="00223455">
        <w:rPr>
          <w:rFonts w:cstheme="minorHAnsi"/>
          <w:b/>
          <w:bCs/>
          <w:sz w:val="22"/>
          <w:szCs w:val="22"/>
        </w:rPr>
        <w:t>Public Meetings and Focus Groups</w:t>
      </w:r>
    </w:p>
    <w:p w14:paraId="729897B5" w14:textId="355B1BC3" w:rsidR="00EB2D34" w:rsidRDefault="00EB2D34" w:rsidP="009D6793">
      <w:pPr>
        <w:spacing w:line="600" w:lineRule="auto"/>
        <w:rPr>
          <w:rFonts w:cstheme="minorHAnsi"/>
          <w:sz w:val="22"/>
          <w:szCs w:val="22"/>
        </w:rPr>
      </w:pPr>
      <w:r>
        <w:rPr>
          <w:rFonts w:cstheme="minorHAnsi"/>
          <w:sz w:val="22"/>
          <w:szCs w:val="22"/>
        </w:rPr>
        <w:t xml:space="preserve">Public meetings and focus groups provide opportunities for direct interaction between stakeholders and project representatives. For Gallows Corner, public meetings are essential in addressing community concerns about construction disruptions and </w:t>
      </w:r>
      <w:proofErr w:type="gramStart"/>
      <w:r>
        <w:rPr>
          <w:rFonts w:cstheme="minorHAnsi"/>
          <w:sz w:val="22"/>
          <w:szCs w:val="22"/>
        </w:rPr>
        <w:t>long term</w:t>
      </w:r>
      <w:proofErr w:type="gramEnd"/>
      <w:r>
        <w:rPr>
          <w:rFonts w:cstheme="minorHAnsi"/>
          <w:sz w:val="22"/>
          <w:szCs w:val="22"/>
        </w:rPr>
        <w:t xml:space="preserve"> benefits. Focus groups can also provide targeted insight from stakeholder groups, such as local businesses or commuters. Despite their advantages, these methods may be limited by attendance levels and may not fully represent the broader population.</w:t>
      </w:r>
    </w:p>
    <w:p w14:paraId="4BC8FCC4" w14:textId="77777777" w:rsidR="00EB2D34" w:rsidRDefault="00EB2D34" w:rsidP="009D6793">
      <w:pPr>
        <w:spacing w:line="600" w:lineRule="auto"/>
        <w:rPr>
          <w:rFonts w:cstheme="minorHAnsi"/>
          <w:sz w:val="22"/>
          <w:szCs w:val="22"/>
        </w:rPr>
      </w:pPr>
    </w:p>
    <w:p w14:paraId="038FED87" w14:textId="2F00C66C" w:rsidR="00EB2D34" w:rsidRDefault="00EB2D34" w:rsidP="009D6793">
      <w:pPr>
        <w:spacing w:line="600" w:lineRule="auto"/>
        <w:rPr>
          <w:rFonts w:cstheme="minorHAnsi"/>
          <w:b/>
          <w:bCs/>
          <w:sz w:val="22"/>
          <w:szCs w:val="22"/>
        </w:rPr>
      </w:pPr>
      <w:r w:rsidRPr="00EB2D34">
        <w:rPr>
          <w:rFonts w:cstheme="minorHAnsi"/>
          <w:b/>
          <w:bCs/>
          <w:sz w:val="22"/>
          <w:szCs w:val="22"/>
        </w:rPr>
        <w:t>Informed Consent</w:t>
      </w:r>
    </w:p>
    <w:p w14:paraId="5E7BAAEA" w14:textId="6C2A4C0A" w:rsidR="00EB2D34" w:rsidRDefault="00EB2D34" w:rsidP="009D6793">
      <w:pPr>
        <w:spacing w:line="600" w:lineRule="auto"/>
        <w:rPr>
          <w:rFonts w:cstheme="minorHAnsi"/>
          <w:sz w:val="22"/>
          <w:szCs w:val="22"/>
        </w:rPr>
      </w:pPr>
      <w:r>
        <w:rPr>
          <w:rFonts w:cstheme="minorHAnsi"/>
          <w:sz w:val="22"/>
          <w:szCs w:val="22"/>
        </w:rPr>
        <w:lastRenderedPageBreak/>
        <w:t xml:space="preserve">Informed consent ensures that participants are informed of the purpose of the consultation and how their data will be used. </w:t>
      </w:r>
      <w:r w:rsidR="00EA3063">
        <w:rPr>
          <w:rFonts w:cstheme="minorHAnsi"/>
          <w:sz w:val="22"/>
          <w:szCs w:val="22"/>
        </w:rPr>
        <w:t>This is a fundamental ethical principle in research and stakeholder engagement (Resnik, 2018).</w:t>
      </w:r>
    </w:p>
    <w:p w14:paraId="710A1902" w14:textId="66409F6E" w:rsidR="00EA3063" w:rsidRDefault="00EA3063" w:rsidP="009D6793">
      <w:pPr>
        <w:spacing w:line="600" w:lineRule="auto"/>
        <w:rPr>
          <w:rFonts w:cstheme="minorHAnsi"/>
          <w:sz w:val="22"/>
          <w:szCs w:val="22"/>
        </w:rPr>
      </w:pPr>
      <w:r>
        <w:rPr>
          <w:rFonts w:cstheme="minorHAnsi"/>
          <w:sz w:val="22"/>
          <w:szCs w:val="22"/>
        </w:rPr>
        <w:t>In the Gallows Corner project, participants must be informed about how their feedback will influence the decision making and whether their feedback will be anonymous.</w:t>
      </w:r>
    </w:p>
    <w:p w14:paraId="721219CB" w14:textId="77777777" w:rsidR="00EA3063" w:rsidRDefault="00EA3063" w:rsidP="009D6793">
      <w:pPr>
        <w:spacing w:line="600" w:lineRule="auto"/>
        <w:rPr>
          <w:rFonts w:cstheme="minorHAnsi"/>
          <w:sz w:val="22"/>
          <w:szCs w:val="22"/>
        </w:rPr>
      </w:pPr>
    </w:p>
    <w:p w14:paraId="7C7B9EF0" w14:textId="05141239" w:rsidR="00EA3063" w:rsidRDefault="00EA3063" w:rsidP="009D6793">
      <w:pPr>
        <w:spacing w:line="600" w:lineRule="auto"/>
        <w:rPr>
          <w:rFonts w:cstheme="minorHAnsi"/>
          <w:b/>
          <w:bCs/>
          <w:sz w:val="22"/>
          <w:szCs w:val="22"/>
        </w:rPr>
      </w:pPr>
      <w:r w:rsidRPr="00EA3063">
        <w:rPr>
          <w:rFonts w:cstheme="minorHAnsi"/>
          <w:b/>
          <w:bCs/>
          <w:sz w:val="22"/>
          <w:szCs w:val="22"/>
        </w:rPr>
        <w:t>Data Confidentiality and Protection</w:t>
      </w:r>
    </w:p>
    <w:p w14:paraId="4A3924E9" w14:textId="67ED9D9A" w:rsidR="00E843F2" w:rsidRDefault="00E843F2" w:rsidP="009D6793">
      <w:pPr>
        <w:spacing w:line="600" w:lineRule="auto"/>
        <w:rPr>
          <w:rFonts w:cstheme="minorHAnsi"/>
          <w:sz w:val="22"/>
          <w:szCs w:val="22"/>
        </w:rPr>
      </w:pPr>
      <w:r>
        <w:rPr>
          <w:rFonts w:cstheme="minorHAnsi"/>
          <w:sz w:val="22"/>
          <w:szCs w:val="22"/>
        </w:rPr>
        <w:t xml:space="preserve">Data protection is particularly important due to the regulations in the UK General Data Protection Regulation (GDPR). All personal data collected must be securely stored and used only for its intended purpose (ICO, 2023). Ensuring confidentiality builds trust between stakeholders and the project team, encouraging greater collaboration and honesty in responses. </w:t>
      </w:r>
    </w:p>
    <w:p w14:paraId="7857B23D" w14:textId="77777777" w:rsidR="00E843F2" w:rsidRDefault="00E843F2" w:rsidP="009D6793">
      <w:pPr>
        <w:spacing w:line="600" w:lineRule="auto"/>
        <w:rPr>
          <w:rFonts w:cstheme="minorHAnsi"/>
          <w:sz w:val="22"/>
          <w:szCs w:val="22"/>
        </w:rPr>
      </w:pPr>
    </w:p>
    <w:p w14:paraId="410E0236" w14:textId="796924EE" w:rsidR="00E843F2" w:rsidRPr="00E843F2" w:rsidRDefault="00E843F2" w:rsidP="009D6793">
      <w:pPr>
        <w:spacing w:line="600" w:lineRule="auto"/>
        <w:rPr>
          <w:rFonts w:cstheme="minorHAnsi"/>
          <w:sz w:val="22"/>
          <w:szCs w:val="22"/>
        </w:rPr>
      </w:pPr>
      <w:r w:rsidRPr="00E843F2">
        <w:rPr>
          <w:rFonts w:cstheme="minorHAnsi"/>
          <w:b/>
          <w:bCs/>
          <w:sz w:val="22"/>
          <w:szCs w:val="22"/>
        </w:rPr>
        <w:t>Bias Control</w:t>
      </w:r>
    </w:p>
    <w:p w14:paraId="03BE56AE" w14:textId="22DDDE3C" w:rsidR="00E843F2" w:rsidRDefault="00E843F2" w:rsidP="009D6793">
      <w:pPr>
        <w:spacing w:line="600" w:lineRule="auto"/>
        <w:rPr>
          <w:rFonts w:cstheme="minorHAnsi"/>
          <w:b/>
          <w:bCs/>
          <w:sz w:val="22"/>
          <w:szCs w:val="22"/>
        </w:rPr>
      </w:pPr>
      <w:r>
        <w:rPr>
          <w:rFonts w:cstheme="minorHAnsi"/>
          <w:b/>
          <w:bCs/>
          <w:sz w:val="22"/>
          <w:szCs w:val="22"/>
        </w:rPr>
        <w:t>Representative Sampling</w:t>
      </w:r>
    </w:p>
    <w:p w14:paraId="79B6C5D5" w14:textId="5B2657D7" w:rsidR="00E843F2" w:rsidRDefault="00E843F2" w:rsidP="009D6793">
      <w:pPr>
        <w:spacing w:line="600" w:lineRule="auto"/>
        <w:rPr>
          <w:rFonts w:cstheme="minorHAnsi"/>
          <w:sz w:val="22"/>
          <w:szCs w:val="22"/>
        </w:rPr>
      </w:pPr>
      <w:r>
        <w:rPr>
          <w:rFonts w:cstheme="minorHAnsi"/>
          <w:sz w:val="22"/>
          <w:szCs w:val="22"/>
        </w:rPr>
        <w:t xml:space="preserve">A representative sample ensures that feedback reflects the diversity </w:t>
      </w:r>
      <w:r w:rsidR="006A12F6">
        <w:rPr>
          <w:rFonts w:cstheme="minorHAnsi"/>
          <w:sz w:val="22"/>
          <w:szCs w:val="22"/>
        </w:rPr>
        <w:t xml:space="preserve">of the local community. Without this, decision making may be biased towards certain groups, leading to unequal outcomes. For example, the Gallows Corner project must include input from different age groups, socioeconomic backgrounds and mobility needs. </w:t>
      </w:r>
    </w:p>
    <w:p w14:paraId="73F2AB81" w14:textId="08DA65DC" w:rsidR="006A12F6" w:rsidRDefault="006A12F6" w:rsidP="009D6793">
      <w:pPr>
        <w:spacing w:line="600" w:lineRule="auto"/>
        <w:rPr>
          <w:rFonts w:cstheme="minorHAnsi"/>
          <w:sz w:val="22"/>
          <w:szCs w:val="22"/>
        </w:rPr>
      </w:pPr>
    </w:p>
    <w:p w14:paraId="4EF411A5" w14:textId="66322DA3" w:rsidR="006A12F6" w:rsidRDefault="006A12F6" w:rsidP="009D6793">
      <w:pPr>
        <w:spacing w:line="600" w:lineRule="auto"/>
        <w:rPr>
          <w:rFonts w:cstheme="minorHAnsi"/>
          <w:b/>
          <w:bCs/>
          <w:sz w:val="22"/>
          <w:szCs w:val="22"/>
        </w:rPr>
      </w:pPr>
      <w:r w:rsidRPr="006A12F6">
        <w:rPr>
          <w:rFonts w:cstheme="minorHAnsi"/>
          <w:b/>
          <w:bCs/>
          <w:sz w:val="22"/>
          <w:szCs w:val="22"/>
        </w:rPr>
        <w:lastRenderedPageBreak/>
        <w:t>Transparent Reporting</w:t>
      </w:r>
    </w:p>
    <w:p w14:paraId="5D5478A7" w14:textId="02423555" w:rsidR="006A12F6" w:rsidRDefault="006A12F6" w:rsidP="009D6793">
      <w:pPr>
        <w:spacing w:line="600" w:lineRule="auto"/>
        <w:rPr>
          <w:rFonts w:cstheme="minorHAnsi"/>
          <w:sz w:val="22"/>
          <w:szCs w:val="22"/>
        </w:rPr>
      </w:pPr>
      <w:r>
        <w:rPr>
          <w:rFonts w:cstheme="minorHAnsi"/>
          <w:sz w:val="22"/>
          <w:szCs w:val="22"/>
        </w:rPr>
        <w:t xml:space="preserve">Transparency in reporting ensures that findings are presented accurately and without manipulation. This includes acknowledging both positive and negative feedback (Bryson, 2018). Transparent reporting strengthens accountability and enhances stakeholder trust. </w:t>
      </w:r>
    </w:p>
    <w:p w14:paraId="6A5455E8" w14:textId="77777777" w:rsidR="006A12F6" w:rsidRDefault="006A12F6" w:rsidP="009D6793">
      <w:pPr>
        <w:spacing w:line="600" w:lineRule="auto"/>
        <w:rPr>
          <w:rFonts w:cstheme="minorHAnsi"/>
          <w:sz w:val="22"/>
          <w:szCs w:val="22"/>
        </w:rPr>
      </w:pPr>
    </w:p>
    <w:p w14:paraId="38C6630B" w14:textId="43B6D523" w:rsidR="006A12F6" w:rsidRDefault="006A12F6" w:rsidP="009D6793">
      <w:pPr>
        <w:spacing w:line="600" w:lineRule="auto"/>
        <w:rPr>
          <w:rFonts w:cstheme="minorHAnsi"/>
          <w:b/>
          <w:bCs/>
          <w:sz w:val="22"/>
          <w:szCs w:val="22"/>
        </w:rPr>
      </w:pPr>
      <w:r w:rsidRPr="006A12F6">
        <w:rPr>
          <w:rFonts w:cstheme="minorHAnsi"/>
          <w:b/>
          <w:bCs/>
          <w:sz w:val="22"/>
          <w:szCs w:val="22"/>
        </w:rPr>
        <w:t>Diversity, Equity and Inclusion (DEI)</w:t>
      </w:r>
    </w:p>
    <w:p w14:paraId="2E896B7D" w14:textId="5A5EE875" w:rsidR="006A12F6" w:rsidRDefault="006A12F6" w:rsidP="009D6793">
      <w:pPr>
        <w:spacing w:line="600" w:lineRule="auto"/>
        <w:rPr>
          <w:rFonts w:cstheme="minorHAnsi"/>
          <w:b/>
          <w:bCs/>
          <w:sz w:val="22"/>
          <w:szCs w:val="22"/>
        </w:rPr>
      </w:pPr>
      <w:r>
        <w:rPr>
          <w:rFonts w:cstheme="minorHAnsi"/>
          <w:b/>
          <w:bCs/>
          <w:sz w:val="22"/>
          <w:szCs w:val="22"/>
        </w:rPr>
        <w:t>Accessible Venues</w:t>
      </w:r>
    </w:p>
    <w:p w14:paraId="15D4DFA2" w14:textId="4292ABEE" w:rsidR="006A12F6" w:rsidRDefault="006A12F6" w:rsidP="009D6793">
      <w:pPr>
        <w:spacing w:line="600" w:lineRule="auto"/>
        <w:rPr>
          <w:rFonts w:cstheme="minorHAnsi"/>
          <w:sz w:val="22"/>
          <w:szCs w:val="22"/>
        </w:rPr>
      </w:pPr>
      <w:r>
        <w:rPr>
          <w:rFonts w:cstheme="minorHAnsi"/>
          <w:sz w:val="22"/>
          <w:szCs w:val="22"/>
        </w:rPr>
        <w:t>Consultation events must be held in accessible locations</w:t>
      </w:r>
      <w:r w:rsidR="00B76B68">
        <w:rPr>
          <w:rFonts w:cstheme="minorHAnsi"/>
          <w:sz w:val="22"/>
          <w:szCs w:val="22"/>
        </w:rPr>
        <w:t>, ensuring participation from individuals with disabilities. This includes physical accessibility and appropriate facilities (Equality Act, 2010).</w:t>
      </w:r>
    </w:p>
    <w:p w14:paraId="50F6FB4F" w14:textId="77777777" w:rsidR="00B76B68" w:rsidRDefault="00B76B68" w:rsidP="009D6793">
      <w:pPr>
        <w:spacing w:line="600" w:lineRule="auto"/>
        <w:rPr>
          <w:rFonts w:cstheme="minorHAnsi"/>
          <w:sz w:val="22"/>
          <w:szCs w:val="22"/>
        </w:rPr>
      </w:pPr>
    </w:p>
    <w:p w14:paraId="4C849685" w14:textId="33910DAC" w:rsidR="00B76B68" w:rsidRDefault="00B76B68" w:rsidP="009D6793">
      <w:pPr>
        <w:spacing w:line="600" w:lineRule="auto"/>
        <w:rPr>
          <w:rFonts w:cstheme="minorHAnsi"/>
          <w:b/>
          <w:bCs/>
          <w:sz w:val="22"/>
          <w:szCs w:val="22"/>
        </w:rPr>
      </w:pPr>
      <w:r w:rsidRPr="00B76B68">
        <w:rPr>
          <w:rFonts w:cstheme="minorHAnsi"/>
          <w:b/>
          <w:bCs/>
          <w:sz w:val="22"/>
          <w:szCs w:val="22"/>
        </w:rPr>
        <w:t>Engaging Underrepresented Groups</w:t>
      </w:r>
    </w:p>
    <w:p w14:paraId="798BC043" w14:textId="04D074E4" w:rsidR="00B76B68" w:rsidRDefault="00B76B68" w:rsidP="009D6793">
      <w:pPr>
        <w:spacing w:line="600" w:lineRule="auto"/>
        <w:rPr>
          <w:rFonts w:cstheme="minorHAnsi"/>
          <w:sz w:val="22"/>
          <w:szCs w:val="22"/>
        </w:rPr>
      </w:pPr>
      <w:r>
        <w:rPr>
          <w:rFonts w:cstheme="minorHAnsi"/>
          <w:sz w:val="22"/>
          <w:szCs w:val="22"/>
        </w:rPr>
        <w:t xml:space="preserve">Efforts must be made to engage groups that are often excluded, such as minority groups or </w:t>
      </w:r>
      <w:proofErr w:type="gramStart"/>
      <w:r>
        <w:rPr>
          <w:rFonts w:cstheme="minorHAnsi"/>
          <w:sz w:val="22"/>
          <w:szCs w:val="22"/>
        </w:rPr>
        <w:t>low income</w:t>
      </w:r>
      <w:proofErr w:type="gramEnd"/>
      <w:r>
        <w:rPr>
          <w:rFonts w:cstheme="minorHAnsi"/>
          <w:sz w:val="22"/>
          <w:szCs w:val="22"/>
        </w:rPr>
        <w:t xml:space="preserve"> households. This may involve targeted outreach and tailored communication strategies (GLA, 2022). Promoting inclusion ensures that the project meets the needs of all stakeholders, not just the majority. </w:t>
      </w:r>
    </w:p>
    <w:p w14:paraId="3AD5383D" w14:textId="77777777" w:rsidR="002C73E6" w:rsidRDefault="002C73E6" w:rsidP="009D6793">
      <w:pPr>
        <w:spacing w:line="600" w:lineRule="auto"/>
        <w:rPr>
          <w:rFonts w:cstheme="minorHAnsi"/>
          <w:b/>
          <w:bCs/>
          <w:sz w:val="22"/>
          <w:szCs w:val="22"/>
        </w:rPr>
      </w:pPr>
    </w:p>
    <w:p w14:paraId="27F80C4E" w14:textId="7C2F3A1C" w:rsidR="00B76B68" w:rsidRDefault="00B76B68" w:rsidP="009D6793">
      <w:pPr>
        <w:spacing w:line="600" w:lineRule="auto"/>
        <w:rPr>
          <w:rFonts w:cstheme="minorHAnsi"/>
          <w:b/>
          <w:bCs/>
          <w:sz w:val="22"/>
          <w:szCs w:val="22"/>
        </w:rPr>
      </w:pPr>
      <w:r w:rsidRPr="00B76B68">
        <w:rPr>
          <w:rFonts w:cstheme="minorHAnsi"/>
          <w:b/>
          <w:bCs/>
          <w:sz w:val="22"/>
          <w:szCs w:val="22"/>
        </w:rPr>
        <w:t>Feedback Review and Application</w:t>
      </w:r>
    </w:p>
    <w:p w14:paraId="15D5F9D6" w14:textId="312F4324" w:rsidR="002C73E6" w:rsidRDefault="002C73E6" w:rsidP="009D6793">
      <w:pPr>
        <w:spacing w:line="600" w:lineRule="auto"/>
        <w:rPr>
          <w:rFonts w:cstheme="minorHAnsi"/>
          <w:sz w:val="22"/>
          <w:szCs w:val="22"/>
        </w:rPr>
      </w:pPr>
      <w:r>
        <w:rPr>
          <w:rFonts w:cstheme="minorHAnsi"/>
          <w:sz w:val="22"/>
          <w:szCs w:val="22"/>
        </w:rPr>
        <w:t xml:space="preserve">Feedback must be analysed using both quantitative and qualitative methods, to gain a comprehensive understanding </w:t>
      </w:r>
      <w:r w:rsidR="00993072">
        <w:rPr>
          <w:rFonts w:cstheme="minorHAnsi"/>
          <w:sz w:val="22"/>
          <w:szCs w:val="22"/>
        </w:rPr>
        <w:t>(Bryman, 2016).</w:t>
      </w:r>
    </w:p>
    <w:p w14:paraId="21081E8D" w14:textId="03DABC9C" w:rsidR="00993072" w:rsidRPr="00993072" w:rsidRDefault="00993072" w:rsidP="009D6793">
      <w:pPr>
        <w:spacing w:line="600" w:lineRule="auto"/>
        <w:rPr>
          <w:rFonts w:cstheme="minorHAnsi"/>
          <w:b/>
          <w:bCs/>
          <w:sz w:val="22"/>
          <w:szCs w:val="22"/>
        </w:rPr>
      </w:pPr>
      <w:r w:rsidRPr="00993072">
        <w:rPr>
          <w:rFonts w:cstheme="minorHAnsi"/>
          <w:b/>
          <w:bCs/>
          <w:sz w:val="22"/>
          <w:szCs w:val="22"/>
        </w:rPr>
        <w:lastRenderedPageBreak/>
        <w:t>Sharing Findings</w:t>
      </w:r>
    </w:p>
    <w:p w14:paraId="2AD9AF85" w14:textId="0D221804" w:rsidR="002C73E6" w:rsidRDefault="00993072" w:rsidP="009D6793">
      <w:pPr>
        <w:spacing w:line="600" w:lineRule="auto"/>
        <w:rPr>
          <w:rFonts w:cstheme="minorHAnsi"/>
          <w:sz w:val="22"/>
          <w:szCs w:val="22"/>
        </w:rPr>
      </w:pPr>
      <w:r>
        <w:rPr>
          <w:rFonts w:cstheme="minorHAnsi"/>
          <w:sz w:val="22"/>
          <w:szCs w:val="22"/>
        </w:rPr>
        <w:t xml:space="preserve">Sharing results with stakeholders demonstrated how their input has influenced decisions. This is essential for maintaining transparency and trust (Bryson, 2018). </w:t>
      </w:r>
    </w:p>
    <w:p w14:paraId="4EAF8EC4" w14:textId="1052DDAD" w:rsidR="00993072" w:rsidRDefault="00993072" w:rsidP="009D6793">
      <w:pPr>
        <w:spacing w:line="600" w:lineRule="auto"/>
        <w:rPr>
          <w:rFonts w:cstheme="minorHAnsi"/>
          <w:sz w:val="22"/>
          <w:szCs w:val="22"/>
        </w:rPr>
      </w:pPr>
      <w:r>
        <w:rPr>
          <w:rFonts w:cstheme="minorHAnsi"/>
          <w:sz w:val="22"/>
          <w:szCs w:val="22"/>
        </w:rPr>
        <w:t xml:space="preserve">Ethical stakeholder engagement is not only a moral obligation but also a strategic necessity. Failure to address ethical issues can result in public opposition, legal challenges and reputational damage (Flyvbjerg, 2014).  In contrast, effective ethical practices enhance trust, improve decision making and contribute to success. </w:t>
      </w:r>
      <w:proofErr w:type="gramStart"/>
      <w:r>
        <w:rPr>
          <w:rFonts w:cstheme="minorHAnsi"/>
          <w:sz w:val="22"/>
          <w:szCs w:val="22"/>
        </w:rPr>
        <w:t>Therefore</w:t>
      </w:r>
      <w:proofErr w:type="gramEnd"/>
      <w:r>
        <w:rPr>
          <w:rFonts w:cstheme="minorHAnsi"/>
          <w:sz w:val="22"/>
          <w:szCs w:val="22"/>
        </w:rPr>
        <w:t xml:space="preserve"> Havering Council must ensure that ethical considerations are embedded in the Gallows Corner project lifecycle. </w:t>
      </w:r>
    </w:p>
    <w:p w14:paraId="055B46FE" w14:textId="77777777" w:rsidR="00AD4C79" w:rsidRDefault="00AD4C79" w:rsidP="009D6793">
      <w:pPr>
        <w:spacing w:line="600" w:lineRule="auto"/>
        <w:rPr>
          <w:rFonts w:cstheme="minorHAnsi"/>
          <w:sz w:val="22"/>
          <w:szCs w:val="22"/>
        </w:rPr>
      </w:pPr>
    </w:p>
    <w:p w14:paraId="5477805B" w14:textId="428EA58E" w:rsidR="00AD4C79" w:rsidRPr="008C5E05" w:rsidRDefault="00AD4C79" w:rsidP="008C5E05">
      <w:pPr>
        <w:pStyle w:val="ListParagraph"/>
        <w:numPr>
          <w:ilvl w:val="0"/>
          <w:numId w:val="3"/>
        </w:numPr>
        <w:spacing w:line="600" w:lineRule="auto"/>
        <w:rPr>
          <w:rFonts w:cstheme="minorHAnsi"/>
          <w:b/>
          <w:bCs/>
          <w:sz w:val="24"/>
          <w:szCs w:val="24"/>
        </w:rPr>
      </w:pPr>
      <w:r w:rsidRPr="008C5E05">
        <w:rPr>
          <w:rFonts w:cstheme="minorHAnsi"/>
          <w:b/>
          <w:bCs/>
          <w:sz w:val="24"/>
          <w:szCs w:val="24"/>
        </w:rPr>
        <w:t>Conclusion</w:t>
      </w:r>
    </w:p>
    <w:p w14:paraId="267A9F42" w14:textId="175F0F3B" w:rsidR="00AD4C79" w:rsidRDefault="00AD4C79" w:rsidP="009D6793">
      <w:pPr>
        <w:spacing w:line="600" w:lineRule="auto"/>
        <w:rPr>
          <w:rFonts w:cstheme="minorHAnsi"/>
          <w:sz w:val="22"/>
          <w:szCs w:val="22"/>
        </w:rPr>
      </w:pPr>
      <w:r>
        <w:rPr>
          <w:rFonts w:cstheme="minorHAnsi"/>
          <w:sz w:val="22"/>
          <w:szCs w:val="22"/>
        </w:rPr>
        <w:t>The Gallows Corner development project highlights the complexity of modern</w:t>
      </w:r>
      <w:r w:rsidR="007B40D7">
        <w:rPr>
          <w:rFonts w:cstheme="minorHAnsi"/>
          <w:sz w:val="22"/>
          <w:szCs w:val="22"/>
        </w:rPr>
        <w:t xml:space="preserve"> infrastructure planning and the importance of integrating strategic analysis, stakeholder engagement, and ethical considerations. The application frameworks such as SWOT, PESTLE and VRIO provides comprehensive understanding of both internal and external influences. These tools enable project managers to identify risks, opportunities and sources of competitive advantage (Johnson, Scholes and Whittington, 2020). Stakeholder analysis further demonstrates that successful project delivery depends on effectively managing relationships with key stakeholders, including Havering Council, residents and regulatory agencies. The power interest matrix and communication plan ensure that stakeholders are appropriately engaged, reducing the risk of conflict and delays.  Ethical considerations play a crucial role in maintaining transparency and inclusivity. By implementing </w:t>
      </w:r>
      <w:r w:rsidR="007B40D7">
        <w:rPr>
          <w:rFonts w:cstheme="minorHAnsi"/>
          <w:sz w:val="22"/>
          <w:szCs w:val="22"/>
        </w:rPr>
        <w:lastRenderedPageBreak/>
        <w:t xml:space="preserve">consultation methods, ensuring data protection and promoting diversity, the project can achieve greater </w:t>
      </w:r>
      <w:r w:rsidR="00984CC3">
        <w:rPr>
          <w:rFonts w:cstheme="minorHAnsi"/>
          <w:sz w:val="22"/>
          <w:szCs w:val="22"/>
        </w:rPr>
        <w:t>legitimacy and public support (Bryson, 2018).</w:t>
      </w:r>
    </w:p>
    <w:p w14:paraId="5DA4C045" w14:textId="47D0083A" w:rsidR="00984CC3" w:rsidRDefault="00984CC3" w:rsidP="009D6793">
      <w:pPr>
        <w:spacing w:line="600" w:lineRule="auto"/>
        <w:rPr>
          <w:rFonts w:cstheme="minorHAnsi"/>
          <w:sz w:val="22"/>
          <w:szCs w:val="22"/>
        </w:rPr>
      </w:pPr>
      <w:r>
        <w:rPr>
          <w:rFonts w:cstheme="minorHAnsi"/>
          <w:sz w:val="22"/>
          <w:szCs w:val="22"/>
        </w:rPr>
        <w:t xml:space="preserve">Ultimately, the success of the Gallows Corner project will depend on its ability to: </w:t>
      </w:r>
    </w:p>
    <w:p w14:paraId="175AE830" w14:textId="0E8D34D8" w:rsidR="00984CC3" w:rsidRDefault="00984CC3" w:rsidP="009D6793">
      <w:pPr>
        <w:spacing w:line="600" w:lineRule="auto"/>
        <w:rPr>
          <w:rFonts w:cstheme="minorHAnsi"/>
          <w:sz w:val="22"/>
          <w:szCs w:val="22"/>
        </w:rPr>
      </w:pPr>
      <w:r>
        <w:rPr>
          <w:rFonts w:cstheme="minorHAnsi"/>
          <w:sz w:val="22"/>
          <w:szCs w:val="22"/>
        </w:rPr>
        <w:t>Deliver improvements within budget and time constraints</w:t>
      </w:r>
    </w:p>
    <w:p w14:paraId="2443CBFC" w14:textId="6709FC7D" w:rsidR="00984CC3" w:rsidRDefault="00984CC3" w:rsidP="009D6793">
      <w:pPr>
        <w:spacing w:line="600" w:lineRule="auto"/>
        <w:rPr>
          <w:rFonts w:cstheme="minorHAnsi"/>
          <w:sz w:val="22"/>
          <w:szCs w:val="22"/>
        </w:rPr>
      </w:pPr>
      <w:r>
        <w:rPr>
          <w:rFonts w:cstheme="minorHAnsi"/>
          <w:sz w:val="22"/>
          <w:szCs w:val="22"/>
        </w:rPr>
        <w:t xml:space="preserve">Enhance transport efficiency and safety </w:t>
      </w:r>
    </w:p>
    <w:p w14:paraId="71455243" w14:textId="15EB20DA" w:rsidR="00984CC3" w:rsidRDefault="00984CC3" w:rsidP="009D6793">
      <w:pPr>
        <w:spacing w:line="600" w:lineRule="auto"/>
        <w:rPr>
          <w:rFonts w:cstheme="minorHAnsi"/>
          <w:sz w:val="22"/>
          <w:szCs w:val="22"/>
        </w:rPr>
      </w:pPr>
      <w:r>
        <w:rPr>
          <w:rFonts w:cstheme="minorHAnsi"/>
          <w:sz w:val="22"/>
          <w:szCs w:val="22"/>
        </w:rPr>
        <w:t xml:space="preserve">Meet </w:t>
      </w:r>
      <w:proofErr w:type="gramStart"/>
      <w:r>
        <w:rPr>
          <w:rFonts w:cstheme="minorHAnsi"/>
          <w:sz w:val="22"/>
          <w:szCs w:val="22"/>
        </w:rPr>
        <w:t>stakeholders</w:t>
      </w:r>
      <w:proofErr w:type="gramEnd"/>
      <w:r>
        <w:rPr>
          <w:rFonts w:cstheme="minorHAnsi"/>
          <w:sz w:val="22"/>
          <w:szCs w:val="22"/>
        </w:rPr>
        <w:t xml:space="preserve"> expectations</w:t>
      </w:r>
    </w:p>
    <w:p w14:paraId="63CED2C6" w14:textId="1430E701" w:rsidR="00984CC3" w:rsidRDefault="00984CC3" w:rsidP="009D6793">
      <w:pPr>
        <w:spacing w:line="600" w:lineRule="auto"/>
        <w:rPr>
          <w:rFonts w:cstheme="minorHAnsi"/>
          <w:sz w:val="22"/>
          <w:szCs w:val="22"/>
        </w:rPr>
      </w:pPr>
      <w:r>
        <w:rPr>
          <w:rFonts w:cstheme="minorHAnsi"/>
          <w:sz w:val="22"/>
          <w:szCs w:val="22"/>
        </w:rPr>
        <w:t>Support long term sustainability goals</w:t>
      </w:r>
    </w:p>
    <w:p w14:paraId="289054A7" w14:textId="70237CDA" w:rsidR="00984CC3" w:rsidRDefault="00984CC3" w:rsidP="009D6793">
      <w:pPr>
        <w:spacing w:line="600" w:lineRule="auto"/>
        <w:rPr>
          <w:rFonts w:cstheme="minorHAnsi"/>
          <w:sz w:val="22"/>
          <w:szCs w:val="22"/>
        </w:rPr>
      </w:pPr>
      <w:r>
        <w:rPr>
          <w:rFonts w:cstheme="minorHAnsi"/>
          <w:sz w:val="22"/>
          <w:szCs w:val="22"/>
        </w:rPr>
        <w:t>These factors align with best practices in project management and infrastructure development (PMI, 2021).</w:t>
      </w:r>
    </w:p>
    <w:p w14:paraId="427C6E96" w14:textId="77777777" w:rsidR="00984CC3" w:rsidRDefault="00984CC3" w:rsidP="009D6793">
      <w:pPr>
        <w:spacing w:line="600" w:lineRule="auto"/>
        <w:rPr>
          <w:rFonts w:cstheme="minorHAnsi"/>
          <w:sz w:val="22"/>
          <w:szCs w:val="22"/>
        </w:rPr>
      </w:pPr>
      <w:r>
        <w:rPr>
          <w:rFonts w:cstheme="minorHAnsi"/>
          <w:sz w:val="22"/>
          <w:szCs w:val="22"/>
        </w:rPr>
        <w:t xml:space="preserve">The process of analysing the Gallows Corner project has contributed to the development of several key professional skills. </w:t>
      </w:r>
    </w:p>
    <w:p w14:paraId="02782D16" w14:textId="57106DD9" w:rsidR="00984CC3" w:rsidRDefault="00984CC3" w:rsidP="009D6793">
      <w:pPr>
        <w:spacing w:line="600" w:lineRule="auto"/>
        <w:rPr>
          <w:rFonts w:cstheme="minorHAnsi"/>
          <w:sz w:val="22"/>
          <w:szCs w:val="22"/>
        </w:rPr>
      </w:pPr>
      <w:r>
        <w:rPr>
          <w:rFonts w:cstheme="minorHAnsi"/>
          <w:sz w:val="22"/>
          <w:szCs w:val="22"/>
        </w:rPr>
        <w:t>Communication skills: effective communication is essential in managing stakeholders and ensuring project success.</w:t>
      </w:r>
      <w:r w:rsidR="00223455">
        <w:rPr>
          <w:rFonts w:cstheme="minorHAnsi"/>
          <w:sz w:val="22"/>
          <w:szCs w:val="22"/>
        </w:rPr>
        <w:t xml:space="preserve"> Leadership skills in coordinating teams, making decisions and managing complex projects. The Gallows Corner project requires strong leadership to balance competing stakeholder interests and ensure successful delivery. Conflict management may appear in infrastructure projects. For example, residents may oppose construction disruption, while businesses may prioritise economic benefits.  Conflict management involves negotiation, problem solving and empathy to achieve balanced outcomes</w:t>
      </w:r>
      <w:r w:rsidR="00A031B7">
        <w:rPr>
          <w:rFonts w:cstheme="minorHAnsi"/>
          <w:sz w:val="22"/>
          <w:szCs w:val="22"/>
        </w:rPr>
        <w:t xml:space="preserve"> (Rahim, 2002).</w:t>
      </w:r>
    </w:p>
    <w:p w14:paraId="0A35C225" w14:textId="00003254" w:rsidR="00A031B7" w:rsidRDefault="00A031B7" w:rsidP="009D6793">
      <w:pPr>
        <w:spacing w:line="600" w:lineRule="auto"/>
        <w:rPr>
          <w:rFonts w:cstheme="minorHAnsi"/>
          <w:sz w:val="22"/>
          <w:szCs w:val="22"/>
        </w:rPr>
      </w:pPr>
      <w:r>
        <w:rPr>
          <w:rFonts w:cstheme="minorHAnsi"/>
          <w:sz w:val="22"/>
          <w:szCs w:val="22"/>
        </w:rPr>
        <w:lastRenderedPageBreak/>
        <w:t xml:space="preserve">This portfolio has demonstrated that infrastructure projects are not purely technical, but require a combination of strategic thinking, ethical awareness and interpersonal skills. The integration of theory and practice has demonstrated deeper understanding of project management principles and their real-world application. It also highlights the importance of adaptability, as projects must respond to changing conditions and stakeholder needs. </w:t>
      </w:r>
    </w:p>
    <w:p w14:paraId="26A8B031" w14:textId="2F214561" w:rsidR="00A031B7" w:rsidRPr="00AD4C79" w:rsidRDefault="00A031B7" w:rsidP="009D6793">
      <w:pPr>
        <w:spacing w:line="600" w:lineRule="auto"/>
        <w:rPr>
          <w:rFonts w:cstheme="minorHAnsi"/>
          <w:sz w:val="22"/>
          <w:szCs w:val="22"/>
        </w:rPr>
      </w:pPr>
      <w:r>
        <w:rPr>
          <w:rFonts w:cstheme="minorHAnsi"/>
          <w:sz w:val="22"/>
          <w:szCs w:val="22"/>
        </w:rPr>
        <w:t>In conclusion, the skills developed through this analysis- communication, leadership and conflict management, are highly transferable and will be valuable in future academic and professional contexts.</w:t>
      </w:r>
    </w:p>
    <w:p w14:paraId="308FE774" w14:textId="77777777" w:rsidR="00AD4C79" w:rsidRPr="00AD4C79" w:rsidRDefault="00AD4C79" w:rsidP="009D6793">
      <w:pPr>
        <w:spacing w:line="600" w:lineRule="auto"/>
        <w:rPr>
          <w:rFonts w:cstheme="minorHAnsi"/>
          <w:sz w:val="22"/>
          <w:szCs w:val="22"/>
        </w:rPr>
      </w:pPr>
    </w:p>
    <w:p w14:paraId="45EBE9B0" w14:textId="77777777" w:rsidR="00AD4C79" w:rsidRPr="00AD4C79" w:rsidRDefault="00AD4C79" w:rsidP="009D6793">
      <w:pPr>
        <w:spacing w:line="600" w:lineRule="auto"/>
        <w:rPr>
          <w:rFonts w:cstheme="minorHAnsi"/>
          <w:b/>
          <w:bCs/>
          <w:sz w:val="22"/>
          <w:szCs w:val="22"/>
        </w:rPr>
      </w:pPr>
    </w:p>
    <w:p w14:paraId="281C017C" w14:textId="6986F50A" w:rsidR="00EB2D34" w:rsidRPr="00EB2D34" w:rsidRDefault="00EB2D34" w:rsidP="009D6793">
      <w:pPr>
        <w:spacing w:line="600" w:lineRule="auto"/>
        <w:rPr>
          <w:rFonts w:cstheme="minorHAnsi"/>
          <w:b/>
          <w:bCs/>
          <w:sz w:val="22"/>
          <w:szCs w:val="22"/>
        </w:rPr>
      </w:pPr>
    </w:p>
    <w:p w14:paraId="7A007915" w14:textId="3FC65481" w:rsidR="00940246" w:rsidRPr="00940246" w:rsidRDefault="00940246" w:rsidP="009F3699">
      <w:pPr>
        <w:spacing w:line="600" w:lineRule="auto"/>
        <w:rPr>
          <w:rFonts w:ascii="Arial" w:eastAsia="Aptos" w:hAnsi="Arial" w:cs="Arial"/>
        </w:rPr>
      </w:pPr>
    </w:p>
    <w:p w14:paraId="7199528D" w14:textId="77777777" w:rsidR="003725D5" w:rsidRPr="00D07611" w:rsidRDefault="003725D5" w:rsidP="009F3699">
      <w:pPr>
        <w:spacing w:line="600" w:lineRule="auto"/>
        <w:rPr>
          <w:rFonts w:ascii="Arial" w:hAnsi="Arial" w:cs="Arial"/>
        </w:rPr>
      </w:pPr>
    </w:p>
    <w:p w14:paraId="42A67009" w14:textId="77777777" w:rsidR="00EC495C" w:rsidRDefault="008C5E05" w:rsidP="00EC495C">
      <w:pPr>
        <w:pStyle w:val="ListParagraph"/>
        <w:numPr>
          <w:ilvl w:val="0"/>
          <w:numId w:val="3"/>
        </w:numPr>
        <w:spacing w:line="600" w:lineRule="auto"/>
        <w:rPr>
          <w:rFonts w:cstheme="minorHAnsi"/>
          <w:b/>
          <w:bCs/>
          <w:sz w:val="24"/>
          <w:szCs w:val="24"/>
        </w:rPr>
      </w:pPr>
      <w:r w:rsidRPr="008C5E05">
        <w:rPr>
          <w:rFonts w:cstheme="minorHAnsi"/>
          <w:b/>
          <w:bCs/>
          <w:sz w:val="24"/>
          <w:szCs w:val="24"/>
        </w:rPr>
        <w:t>References</w:t>
      </w:r>
    </w:p>
    <w:p w14:paraId="2485374A" w14:textId="036B3394" w:rsidR="00EC495C" w:rsidRPr="00EC495C" w:rsidRDefault="00EC495C" w:rsidP="00EC495C">
      <w:pPr>
        <w:spacing w:line="600" w:lineRule="auto"/>
        <w:rPr>
          <w:rFonts w:cstheme="minorHAnsi"/>
          <w:b/>
          <w:bCs/>
          <w:sz w:val="22"/>
          <w:szCs w:val="22"/>
        </w:rPr>
      </w:pPr>
      <w:r w:rsidRPr="00EC495C">
        <w:rPr>
          <w:rFonts w:eastAsia="Times New Roman" w:cstheme="minorHAnsi"/>
          <w:color w:val="222222"/>
          <w:sz w:val="22"/>
          <w:szCs w:val="22"/>
          <w:shd w:val="clear" w:color="auto" w:fill="FFFFFF"/>
          <w:lang w:val="en-US" w:eastAsia="en-US"/>
        </w:rPr>
        <w:t>Barney, J. (1991) ‘Firm Resources and Sustained Competitive Advantage’, Journal of Management, 17(1), pp. 99–120.</w:t>
      </w:r>
    </w:p>
    <w:p w14:paraId="25A6D851" w14:textId="77777777" w:rsidR="00EC495C" w:rsidRPr="00EC495C" w:rsidRDefault="00EC495C" w:rsidP="00EC495C">
      <w:pPr>
        <w:shd w:val="clear" w:color="auto" w:fill="FFFFFF"/>
        <w:spacing w:after="0" w:line="240" w:lineRule="auto"/>
        <w:rPr>
          <w:rFonts w:eastAsia="Times New Roman" w:cstheme="minorHAnsi"/>
          <w:color w:val="222222"/>
          <w:sz w:val="22"/>
          <w:szCs w:val="22"/>
          <w:lang w:val="en-US" w:eastAsia="en-US"/>
        </w:rPr>
      </w:pPr>
      <w:r w:rsidRPr="00EC495C">
        <w:rPr>
          <w:rFonts w:eastAsia="Times New Roman" w:cstheme="minorHAnsi"/>
          <w:color w:val="222222"/>
          <w:sz w:val="22"/>
          <w:szCs w:val="22"/>
          <w:lang w:val="en-US" w:eastAsia="en-US"/>
        </w:rPr>
        <w:t>Banister, D. (2008) ‘The sustainable mobility paradigm’, Transport Policy, 15(2), pp. 73–80.</w:t>
      </w:r>
    </w:p>
    <w:p w14:paraId="7DDFA74E" w14:textId="77777777" w:rsidR="00EC495C" w:rsidRPr="00EC495C" w:rsidRDefault="00EC495C" w:rsidP="00EC495C">
      <w:pPr>
        <w:shd w:val="clear" w:color="auto" w:fill="FFFFFF"/>
        <w:spacing w:after="0" w:line="240" w:lineRule="auto"/>
        <w:rPr>
          <w:rFonts w:eastAsia="Times New Roman" w:cstheme="minorHAnsi"/>
          <w:color w:val="222222"/>
          <w:sz w:val="22"/>
          <w:szCs w:val="22"/>
          <w:lang w:val="en-US" w:eastAsia="en-US"/>
        </w:rPr>
      </w:pPr>
    </w:p>
    <w:p w14:paraId="0CC56B61" w14:textId="77777777" w:rsidR="00EC495C" w:rsidRPr="00EC495C" w:rsidRDefault="00EC495C" w:rsidP="00EC495C">
      <w:pPr>
        <w:shd w:val="clear" w:color="auto" w:fill="FFFFFF"/>
        <w:spacing w:after="0" w:line="240" w:lineRule="auto"/>
        <w:rPr>
          <w:rFonts w:eastAsia="Times New Roman" w:cstheme="minorHAnsi"/>
          <w:color w:val="222222"/>
          <w:sz w:val="22"/>
          <w:szCs w:val="22"/>
          <w:lang w:val="en-US" w:eastAsia="en-US"/>
        </w:rPr>
      </w:pPr>
      <w:r w:rsidRPr="00EC495C">
        <w:rPr>
          <w:rFonts w:eastAsia="Times New Roman" w:cstheme="minorHAnsi"/>
          <w:color w:val="222222"/>
          <w:sz w:val="22"/>
          <w:szCs w:val="22"/>
          <w:lang w:val="en-US" w:eastAsia="en-US"/>
        </w:rPr>
        <w:t xml:space="preserve">Bryson, J.M. (2018) Strategic Planning for Public and Nonprofit Organizations. 5th </w:t>
      </w:r>
      <w:proofErr w:type="spellStart"/>
      <w:r w:rsidRPr="00EC495C">
        <w:rPr>
          <w:rFonts w:eastAsia="Times New Roman" w:cstheme="minorHAnsi"/>
          <w:color w:val="222222"/>
          <w:sz w:val="22"/>
          <w:szCs w:val="22"/>
          <w:lang w:val="en-US" w:eastAsia="en-US"/>
        </w:rPr>
        <w:t>edn</w:t>
      </w:r>
      <w:proofErr w:type="spellEnd"/>
      <w:r w:rsidRPr="00EC495C">
        <w:rPr>
          <w:rFonts w:eastAsia="Times New Roman" w:cstheme="minorHAnsi"/>
          <w:color w:val="222222"/>
          <w:sz w:val="22"/>
          <w:szCs w:val="22"/>
          <w:lang w:val="en-US" w:eastAsia="en-US"/>
        </w:rPr>
        <w:t>.</w:t>
      </w:r>
    </w:p>
    <w:p w14:paraId="278C20FD" w14:textId="77777777" w:rsidR="00EC495C" w:rsidRPr="00EC495C" w:rsidRDefault="00EC495C" w:rsidP="00EC495C">
      <w:pPr>
        <w:shd w:val="clear" w:color="auto" w:fill="FFFFFF"/>
        <w:spacing w:after="0" w:line="240" w:lineRule="auto"/>
        <w:rPr>
          <w:rFonts w:eastAsia="Times New Roman" w:cstheme="minorHAnsi"/>
          <w:color w:val="222222"/>
          <w:sz w:val="22"/>
          <w:szCs w:val="22"/>
          <w:lang w:val="en-US" w:eastAsia="en-US"/>
        </w:rPr>
      </w:pPr>
    </w:p>
    <w:p w14:paraId="0CB51473" w14:textId="77777777" w:rsidR="00EC495C" w:rsidRPr="00EC495C" w:rsidRDefault="00EC495C" w:rsidP="00EC495C">
      <w:pPr>
        <w:shd w:val="clear" w:color="auto" w:fill="FFFFFF"/>
        <w:spacing w:after="0" w:line="240" w:lineRule="auto"/>
        <w:rPr>
          <w:rFonts w:eastAsia="Times New Roman" w:cstheme="minorHAnsi"/>
          <w:color w:val="222222"/>
          <w:sz w:val="22"/>
          <w:szCs w:val="22"/>
          <w:lang w:val="en-US" w:eastAsia="en-US"/>
        </w:rPr>
      </w:pPr>
      <w:r w:rsidRPr="00EC495C">
        <w:rPr>
          <w:rFonts w:eastAsia="Times New Roman" w:cstheme="minorHAnsi"/>
          <w:color w:val="222222"/>
          <w:sz w:val="22"/>
          <w:szCs w:val="22"/>
          <w:lang w:val="en-US" w:eastAsia="en-US"/>
        </w:rPr>
        <w:t>Flyvbjerg, B. (2014) ‘What You Should Know About Megaprojects’, Project Management Journal, 45(2), pp. 6–19.</w:t>
      </w:r>
    </w:p>
    <w:p w14:paraId="5296C66D" w14:textId="77777777" w:rsidR="008C5E05" w:rsidRDefault="008C5E05" w:rsidP="008C5E05">
      <w:pPr>
        <w:spacing w:line="600" w:lineRule="auto"/>
        <w:rPr>
          <w:rFonts w:cstheme="minorHAnsi"/>
          <w:b/>
          <w:bCs/>
          <w:sz w:val="24"/>
          <w:szCs w:val="24"/>
        </w:rPr>
      </w:pPr>
    </w:p>
    <w:p w14:paraId="361217B1" w14:textId="77777777" w:rsidR="00EC495C" w:rsidRPr="00EC495C" w:rsidRDefault="00EC495C" w:rsidP="00EC495C">
      <w:pPr>
        <w:spacing w:line="600" w:lineRule="auto"/>
        <w:rPr>
          <w:rFonts w:cstheme="minorHAnsi"/>
          <w:sz w:val="22"/>
          <w:szCs w:val="22"/>
          <w:lang w:val="en-US"/>
        </w:rPr>
      </w:pPr>
      <w:r w:rsidRPr="00EC495C">
        <w:rPr>
          <w:rFonts w:cstheme="minorHAnsi"/>
          <w:sz w:val="22"/>
          <w:szCs w:val="22"/>
          <w:lang w:val="en-US"/>
        </w:rPr>
        <w:lastRenderedPageBreak/>
        <w:t>Greater London Authority (2022) Mayor’s Transport Strategy.</w:t>
      </w:r>
    </w:p>
    <w:p w14:paraId="6F23AC00" w14:textId="77777777" w:rsidR="00EC495C" w:rsidRPr="00EC495C" w:rsidRDefault="00EC495C" w:rsidP="00EC495C">
      <w:pPr>
        <w:spacing w:line="600" w:lineRule="auto"/>
        <w:rPr>
          <w:rFonts w:cstheme="minorHAnsi"/>
          <w:sz w:val="22"/>
          <w:szCs w:val="22"/>
          <w:lang w:val="en-US"/>
        </w:rPr>
      </w:pPr>
      <w:r w:rsidRPr="00EC495C">
        <w:rPr>
          <w:rFonts w:cstheme="minorHAnsi"/>
          <w:sz w:val="22"/>
          <w:szCs w:val="22"/>
          <w:lang w:val="en-US"/>
        </w:rPr>
        <w:t>Gürel, E. and Tat, M. (2017) ‘SWOT Analysis: A Theoretical Review’, Journal of International Social Research.</w:t>
      </w:r>
    </w:p>
    <w:p w14:paraId="468A7FE0" w14:textId="77777777" w:rsidR="00EC495C" w:rsidRPr="00EC495C" w:rsidRDefault="00EC495C" w:rsidP="00EC495C">
      <w:pPr>
        <w:spacing w:line="600" w:lineRule="auto"/>
        <w:rPr>
          <w:rFonts w:cstheme="minorHAnsi"/>
          <w:sz w:val="22"/>
          <w:szCs w:val="22"/>
          <w:lang w:val="en-US"/>
        </w:rPr>
      </w:pPr>
      <w:r w:rsidRPr="00EC495C">
        <w:rPr>
          <w:rFonts w:cstheme="minorHAnsi"/>
          <w:sz w:val="22"/>
          <w:szCs w:val="22"/>
          <w:lang w:val="en-US"/>
        </w:rPr>
        <w:t>Johnson, G., Scholes, K. and Whittington, R. (2020) Exploring Strategy.</w:t>
      </w:r>
    </w:p>
    <w:p w14:paraId="4A58823A" w14:textId="77777777" w:rsidR="00EC495C" w:rsidRDefault="00EC495C" w:rsidP="00EC495C">
      <w:pPr>
        <w:spacing w:line="600" w:lineRule="auto"/>
        <w:rPr>
          <w:rFonts w:cstheme="minorHAnsi"/>
          <w:sz w:val="22"/>
          <w:szCs w:val="22"/>
          <w:lang w:val="en-US"/>
        </w:rPr>
      </w:pPr>
      <w:r w:rsidRPr="00EC495C">
        <w:rPr>
          <w:rFonts w:cstheme="minorHAnsi"/>
          <w:sz w:val="22"/>
          <w:szCs w:val="22"/>
          <w:lang w:val="en-US"/>
        </w:rPr>
        <w:t>Kerzner, H. (2017) Project Management.</w:t>
      </w:r>
    </w:p>
    <w:p w14:paraId="438B4903" w14:textId="3FB7FD9E" w:rsidR="00EC495C" w:rsidRDefault="00EC495C" w:rsidP="00EC495C">
      <w:pPr>
        <w:spacing w:line="600" w:lineRule="auto"/>
        <w:rPr>
          <w:rFonts w:cstheme="minorHAnsi"/>
          <w:sz w:val="22"/>
          <w:szCs w:val="22"/>
        </w:rPr>
      </w:pPr>
      <w:r w:rsidRPr="00EC495C">
        <w:rPr>
          <w:rFonts w:cstheme="minorHAnsi"/>
          <w:sz w:val="22"/>
          <w:szCs w:val="22"/>
        </w:rPr>
        <w:t>PMI (2021) PMBOK Guide.</w:t>
      </w:r>
    </w:p>
    <w:p w14:paraId="11E65E01" w14:textId="77777777" w:rsidR="00782D78" w:rsidRPr="00782D78" w:rsidRDefault="00782D78" w:rsidP="00782D78">
      <w:pPr>
        <w:spacing w:line="600" w:lineRule="auto"/>
        <w:rPr>
          <w:rFonts w:cstheme="minorHAnsi"/>
          <w:sz w:val="22"/>
          <w:szCs w:val="22"/>
          <w:lang w:val="en-US"/>
        </w:rPr>
      </w:pPr>
      <w:r w:rsidRPr="00782D78">
        <w:rPr>
          <w:rFonts w:cstheme="minorHAnsi"/>
          <w:sz w:val="22"/>
          <w:szCs w:val="22"/>
          <w:lang w:val="en-US"/>
        </w:rPr>
        <w:t>Rodrik, D. (2016) Premature Deindustrialization.</w:t>
      </w:r>
    </w:p>
    <w:p w14:paraId="4DB116FE" w14:textId="77777777" w:rsidR="00782D78" w:rsidRDefault="00782D78" w:rsidP="00782D78">
      <w:pPr>
        <w:spacing w:line="600" w:lineRule="auto"/>
        <w:rPr>
          <w:rFonts w:cstheme="minorHAnsi"/>
          <w:sz w:val="22"/>
          <w:szCs w:val="22"/>
          <w:lang w:val="en-US"/>
        </w:rPr>
      </w:pPr>
      <w:r w:rsidRPr="00782D78">
        <w:rPr>
          <w:rFonts w:cstheme="minorHAnsi"/>
          <w:sz w:val="22"/>
          <w:szCs w:val="22"/>
          <w:lang w:val="en-US"/>
        </w:rPr>
        <w:t>Transport for London (2023) Gallows Corner Scheme.</w:t>
      </w:r>
    </w:p>
    <w:p w14:paraId="03FAFFD5" w14:textId="1B2D0D29" w:rsidR="00782D78" w:rsidRDefault="00782D78" w:rsidP="00782D78">
      <w:pPr>
        <w:spacing w:line="600" w:lineRule="auto"/>
        <w:rPr>
          <w:rFonts w:cstheme="minorHAnsi"/>
          <w:sz w:val="22"/>
          <w:szCs w:val="22"/>
        </w:rPr>
      </w:pPr>
      <w:r w:rsidRPr="00782D78">
        <w:rPr>
          <w:rFonts w:cstheme="minorHAnsi"/>
          <w:sz w:val="22"/>
          <w:szCs w:val="22"/>
        </w:rPr>
        <w:t xml:space="preserve">Bryman, A. (2016) Social Research Methods. 5th </w:t>
      </w:r>
      <w:proofErr w:type="spellStart"/>
      <w:r w:rsidRPr="00782D78">
        <w:rPr>
          <w:rFonts w:cstheme="minorHAnsi"/>
          <w:sz w:val="22"/>
          <w:szCs w:val="22"/>
        </w:rPr>
        <w:t>edn</w:t>
      </w:r>
      <w:proofErr w:type="spellEnd"/>
      <w:r w:rsidRPr="00782D78">
        <w:rPr>
          <w:rFonts w:cstheme="minorHAnsi"/>
          <w:sz w:val="22"/>
          <w:szCs w:val="22"/>
        </w:rPr>
        <w:t>. Oxford: Oxford University Press.</w:t>
      </w:r>
    </w:p>
    <w:p w14:paraId="26B1A078" w14:textId="69A77921" w:rsidR="00782D78" w:rsidRDefault="00782D78" w:rsidP="00782D78">
      <w:pPr>
        <w:spacing w:line="600" w:lineRule="auto"/>
        <w:rPr>
          <w:rFonts w:cstheme="minorHAnsi"/>
          <w:sz w:val="22"/>
          <w:szCs w:val="22"/>
        </w:rPr>
      </w:pPr>
      <w:r w:rsidRPr="00782D78">
        <w:rPr>
          <w:rFonts w:cstheme="minorHAnsi"/>
          <w:sz w:val="22"/>
          <w:szCs w:val="22"/>
        </w:rPr>
        <w:t>Equality Act (2010) UK Public General Acts. London: HMSO.</w:t>
      </w:r>
    </w:p>
    <w:p w14:paraId="54619128" w14:textId="4F99FA4A" w:rsidR="00782D78" w:rsidRDefault="00782D78" w:rsidP="00782D78">
      <w:pPr>
        <w:spacing w:line="600" w:lineRule="auto"/>
        <w:rPr>
          <w:rFonts w:cstheme="minorHAnsi"/>
          <w:sz w:val="22"/>
          <w:szCs w:val="22"/>
        </w:rPr>
      </w:pPr>
      <w:r w:rsidRPr="00782D78">
        <w:rPr>
          <w:rFonts w:cstheme="minorHAnsi"/>
          <w:sz w:val="22"/>
          <w:szCs w:val="22"/>
        </w:rPr>
        <w:t>Information Commissioner’s Office (ICO) (2023) Guide to GDPR.</w:t>
      </w:r>
    </w:p>
    <w:p w14:paraId="32FD3749" w14:textId="77777777" w:rsidR="00782D78" w:rsidRPr="00782D78" w:rsidRDefault="00782D78" w:rsidP="00782D78">
      <w:pPr>
        <w:spacing w:line="600" w:lineRule="auto"/>
        <w:rPr>
          <w:rFonts w:cstheme="minorHAnsi"/>
          <w:sz w:val="22"/>
          <w:szCs w:val="22"/>
          <w:lang w:val="en-US"/>
        </w:rPr>
      </w:pPr>
      <w:r w:rsidRPr="00782D78">
        <w:rPr>
          <w:rFonts w:cstheme="minorHAnsi"/>
          <w:sz w:val="22"/>
          <w:szCs w:val="22"/>
          <w:lang w:val="en-US"/>
        </w:rPr>
        <w:t>Rahim, M.A. (2002) Managing Conflict in Organizations.</w:t>
      </w:r>
    </w:p>
    <w:p w14:paraId="373EB493" w14:textId="77777777" w:rsidR="00782D78" w:rsidRPr="00782D78" w:rsidRDefault="00782D78" w:rsidP="00782D78">
      <w:pPr>
        <w:spacing w:line="600" w:lineRule="auto"/>
        <w:rPr>
          <w:rFonts w:cstheme="minorHAnsi"/>
          <w:sz w:val="22"/>
          <w:szCs w:val="22"/>
          <w:lang w:val="en-US"/>
        </w:rPr>
      </w:pPr>
      <w:r w:rsidRPr="00782D78">
        <w:rPr>
          <w:rFonts w:cstheme="minorHAnsi"/>
          <w:sz w:val="22"/>
          <w:szCs w:val="22"/>
          <w:lang w:val="en-US"/>
        </w:rPr>
        <w:t>Resnik, D.B. (2018) The Ethics of Research.</w:t>
      </w:r>
    </w:p>
    <w:p w14:paraId="7BA2490F" w14:textId="77777777" w:rsidR="00782D78" w:rsidRPr="00782D78" w:rsidRDefault="00782D78" w:rsidP="00782D78">
      <w:pPr>
        <w:spacing w:line="600" w:lineRule="auto"/>
        <w:rPr>
          <w:rFonts w:cstheme="minorHAnsi"/>
          <w:sz w:val="22"/>
          <w:szCs w:val="22"/>
          <w:lang w:val="en-US"/>
        </w:rPr>
      </w:pPr>
      <w:r w:rsidRPr="00782D78">
        <w:rPr>
          <w:rFonts w:cstheme="minorHAnsi"/>
          <w:sz w:val="22"/>
          <w:szCs w:val="22"/>
          <w:lang w:val="en-US"/>
        </w:rPr>
        <w:t>Saunders, M., Lewis, P. and Thornhill, A. (2019) Research Methods for Business Students.</w:t>
      </w:r>
    </w:p>
    <w:p w14:paraId="088AB345" w14:textId="77777777" w:rsidR="00782D78" w:rsidRPr="00782D78" w:rsidRDefault="00782D78" w:rsidP="00782D78">
      <w:pPr>
        <w:spacing w:line="600" w:lineRule="auto"/>
        <w:rPr>
          <w:rFonts w:cstheme="minorHAnsi"/>
          <w:sz w:val="22"/>
          <w:szCs w:val="22"/>
          <w:lang w:val="en-US"/>
        </w:rPr>
      </w:pPr>
    </w:p>
    <w:p w14:paraId="180FE123" w14:textId="77777777" w:rsidR="00782D78" w:rsidRPr="00EC495C" w:rsidRDefault="00782D78" w:rsidP="00EC495C">
      <w:pPr>
        <w:spacing w:line="600" w:lineRule="auto"/>
        <w:rPr>
          <w:rFonts w:cstheme="minorHAnsi"/>
          <w:sz w:val="22"/>
          <w:szCs w:val="22"/>
          <w:lang w:val="en-US"/>
        </w:rPr>
      </w:pPr>
    </w:p>
    <w:p w14:paraId="64788C3C" w14:textId="77777777" w:rsidR="00EC495C" w:rsidRPr="008C5E05" w:rsidRDefault="00EC495C" w:rsidP="008C5E05">
      <w:pPr>
        <w:spacing w:line="600" w:lineRule="auto"/>
        <w:rPr>
          <w:rFonts w:cstheme="minorHAnsi"/>
          <w:b/>
          <w:bCs/>
          <w:sz w:val="24"/>
          <w:szCs w:val="24"/>
        </w:rPr>
      </w:pPr>
    </w:p>
    <w:p w14:paraId="4838956C" w14:textId="77777777" w:rsidR="00F70225" w:rsidRPr="00F70225" w:rsidRDefault="00F70225" w:rsidP="009F3699">
      <w:pPr>
        <w:spacing w:line="600" w:lineRule="auto"/>
        <w:rPr>
          <w:rFonts w:ascii="Arial" w:hAnsi="Arial" w:cs="Arial"/>
          <w:b/>
          <w:bCs/>
        </w:rPr>
      </w:pPr>
    </w:p>
    <w:p w14:paraId="0BF6B736" w14:textId="77777777" w:rsidR="002F18CF" w:rsidRPr="002F18CF" w:rsidRDefault="002F18CF" w:rsidP="009F3699">
      <w:pPr>
        <w:spacing w:line="600" w:lineRule="auto"/>
        <w:rPr>
          <w:rFonts w:ascii="Arial" w:hAnsi="Arial" w:cs="Arial"/>
          <w:b/>
          <w:bCs/>
        </w:rPr>
      </w:pPr>
    </w:p>
    <w:p w14:paraId="038BD81D" w14:textId="77777777" w:rsidR="00156748" w:rsidRDefault="00156748" w:rsidP="19DF5ED4">
      <w:pPr>
        <w:spacing w:line="600" w:lineRule="auto"/>
        <w:rPr>
          <w:rFonts w:ascii="Arial" w:hAnsi="Arial" w:cs="Arial"/>
          <w:b/>
          <w:bCs/>
          <w:i/>
          <w:iCs/>
        </w:rPr>
      </w:pPr>
    </w:p>
    <w:p w14:paraId="26BB7F3B" w14:textId="77777777" w:rsidR="00156748" w:rsidRDefault="00156748"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7618DB66" w14:textId="17CBE359" w:rsidR="00C75BC3" w:rsidRDefault="00C75BC3" w:rsidP="00C75BC3">
      <w:pPr>
        <w:spacing w:after="0"/>
        <w:ind w:left="-1440" w:right="10466"/>
      </w:pPr>
    </w:p>
    <w:p w14:paraId="082E9941" w14:textId="407513F6" w:rsidR="19DF5ED4" w:rsidRDefault="19DF5ED4" w:rsidP="19DF5ED4">
      <w:pPr>
        <w:spacing w:line="600" w:lineRule="auto"/>
        <w:rPr>
          <w:rFonts w:ascii="Arial" w:hAnsi="Arial" w:cs="Arial"/>
          <w:b/>
          <w:bCs/>
          <w:i/>
          <w:iCs/>
        </w:rPr>
      </w:pPr>
    </w:p>
    <w:p w14:paraId="6DEB6CDE" w14:textId="0B221502" w:rsidR="19DF5ED4" w:rsidRDefault="19DF5ED4"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p w14:paraId="1028C0FF" w14:textId="39E974B0" w:rsidR="19DF5ED4" w:rsidRDefault="19DF5ED4" w:rsidP="19DF5ED4">
      <w:pPr>
        <w:spacing w:line="600" w:lineRule="auto"/>
        <w:rPr>
          <w:rFonts w:ascii="Arial" w:hAnsi="Arial" w:cs="Arial"/>
          <w:b/>
          <w:bCs/>
          <w:i/>
          <w:iCs/>
        </w:rPr>
      </w:pPr>
    </w:p>
    <w:p w14:paraId="1766FA8E" w14:textId="30C7E9B5"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8F359" w14:textId="77777777" w:rsidR="009127E2" w:rsidRDefault="009127E2" w:rsidP="00F37B62">
      <w:pPr>
        <w:spacing w:after="0" w:line="240" w:lineRule="auto"/>
      </w:pPr>
      <w:r>
        <w:separator/>
      </w:r>
    </w:p>
  </w:endnote>
  <w:endnote w:type="continuationSeparator" w:id="0">
    <w:p w14:paraId="224F56E5" w14:textId="77777777" w:rsidR="009127E2" w:rsidRDefault="009127E2"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452C0" w14:textId="77777777" w:rsidR="009127E2" w:rsidRDefault="009127E2" w:rsidP="00F37B62">
      <w:pPr>
        <w:spacing w:after="0" w:line="240" w:lineRule="auto"/>
      </w:pPr>
      <w:r>
        <w:separator/>
      </w:r>
    </w:p>
  </w:footnote>
  <w:footnote w:type="continuationSeparator" w:id="0">
    <w:p w14:paraId="3FB7B7A8" w14:textId="77777777" w:rsidR="009127E2" w:rsidRDefault="009127E2"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017D59"/>
    <w:multiLevelType w:val="hybridMultilevel"/>
    <w:tmpl w:val="55A653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B3233E7"/>
    <w:multiLevelType w:val="hybridMultilevel"/>
    <w:tmpl w:val="55A653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B92669"/>
    <w:multiLevelType w:val="hybridMultilevel"/>
    <w:tmpl w:val="F2F443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4220905">
    <w:abstractNumId w:val="1"/>
  </w:num>
  <w:num w:numId="2" w16cid:durableId="104006269">
    <w:abstractNumId w:val="0"/>
  </w:num>
  <w:num w:numId="3" w16cid:durableId="11499752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7DF4"/>
    <w:rsid w:val="00041EAB"/>
    <w:rsid w:val="000573C8"/>
    <w:rsid w:val="000B3E45"/>
    <w:rsid w:val="000B4E76"/>
    <w:rsid w:val="000E4892"/>
    <w:rsid w:val="000F1C13"/>
    <w:rsid w:val="00156748"/>
    <w:rsid w:val="001D364B"/>
    <w:rsid w:val="00211CA2"/>
    <w:rsid w:val="00223455"/>
    <w:rsid w:val="00227021"/>
    <w:rsid w:val="00256DF3"/>
    <w:rsid w:val="00277942"/>
    <w:rsid w:val="002B2C76"/>
    <w:rsid w:val="002C73E6"/>
    <w:rsid w:val="002F18CF"/>
    <w:rsid w:val="003203AC"/>
    <w:rsid w:val="00334B45"/>
    <w:rsid w:val="0035445D"/>
    <w:rsid w:val="00360B7B"/>
    <w:rsid w:val="003725D5"/>
    <w:rsid w:val="003A41A2"/>
    <w:rsid w:val="003A651F"/>
    <w:rsid w:val="003F1F30"/>
    <w:rsid w:val="003F3651"/>
    <w:rsid w:val="00443564"/>
    <w:rsid w:val="00463976"/>
    <w:rsid w:val="004C3E13"/>
    <w:rsid w:val="004E494A"/>
    <w:rsid w:val="00530135"/>
    <w:rsid w:val="00553BC2"/>
    <w:rsid w:val="00556225"/>
    <w:rsid w:val="00624565"/>
    <w:rsid w:val="006636E3"/>
    <w:rsid w:val="006A12F6"/>
    <w:rsid w:val="00766FEF"/>
    <w:rsid w:val="00782D78"/>
    <w:rsid w:val="007A105B"/>
    <w:rsid w:val="007B40D7"/>
    <w:rsid w:val="007C3AEB"/>
    <w:rsid w:val="0083459F"/>
    <w:rsid w:val="00850A2A"/>
    <w:rsid w:val="00890D6A"/>
    <w:rsid w:val="008A57EA"/>
    <w:rsid w:val="008B6EDC"/>
    <w:rsid w:val="008C5C55"/>
    <w:rsid w:val="008C5E05"/>
    <w:rsid w:val="008D1598"/>
    <w:rsid w:val="008D3E9A"/>
    <w:rsid w:val="008F4215"/>
    <w:rsid w:val="008F4621"/>
    <w:rsid w:val="009127E2"/>
    <w:rsid w:val="00940246"/>
    <w:rsid w:val="009542D8"/>
    <w:rsid w:val="00984CC3"/>
    <w:rsid w:val="009913E5"/>
    <w:rsid w:val="00993072"/>
    <w:rsid w:val="009D31A9"/>
    <w:rsid w:val="009D6793"/>
    <w:rsid w:val="009F3409"/>
    <w:rsid w:val="009F3699"/>
    <w:rsid w:val="00A031B7"/>
    <w:rsid w:val="00A672C4"/>
    <w:rsid w:val="00A67A44"/>
    <w:rsid w:val="00A73D23"/>
    <w:rsid w:val="00AA7199"/>
    <w:rsid w:val="00AD4C79"/>
    <w:rsid w:val="00B465A0"/>
    <w:rsid w:val="00B53439"/>
    <w:rsid w:val="00B53941"/>
    <w:rsid w:val="00B5790E"/>
    <w:rsid w:val="00B600B3"/>
    <w:rsid w:val="00B65FEA"/>
    <w:rsid w:val="00B672FA"/>
    <w:rsid w:val="00B76B68"/>
    <w:rsid w:val="00B8607C"/>
    <w:rsid w:val="00BE02E6"/>
    <w:rsid w:val="00BF557E"/>
    <w:rsid w:val="00BF5CCA"/>
    <w:rsid w:val="00C75BC3"/>
    <w:rsid w:val="00C76F96"/>
    <w:rsid w:val="00C90E36"/>
    <w:rsid w:val="00D07611"/>
    <w:rsid w:val="00D12670"/>
    <w:rsid w:val="00D41CE9"/>
    <w:rsid w:val="00D557C5"/>
    <w:rsid w:val="00DA176D"/>
    <w:rsid w:val="00E12960"/>
    <w:rsid w:val="00E158BA"/>
    <w:rsid w:val="00E23941"/>
    <w:rsid w:val="00E31504"/>
    <w:rsid w:val="00E67F24"/>
    <w:rsid w:val="00E843F2"/>
    <w:rsid w:val="00EA3063"/>
    <w:rsid w:val="00EB04B4"/>
    <w:rsid w:val="00EB2D34"/>
    <w:rsid w:val="00EB508D"/>
    <w:rsid w:val="00EC069F"/>
    <w:rsid w:val="00EC1B77"/>
    <w:rsid w:val="00EC47B2"/>
    <w:rsid w:val="00EC495C"/>
    <w:rsid w:val="00ED220A"/>
    <w:rsid w:val="00EE4EA1"/>
    <w:rsid w:val="00F03166"/>
    <w:rsid w:val="00F37B62"/>
    <w:rsid w:val="00F5191F"/>
    <w:rsid w:val="00F67811"/>
    <w:rsid w:val="00F70225"/>
    <w:rsid w:val="00F97F4A"/>
    <w:rsid w:val="00FA198E"/>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B7B"/>
  </w:style>
  <w:style w:type="paragraph" w:styleId="Heading1">
    <w:name w:val="heading 1"/>
    <w:basedOn w:val="Normal"/>
    <w:next w:val="Normal"/>
    <w:link w:val="Heading1Char"/>
    <w:uiPriority w:val="9"/>
    <w:qFormat/>
    <w:rsid w:val="00360B7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0B7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60B7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60B7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60B7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60B7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60B7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60B7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60B7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156748"/>
    <w:pPr>
      <w:ind w:left="720"/>
      <w:contextualSpacing/>
    </w:pPr>
  </w:style>
  <w:style w:type="character" w:customStyle="1" w:styleId="Heading1Char">
    <w:name w:val="Heading 1 Char"/>
    <w:basedOn w:val="DefaultParagraphFont"/>
    <w:link w:val="Heading1"/>
    <w:uiPriority w:val="9"/>
    <w:rsid w:val="00360B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60B7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60B7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60B7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60B7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60B7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60B7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60B7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60B7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60B7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60B7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60B7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60B7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60B7B"/>
    <w:rPr>
      <w:rFonts w:asciiTheme="majorHAnsi" w:eastAsiaTheme="majorEastAsia" w:hAnsiTheme="majorHAnsi" w:cstheme="majorBidi"/>
      <w:sz w:val="24"/>
      <w:szCs w:val="24"/>
    </w:rPr>
  </w:style>
  <w:style w:type="character" w:styleId="Strong">
    <w:name w:val="Strong"/>
    <w:basedOn w:val="DefaultParagraphFont"/>
    <w:uiPriority w:val="22"/>
    <w:qFormat/>
    <w:rsid w:val="00360B7B"/>
    <w:rPr>
      <w:b/>
      <w:bCs/>
    </w:rPr>
  </w:style>
  <w:style w:type="character" w:styleId="Emphasis">
    <w:name w:val="Emphasis"/>
    <w:basedOn w:val="DefaultParagraphFont"/>
    <w:uiPriority w:val="20"/>
    <w:qFormat/>
    <w:rsid w:val="00360B7B"/>
    <w:rPr>
      <w:i/>
      <w:iCs/>
    </w:rPr>
  </w:style>
  <w:style w:type="paragraph" w:styleId="NoSpacing">
    <w:name w:val="No Spacing"/>
    <w:uiPriority w:val="1"/>
    <w:qFormat/>
    <w:rsid w:val="00360B7B"/>
    <w:pPr>
      <w:spacing w:after="0" w:line="240" w:lineRule="auto"/>
    </w:pPr>
  </w:style>
  <w:style w:type="paragraph" w:styleId="Quote">
    <w:name w:val="Quote"/>
    <w:basedOn w:val="Normal"/>
    <w:next w:val="Normal"/>
    <w:link w:val="QuoteChar"/>
    <w:uiPriority w:val="29"/>
    <w:qFormat/>
    <w:rsid w:val="00360B7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60B7B"/>
    <w:rPr>
      <w:i/>
      <w:iCs/>
      <w:color w:val="404040" w:themeColor="text1" w:themeTint="BF"/>
    </w:rPr>
  </w:style>
  <w:style w:type="paragraph" w:styleId="IntenseQuote">
    <w:name w:val="Intense Quote"/>
    <w:basedOn w:val="Normal"/>
    <w:next w:val="Normal"/>
    <w:link w:val="IntenseQuoteChar"/>
    <w:uiPriority w:val="30"/>
    <w:qFormat/>
    <w:rsid w:val="00360B7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60B7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60B7B"/>
    <w:rPr>
      <w:i/>
      <w:iCs/>
      <w:color w:val="404040" w:themeColor="text1" w:themeTint="BF"/>
    </w:rPr>
  </w:style>
  <w:style w:type="character" w:styleId="IntenseEmphasis">
    <w:name w:val="Intense Emphasis"/>
    <w:basedOn w:val="DefaultParagraphFont"/>
    <w:uiPriority w:val="21"/>
    <w:qFormat/>
    <w:rsid w:val="00360B7B"/>
    <w:rPr>
      <w:b/>
      <w:bCs/>
      <w:i/>
      <w:iCs/>
    </w:rPr>
  </w:style>
  <w:style w:type="character" w:styleId="SubtleReference">
    <w:name w:val="Subtle Reference"/>
    <w:basedOn w:val="DefaultParagraphFont"/>
    <w:uiPriority w:val="31"/>
    <w:qFormat/>
    <w:rsid w:val="00360B7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60B7B"/>
    <w:rPr>
      <w:b/>
      <w:bCs/>
      <w:smallCaps/>
      <w:spacing w:val="5"/>
      <w:u w:val="single"/>
    </w:rPr>
  </w:style>
  <w:style w:type="character" w:styleId="BookTitle">
    <w:name w:val="Book Title"/>
    <w:basedOn w:val="DefaultParagraphFont"/>
    <w:uiPriority w:val="33"/>
    <w:qFormat/>
    <w:rsid w:val="00360B7B"/>
    <w:rPr>
      <w:b/>
      <w:bCs/>
      <w:smallCaps/>
    </w:rPr>
  </w:style>
  <w:style w:type="paragraph" w:styleId="TOCHeading">
    <w:name w:val="TOC Heading"/>
    <w:basedOn w:val="Heading1"/>
    <w:next w:val="Normal"/>
    <w:uiPriority w:val="39"/>
    <w:semiHidden/>
    <w:unhideWhenUsed/>
    <w:qFormat/>
    <w:rsid w:val="00360B7B"/>
    <w:pPr>
      <w:outlineLvl w:val="9"/>
    </w:pPr>
  </w:style>
  <w:style w:type="table" w:styleId="TableGrid">
    <w:name w:val="Table Grid"/>
    <w:basedOn w:val="TableNormal"/>
    <w:uiPriority w:val="59"/>
    <w:rsid w:val="000E4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1781</TotalTime>
  <Pages>21</Pages>
  <Words>3464</Words>
  <Characters>19746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Ileana Galatanu (2418480)</cp:lastModifiedBy>
  <cp:revision>38</cp:revision>
  <dcterms:created xsi:type="dcterms:W3CDTF">2026-04-30T21:16:00Z</dcterms:created>
  <dcterms:modified xsi:type="dcterms:W3CDTF">2026-05-02T11:54:00Z</dcterms:modified>
</cp:coreProperties>
</file>