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8A5FE" w14:textId="77777777" w:rsidR="00EF0C77" w:rsidRPr="004F297C" w:rsidRDefault="00EF0C77" w:rsidP="00EF0C77">
      <w:pPr>
        <w:spacing w:line="30" w:lineRule="atLeast"/>
        <w:jc w:val="center"/>
        <w:rPr>
          <w:rFonts w:ascii="Arial" w:hAnsi="Arial" w:cs="Arial"/>
          <w:sz w:val="40"/>
          <w:szCs w:val="40"/>
        </w:rPr>
      </w:pPr>
      <w:r w:rsidRPr="004F297C">
        <w:rPr>
          <w:rFonts w:ascii="Arial" w:hAnsi="Arial" w:cs="Arial"/>
          <w:sz w:val="40"/>
          <w:szCs w:val="40"/>
        </w:rPr>
        <w:t>Certificate of Higher Education Skills for the Workplace (Health &amp; Social Care)</w:t>
      </w:r>
    </w:p>
    <w:p w14:paraId="5AC4CCA6" w14:textId="77777777" w:rsidR="00EF0C77" w:rsidRPr="004F297C" w:rsidRDefault="00EF0C77" w:rsidP="00EF0C77">
      <w:pPr>
        <w:spacing w:line="30" w:lineRule="atLeast"/>
        <w:jc w:val="center"/>
        <w:rPr>
          <w:rFonts w:ascii="Arial" w:hAnsi="Arial" w:cs="Arial"/>
          <w:sz w:val="40"/>
          <w:szCs w:val="40"/>
        </w:rPr>
      </w:pPr>
    </w:p>
    <w:p w14:paraId="4AEBF22B" w14:textId="77777777" w:rsidR="00EF0C77" w:rsidRPr="004F297C" w:rsidRDefault="00EF0C77" w:rsidP="00EF0C77">
      <w:pPr>
        <w:spacing w:line="30" w:lineRule="atLeast"/>
        <w:jc w:val="center"/>
        <w:rPr>
          <w:rFonts w:ascii="Arial" w:hAnsi="Arial" w:cs="Arial"/>
          <w:sz w:val="40"/>
          <w:szCs w:val="40"/>
        </w:rPr>
      </w:pPr>
    </w:p>
    <w:p w14:paraId="58B62ABF" w14:textId="77777777" w:rsidR="00EF0C77" w:rsidRPr="004F297C" w:rsidRDefault="00EF0C77" w:rsidP="00EF0C77">
      <w:pPr>
        <w:tabs>
          <w:tab w:val="left" w:pos="3330"/>
        </w:tabs>
        <w:spacing w:line="30" w:lineRule="atLeast"/>
        <w:jc w:val="center"/>
        <w:rPr>
          <w:rFonts w:ascii="Arial" w:hAnsi="Arial" w:cs="Arial"/>
          <w:bCs/>
          <w:sz w:val="40"/>
          <w:szCs w:val="40"/>
        </w:rPr>
      </w:pPr>
    </w:p>
    <w:p w14:paraId="5F92B408" w14:textId="77777777" w:rsidR="00EF0C77" w:rsidRPr="004F297C" w:rsidRDefault="00EF0C77" w:rsidP="00EF0C77">
      <w:pPr>
        <w:tabs>
          <w:tab w:val="left" w:pos="3330"/>
        </w:tabs>
        <w:spacing w:line="30" w:lineRule="atLeast"/>
        <w:jc w:val="center"/>
        <w:rPr>
          <w:rFonts w:ascii="Arial" w:hAnsi="Arial" w:cs="Arial"/>
          <w:bCs/>
          <w:sz w:val="40"/>
          <w:szCs w:val="40"/>
        </w:rPr>
      </w:pPr>
    </w:p>
    <w:p w14:paraId="1A117E29" w14:textId="77777777" w:rsidR="00EF0C77" w:rsidRPr="004F297C" w:rsidRDefault="00EF0C77" w:rsidP="00EF0C77">
      <w:pPr>
        <w:tabs>
          <w:tab w:val="left" w:pos="3330"/>
        </w:tabs>
        <w:spacing w:line="30" w:lineRule="atLeast"/>
        <w:jc w:val="center"/>
        <w:rPr>
          <w:rFonts w:ascii="Arial" w:hAnsi="Arial" w:cs="Arial"/>
          <w:bCs/>
          <w:sz w:val="40"/>
          <w:szCs w:val="40"/>
        </w:rPr>
      </w:pPr>
    </w:p>
    <w:p w14:paraId="2C21A9E9" w14:textId="3D6D5061" w:rsidR="00EF0C77" w:rsidRPr="004F297C" w:rsidRDefault="00EF0C77" w:rsidP="00EF0C77">
      <w:pPr>
        <w:tabs>
          <w:tab w:val="left" w:pos="3330"/>
        </w:tabs>
        <w:spacing w:line="30" w:lineRule="atLeast"/>
        <w:jc w:val="center"/>
        <w:rPr>
          <w:rFonts w:ascii="Arial" w:hAnsi="Arial" w:cs="Arial"/>
          <w:bCs/>
          <w:sz w:val="40"/>
          <w:szCs w:val="40"/>
        </w:rPr>
      </w:pPr>
      <w:r w:rsidRPr="004F297C">
        <w:rPr>
          <w:rFonts w:ascii="Arial" w:hAnsi="Arial" w:cs="Arial"/>
          <w:bCs/>
          <w:sz w:val="40"/>
          <w:szCs w:val="40"/>
        </w:rPr>
        <w:t>Psychology in Health and Social Care</w:t>
      </w:r>
    </w:p>
    <w:p w14:paraId="7F835780" w14:textId="6CC0C188" w:rsidR="00EF0C77" w:rsidRPr="004F297C" w:rsidRDefault="00EF0C77" w:rsidP="00EF0C77">
      <w:pPr>
        <w:tabs>
          <w:tab w:val="left" w:pos="3330"/>
        </w:tabs>
        <w:spacing w:line="30" w:lineRule="atLeast"/>
        <w:jc w:val="center"/>
        <w:rPr>
          <w:rFonts w:ascii="Arial" w:hAnsi="Arial" w:cs="Arial"/>
          <w:bCs/>
          <w:sz w:val="40"/>
          <w:szCs w:val="40"/>
        </w:rPr>
      </w:pPr>
      <w:r w:rsidRPr="004F297C">
        <w:rPr>
          <w:rFonts w:ascii="Arial" w:hAnsi="Arial" w:cs="Arial"/>
          <w:bCs/>
          <w:sz w:val="40"/>
          <w:szCs w:val="40"/>
        </w:rPr>
        <w:t xml:space="preserve">Assessment 2: Bibliography &amp; report </w:t>
      </w:r>
    </w:p>
    <w:p w14:paraId="6EC4CAAE" w14:textId="491681EE" w:rsidR="00EF0C77" w:rsidRPr="004F297C" w:rsidRDefault="00EF0C77" w:rsidP="00EF0C77">
      <w:pPr>
        <w:tabs>
          <w:tab w:val="left" w:pos="3330"/>
        </w:tabs>
        <w:spacing w:line="30" w:lineRule="atLeast"/>
        <w:jc w:val="center"/>
        <w:rPr>
          <w:rFonts w:ascii="Arial" w:hAnsi="Arial" w:cs="Arial"/>
          <w:bCs/>
          <w:sz w:val="40"/>
          <w:szCs w:val="40"/>
        </w:rPr>
      </w:pPr>
      <w:r w:rsidRPr="004F297C">
        <w:rPr>
          <w:rFonts w:ascii="Arial" w:hAnsi="Arial" w:cs="Arial"/>
          <w:bCs/>
          <w:sz w:val="40"/>
          <w:szCs w:val="40"/>
        </w:rPr>
        <w:t>LCHS4010</w:t>
      </w:r>
    </w:p>
    <w:p w14:paraId="0EA06216" w14:textId="77777777" w:rsidR="00EF0C77" w:rsidRPr="004F297C" w:rsidRDefault="00EF0C77" w:rsidP="00EF0C77">
      <w:pPr>
        <w:tabs>
          <w:tab w:val="left" w:pos="3330"/>
        </w:tabs>
        <w:spacing w:line="30" w:lineRule="atLeast"/>
        <w:jc w:val="center"/>
        <w:rPr>
          <w:rFonts w:ascii="Arial" w:hAnsi="Arial" w:cs="Arial"/>
          <w:bCs/>
          <w:sz w:val="40"/>
          <w:szCs w:val="40"/>
        </w:rPr>
      </w:pPr>
    </w:p>
    <w:p w14:paraId="39DF969F" w14:textId="77777777" w:rsidR="00EF0C77" w:rsidRPr="004F297C" w:rsidRDefault="00EF0C77" w:rsidP="00EF0C77">
      <w:pPr>
        <w:tabs>
          <w:tab w:val="left" w:pos="3330"/>
        </w:tabs>
        <w:spacing w:line="30" w:lineRule="atLeast"/>
        <w:jc w:val="center"/>
        <w:rPr>
          <w:rFonts w:ascii="Arial" w:hAnsi="Arial" w:cs="Arial"/>
          <w:bCs/>
          <w:sz w:val="40"/>
          <w:szCs w:val="40"/>
        </w:rPr>
      </w:pPr>
    </w:p>
    <w:p w14:paraId="51A2272E" w14:textId="77777777" w:rsidR="00EF0C77" w:rsidRPr="004F297C" w:rsidRDefault="00EF0C77" w:rsidP="00EF0C77">
      <w:pPr>
        <w:tabs>
          <w:tab w:val="left" w:pos="3330"/>
        </w:tabs>
        <w:spacing w:line="30" w:lineRule="atLeast"/>
        <w:jc w:val="center"/>
        <w:rPr>
          <w:rFonts w:ascii="Arial" w:hAnsi="Arial" w:cs="Arial"/>
          <w:bCs/>
          <w:sz w:val="40"/>
          <w:szCs w:val="40"/>
        </w:rPr>
      </w:pPr>
    </w:p>
    <w:p w14:paraId="54C5EC3F" w14:textId="77777777" w:rsidR="00EF0C77" w:rsidRPr="004F297C" w:rsidRDefault="00EF0C77" w:rsidP="00EF0C77">
      <w:pPr>
        <w:tabs>
          <w:tab w:val="left" w:pos="3330"/>
        </w:tabs>
        <w:spacing w:line="30" w:lineRule="atLeast"/>
        <w:rPr>
          <w:rFonts w:ascii="Arial" w:hAnsi="Arial" w:cs="Arial"/>
          <w:bCs/>
          <w:sz w:val="40"/>
          <w:szCs w:val="40"/>
        </w:rPr>
      </w:pPr>
    </w:p>
    <w:p w14:paraId="4805133D" w14:textId="77777777" w:rsidR="00EF0C77" w:rsidRPr="004F297C" w:rsidRDefault="00EF0C77" w:rsidP="00EF0C77">
      <w:pPr>
        <w:tabs>
          <w:tab w:val="left" w:pos="3330"/>
        </w:tabs>
        <w:spacing w:line="30" w:lineRule="atLeast"/>
        <w:rPr>
          <w:rFonts w:ascii="Arial" w:hAnsi="Arial" w:cs="Arial"/>
          <w:bCs/>
          <w:sz w:val="40"/>
          <w:szCs w:val="40"/>
        </w:rPr>
      </w:pPr>
    </w:p>
    <w:p w14:paraId="05BFE9A6" w14:textId="77777777" w:rsidR="00EF0C77" w:rsidRPr="004F297C" w:rsidRDefault="00EF0C77" w:rsidP="00EF0C77">
      <w:pPr>
        <w:tabs>
          <w:tab w:val="left" w:pos="3330"/>
        </w:tabs>
        <w:spacing w:line="30" w:lineRule="atLeast"/>
        <w:jc w:val="center"/>
        <w:rPr>
          <w:rFonts w:ascii="Arial" w:hAnsi="Arial" w:cs="Arial"/>
          <w:bCs/>
          <w:sz w:val="40"/>
          <w:szCs w:val="40"/>
        </w:rPr>
      </w:pPr>
    </w:p>
    <w:p w14:paraId="2E733AA8" w14:textId="77777777" w:rsidR="00EF0C77" w:rsidRPr="004F297C" w:rsidRDefault="00EF0C77" w:rsidP="00EF0C77">
      <w:pPr>
        <w:tabs>
          <w:tab w:val="left" w:pos="3330"/>
        </w:tabs>
        <w:spacing w:line="30" w:lineRule="atLeast"/>
        <w:jc w:val="center"/>
        <w:rPr>
          <w:rFonts w:ascii="Arial" w:hAnsi="Arial" w:cs="Arial"/>
          <w:bCs/>
          <w:sz w:val="40"/>
          <w:szCs w:val="40"/>
        </w:rPr>
      </w:pPr>
      <w:r w:rsidRPr="004F297C">
        <w:rPr>
          <w:rFonts w:ascii="Arial" w:hAnsi="Arial" w:cs="Arial"/>
          <w:bCs/>
          <w:sz w:val="40"/>
          <w:szCs w:val="40"/>
        </w:rPr>
        <w:t>Abida Parveen</w:t>
      </w:r>
    </w:p>
    <w:p w14:paraId="159DFF19" w14:textId="77777777" w:rsidR="00EF0C77" w:rsidRPr="004F297C" w:rsidRDefault="00EF0C77" w:rsidP="00EF0C77">
      <w:pPr>
        <w:tabs>
          <w:tab w:val="left" w:pos="3330"/>
        </w:tabs>
        <w:spacing w:line="30" w:lineRule="atLeast"/>
        <w:jc w:val="center"/>
        <w:rPr>
          <w:rFonts w:ascii="Arial" w:hAnsi="Arial" w:cs="Arial"/>
          <w:bCs/>
          <w:sz w:val="40"/>
          <w:szCs w:val="40"/>
        </w:rPr>
      </w:pPr>
      <w:r w:rsidRPr="004F297C">
        <w:rPr>
          <w:rFonts w:ascii="Arial" w:hAnsi="Arial" w:cs="Arial"/>
          <w:bCs/>
          <w:sz w:val="40"/>
          <w:szCs w:val="40"/>
        </w:rPr>
        <w:t>Student Number: 2419354</w:t>
      </w:r>
    </w:p>
    <w:p w14:paraId="6950212B" w14:textId="322E5C0E" w:rsidR="00EF0C77" w:rsidRPr="004F297C" w:rsidRDefault="00F21543" w:rsidP="00EF0C77">
      <w:pPr>
        <w:tabs>
          <w:tab w:val="left" w:pos="3330"/>
        </w:tabs>
        <w:spacing w:line="30" w:lineRule="atLeast"/>
        <w:jc w:val="center"/>
        <w:rPr>
          <w:rFonts w:ascii="Arial" w:hAnsi="Arial" w:cs="Arial"/>
          <w:bCs/>
          <w:sz w:val="40"/>
          <w:szCs w:val="40"/>
        </w:rPr>
      </w:pPr>
      <w:r w:rsidRPr="004F297C">
        <w:rPr>
          <w:rFonts w:ascii="Arial" w:hAnsi="Arial" w:cs="Arial"/>
          <w:bCs/>
          <w:sz w:val="40"/>
          <w:szCs w:val="40"/>
        </w:rPr>
        <w:t xml:space="preserve">Neale Haddon </w:t>
      </w:r>
      <w:r w:rsidR="00EF0C77" w:rsidRPr="004F297C">
        <w:rPr>
          <w:rFonts w:ascii="Arial" w:hAnsi="Arial" w:cs="Arial"/>
          <w:bCs/>
          <w:sz w:val="40"/>
          <w:szCs w:val="40"/>
        </w:rPr>
        <w:t>– Module Lead</w:t>
      </w:r>
    </w:p>
    <w:p w14:paraId="6A826AF6" w14:textId="77777777" w:rsidR="0049030D" w:rsidRPr="004F297C" w:rsidRDefault="0049030D">
      <w:pPr>
        <w:rPr>
          <w:rFonts w:ascii="Arial" w:hAnsi="Arial" w:cs="Arial"/>
        </w:rPr>
      </w:pPr>
    </w:p>
    <w:p w14:paraId="24DD9796" w14:textId="77777777" w:rsidR="000246DA" w:rsidRPr="004F297C" w:rsidRDefault="000246DA">
      <w:pPr>
        <w:rPr>
          <w:rFonts w:ascii="Arial" w:hAnsi="Arial" w:cs="Arial"/>
        </w:rPr>
      </w:pPr>
    </w:p>
    <w:p w14:paraId="65E3E3D2" w14:textId="77777777" w:rsidR="000246DA" w:rsidRPr="004F297C" w:rsidRDefault="000246DA">
      <w:pPr>
        <w:rPr>
          <w:rFonts w:ascii="Arial" w:hAnsi="Arial" w:cs="Arial"/>
        </w:rPr>
      </w:pPr>
    </w:p>
    <w:p w14:paraId="2C798A87" w14:textId="77777777" w:rsidR="000246DA" w:rsidRPr="004F297C" w:rsidRDefault="000246DA">
      <w:pPr>
        <w:rPr>
          <w:rFonts w:ascii="Arial" w:hAnsi="Arial" w:cs="Arial"/>
        </w:rPr>
      </w:pPr>
    </w:p>
    <w:p w14:paraId="38329A09" w14:textId="77777777" w:rsidR="000246DA" w:rsidRPr="004F297C" w:rsidRDefault="000246DA">
      <w:pPr>
        <w:rPr>
          <w:rFonts w:ascii="Arial" w:hAnsi="Arial" w:cs="Arial"/>
        </w:rPr>
      </w:pPr>
    </w:p>
    <w:p w14:paraId="3DFFE476" w14:textId="7F495175" w:rsidR="00D45990" w:rsidRPr="00940DE9" w:rsidRDefault="00097DC7" w:rsidP="005108E4">
      <w:pPr>
        <w:spacing w:line="360" w:lineRule="auto"/>
        <w:rPr>
          <w:rFonts w:ascii="Arial" w:hAnsi="Arial" w:cs="Arial"/>
          <w:sz w:val="22"/>
          <w:szCs w:val="22"/>
          <w:u w:val="single"/>
        </w:rPr>
      </w:pPr>
      <w:r w:rsidRPr="00940DE9">
        <w:rPr>
          <w:rFonts w:ascii="Arial" w:hAnsi="Arial" w:cs="Arial"/>
          <w:sz w:val="22"/>
          <w:szCs w:val="22"/>
          <w:u w:val="single"/>
        </w:rPr>
        <w:lastRenderedPageBreak/>
        <w:t>Part A: Annotated Bibliography</w:t>
      </w:r>
    </w:p>
    <w:p w14:paraId="7DC2D8CE" w14:textId="3F5F1909" w:rsidR="00EA0903" w:rsidRPr="00940DE9" w:rsidRDefault="00097DC7" w:rsidP="005108E4">
      <w:pPr>
        <w:spacing w:line="360" w:lineRule="auto"/>
        <w:rPr>
          <w:rFonts w:ascii="Arial" w:hAnsi="Arial" w:cs="Arial"/>
          <w:sz w:val="22"/>
          <w:szCs w:val="22"/>
        </w:rPr>
      </w:pPr>
      <w:r w:rsidRPr="00940DE9">
        <w:rPr>
          <w:rFonts w:ascii="Arial" w:hAnsi="Arial" w:cs="Arial"/>
          <w:sz w:val="22"/>
          <w:szCs w:val="22"/>
          <w:u w:val="single"/>
        </w:rPr>
        <w:t>Source 1:</w:t>
      </w:r>
      <w:r w:rsidR="00AF5415" w:rsidRPr="00940DE9">
        <w:rPr>
          <w:rFonts w:ascii="Arial" w:hAnsi="Arial" w:cs="Arial"/>
          <w:sz w:val="22"/>
          <w:szCs w:val="22"/>
          <w:u w:val="single"/>
        </w:rPr>
        <w:br/>
      </w:r>
      <w:r w:rsidR="00AF5415" w:rsidRPr="00940DE9">
        <w:rPr>
          <w:rFonts w:ascii="Arial" w:hAnsi="Arial" w:cs="Arial"/>
          <w:sz w:val="22"/>
          <w:szCs w:val="22"/>
        </w:rPr>
        <w:t>Erikson, E.H. (1982) The Life Cycle Completed. New York: W.W. Norton &amp; Company, pp. 110–120.</w:t>
      </w:r>
    </w:p>
    <w:p w14:paraId="3875FD93" w14:textId="3F630959" w:rsidR="004F297C" w:rsidRPr="00940DE9" w:rsidRDefault="0008064A" w:rsidP="005108E4">
      <w:pPr>
        <w:spacing w:line="360" w:lineRule="auto"/>
        <w:rPr>
          <w:rFonts w:ascii="Arial" w:hAnsi="Arial" w:cs="Arial"/>
          <w:sz w:val="22"/>
          <w:szCs w:val="22"/>
        </w:rPr>
      </w:pPr>
      <w:r w:rsidRPr="00940DE9">
        <w:rPr>
          <w:rFonts w:ascii="Arial" w:hAnsi="Arial" w:cs="Arial"/>
          <w:sz w:val="22"/>
          <w:szCs w:val="22"/>
        </w:rPr>
        <w:t xml:space="preserve">This chapter </w:t>
      </w:r>
      <w:r w:rsidR="00C500F8" w:rsidRPr="00940DE9">
        <w:rPr>
          <w:rFonts w:ascii="Arial" w:hAnsi="Arial" w:cs="Arial"/>
          <w:sz w:val="22"/>
          <w:szCs w:val="22"/>
        </w:rPr>
        <w:t xml:space="preserve">examines </w:t>
      </w:r>
      <w:r w:rsidR="00C54E8F" w:rsidRPr="00940DE9">
        <w:rPr>
          <w:rFonts w:ascii="Arial" w:hAnsi="Arial" w:cs="Arial"/>
          <w:sz w:val="22"/>
          <w:szCs w:val="22"/>
        </w:rPr>
        <w:t xml:space="preserve">Erikson’s theory </w:t>
      </w:r>
      <w:r w:rsidR="00C500F8" w:rsidRPr="00940DE9">
        <w:rPr>
          <w:rFonts w:ascii="Arial" w:hAnsi="Arial" w:cs="Arial"/>
          <w:sz w:val="22"/>
          <w:szCs w:val="22"/>
        </w:rPr>
        <w:t xml:space="preserve">which </w:t>
      </w:r>
      <w:r w:rsidR="00AE5AA2" w:rsidRPr="00940DE9">
        <w:rPr>
          <w:rFonts w:ascii="Arial" w:hAnsi="Arial" w:cs="Arial"/>
          <w:sz w:val="22"/>
          <w:szCs w:val="22"/>
        </w:rPr>
        <w:t>outlines</w:t>
      </w:r>
      <w:r w:rsidR="00C54E8F" w:rsidRPr="00940DE9">
        <w:rPr>
          <w:rFonts w:ascii="Arial" w:hAnsi="Arial" w:cs="Arial"/>
          <w:sz w:val="22"/>
          <w:szCs w:val="22"/>
        </w:rPr>
        <w:t xml:space="preserve"> eight stages of psychosocial development, with the final stag</w:t>
      </w:r>
      <w:r w:rsidR="00AE5AA2" w:rsidRPr="00940DE9">
        <w:rPr>
          <w:rFonts w:ascii="Arial" w:hAnsi="Arial" w:cs="Arial"/>
          <w:sz w:val="22"/>
          <w:szCs w:val="22"/>
        </w:rPr>
        <w:t xml:space="preserve"> being </w:t>
      </w:r>
      <w:r w:rsidR="00C54E8F" w:rsidRPr="00940DE9">
        <w:rPr>
          <w:rFonts w:ascii="Arial" w:hAnsi="Arial" w:cs="Arial"/>
          <w:sz w:val="22"/>
          <w:szCs w:val="22"/>
        </w:rPr>
        <w:t>ego integrity versus despair</w:t>
      </w:r>
      <w:r w:rsidR="00AE5AA2" w:rsidRPr="00940DE9">
        <w:rPr>
          <w:rFonts w:ascii="Arial" w:hAnsi="Arial" w:cs="Arial"/>
          <w:sz w:val="22"/>
          <w:szCs w:val="22"/>
        </w:rPr>
        <w:t xml:space="preserve">, </w:t>
      </w:r>
      <w:r w:rsidR="00C54E8F" w:rsidRPr="00940DE9">
        <w:rPr>
          <w:rFonts w:ascii="Arial" w:hAnsi="Arial" w:cs="Arial"/>
          <w:sz w:val="22"/>
          <w:szCs w:val="22"/>
        </w:rPr>
        <w:t>being</w:t>
      </w:r>
      <w:r w:rsidR="00AE5AA2" w:rsidRPr="00940DE9">
        <w:rPr>
          <w:rFonts w:ascii="Arial" w:hAnsi="Arial" w:cs="Arial"/>
          <w:sz w:val="22"/>
          <w:szCs w:val="22"/>
        </w:rPr>
        <w:t xml:space="preserve"> r</w:t>
      </w:r>
      <w:r w:rsidR="00C54E8F" w:rsidRPr="00940DE9">
        <w:rPr>
          <w:rFonts w:ascii="Arial" w:hAnsi="Arial" w:cs="Arial"/>
          <w:sz w:val="22"/>
          <w:szCs w:val="22"/>
        </w:rPr>
        <w:t xml:space="preserve">elevant to older adulthood. At this stage, individuals reflect on their lives and </w:t>
      </w:r>
      <w:r w:rsidR="00AE5AA2" w:rsidRPr="00940DE9">
        <w:rPr>
          <w:rFonts w:ascii="Arial" w:hAnsi="Arial" w:cs="Arial"/>
          <w:sz w:val="22"/>
          <w:szCs w:val="22"/>
        </w:rPr>
        <w:t>r</w:t>
      </w:r>
      <w:r w:rsidR="00C54E8F" w:rsidRPr="00940DE9">
        <w:rPr>
          <w:rFonts w:ascii="Arial" w:hAnsi="Arial" w:cs="Arial"/>
          <w:sz w:val="22"/>
          <w:szCs w:val="22"/>
        </w:rPr>
        <w:t xml:space="preserve">evaluate whether they feel a sense of </w:t>
      </w:r>
      <w:r w:rsidR="0075261B" w:rsidRPr="00940DE9">
        <w:rPr>
          <w:rFonts w:ascii="Arial" w:hAnsi="Arial" w:cs="Arial"/>
          <w:sz w:val="22"/>
          <w:szCs w:val="22"/>
        </w:rPr>
        <w:t>contentment</w:t>
      </w:r>
      <w:r w:rsidR="00C54E8F" w:rsidRPr="00940DE9">
        <w:rPr>
          <w:rFonts w:ascii="Arial" w:hAnsi="Arial" w:cs="Arial"/>
          <w:sz w:val="22"/>
          <w:szCs w:val="22"/>
        </w:rPr>
        <w:t xml:space="preserve"> or regret. Achieving ego integrity results in wisdom and acceptance of life, whereas failure may lead to despair and fear of death (Erikson, 1982, pp. 110–120). The theory </w:t>
      </w:r>
      <w:r w:rsidR="0075261B" w:rsidRPr="00940DE9">
        <w:rPr>
          <w:rFonts w:ascii="Arial" w:hAnsi="Arial" w:cs="Arial"/>
          <w:sz w:val="22"/>
          <w:szCs w:val="22"/>
        </w:rPr>
        <w:t>highlights</w:t>
      </w:r>
      <w:r w:rsidR="00C54E8F" w:rsidRPr="00940DE9">
        <w:rPr>
          <w:rFonts w:ascii="Arial" w:hAnsi="Arial" w:cs="Arial"/>
          <w:sz w:val="22"/>
          <w:szCs w:val="22"/>
        </w:rPr>
        <w:t xml:space="preserve"> the importance of life review, social relationships, and emotional support in shaping wellbeing in later life.</w:t>
      </w:r>
    </w:p>
    <w:p w14:paraId="32A55067" w14:textId="212020A7" w:rsidR="004E5A5B" w:rsidRPr="00940DE9" w:rsidRDefault="004E5A5B" w:rsidP="005108E4">
      <w:pPr>
        <w:spacing w:line="360" w:lineRule="auto"/>
        <w:rPr>
          <w:rFonts w:ascii="Arial" w:hAnsi="Arial" w:cs="Arial"/>
          <w:sz w:val="22"/>
          <w:szCs w:val="22"/>
        </w:rPr>
      </w:pPr>
      <w:r w:rsidRPr="00940DE9">
        <w:rPr>
          <w:rFonts w:ascii="Arial" w:hAnsi="Arial" w:cs="Arial"/>
          <w:sz w:val="22"/>
          <w:szCs w:val="22"/>
        </w:rPr>
        <w:t xml:space="preserve">This source is relevant to health and social care as it </w:t>
      </w:r>
      <w:r w:rsidR="00000FFA" w:rsidRPr="00940DE9">
        <w:rPr>
          <w:rFonts w:ascii="Arial" w:hAnsi="Arial" w:cs="Arial"/>
          <w:sz w:val="22"/>
          <w:szCs w:val="22"/>
        </w:rPr>
        <w:t>underlines</w:t>
      </w:r>
      <w:r w:rsidRPr="00940DE9">
        <w:rPr>
          <w:rFonts w:ascii="Arial" w:hAnsi="Arial" w:cs="Arial"/>
          <w:sz w:val="22"/>
          <w:szCs w:val="22"/>
        </w:rPr>
        <w:t xml:space="preserve"> person-centred approaches that promote dignity and identity in older adults. For example, reminiscence therapy </w:t>
      </w:r>
      <w:r w:rsidR="00EB263B" w:rsidRPr="00940DE9">
        <w:rPr>
          <w:rFonts w:ascii="Arial" w:hAnsi="Arial" w:cs="Arial"/>
          <w:sz w:val="22"/>
          <w:szCs w:val="22"/>
        </w:rPr>
        <w:t>supports</w:t>
      </w:r>
      <w:r w:rsidRPr="00940DE9">
        <w:rPr>
          <w:rFonts w:ascii="Arial" w:hAnsi="Arial" w:cs="Arial"/>
          <w:sz w:val="22"/>
          <w:szCs w:val="22"/>
        </w:rPr>
        <w:t xml:space="preserve"> closely with Erikson’s concept of life reflection. A key strength of the theory is its holistic lifespan perspective; however, it is sometimes criticised for being too rigid and not fully </w:t>
      </w:r>
      <w:r w:rsidR="00EB263B" w:rsidRPr="00940DE9">
        <w:rPr>
          <w:rFonts w:ascii="Arial" w:hAnsi="Arial" w:cs="Arial"/>
          <w:sz w:val="22"/>
          <w:szCs w:val="22"/>
        </w:rPr>
        <w:t xml:space="preserve">considering </w:t>
      </w:r>
      <w:r w:rsidRPr="00940DE9">
        <w:rPr>
          <w:rFonts w:ascii="Arial" w:hAnsi="Arial" w:cs="Arial"/>
          <w:sz w:val="22"/>
          <w:szCs w:val="22"/>
        </w:rPr>
        <w:t xml:space="preserve">for cultural or individual differences. </w:t>
      </w:r>
      <w:r w:rsidR="00EB263B" w:rsidRPr="00940DE9">
        <w:rPr>
          <w:rFonts w:ascii="Arial" w:hAnsi="Arial" w:cs="Arial"/>
          <w:sz w:val="22"/>
          <w:szCs w:val="22"/>
        </w:rPr>
        <w:t>However</w:t>
      </w:r>
      <w:r w:rsidRPr="00940DE9">
        <w:rPr>
          <w:rFonts w:ascii="Arial" w:hAnsi="Arial" w:cs="Arial"/>
          <w:sz w:val="22"/>
          <w:szCs w:val="22"/>
        </w:rPr>
        <w:t>, it remains a valuable framework for understanding emotional wellbeing in ageing populations.</w:t>
      </w:r>
    </w:p>
    <w:p w14:paraId="770A6826" w14:textId="301AFCDB" w:rsidR="00674858" w:rsidRPr="00940DE9" w:rsidRDefault="00545C2B" w:rsidP="005108E4">
      <w:pPr>
        <w:spacing w:line="360" w:lineRule="auto"/>
        <w:rPr>
          <w:rFonts w:ascii="Arial" w:hAnsi="Arial" w:cs="Arial"/>
          <w:sz w:val="22"/>
          <w:szCs w:val="22"/>
        </w:rPr>
      </w:pPr>
      <w:r w:rsidRPr="00940DE9">
        <w:rPr>
          <w:rFonts w:ascii="Arial" w:hAnsi="Arial" w:cs="Arial"/>
          <w:sz w:val="22"/>
          <w:szCs w:val="22"/>
          <w:u w:val="single"/>
        </w:rPr>
        <w:t>Source 2:</w:t>
      </w:r>
      <w:r w:rsidR="00674858" w:rsidRPr="00940DE9">
        <w:rPr>
          <w:rFonts w:ascii="Arial" w:hAnsi="Arial" w:cs="Arial"/>
          <w:sz w:val="22"/>
          <w:szCs w:val="22"/>
          <w:u w:val="single"/>
        </w:rPr>
        <w:br/>
      </w:r>
      <w:r w:rsidR="00674858" w:rsidRPr="00940DE9">
        <w:rPr>
          <w:rFonts w:ascii="Arial" w:hAnsi="Arial" w:cs="Arial"/>
          <w:sz w:val="22"/>
          <w:szCs w:val="22"/>
        </w:rPr>
        <w:t>Westerhof, G.J. and Bohlmeijer, E.T. (2014) ‘Celebrating fifty years of research and applications in reminiscence and life review: State of the art and new directions’, Journal of Aging Studies, 29, pp. 107–114.</w:t>
      </w:r>
    </w:p>
    <w:p w14:paraId="7CBD85B8" w14:textId="0FF7900D" w:rsidR="00674858" w:rsidRPr="00940DE9" w:rsidRDefault="00674858" w:rsidP="005108E4">
      <w:pPr>
        <w:spacing w:line="360" w:lineRule="auto"/>
        <w:rPr>
          <w:rFonts w:ascii="Arial" w:hAnsi="Arial" w:cs="Arial"/>
          <w:sz w:val="22"/>
          <w:szCs w:val="22"/>
        </w:rPr>
      </w:pPr>
      <w:r w:rsidRPr="00940DE9">
        <w:rPr>
          <w:rFonts w:ascii="Arial" w:hAnsi="Arial" w:cs="Arial"/>
          <w:sz w:val="22"/>
          <w:szCs w:val="22"/>
        </w:rPr>
        <w:t xml:space="preserve">Westerhof and Bohlmeijer (2014, p. 109) </w:t>
      </w:r>
      <w:r w:rsidR="00071E4F" w:rsidRPr="00940DE9">
        <w:rPr>
          <w:rFonts w:ascii="Arial" w:hAnsi="Arial" w:cs="Arial"/>
          <w:sz w:val="22"/>
          <w:szCs w:val="22"/>
        </w:rPr>
        <w:t>investigate</w:t>
      </w:r>
      <w:r w:rsidRPr="00940DE9">
        <w:rPr>
          <w:rFonts w:ascii="Arial" w:hAnsi="Arial" w:cs="Arial"/>
          <w:sz w:val="22"/>
          <w:szCs w:val="22"/>
        </w:rPr>
        <w:t xml:space="preserve"> the application of reminiscence and life review interventions, which </w:t>
      </w:r>
      <w:r w:rsidR="00071E4F" w:rsidRPr="00940DE9">
        <w:rPr>
          <w:rFonts w:ascii="Arial" w:hAnsi="Arial" w:cs="Arial"/>
          <w:sz w:val="22"/>
          <w:szCs w:val="22"/>
        </w:rPr>
        <w:t>is also relevant</w:t>
      </w:r>
      <w:r w:rsidRPr="00940DE9">
        <w:rPr>
          <w:rFonts w:ascii="Arial" w:hAnsi="Arial" w:cs="Arial"/>
          <w:sz w:val="22"/>
          <w:szCs w:val="22"/>
        </w:rPr>
        <w:t xml:space="preserve"> in Erikson’s theory of ego integrity. The authors argue that </w:t>
      </w:r>
      <w:r w:rsidR="00071E4F" w:rsidRPr="00940DE9">
        <w:rPr>
          <w:rFonts w:ascii="Arial" w:hAnsi="Arial" w:cs="Arial"/>
          <w:sz w:val="22"/>
          <w:szCs w:val="22"/>
        </w:rPr>
        <w:t>constructed</w:t>
      </w:r>
      <w:r w:rsidRPr="00940DE9">
        <w:rPr>
          <w:rFonts w:ascii="Arial" w:hAnsi="Arial" w:cs="Arial"/>
          <w:sz w:val="22"/>
          <w:szCs w:val="22"/>
        </w:rPr>
        <w:t xml:space="preserve"> reflection on past experiences can </w:t>
      </w:r>
      <w:r w:rsidR="00071E4F" w:rsidRPr="00940DE9">
        <w:rPr>
          <w:rFonts w:ascii="Arial" w:hAnsi="Arial" w:cs="Arial"/>
          <w:sz w:val="22"/>
          <w:szCs w:val="22"/>
        </w:rPr>
        <w:t xml:space="preserve">enhance meaning in life, </w:t>
      </w:r>
      <w:r w:rsidRPr="00940DE9">
        <w:rPr>
          <w:rFonts w:ascii="Arial" w:hAnsi="Arial" w:cs="Arial"/>
          <w:sz w:val="22"/>
          <w:szCs w:val="22"/>
        </w:rPr>
        <w:t>improve wellbeing</w:t>
      </w:r>
      <w:r w:rsidR="00071E4F" w:rsidRPr="00940DE9">
        <w:rPr>
          <w:rFonts w:ascii="Arial" w:hAnsi="Arial" w:cs="Arial"/>
          <w:sz w:val="22"/>
          <w:szCs w:val="22"/>
        </w:rPr>
        <w:t xml:space="preserve"> </w:t>
      </w:r>
      <w:r w:rsidRPr="00940DE9">
        <w:rPr>
          <w:rFonts w:ascii="Arial" w:hAnsi="Arial" w:cs="Arial"/>
          <w:sz w:val="22"/>
          <w:szCs w:val="22"/>
        </w:rPr>
        <w:t xml:space="preserve">and reduce depressive </w:t>
      </w:r>
      <w:r w:rsidR="00071E4F" w:rsidRPr="00940DE9">
        <w:rPr>
          <w:rFonts w:ascii="Arial" w:hAnsi="Arial" w:cs="Arial"/>
          <w:sz w:val="22"/>
          <w:szCs w:val="22"/>
        </w:rPr>
        <w:t>signs</w:t>
      </w:r>
      <w:r w:rsidRPr="00940DE9">
        <w:rPr>
          <w:rFonts w:ascii="Arial" w:hAnsi="Arial" w:cs="Arial"/>
          <w:sz w:val="22"/>
          <w:szCs w:val="22"/>
        </w:rPr>
        <w:t xml:space="preserve"> among older adults. Their review of </w:t>
      </w:r>
      <w:r w:rsidR="00071E4F" w:rsidRPr="00940DE9">
        <w:rPr>
          <w:rFonts w:ascii="Arial" w:hAnsi="Arial" w:cs="Arial"/>
          <w:sz w:val="22"/>
          <w:szCs w:val="22"/>
        </w:rPr>
        <w:t>practical</w:t>
      </w:r>
      <w:r w:rsidRPr="00940DE9">
        <w:rPr>
          <w:rFonts w:ascii="Arial" w:hAnsi="Arial" w:cs="Arial"/>
          <w:sz w:val="22"/>
          <w:szCs w:val="22"/>
        </w:rPr>
        <w:t xml:space="preserve"> studies </w:t>
      </w:r>
      <w:r w:rsidR="00071E4F" w:rsidRPr="00940DE9">
        <w:rPr>
          <w:rFonts w:ascii="Arial" w:hAnsi="Arial" w:cs="Arial"/>
          <w:sz w:val="22"/>
          <w:szCs w:val="22"/>
        </w:rPr>
        <w:t>displays</w:t>
      </w:r>
      <w:r w:rsidRPr="00940DE9">
        <w:rPr>
          <w:rFonts w:ascii="Arial" w:hAnsi="Arial" w:cs="Arial"/>
          <w:sz w:val="22"/>
          <w:szCs w:val="22"/>
        </w:rPr>
        <w:t xml:space="preserve"> that these interventions are </w:t>
      </w:r>
      <w:r w:rsidR="00071E4F" w:rsidRPr="00940DE9">
        <w:rPr>
          <w:rFonts w:ascii="Arial" w:hAnsi="Arial" w:cs="Arial"/>
          <w:sz w:val="22"/>
          <w:szCs w:val="22"/>
        </w:rPr>
        <w:t>very</w:t>
      </w:r>
      <w:r w:rsidRPr="00940DE9">
        <w:rPr>
          <w:rFonts w:ascii="Arial" w:hAnsi="Arial" w:cs="Arial"/>
          <w:sz w:val="22"/>
          <w:szCs w:val="22"/>
        </w:rPr>
        <w:t xml:space="preserve"> effective in health and social care settings, especially for individuals experiencing isolation or cognitive decline.</w:t>
      </w:r>
    </w:p>
    <w:p w14:paraId="6A35F774" w14:textId="3A991EDA" w:rsidR="000246DA" w:rsidRPr="00940DE9" w:rsidRDefault="00674858" w:rsidP="005108E4">
      <w:pPr>
        <w:spacing w:line="360" w:lineRule="auto"/>
        <w:rPr>
          <w:rFonts w:ascii="Arial" w:hAnsi="Arial" w:cs="Arial"/>
          <w:sz w:val="22"/>
          <w:szCs w:val="22"/>
        </w:rPr>
      </w:pPr>
      <w:r w:rsidRPr="00940DE9">
        <w:rPr>
          <w:rFonts w:ascii="Arial" w:hAnsi="Arial" w:cs="Arial"/>
          <w:sz w:val="22"/>
          <w:szCs w:val="22"/>
        </w:rPr>
        <w:t xml:space="preserve">This source is highly </w:t>
      </w:r>
      <w:r w:rsidR="00357957" w:rsidRPr="00940DE9">
        <w:rPr>
          <w:rFonts w:ascii="Arial" w:hAnsi="Arial" w:cs="Arial"/>
          <w:sz w:val="22"/>
          <w:szCs w:val="22"/>
        </w:rPr>
        <w:t>relevant</w:t>
      </w:r>
      <w:r w:rsidRPr="00940DE9">
        <w:rPr>
          <w:rFonts w:ascii="Arial" w:hAnsi="Arial" w:cs="Arial"/>
          <w:sz w:val="22"/>
          <w:szCs w:val="22"/>
        </w:rPr>
        <w:t xml:space="preserve"> to practice as it provides evidence-based strategies that support Erikson’s theoretical framework. It </w:t>
      </w:r>
      <w:r w:rsidR="00DC0E44" w:rsidRPr="00940DE9">
        <w:rPr>
          <w:rFonts w:ascii="Arial" w:hAnsi="Arial" w:cs="Arial"/>
          <w:sz w:val="22"/>
          <w:szCs w:val="22"/>
        </w:rPr>
        <w:t>emphasizes</w:t>
      </w:r>
      <w:r w:rsidRPr="00940DE9">
        <w:rPr>
          <w:rFonts w:ascii="Arial" w:hAnsi="Arial" w:cs="Arial"/>
          <w:sz w:val="22"/>
          <w:szCs w:val="22"/>
        </w:rPr>
        <w:t xml:space="preserve"> practical interventions that can be </w:t>
      </w:r>
      <w:r w:rsidR="00003E25" w:rsidRPr="00940DE9">
        <w:rPr>
          <w:rFonts w:ascii="Arial" w:hAnsi="Arial" w:cs="Arial"/>
          <w:sz w:val="22"/>
          <w:szCs w:val="22"/>
        </w:rPr>
        <w:t>applied</w:t>
      </w:r>
      <w:r w:rsidRPr="00940DE9">
        <w:rPr>
          <w:rFonts w:ascii="Arial" w:hAnsi="Arial" w:cs="Arial"/>
          <w:sz w:val="22"/>
          <w:szCs w:val="22"/>
        </w:rPr>
        <w:t xml:space="preserve"> in care settings, such as life story work. A </w:t>
      </w:r>
      <w:r w:rsidR="00003E25" w:rsidRPr="00940DE9">
        <w:rPr>
          <w:rFonts w:ascii="Arial" w:hAnsi="Arial" w:cs="Arial"/>
          <w:sz w:val="22"/>
          <w:szCs w:val="22"/>
        </w:rPr>
        <w:t>key</w:t>
      </w:r>
      <w:r w:rsidRPr="00940DE9">
        <w:rPr>
          <w:rFonts w:ascii="Arial" w:hAnsi="Arial" w:cs="Arial"/>
          <w:sz w:val="22"/>
          <w:szCs w:val="22"/>
        </w:rPr>
        <w:t xml:space="preserve"> strength is its strong </w:t>
      </w:r>
      <w:r w:rsidR="00A07575" w:rsidRPr="00940DE9">
        <w:rPr>
          <w:rFonts w:ascii="Arial" w:hAnsi="Arial" w:cs="Arial"/>
          <w:sz w:val="22"/>
          <w:szCs w:val="22"/>
        </w:rPr>
        <w:t>practical</w:t>
      </w:r>
      <w:r w:rsidRPr="00940DE9">
        <w:rPr>
          <w:rFonts w:ascii="Arial" w:hAnsi="Arial" w:cs="Arial"/>
          <w:sz w:val="22"/>
          <w:szCs w:val="22"/>
        </w:rPr>
        <w:t xml:space="preserve"> foundation; however, the authors note inconsistencies in how interventions are </w:t>
      </w:r>
      <w:r w:rsidR="00A07575" w:rsidRPr="00940DE9">
        <w:rPr>
          <w:rFonts w:ascii="Arial" w:hAnsi="Arial" w:cs="Arial"/>
          <w:sz w:val="22"/>
          <w:szCs w:val="22"/>
        </w:rPr>
        <w:t>provided</w:t>
      </w:r>
      <w:r w:rsidRPr="00940DE9">
        <w:rPr>
          <w:rFonts w:ascii="Arial" w:hAnsi="Arial" w:cs="Arial"/>
          <w:sz w:val="22"/>
          <w:szCs w:val="22"/>
        </w:rPr>
        <w:t>, which may affect outcomes. Overall, it strengthens the practical relevance of Erikson’s theory in promoting psychological wellbeing in older adults.</w:t>
      </w:r>
    </w:p>
    <w:p w14:paraId="6FA616F7" w14:textId="253BA0D5" w:rsidR="00B02576" w:rsidRPr="00940DE9" w:rsidRDefault="008738AB" w:rsidP="005108E4">
      <w:pPr>
        <w:spacing w:line="360" w:lineRule="auto"/>
        <w:rPr>
          <w:rFonts w:ascii="Arial" w:hAnsi="Arial" w:cs="Arial"/>
          <w:sz w:val="22"/>
          <w:szCs w:val="22"/>
          <w:u w:val="single"/>
        </w:rPr>
      </w:pPr>
      <w:r w:rsidRPr="00940DE9">
        <w:rPr>
          <w:rFonts w:ascii="Arial" w:hAnsi="Arial" w:cs="Arial"/>
          <w:sz w:val="22"/>
          <w:szCs w:val="22"/>
          <w:u w:val="single"/>
        </w:rPr>
        <w:lastRenderedPageBreak/>
        <w:t>Source 3:</w:t>
      </w:r>
      <w:r w:rsidR="001724BF" w:rsidRPr="00940DE9">
        <w:rPr>
          <w:rFonts w:ascii="Arial" w:hAnsi="Arial" w:cs="Arial"/>
          <w:sz w:val="22"/>
          <w:szCs w:val="22"/>
          <w:u w:val="single"/>
        </w:rPr>
        <w:br/>
      </w:r>
      <w:r w:rsidR="00B02576" w:rsidRPr="00940DE9">
        <w:rPr>
          <w:rFonts w:ascii="Arial" w:hAnsi="Arial" w:cs="Arial"/>
          <w:sz w:val="22"/>
          <w:szCs w:val="22"/>
        </w:rPr>
        <w:t>Havighurst, R.J. (1961) ‘Successful aging’, The Gerontologist, 1(1), pp. 8–13.</w:t>
      </w:r>
    </w:p>
    <w:p w14:paraId="011B1BC0" w14:textId="1C8502BE" w:rsidR="0015609C" w:rsidRPr="00940DE9" w:rsidRDefault="00D3791A" w:rsidP="005108E4">
      <w:pPr>
        <w:spacing w:line="360" w:lineRule="auto"/>
        <w:rPr>
          <w:rFonts w:ascii="Arial" w:hAnsi="Arial" w:cs="Arial"/>
          <w:sz w:val="22"/>
          <w:szCs w:val="22"/>
        </w:rPr>
      </w:pPr>
      <w:r w:rsidRPr="00940DE9">
        <w:rPr>
          <w:rFonts w:ascii="Arial" w:hAnsi="Arial" w:cs="Arial"/>
          <w:sz w:val="22"/>
          <w:szCs w:val="22"/>
        </w:rPr>
        <w:t xml:space="preserve">This author describes </w:t>
      </w:r>
      <w:r w:rsidR="00B02576" w:rsidRPr="00940DE9">
        <w:rPr>
          <w:rFonts w:ascii="Arial" w:hAnsi="Arial" w:cs="Arial"/>
          <w:sz w:val="22"/>
          <w:szCs w:val="22"/>
        </w:rPr>
        <w:t xml:space="preserve">Havighurst (1961, p. 10) </w:t>
      </w:r>
      <w:r w:rsidR="005749F5" w:rsidRPr="00940DE9">
        <w:rPr>
          <w:rFonts w:ascii="Arial" w:hAnsi="Arial" w:cs="Arial"/>
          <w:sz w:val="22"/>
          <w:szCs w:val="22"/>
        </w:rPr>
        <w:t>offers</w:t>
      </w:r>
      <w:r w:rsidR="00B02576" w:rsidRPr="00940DE9">
        <w:rPr>
          <w:rFonts w:ascii="Arial" w:hAnsi="Arial" w:cs="Arial"/>
          <w:sz w:val="22"/>
          <w:szCs w:val="22"/>
        </w:rPr>
        <w:t xml:space="preserve"> activity theory, suggesting that successful ageing </w:t>
      </w:r>
      <w:r w:rsidR="000B0CA2" w:rsidRPr="00940DE9">
        <w:rPr>
          <w:rFonts w:ascii="Arial" w:hAnsi="Arial" w:cs="Arial"/>
          <w:sz w:val="22"/>
          <w:szCs w:val="22"/>
        </w:rPr>
        <w:t>happens</w:t>
      </w:r>
      <w:r w:rsidR="00B02576" w:rsidRPr="00940DE9">
        <w:rPr>
          <w:rFonts w:ascii="Arial" w:hAnsi="Arial" w:cs="Arial"/>
          <w:sz w:val="22"/>
          <w:szCs w:val="22"/>
        </w:rPr>
        <w:t xml:space="preserve"> when older adults remain socially, physically, and mentally active. The theory </w:t>
      </w:r>
      <w:r w:rsidR="00A71AC7" w:rsidRPr="00940DE9">
        <w:rPr>
          <w:rFonts w:ascii="Arial" w:hAnsi="Arial" w:cs="Arial"/>
          <w:sz w:val="22"/>
          <w:szCs w:val="22"/>
        </w:rPr>
        <w:t>claims</w:t>
      </w:r>
      <w:r w:rsidR="00B02576" w:rsidRPr="00940DE9">
        <w:rPr>
          <w:rFonts w:ascii="Arial" w:hAnsi="Arial" w:cs="Arial"/>
          <w:sz w:val="22"/>
          <w:szCs w:val="22"/>
        </w:rPr>
        <w:t xml:space="preserve"> that </w:t>
      </w:r>
      <w:r w:rsidR="00A71AC7" w:rsidRPr="00940DE9">
        <w:rPr>
          <w:rFonts w:ascii="Arial" w:hAnsi="Arial" w:cs="Arial"/>
          <w:sz w:val="22"/>
          <w:szCs w:val="22"/>
        </w:rPr>
        <w:t>continuing</w:t>
      </w:r>
      <w:r w:rsidR="00B02576" w:rsidRPr="00940DE9">
        <w:rPr>
          <w:rFonts w:ascii="Arial" w:hAnsi="Arial" w:cs="Arial"/>
          <w:sz w:val="22"/>
          <w:szCs w:val="22"/>
        </w:rPr>
        <w:t xml:space="preserve"> roles and </w:t>
      </w:r>
      <w:r w:rsidR="00A71AC7" w:rsidRPr="00940DE9">
        <w:rPr>
          <w:rFonts w:ascii="Arial" w:hAnsi="Arial" w:cs="Arial"/>
          <w:sz w:val="22"/>
          <w:szCs w:val="22"/>
        </w:rPr>
        <w:t>joining</w:t>
      </w:r>
      <w:r w:rsidR="00B02576" w:rsidRPr="00940DE9">
        <w:rPr>
          <w:rFonts w:ascii="Arial" w:hAnsi="Arial" w:cs="Arial"/>
          <w:sz w:val="22"/>
          <w:szCs w:val="22"/>
        </w:rPr>
        <w:t xml:space="preserve"> in meaningful activities leads to higher life satisfaction, while </w:t>
      </w:r>
      <w:r w:rsidR="008B6D7F" w:rsidRPr="00940DE9">
        <w:rPr>
          <w:rFonts w:ascii="Arial" w:hAnsi="Arial" w:cs="Arial"/>
          <w:sz w:val="22"/>
          <w:szCs w:val="22"/>
        </w:rPr>
        <w:t>lack of</w:t>
      </w:r>
      <w:r w:rsidR="00B02576" w:rsidRPr="00940DE9">
        <w:rPr>
          <w:rFonts w:ascii="Arial" w:hAnsi="Arial" w:cs="Arial"/>
          <w:sz w:val="22"/>
          <w:szCs w:val="22"/>
        </w:rPr>
        <w:t xml:space="preserve"> activity may negatively affect wellbeing. It challenges disengagement theory by </w:t>
      </w:r>
      <w:r w:rsidR="008B6D7F" w:rsidRPr="00940DE9">
        <w:rPr>
          <w:rFonts w:ascii="Arial" w:hAnsi="Arial" w:cs="Arial"/>
          <w:sz w:val="22"/>
          <w:szCs w:val="22"/>
        </w:rPr>
        <w:t>highlighting</w:t>
      </w:r>
      <w:r w:rsidR="00B02576" w:rsidRPr="00940DE9">
        <w:rPr>
          <w:rFonts w:ascii="Arial" w:hAnsi="Arial" w:cs="Arial"/>
          <w:sz w:val="22"/>
          <w:szCs w:val="22"/>
        </w:rPr>
        <w:t xml:space="preserve"> continued participation rather than withdrawal from society.</w:t>
      </w:r>
    </w:p>
    <w:p w14:paraId="6A941AAB" w14:textId="558D0FC4" w:rsidR="00B02576" w:rsidRPr="00940DE9" w:rsidRDefault="00B02576" w:rsidP="005108E4">
      <w:pPr>
        <w:spacing w:line="360" w:lineRule="auto"/>
        <w:rPr>
          <w:rFonts w:ascii="Arial" w:hAnsi="Arial" w:cs="Arial"/>
          <w:sz w:val="22"/>
          <w:szCs w:val="22"/>
        </w:rPr>
      </w:pPr>
      <w:r w:rsidRPr="00940DE9">
        <w:rPr>
          <w:rFonts w:ascii="Arial" w:hAnsi="Arial" w:cs="Arial"/>
          <w:sz w:val="22"/>
          <w:szCs w:val="22"/>
        </w:rPr>
        <w:t xml:space="preserve">This source is highly relevant to health and social care as it </w:t>
      </w:r>
      <w:r w:rsidR="008B6D7F" w:rsidRPr="00940DE9">
        <w:rPr>
          <w:rFonts w:ascii="Arial" w:hAnsi="Arial" w:cs="Arial"/>
          <w:sz w:val="22"/>
          <w:szCs w:val="22"/>
        </w:rPr>
        <w:t>notifies</w:t>
      </w:r>
      <w:r w:rsidRPr="00940DE9">
        <w:rPr>
          <w:rFonts w:ascii="Arial" w:hAnsi="Arial" w:cs="Arial"/>
          <w:sz w:val="22"/>
          <w:szCs w:val="22"/>
        </w:rPr>
        <w:t xml:space="preserve"> </w:t>
      </w:r>
      <w:r w:rsidR="008B6D7F" w:rsidRPr="00940DE9">
        <w:rPr>
          <w:rFonts w:ascii="Arial" w:hAnsi="Arial" w:cs="Arial"/>
          <w:sz w:val="22"/>
          <w:szCs w:val="22"/>
        </w:rPr>
        <w:t>involvements</w:t>
      </w:r>
      <w:r w:rsidRPr="00940DE9">
        <w:rPr>
          <w:rFonts w:ascii="Arial" w:hAnsi="Arial" w:cs="Arial"/>
          <w:sz w:val="22"/>
          <w:szCs w:val="22"/>
        </w:rPr>
        <w:t xml:space="preserve"> aimed at promoting independence and engagement among older adults. Activities such as social groups and physical exercise programmes reflect the principles of this theory. A key strength is its clear </w:t>
      </w:r>
      <w:r w:rsidR="00250787" w:rsidRPr="00940DE9">
        <w:rPr>
          <w:rFonts w:ascii="Arial" w:hAnsi="Arial" w:cs="Arial"/>
          <w:sz w:val="22"/>
          <w:szCs w:val="22"/>
        </w:rPr>
        <w:t>realistic</w:t>
      </w:r>
      <w:r w:rsidRPr="00940DE9">
        <w:rPr>
          <w:rFonts w:ascii="Arial" w:hAnsi="Arial" w:cs="Arial"/>
          <w:sz w:val="22"/>
          <w:szCs w:val="22"/>
        </w:rPr>
        <w:t xml:space="preserve"> application; however, it has been criticised for </w:t>
      </w:r>
      <w:r w:rsidR="00250787" w:rsidRPr="00940DE9">
        <w:rPr>
          <w:rFonts w:ascii="Arial" w:hAnsi="Arial" w:cs="Arial"/>
          <w:sz w:val="22"/>
          <w:szCs w:val="22"/>
        </w:rPr>
        <w:t>ignoring</w:t>
      </w:r>
      <w:r w:rsidRPr="00940DE9">
        <w:rPr>
          <w:rFonts w:ascii="Arial" w:hAnsi="Arial" w:cs="Arial"/>
          <w:sz w:val="22"/>
          <w:szCs w:val="22"/>
        </w:rPr>
        <w:t xml:space="preserve"> barriers such as poor health or limited access to resources. Despite this limitation, it remains </w:t>
      </w:r>
      <w:r w:rsidR="00250787" w:rsidRPr="00940DE9">
        <w:rPr>
          <w:rFonts w:ascii="Arial" w:hAnsi="Arial" w:cs="Arial"/>
          <w:sz w:val="22"/>
          <w:szCs w:val="22"/>
        </w:rPr>
        <w:t>effective</w:t>
      </w:r>
      <w:r w:rsidRPr="00940DE9">
        <w:rPr>
          <w:rFonts w:ascii="Arial" w:hAnsi="Arial" w:cs="Arial"/>
          <w:sz w:val="22"/>
          <w:szCs w:val="22"/>
        </w:rPr>
        <w:t xml:space="preserve"> in shaping approaches to active ageing.</w:t>
      </w:r>
    </w:p>
    <w:p w14:paraId="7645F874" w14:textId="77777777" w:rsidR="00BA3032" w:rsidRPr="00940DE9" w:rsidRDefault="00BA3032" w:rsidP="005108E4">
      <w:pPr>
        <w:spacing w:line="360" w:lineRule="auto"/>
        <w:rPr>
          <w:rFonts w:ascii="Arial" w:hAnsi="Arial" w:cs="Arial"/>
          <w:sz w:val="22"/>
          <w:szCs w:val="22"/>
          <w:u w:val="single"/>
        </w:rPr>
      </w:pPr>
    </w:p>
    <w:p w14:paraId="23755A79" w14:textId="54E305CE" w:rsidR="00B02576" w:rsidRPr="00940DE9" w:rsidRDefault="00B02576" w:rsidP="005108E4">
      <w:pPr>
        <w:spacing w:line="360" w:lineRule="auto"/>
        <w:rPr>
          <w:rFonts w:ascii="Arial" w:hAnsi="Arial" w:cs="Arial"/>
          <w:sz w:val="22"/>
          <w:szCs w:val="22"/>
          <w:u w:val="single"/>
        </w:rPr>
      </w:pPr>
      <w:r w:rsidRPr="00940DE9">
        <w:rPr>
          <w:rFonts w:ascii="Arial" w:hAnsi="Arial" w:cs="Arial"/>
          <w:sz w:val="22"/>
          <w:szCs w:val="22"/>
          <w:u w:val="single"/>
        </w:rPr>
        <w:t>Source 4</w:t>
      </w:r>
      <w:r w:rsidR="001724BF" w:rsidRPr="00940DE9">
        <w:rPr>
          <w:rFonts w:ascii="Arial" w:hAnsi="Arial" w:cs="Arial"/>
          <w:sz w:val="22"/>
          <w:szCs w:val="22"/>
          <w:u w:val="single"/>
        </w:rPr>
        <w:br/>
      </w:r>
      <w:r w:rsidRPr="00940DE9">
        <w:rPr>
          <w:rFonts w:ascii="Arial" w:hAnsi="Arial" w:cs="Arial"/>
          <w:sz w:val="22"/>
          <w:szCs w:val="22"/>
        </w:rPr>
        <w:t>Adams, K.B., Leibbrandt, S. and Moon, H. (2011) ‘A critical review of the literature on social and leisure activity and wellbeing in later life’, Ageing &amp; Society, 31(4), pp. 683–712.</w:t>
      </w:r>
    </w:p>
    <w:p w14:paraId="0A0DA0EB" w14:textId="3045A63B" w:rsidR="00B02576" w:rsidRPr="00940DE9" w:rsidRDefault="00B97D9F" w:rsidP="005108E4">
      <w:pPr>
        <w:spacing w:line="360" w:lineRule="auto"/>
        <w:rPr>
          <w:rFonts w:ascii="Arial" w:hAnsi="Arial" w:cs="Arial"/>
          <w:sz w:val="22"/>
          <w:szCs w:val="22"/>
        </w:rPr>
      </w:pPr>
      <w:r w:rsidRPr="00940DE9">
        <w:rPr>
          <w:rFonts w:ascii="Arial" w:hAnsi="Arial" w:cs="Arial"/>
          <w:sz w:val="22"/>
          <w:szCs w:val="22"/>
        </w:rPr>
        <w:t xml:space="preserve">In this </w:t>
      </w:r>
      <w:r w:rsidR="00FE2532" w:rsidRPr="00940DE9">
        <w:rPr>
          <w:rFonts w:ascii="Arial" w:hAnsi="Arial" w:cs="Arial"/>
          <w:sz w:val="22"/>
          <w:szCs w:val="22"/>
        </w:rPr>
        <w:t xml:space="preserve">chapter </w:t>
      </w:r>
      <w:r w:rsidR="00B02576" w:rsidRPr="00940DE9">
        <w:rPr>
          <w:rFonts w:ascii="Arial" w:hAnsi="Arial" w:cs="Arial"/>
          <w:sz w:val="22"/>
          <w:szCs w:val="22"/>
        </w:rPr>
        <w:t>Adams, Leibbrandt and Moon (2011, p. 690) examine the relationship between activity and wellbeing, supporting the core ideas of activity theory while offering a more nuanced perspective. They find that participation in social and leisure activities is linked to improved mental health, reduced loneliness, and increased life satisfaction. Importantly, they highlight that meaningful and self-selected activities are more beneficial than simply increasing activity levels</w:t>
      </w:r>
      <w:r w:rsidR="00BA3032" w:rsidRPr="00940DE9">
        <w:rPr>
          <w:rFonts w:ascii="Arial" w:hAnsi="Arial" w:cs="Arial"/>
          <w:sz w:val="22"/>
          <w:szCs w:val="22"/>
        </w:rPr>
        <w:t>.</w:t>
      </w:r>
    </w:p>
    <w:p w14:paraId="47E31C61" w14:textId="77777777" w:rsidR="00B02576" w:rsidRPr="00940DE9" w:rsidRDefault="00B02576" w:rsidP="005108E4">
      <w:pPr>
        <w:spacing w:line="360" w:lineRule="auto"/>
        <w:rPr>
          <w:rFonts w:ascii="Arial" w:hAnsi="Arial" w:cs="Arial"/>
          <w:sz w:val="22"/>
          <w:szCs w:val="22"/>
        </w:rPr>
      </w:pPr>
      <w:r w:rsidRPr="00940DE9">
        <w:rPr>
          <w:rFonts w:ascii="Arial" w:hAnsi="Arial" w:cs="Arial"/>
          <w:sz w:val="22"/>
          <w:szCs w:val="22"/>
        </w:rPr>
        <w:t>This source is highly relevant to health and social care as it emphasises the need for personalised care plans that reflect individual preferences and abilities. It supports a tailored approach to promoting wellbeing rather than a one-size-fits-all model. A strength of the study is its comprehensive review of existing research; however, it relies heavily on correlational data, limiting causal conclusions. Overall, it enhances activity theory by providing a more detailed understanding of how engagement supports wellbeing in older adults.</w:t>
      </w:r>
    </w:p>
    <w:p w14:paraId="373B005A" w14:textId="77777777" w:rsidR="005108E4" w:rsidRDefault="005108E4" w:rsidP="005108E4">
      <w:pPr>
        <w:spacing w:line="360" w:lineRule="auto"/>
        <w:rPr>
          <w:rFonts w:ascii="Arial" w:hAnsi="Arial" w:cs="Arial"/>
          <w:sz w:val="22"/>
          <w:szCs w:val="22"/>
          <w:u w:val="single"/>
        </w:rPr>
      </w:pPr>
    </w:p>
    <w:p w14:paraId="473FC929" w14:textId="77777777" w:rsidR="005108E4" w:rsidRDefault="005108E4" w:rsidP="005108E4">
      <w:pPr>
        <w:spacing w:line="360" w:lineRule="auto"/>
        <w:rPr>
          <w:rFonts w:ascii="Arial" w:hAnsi="Arial" w:cs="Arial"/>
          <w:sz w:val="22"/>
          <w:szCs w:val="22"/>
          <w:u w:val="single"/>
        </w:rPr>
      </w:pPr>
    </w:p>
    <w:p w14:paraId="65A5CFCC" w14:textId="77777777" w:rsidR="00824D06" w:rsidRDefault="00824D06" w:rsidP="005108E4">
      <w:pPr>
        <w:spacing w:line="360" w:lineRule="auto"/>
        <w:rPr>
          <w:rFonts w:ascii="Arial" w:hAnsi="Arial" w:cs="Arial"/>
          <w:sz w:val="22"/>
          <w:szCs w:val="22"/>
          <w:u w:val="single"/>
        </w:rPr>
      </w:pPr>
    </w:p>
    <w:p w14:paraId="22C2CF35" w14:textId="3FEF97F8" w:rsidR="000246DA" w:rsidRPr="00940DE9" w:rsidRDefault="006657F0" w:rsidP="005108E4">
      <w:pPr>
        <w:spacing w:line="360" w:lineRule="auto"/>
        <w:rPr>
          <w:rFonts w:ascii="Arial" w:hAnsi="Arial" w:cs="Arial"/>
          <w:sz w:val="22"/>
          <w:szCs w:val="22"/>
          <w:u w:val="single"/>
        </w:rPr>
      </w:pPr>
      <w:r w:rsidRPr="00940DE9">
        <w:rPr>
          <w:rFonts w:ascii="Arial" w:hAnsi="Arial" w:cs="Arial"/>
          <w:sz w:val="22"/>
          <w:szCs w:val="22"/>
          <w:u w:val="single"/>
        </w:rPr>
        <w:lastRenderedPageBreak/>
        <w:t xml:space="preserve">Part </w:t>
      </w:r>
      <w:r w:rsidRPr="00940DE9">
        <w:rPr>
          <w:rFonts w:ascii="Arial" w:hAnsi="Arial" w:cs="Arial"/>
          <w:sz w:val="22"/>
          <w:szCs w:val="22"/>
          <w:u w:val="single"/>
        </w:rPr>
        <w:t>B</w:t>
      </w:r>
      <w:r w:rsidRPr="00940DE9">
        <w:rPr>
          <w:rFonts w:ascii="Arial" w:hAnsi="Arial" w:cs="Arial"/>
          <w:sz w:val="22"/>
          <w:szCs w:val="22"/>
          <w:u w:val="single"/>
        </w:rPr>
        <w:t xml:space="preserve">: </w:t>
      </w:r>
      <w:r w:rsidR="002C1391" w:rsidRPr="00940DE9">
        <w:rPr>
          <w:rFonts w:ascii="Arial" w:hAnsi="Arial" w:cs="Arial"/>
          <w:sz w:val="22"/>
          <w:szCs w:val="22"/>
          <w:u w:val="single"/>
        </w:rPr>
        <w:t>Short Report</w:t>
      </w:r>
    </w:p>
    <w:p w14:paraId="36E8083E" w14:textId="144F1DE0" w:rsidR="00E6655E" w:rsidRPr="00940DE9" w:rsidRDefault="00E6655E" w:rsidP="005108E4">
      <w:pPr>
        <w:spacing w:line="360" w:lineRule="auto"/>
        <w:rPr>
          <w:rFonts w:ascii="Arial" w:hAnsi="Arial" w:cs="Arial"/>
          <w:b/>
          <w:bCs/>
          <w:sz w:val="22"/>
          <w:szCs w:val="22"/>
        </w:rPr>
      </w:pPr>
      <w:r w:rsidRPr="00940DE9">
        <w:rPr>
          <w:rFonts w:ascii="Arial" w:hAnsi="Arial" w:cs="Arial"/>
          <w:b/>
          <w:bCs/>
          <w:sz w:val="22"/>
          <w:szCs w:val="22"/>
        </w:rPr>
        <w:t>Introduction</w:t>
      </w:r>
    </w:p>
    <w:p w14:paraId="5B9BA765" w14:textId="30C62CE7" w:rsidR="006657F0" w:rsidRPr="00940DE9" w:rsidRDefault="006657F0" w:rsidP="005108E4">
      <w:pPr>
        <w:spacing w:line="360" w:lineRule="auto"/>
        <w:rPr>
          <w:rFonts w:ascii="Arial" w:hAnsi="Arial" w:cs="Arial"/>
          <w:sz w:val="22"/>
          <w:szCs w:val="22"/>
        </w:rPr>
      </w:pPr>
      <w:r w:rsidRPr="00940DE9">
        <w:rPr>
          <w:rFonts w:ascii="Arial" w:hAnsi="Arial" w:cs="Arial"/>
          <w:sz w:val="22"/>
          <w:szCs w:val="22"/>
        </w:rPr>
        <w:t>Psychology is important in health and social care because it helps professionals understand how people think, feel, and behave. This is especially important when working with older adults in care homes, as their needs are not only physical but also emotional and social. Understanding psychological theories can help staff provide better and more person-centred care. One useful theory is Erik Erikson’s psychosocial theory, which explains how people develop throughout their lives (Erikson, 1963). This report will explain Erikson’s theory, focus on its relevance to older adults</w:t>
      </w:r>
      <w:r w:rsidR="003A5F68">
        <w:rPr>
          <w:rFonts w:ascii="Arial" w:hAnsi="Arial" w:cs="Arial"/>
          <w:sz w:val="22"/>
          <w:szCs w:val="22"/>
        </w:rPr>
        <w:t>,</w:t>
      </w:r>
      <w:r w:rsidRPr="00940DE9">
        <w:rPr>
          <w:rFonts w:ascii="Arial" w:hAnsi="Arial" w:cs="Arial"/>
          <w:sz w:val="22"/>
          <w:szCs w:val="22"/>
        </w:rPr>
        <w:t xml:space="preserve"> give a real-life example</w:t>
      </w:r>
      <w:r w:rsidR="003A5F68">
        <w:rPr>
          <w:rFonts w:ascii="Arial" w:hAnsi="Arial" w:cs="Arial"/>
          <w:sz w:val="22"/>
          <w:szCs w:val="22"/>
        </w:rPr>
        <w:t xml:space="preserve">, </w:t>
      </w:r>
      <w:r w:rsidR="003A5F68" w:rsidRPr="00940DE9">
        <w:rPr>
          <w:rFonts w:ascii="Arial" w:hAnsi="Arial" w:cs="Arial"/>
          <w:sz w:val="22"/>
          <w:szCs w:val="22"/>
        </w:rPr>
        <w:t>describe how it can be applied in a care home setting</w:t>
      </w:r>
      <w:r w:rsidRPr="00940DE9">
        <w:rPr>
          <w:rFonts w:ascii="Arial" w:hAnsi="Arial" w:cs="Arial"/>
          <w:sz w:val="22"/>
          <w:szCs w:val="22"/>
        </w:rPr>
        <w:t>, and discuss a challenge of using the theory in practice.</w:t>
      </w:r>
    </w:p>
    <w:p w14:paraId="75B28946" w14:textId="605DC3B4" w:rsidR="00B130F1" w:rsidRPr="00940DE9" w:rsidRDefault="00B130F1" w:rsidP="005108E4">
      <w:pPr>
        <w:spacing w:line="360" w:lineRule="auto"/>
        <w:rPr>
          <w:rFonts w:ascii="Arial" w:hAnsi="Arial" w:cs="Arial"/>
          <w:b/>
          <w:bCs/>
          <w:sz w:val="22"/>
          <w:szCs w:val="22"/>
        </w:rPr>
      </w:pPr>
      <w:r w:rsidRPr="00940DE9">
        <w:rPr>
          <w:rFonts w:ascii="Arial" w:hAnsi="Arial" w:cs="Arial"/>
          <w:b/>
          <w:bCs/>
          <w:sz w:val="22"/>
          <w:szCs w:val="22"/>
        </w:rPr>
        <w:t>Explanation of the Theory</w:t>
      </w:r>
    </w:p>
    <w:p w14:paraId="0B24A71C" w14:textId="77777777" w:rsidR="00252B5D" w:rsidRPr="00940DE9" w:rsidRDefault="006657F0" w:rsidP="005108E4">
      <w:pPr>
        <w:spacing w:line="360" w:lineRule="auto"/>
        <w:rPr>
          <w:rFonts w:ascii="Arial" w:hAnsi="Arial" w:cs="Arial"/>
          <w:sz w:val="22"/>
          <w:szCs w:val="22"/>
        </w:rPr>
      </w:pPr>
      <w:r w:rsidRPr="00940DE9">
        <w:rPr>
          <w:rFonts w:ascii="Arial" w:hAnsi="Arial" w:cs="Arial"/>
          <w:sz w:val="22"/>
          <w:szCs w:val="22"/>
        </w:rPr>
        <w:t>Erikson’s psychosocial theory suggests that people go through eight stages of development across their lifespan (Erikson, 1963). Each stage involves a conflict that must be resolved for a person to develop in a healthy way. The stage that is most relevant to older adults is the final stage, known as ego integrity versus despair (Erikson, 1982). This stage usually happens in late adulthood when individuals begin to reflect on their life and think about what they have achieved.</w:t>
      </w:r>
    </w:p>
    <w:p w14:paraId="3F704AAD" w14:textId="12AB6839" w:rsidR="006657F0" w:rsidRPr="00940DE9" w:rsidRDefault="006657F0" w:rsidP="005108E4">
      <w:pPr>
        <w:spacing w:line="360" w:lineRule="auto"/>
        <w:rPr>
          <w:rFonts w:ascii="Arial" w:hAnsi="Arial" w:cs="Arial"/>
          <w:sz w:val="22"/>
          <w:szCs w:val="22"/>
        </w:rPr>
      </w:pPr>
      <w:r w:rsidRPr="00940DE9">
        <w:rPr>
          <w:rFonts w:ascii="Arial" w:hAnsi="Arial" w:cs="Arial"/>
          <w:sz w:val="22"/>
          <w:szCs w:val="22"/>
        </w:rPr>
        <w:t>If a person feels proud of their life and believes they have lived well, they develop a sense of ego integrity. This leads to feelings of satisfaction, acceptance, and peace. However, if a person feels they have made poor choices or have regrets, they may experience despair. This can lead to sadness, low mood, and fear about death (Age UK, 2022). This theory is important in health and social care because it shows that older adults may be dealing with deep emotional thoughts about their life, not just physical health problems.</w:t>
      </w:r>
    </w:p>
    <w:p w14:paraId="04D41A85" w14:textId="25C0B6D5" w:rsidR="004C1C04" w:rsidRPr="00940DE9" w:rsidRDefault="004C1C04" w:rsidP="005108E4">
      <w:pPr>
        <w:spacing w:line="360" w:lineRule="auto"/>
        <w:rPr>
          <w:rFonts w:ascii="Arial" w:hAnsi="Arial" w:cs="Arial"/>
          <w:b/>
          <w:bCs/>
          <w:sz w:val="22"/>
          <w:szCs w:val="22"/>
        </w:rPr>
      </w:pPr>
      <w:r w:rsidRPr="00940DE9">
        <w:rPr>
          <w:rFonts w:ascii="Arial" w:hAnsi="Arial" w:cs="Arial"/>
          <w:b/>
          <w:bCs/>
          <w:sz w:val="22"/>
          <w:szCs w:val="22"/>
        </w:rPr>
        <w:t>Application of the Theory</w:t>
      </w:r>
    </w:p>
    <w:p w14:paraId="5CD1F6D1" w14:textId="74B8E55F" w:rsidR="006657F0" w:rsidRPr="00940DE9" w:rsidRDefault="006657F0" w:rsidP="005108E4">
      <w:pPr>
        <w:spacing w:line="360" w:lineRule="auto"/>
        <w:rPr>
          <w:rFonts w:ascii="Arial" w:hAnsi="Arial" w:cs="Arial"/>
          <w:sz w:val="22"/>
          <w:szCs w:val="22"/>
        </w:rPr>
      </w:pPr>
      <w:r w:rsidRPr="00940DE9">
        <w:rPr>
          <w:rFonts w:ascii="Arial" w:hAnsi="Arial" w:cs="Arial"/>
          <w:sz w:val="22"/>
          <w:szCs w:val="22"/>
        </w:rPr>
        <w:t>Erikson’s theory can be applied in a care home by helping staff understand the emotional needs of older adults. When residents show signs of sadness, withdrawal, or anxiety, staff can recognise that this may be linked to feelings of despair rather than just ageing or illness (NHS, 2023). This allows them to respond in a more supportive and understanding way.</w:t>
      </w:r>
    </w:p>
    <w:p w14:paraId="7C9D09CF" w14:textId="46B8F28C" w:rsidR="006657F0" w:rsidRPr="00940DE9" w:rsidRDefault="006657F0" w:rsidP="005108E4">
      <w:pPr>
        <w:spacing w:line="360" w:lineRule="auto"/>
        <w:rPr>
          <w:rFonts w:ascii="Arial" w:hAnsi="Arial" w:cs="Arial"/>
          <w:sz w:val="22"/>
          <w:szCs w:val="22"/>
        </w:rPr>
      </w:pPr>
      <w:r w:rsidRPr="00940DE9">
        <w:rPr>
          <w:rFonts w:ascii="Arial" w:hAnsi="Arial" w:cs="Arial"/>
          <w:sz w:val="22"/>
          <w:szCs w:val="22"/>
        </w:rPr>
        <w:t xml:space="preserve">Care workers can use this theory by encouraging residents to talk about their past experiences. For example, they can have conversations about family, work, or important life events. This helps residents reflect on their lives and feel valued. Activities such as looking at photo albums, listening to music from their past, or creating memory books can also </w:t>
      </w:r>
      <w:r w:rsidRPr="00940DE9">
        <w:rPr>
          <w:rFonts w:ascii="Arial" w:hAnsi="Arial" w:cs="Arial"/>
          <w:sz w:val="22"/>
          <w:szCs w:val="22"/>
        </w:rPr>
        <w:lastRenderedPageBreak/>
        <w:t>support this process (Alzheimer’s Society, 2023). These activities can help residents focus on positive memories and achievements, which may increase their sense of ego integrity.</w:t>
      </w:r>
    </w:p>
    <w:p w14:paraId="0CCD3086" w14:textId="0613B8F3" w:rsidR="006657F0" w:rsidRPr="00940DE9" w:rsidRDefault="006657F0" w:rsidP="005108E4">
      <w:pPr>
        <w:spacing w:line="360" w:lineRule="auto"/>
        <w:rPr>
          <w:rFonts w:ascii="Arial" w:hAnsi="Arial" w:cs="Arial"/>
          <w:sz w:val="22"/>
          <w:szCs w:val="22"/>
        </w:rPr>
      </w:pPr>
      <w:r w:rsidRPr="00940DE9">
        <w:rPr>
          <w:rFonts w:ascii="Arial" w:hAnsi="Arial" w:cs="Arial"/>
          <w:sz w:val="22"/>
          <w:szCs w:val="22"/>
        </w:rPr>
        <w:t>Using this approach also supports person-centred care, as it focuses on the individual’s life story and experiences (Payne, 2014). It helps build stronger relationships between staff and residents, which can improve trust and communication</w:t>
      </w:r>
      <w:r w:rsidR="00252B5D" w:rsidRPr="00940DE9">
        <w:rPr>
          <w:rFonts w:ascii="Arial" w:hAnsi="Arial" w:cs="Arial"/>
          <w:sz w:val="22"/>
          <w:szCs w:val="22"/>
        </w:rPr>
        <w:t>.</w:t>
      </w:r>
    </w:p>
    <w:p w14:paraId="403E325B" w14:textId="61C7C079" w:rsidR="004C1C04" w:rsidRPr="00940DE9" w:rsidRDefault="004C1C04" w:rsidP="005108E4">
      <w:pPr>
        <w:spacing w:line="360" w:lineRule="auto"/>
        <w:rPr>
          <w:rFonts w:ascii="Arial" w:hAnsi="Arial" w:cs="Arial"/>
          <w:b/>
          <w:bCs/>
          <w:sz w:val="22"/>
          <w:szCs w:val="22"/>
        </w:rPr>
      </w:pPr>
      <w:r w:rsidRPr="00940DE9">
        <w:rPr>
          <w:rFonts w:ascii="Arial" w:hAnsi="Arial" w:cs="Arial"/>
          <w:b/>
          <w:bCs/>
          <w:sz w:val="22"/>
          <w:szCs w:val="22"/>
        </w:rPr>
        <w:t>Real-World Example</w:t>
      </w:r>
    </w:p>
    <w:p w14:paraId="4FCF9C74" w14:textId="3424FAE7" w:rsidR="006657F0" w:rsidRPr="00940DE9" w:rsidRDefault="006657F0" w:rsidP="005108E4">
      <w:pPr>
        <w:spacing w:line="360" w:lineRule="auto"/>
        <w:rPr>
          <w:rFonts w:ascii="Arial" w:hAnsi="Arial" w:cs="Arial"/>
          <w:sz w:val="22"/>
          <w:szCs w:val="22"/>
        </w:rPr>
      </w:pPr>
      <w:r w:rsidRPr="00940DE9">
        <w:rPr>
          <w:rFonts w:ascii="Arial" w:hAnsi="Arial" w:cs="Arial"/>
          <w:sz w:val="22"/>
          <w:szCs w:val="22"/>
        </w:rPr>
        <w:t>For example, an older adult living in a care home may become withdrawn and stop taking part in activities. They may appear sad and unwilling to communicate with others. A care worker who understands Erikson’s theory may recognise that the resident could be experiencing feelings of despair about their life (Erikson, 1982).</w:t>
      </w:r>
    </w:p>
    <w:p w14:paraId="69356B29" w14:textId="2C142854" w:rsidR="006657F0" w:rsidRPr="00940DE9" w:rsidRDefault="006657F0" w:rsidP="005108E4">
      <w:pPr>
        <w:spacing w:line="360" w:lineRule="auto"/>
        <w:rPr>
          <w:rFonts w:ascii="Arial" w:hAnsi="Arial" w:cs="Arial"/>
          <w:sz w:val="22"/>
          <w:szCs w:val="22"/>
        </w:rPr>
      </w:pPr>
      <w:r w:rsidRPr="00940DE9">
        <w:rPr>
          <w:rFonts w:ascii="Arial" w:hAnsi="Arial" w:cs="Arial"/>
          <w:sz w:val="22"/>
          <w:szCs w:val="22"/>
        </w:rPr>
        <w:t>To support the resident, the care worker might spend time talking with them about their past. They could ask about their career, family, or proudest moments. The worker may also encourage the resident to take part in activities they used to enjoy, such as music or storytelling. Over time, this support can help the resident feel more positive and valued. They may begin to engage more with others and feel a greater sense of satisfaction about their life</w:t>
      </w:r>
      <w:r w:rsidR="00252B5D" w:rsidRPr="00940DE9">
        <w:rPr>
          <w:rFonts w:ascii="Arial" w:hAnsi="Arial" w:cs="Arial"/>
          <w:sz w:val="22"/>
          <w:szCs w:val="22"/>
        </w:rPr>
        <w:t>.</w:t>
      </w:r>
    </w:p>
    <w:p w14:paraId="2A3F8833" w14:textId="634076D7" w:rsidR="004C1C04" w:rsidRPr="00940DE9" w:rsidRDefault="004C1C04" w:rsidP="005108E4">
      <w:pPr>
        <w:spacing w:line="360" w:lineRule="auto"/>
        <w:rPr>
          <w:rFonts w:ascii="Arial" w:hAnsi="Arial" w:cs="Arial"/>
          <w:b/>
          <w:bCs/>
          <w:sz w:val="22"/>
          <w:szCs w:val="22"/>
        </w:rPr>
      </w:pPr>
      <w:r w:rsidRPr="00940DE9">
        <w:rPr>
          <w:rFonts w:ascii="Arial" w:hAnsi="Arial" w:cs="Arial"/>
          <w:b/>
          <w:bCs/>
          <w:sz w:val="22"/>
          <w:szCs w:val="22"/>
        </w:rPr>
        <w:t>Challenges</w:t>
      </w:r>
    </w:p>
    <w:p w14:paraId="745DD769" w14:textId="77777777" w:rsidR="00252B5D" w:rsidRPr="00940DE9" w:rsidRDefault="006657F0" w:rsidP="005108E4">
      <w:pPr>
        <w:spacing w:line="360" w:lineRule="auto"/>
        <w:rPr>
          <w:rFonts w:ascii="Arial" w:hAnsi="Arial" w:cs="Arial"/>
          <w:sz w:val="22"/>
          <w:szCs w:val="22"/>
        </w:rPr>
      </w:pPr>
      <w:r w:rsidRPr="00940DE9">
        <w:rPr>
          <w:rFonts w:ascii="Arial" w:hAnsi="Arial" w:cs="Arial"/>
          <w:sz w:val="22"/>
          <w:szCs w:val="22"/>
        </w:rPr>
        <w:t>One challenge of applying Erikson’s theory in a care home setting is that staff often have limited time due to busy schedules and high workloads. This can make it difficult to have meaningful conversations with residents or provide individual emotional support (BTEC National Health and Social Care Student Book 1, 2016).</w:t>
      </w:r>
    </w:p>
    <w:p w14:paraId="7DDB1A46" w14:textId="7C4168C9" w:rsidR="00252B5D" w:rsidRPr="00940DE9" w:rsidRDefault="006657F0" w:rsidP="005108E4">
      <w:pPr>
        <w:spacing w:line="360" w:lineRule="auto"/>
        <w:rPr>
          <w:rFonts w:ascii="Arial" w:hAnsi="Arial" w:cs="Arial"/>
          <w:sz w:val="22"/>
          <w:szCs w:val="22"/>
        </w:rPr>
      </w:pPr>
      <w:r w:rsidRPr="00940DE9">
        <w:rPr>
          <w:rFonts w:ascii="Arial" w:hAnsi="Arial" w:cs="Arial"/>
          <w:sz w:val="22"/>
          <w:szCs w:val="22"/>
        </w:rPr>
        <w:t>A possible way to overcome this challenge is for care homes to include planned activities that focus on life reflection, such as group discussions or reminiscence sessions. Staff can also be trained to understand the importance of emotional wellbeing and encouraged to use small moments throughout the day to talk to residents.</w:t>
      </w:r>
    </w:p>
    <w:p w14:paraId="6F3529BB" w14:textId="6581A794" w:rsidR="001C7556" w:rsidRPr="00940DE9" w:rsidRDefault="001C7556" w:rsidP="005108E4">
      <w:pPr>
        <w:spacing w:line="360" w:lineRule="auto"/>
        <w:rPr>
          <w:rFonts w:ascii="Arial" w:hAnsi="Arial" w:cs="Arial"/>
          <w:b/>
          <w:bCs/>
          <w:sz w:val="22"/>
          <w:szCs w:val="22"/>
        </w:rPr>
      </w:pPr>
      <w:r w:rsidRPr="00940DE9">
        <w:rPr>
          <w:rFonts w:ascii="Arial" w:hAnsi="Arial" w:cs="Arial"/>
          <w:b/>
          <w:bCs/>
          <w:sz w:val="22"/>
          <w:szCs w:val="22"/>
        </w:rPr>
        <w:t>Conclusion</w:t>
      </w:r>
    </w:p>
    <w:p w14:paraId="6E63D338" w14:textId="365B62F6" w:rsidR="006657F0" w:rsidRPr="00940DE9" w:rsidRDefault="006657F0" w:rsidP="005108E4">
      <w:pPr>
        <w:spacing w:line="360" w:lineRule="auto"/>
        <w:rPr>
          <w:rFonts w:ascii="Arial" w:hAnsi="Arial" w:cs="Arial"/>
          <w:sz w:val="22"/>
          <w:szCs w:val="22"/>
        </w:rPr>
      </w:pPr>
      <w:r w:rsidRPr="00940DE9">
        <w:rPr>
          <w:rFonts w:ascii="Arial" w:hAnsi="Arial" w:cs="Arial"/>
          <w:sz w:val="22"/>
          <w:szCs w:val="22"/>
        </w:rPr>
        <w:t xml:space="preserve">In conclusion, Erikson’s psychosocial theory is very useful in health and social care, especially when supporting older adults. It helps professionals understand the emotional challenges individuals may face in later life and highlights the importance of reflecting on life experiences (Erikson, 1963). By applying this theory, care workers can provide more person-centred and compassionate care, improving the emotional wellbeing of residents. Although there are challenges such as limited time, these can be managed with the right approach. </w:t>
      </w:r>
      <w:r w:rsidRPr="00940DE9">
        <w:rPr>
          <w:rFonts w:ascii="Arial" w:hAnsi="Arial" w:cs="Arial"/>
          <w:sz w:val="22"/>
          <w:szCs w:val="22"/>
        </w:rPr>
        <w:lastRenderedPageBreak/>
        <w:t>Overall, psychology plays a key role in helping older adults feel valued, supported, and understood in care home settings.</w:t>
      </w:r>
    </w:p>
    <w:p w14:paraId="1DB36F19" w14:textId="77777777" w:rsidR="001C7556" w:rsidRPr="00940DE9" w:rsidRDefault="001C7556" w:rsidP="005108E4">
      <w:pPr>
        <w:spacing w:line="360" w:lineRule="auto"/>
        <w:rPr>
          <w:rFonts w:ascii="Arial" w:hAnsi="Arial" w:cs="Arial"/>
          <w:sz w:val="22"/>
          <w:szCs w:val="22"/>
        </w:rPr>
      </w:pPr>
    </w:p>
    <w:p w14:paraId="28AD851B" w14:textId="77777777" w:rsidR="00A84696" w:rsidRPr="00940DE9" w:rsidRDefault="00A84696" w:rsidP="005108E4">
      <w:pPr>
        <w:spacing w:line="360" w:lineRule="auto"/>
        <w:rPr>
          <w:rFonts w:ascii="Arial" w:hAnsi="Arial" w:cs="Arial"/>
          <w:sz w:val="22"/>
          <w:szCs w:val="22"/>
        </w:rPr>
      </w:pPr>
    </w:p>
    <w:p w14:paraId="374280A9" w14:textId="77777777" w:rsidR="00A84696" w:rsidRPr="00940DE9" w:rsidRDefault="00A84696" w:rsidP="005108E4">
      <w:pPr>
        <w:spacing w:line="360" w:lineRule="auto"/>
        <w:rPr>
          <w:rFonts w:ascii="Arial" w:hAnsi="Arial" w:cs="Arial"/>
          <w:sz w:val="22"/>
          <w:szCs w:val="22"/>
        </w:rPr>
      </w:pPr>
    </w:p>
    <w:p w14:paraId="1D7592B0" w14:textId="77777777" w:rsidR="00A84696" w:rsidRPr="00940DE9" w:rsidRDefault="00A84696" w:rsidP="005108E4">
      <w:pPr>
        <w:spacing w:line="360" w:lineRule="auto"/>
        <w:rPr>
          <w:rFonts w:ascii="Arial" w:hAnsi="Arial" w:cs="Arial"/>
          <w:sz w:val="22"/>
          <w:szCs w:val="22"/>
        </w:rPr>
      </w:pPr>
    </w:p>
    <w:p w14:paraId="23F4BDC1" w14:textId="77777777" w:rsidR="00A84696" w:rsidRPr="00940DE9" w:rsidRDefault="00A84696" w:rsidP="005108E4">
      <w:pPr>
        <w:spacing w:line="360" w:lineRule="auto"/>
        <w:rPr>
          <w:rFonts w:ascii="Arial" w:hAnsi="Arial" w:cs="Arial"/>
          <w:sz w:val="22"/>
          <w:szCs w:val="22"/>
        </w:rPr>
      </w:pPr>
    </w:p>
    <w:p w14:paraId="19A3BFF2" w14:textId="77777777" w:rsidR="00A84696" w:rsidRPr="00940DE9" w:rsidRDefault="00A84696" w:rsidP="005108E4">
      <w:pPr>
        <w:spacing w:line="360" w:lineRule="auto"/>
        <w:rPr>
          <w:rFonts w:ascii="Arial" w:hAnsi="Arial" w:cs="Arial"/>
          <w:sz w:val="22"/>
          <w:szCs w:val="22"/>
        </w:rPr>
      </w:pPr>
    </w:p>
    <w:p w14:paraId="49066A46" w14:textId="77777777" w:rsidR="00A84696" w:rsidRPr="00940DE9" w:rsidRDefault="00A84696" w:rsidP="005108E4">
      <w:pPr>
        <w:spacing w:line="360" w:lineRule="auto"/>
        <w:rPr>
          <w:rFonts w:ascii="Arial" w:hAnsi="Arial" w:cs="Arial"/>
          <w:sz w:val="22"/>
          <w:szCs w:val="22"/>
        </w:rPr>
      </w:pPr>
    </w:p>
    <w:p w14:paraId="1170C19F" w14:textId="77777777" w:rsidR="00A84696" w:rsidRPr="00940DE9" w:rsidRDefault="00A84696" w:rsidP="005108E4">
      <w:pPr>
        <w:spacing w:line="360" w:lineRule="auto"/>
        <w:rPr>
          <w:rFonts w:ascii="Arial" w:hAnsi="Arial" w:cs="Arial"/>
          <w:sz w:val="22"/>
          <w:szCs w:val="22"/>
        </w:rPr>
      </w:pPr>
    </w:p>
    <w:p w14:paraId="539FFBDD" w14:textId="77777777" w:rsidR="00A84696" w:rsidRPr="00940DE9" w:rsidRDefault="00A84696" w:rsidP="005108E4">
      <w:pPr>
        <w:spacing w:line="360" w:lineRule="auto"/>
        <w:rPr>
          <w:rFonts w:ascii="Arial" w:hAnsi="Arial" w:cs="Arial"/>
          <w:sz w:val="22"/>
          <w:szCs w:val="22"/>
        </w:rPr>
      </w:pPr>
    </w:p>
    <w:p w14:paraId="59B8EEB0" w14:textId="77777777" w:rsidR="00A84696" w:rsidRPr="00940DE9" w:rsidRDefault="00A84696" w:rsidP="005108E4">
      <w:pPr>
        <w:spacing w:line="360" w:lineRule="auto"/>
        <w:rPr>
          <w:rFonts w:ascii="Arial" w:hAnsi="Arial" w:cs="Arial"/>
          <w:sz w:val="22"/>
          <w:szCs w:val="22"/>
        </w:rPr>
      </w:pPr>
    </w:p>
    <w:p w14:paraId="5AEB075F" w14:textId="77777777" w:rsidR="00A84696" w:rsidRPr="00940DE9" w:rsidRDefault="00A84696" w:rsidP="005108E4">
      <w:pPr>
        <w:spacing w:line="360" w:lineRule="auto"/>
        <w:rPr>
          <w:rFonts w:ascii="Arial" w:hAnsi="Arial" w:cs="Arial"/>
          <w:sz w:val="22"/>
          <w:szCs w:val="22"/>
        </w:rPr>
      </w:pPr>
    </w:p>
    <w:p w14:paraId="1B896D1C" w14:textId="77777777" w:rsidR="00A84696" w:rsidRPr="00940DE9" w:rsidRDefault="00A84696" w:rsidP="005108E4">
      <w:pPr>
        <w:spacing w:line="360" w:lineRule="auto"/>
        <w:rPr>
          <w:rFonts w:ascii="Arial" w:hAnsi="Arial" w:cs="Arial"/>
          <w:sz w:val="22"/>
          <w:szCs w:val="22"/>
        </w:rPr>
      </w:pPr>
    </w:p>
    <w:p w14:paraId="58CC01CE" w14:textId="77777777" w:rsidR="00A84696" w:rsidRPr="00940DE9" w:rsidRDefault="00A84696" w:rsidP="005108E4">
      <w:pPr>
        <w:spacing w:line="360" w:lineRule="auto"/>
        <w:rPr>
          <w:rFonts w:ascii="Arial" w:hAnsi="Arial" w:cs="Arial"/>
          <w:sz w:val="22"/>
          <w:szCs w:val="22"/>
        </w:rPr>
      </w:pPr>
    </w:p>
    <w:p w14:paraId="0C22AC70" w14:textId="77777777" w:rsidR="00A84696" w:rsidRPr="00940DE9" w:rsidRDefault="00A84696" w:rsidP="005108E4">
      <w:pPr>
        <w:spacing w:line="360" w:lineRule="auto"/>
        <w:rPr>
          <w:rFonts w:ascii="Arial" w:hAnsi="Arial" w:cs="Arial"/>
          <w:sz w:val="22"/>
          <w:szCs w:val="22"/>
        </w:rPr>
      </w:pPr>
    </w:p>
    <w:p w14:paraId="4B8B3C3A" w14:textId="77777777" w:rsidR="00A84696" w:rsidRPr="00940DE9" w:rsidRDefault="00A84696" w:rsidP="005108E4">
      <w:pPr>
        <w:spacing w:line="360" w:lineRule="auto"/>
        <w:rPr>
          <w:rFonts w:ascii="Arial" w:hAnsi="Arial" w:cs="Arial"/>
          <w:sz w:val="22"/>
          <w:szCs w:val="22"/>
        </w:rPr>
      </w:pPr>
    </w:p>
    <w:p w14:paraId="06D1BB27" w14:textId="77777777" w:rsidR="00A84696" w:rsidRPr="00940DE9" w:rsidRDefault="00A84696" w:rsidP="005108E4">
      <w:pPr>
        <w:spacing w:line="360" w:lineRule="auto"/>
        <w:rPr>
          <w:rFonts w:ascii="Arial" w:hAnsi="Arial" w:cs="Arial"/>
          <w:sz w:val="22"/>
          <w:szCs w:val="22"/>
        </w:rPr>
      </w:pPr>
    </w:p>
    <w:p w14:paraId="68D17704" w14:textId="77777777" w:rsidR="00A84696" w:rsidRPr="00940DE9" w:rsidRDefault="00A84696" w:rsidP="005108E4">
      <w:pPr>
        <w:spacing w:line="360" w:lineRule="auto"/>
        <w:rPr>
          <w:rFonts w:ascii="Arial" w:hAnsi="Arial" w:cs="Arial"/>
          <w:sz w:val="22"/>
          <w:szCs w:val="22"/>
        </w:rPr>
      </w:pPr>
    </w:p>
    <w:p w14:paraId="2B4C832A" w14:textId="77777777" w:rsidR="00A84696" w:rsidRPr="00940DE9" w:rsidRDefault="00A84696" w:rsidP="005108E4">
      <w:pPr>
        <w:spacing w:line="360" w:lineRule="auto"/>
        <w:rPr>
          <w:rFonts w:ascii="Arial" w:hAnsi="Arial" w:cs="Arial"/>
          <w:sz w:val="22"/>
          <w:szCs w:val="22"/>
        </w:rPr>
      </w:pPr>
    </w:p>
    <w:p w14:paraId="0104FFFE" w14:textId="77777777" w:rsidR="00A84696" w:rsidRPr="00940DE9" w:rsidRDefault="00A84696" w:rsidP="005108E4">
      <w:pPr>
        <w:spacing w:line="360" w:lineRule="auto"/>
        <w:rPr>
          <w:rFonts w:ascii="Arial" w:hAnsi="Arial" w:cs="Arial"/>
          <w:sz w:val="22"/>
          <w:szCs w:val="22"/>
        </w:rPr>
      </w:pPr>
    </w:p>
    <w:p w14:paraId="41DB9B05" w14:textId="77777777" w:rsidR="00A84696" w:rsidRPr="00940DE9" w:rsidRDefault="00A84696" w:rsidP="005108E4">
      <w:pPr>
        <w:spacing w:line="360" w:lineRule="auto"/>
        <w:rPr>
          <w:rFonts w:ascii="Arial" w:hAnsi="Arial" w:cs="Arial"/>
          <w:sz w:val="22"/>
          <w:szCs w:val="22"/>
        </w:rPr>
      </w:pPr>
    </w:p>
    <w:p w14:paraId="70F5B7B3" w14:textId="77777777" w:rsidR="00A84696" w:rsidRPr="00940DE9" w:rsidRDefault="00A84696" w:rsidP="005108E4">
      <w:pPr>
        <w:spacing w:line="360" w:lineRule="auto"/>
        <w:rPr>
          <w:rFonts w:ascii="Arial" w:hAnsi="Arial" w:cs="Arial"/>
          <w:sz w:val="22"/>
          <w:szCs w:val="22"/>
        </w:rPr>
      </w:pPr>
    </w:p>
    <w:p w14:paraId="012F5E7B" w14:textId="77777777" w:rsidR="00A84696" w:rsidRPr="00940DE9" w:rsidRDefault="00A84696" w:rsidP="005108E4">
      <w:pPr>
        <w:spacing w:line="360" w:lineRule="auto"/>
        <w:rPr>
          <w:rFonts w:ascii="Arial" w:hAnsi="Arial" w:cs="Arial"/>
          <w:sz w:val="22"/>
          <w:szCs w:val="22"/>
        </w:rPr>
      </w:pPr>
    </w:p>
    <w:p w14:paraId="17B0DAD3" w14:textId="77777777" w:rsidR="00A84696" w:rsidRDefault="00A84696" w:rsidP="005108E4">
      <w:pPr>
        <w:spacing w:line="360" w:lineRule="auto"/>
        <w:rPr>
          <w:rFonts w:ascii="Arial" w:hAnsi="Arial" w:cs="Arial"/>
          <w:sz w:val="22"/>
          <w:szCs w:val="22"/>
        </w:rPr>
      </w:pPr>
    </w:p>
    <w:p w14:paraId="1E9CDCD1" w14:textId="77777777" w:rsidR="00E255AB" w:rsidRPr="00940DE9" w:rsidRDefault="00E255AB" w:rsidP="005108E4">
      <w:pPr>
        <w:spacing w:line="360" w:lineRule="auto"/>
        <w:rPr>
          <w:rFonts w:ascii="Arial" w:hAnsi="Arial" w:cs="Arial"/>
          <w:sz w:val="22"/>
          <w:szCs w:val="22"/>
        </w:rPr>
      </w:pPr>
    </w:p>
    <w:p w14:paraId="4BAB4D73" w14:textId="04A060DE" w:rsidR="006657F0" w:rsidRPr="00940DE9" w:rsidRDefault="006657F0" w:rsidP="005108E4">
      <w:pPr>
        <w:spacing w:line="360" w:lineRule="auto"/>
        <w:rPr>
          <w:rFonts w:ascii="Arial" w:hAnsi="Arial" w:cs="Arial"/>
          <w:b/>
          <w:bCs/>
          <w:sz w:val="22"/>
          <w:szCs w:val="22"/>
        </w:rPr>
      </w:pPr>
      <w:r w:rsidRPr="00940DE9">
        <w:rPr>
          <w:rFonts w:ascii="Arial" w:hAnsi="Arial" w:cs="Arial"/>
          <w:b/>
          <w:bCs/>
          <w:sz w:val="22"/>
          <w:szCs w:val="22"/>
        </w:rPr>
        <w:lastRenderedPageBreak/>
        <w:t>Reference Lis</w:t>
      </w:r>
      <w:r w:rsidR="00252B5D" w:rsidRPr="00940DE9">
        <w:rPr>
          <w:rFonts w:ascii="Arial" w:hAnsi="Arial" w:cs="Arial"/>
          <w:b/>
          <w:bCs/>
          <w:sz w:val="22"/>
          <w:szCs w:val="22"/>
        </w:rPr>
        <w:t>t</w:t>
      </w:r>
      <w:r w:rsidR="00231F92" w:rsidRPr="00940DE9">
        <w:rPr>
          <w:rFonts w:ascii="Arial" w:hAnsi="Arial" w:cs="Arial"/>
          <w:b/>
          <w:bCs/>
          <w:sz w:val="22"/>
          <w:szCs w:val="22"/>
        </w:rPr>
        <w:t>:</w:t>
      </w:r>
    </w:p>
    <w:p w14:paraId="7417F464" w14:textId="77777777" w:rsidR="000652BB" w:rsidRPr="00940DE9" w:rsidRDefault="000652BB" w:rsidP="005108E4">
      <w:pPr>
        <w:spacing w:line="360" w:lineRule="auto"/>
        <w:rPr>
          <w:rFonts w:ascii="Arial" w:hAnsi="Arial" w:cs="Arial"/>
          <w:sz w:val="22"/>
          <w:szCs w:val="22"/>
        </w:rPr>
      </w:pPr>
      <w:r w:rsidRPr="00940DE9">
        <w:rPr>
          <w:rFonts w:ascii="Arial" w:hAnsi="Arial" w:cs="Arial"/>
          <w:sz w:val="22"/>
          <w:szCs w:val="22"/>
        </w:rPr>
        <w:t>Adams, K.B., Leibbrandt, S. and Moon, H. (2011) ‘A critical review of the literature on social and leisure activity and wellbeing in later life’, Ageing &amp; Society, 31(4), pp. 683–712.</w:t>
      </w:r>
    </w:p>
    <w:p w14:paraId="1D6BEA25" w14:textId="7349E045" w:rsidR="000652BB" w:rsidRPr="00940DE9" w:rsidRDefault="000652BB" w:rsidP="005108E4">
      <w:pPr>
        <w:spacing w:line="360" w:lineRule="auto"/>
        <w:rPr>
          <w:rFonts w:ascii="Arial" w:hAnsi="Arial" w:cs="Arial"/>
          <w:sz w:val="22"/>
          <w:szCs w:val="22"/>
        </w:rPr>
      </w:pPr>
      <w:r w:rsidRPr="00940DE9">
        <w:rPr>
          <w:rFonts w:ascii="Arial" w:hAnsi="Arial" w:cs="Arial"/>
          <w:sz w:val="22"/>
          <w:szCs w:val="22"/>
        </w:rPr>
        <w:t xml:space="preserve">Age UK (2022) Later life wellbeing and mental health. Available at: </w:t>
      </w:r>
      <w:hyperlink r:id="rId6" w:history="1">
        <w:r w:rsidR="00066357" w:rsidRPr="00940DE9">
          <w:rPr>
            <w:rStyle w:val="Hyperlink"/>
            <w:rFonts w:ascii="Arial" w:hAnsi="Arial" w:cs="Arial"/>
            <w:sz w:val="22"/>
            <w:szCs w:val="22"/>
          </w:rPr>
          <w:t>https://www.ageuk.org.uk</w:t>
        </w:r>
      </w:hyperlink>
      <w:r w:rsidR="00066357" w:rsidRPr="00940DE9">
        <w:rPr>
          <w:rFonts w:ascii="Arial" w:hAnsi="Arial" w:cs="Arial"/>
          <w:sz w:val="22"/>
          <w:szCs w:val="22"/>
        </w:rPr>
        <w:t xml:space="preserve"> </w:t>
      </w:r>
      <w:r w:rsidRPr="00940DE9">
        <w:rPr>
          <w:rFonts w:ascii="Arial" w:hAnsi="Arial" w:cs="Arial"/>
          <w:sz w:val="22"/>
          <w:szCs w:val="22"/>
        </w:rPr>
        <w:t>(Accessed: 22 March 2026).</w:t>
      </w:r>
    </w:p>
    <w:p w14:paraId="24977E1C" w14:textId="77777777" w:rsidR="00066357" w:rsidRPr="00940DE9" w:rsidRDefault="000652BB" w:rsidP="005108E4">
      <w:pPr>
        <w:spacing w:line="360" w:lineRule="auto"/>
        <w:rPr>
          <w:rFonts w:ascii="Arial" w:hAnsi="Arial" w:cs="Arial"/>
          <w:sz w:val="22"/>
          <w:szCs w:val="22"/>
        </w:rPr>
      </w:pPr>
      <w:r w:rsidRPr="00940DE9">
        <w:rPr>
          <w:rFonts w:ascii="Arial" w:hAnsi="Arial" w:cs="Arial"/>
          <w:sz w:val="22"/>
          <w:szCs w:val="22"/>
        </w:rPr>
        <w:t xml:space="preserve">Alzheimer’s Society (2023) Supporting wellbeing in care homes. Available at: </w:t>
      </w:r>
      <w:hyperlink r:id="rId7" w:history="1">
        <w:r w:rsidR="00066357" w:rsidRPr="00940DE9">
          <w:rPr>
            <w:rStyle w:val="Hyperlink"/>
            <w:rFonts w:ascii="Arial" w:hAnsi="Arial" w:cs="Arial"/>
            <w:sz w:val="22"/>
            <w:szCs w:val="22"/>
          </w:rPr>
          <w:t>https://www.alzheimers.org.uk</w:t>
        </w:r>
      </w:hyperlink>
      <w:r w:rsidR="00066357" w:rsidRPr="00940DE9">
        <w:rPr>
          <w:rFonts w:ascii="Arial" w:hAnsi="Arial" w:cs="Arial"/>
          <w:sz w:val="22"/>
          <w:szCs w:val="22"/>
        </w:rPr>
        <w:t xml:space="preserve"> </w:t>
      </w:r>
      <w:r w:rsidRPr="00940DE9">
        <w:rPr>
          <w:rFonts w:ascii="Arial" w:hAnsi="Arial" w:cs="Arial"/>
          <w:sz w:val="22"/>
          <w:szCs w:val="22"/>
        </w:rPr>
        <w:t>(Accessed: 22 March 2026)</w:t>
      </w:r>
      <w:r w:rsidR="00066357" w:rsidRPr="00940DE9">
        <w:rPr>
          <w:rFonts w:ascii="Arial" w:hAnsi="Arial" w:cs="Arial"/>
          <w:sz w:val="22"/>
          <w:szCs w:val="22"/>
        </w:rPr>
        <w:t xml:space="preserve"> </w:t>
      </w:r>
    </w:p>
    <w:p w14:paraId="33467ACC" w14:textId="6FC207B0" w:rsidR="009674A7" w:rsidRPr="00940DE9" w:rsidRDefault="00066357" w:rsidP="005108E4">
      <w:pPr>
        <w:spacing w:line="360" w:lineRule="auto"/>
        <w:rPr>
          <w:rFonts w:ascii="Arial" w:hAnsi="Arial" w:cs="Arial"/>
          <w:sz w:val="22"/>
          <w:szCs w:val="22"/>
        </w:rPr>
      </w:pPr>
      <w:r w:rsidRPr="00940DE9">
        <w:rPr>
          <w:rFonts w:ascii="Arial" w:hAnsi="Arial" w:cs="Arial"/>
          <w:sz w:val="22"/>
          <w:szCs w:val="22"/>
        </w:rPr>
        <w:t>BTEC National Health and Social Care Student Book 1 (2016) Harlow: Pearson Education.</w:t>
      </w:r>
    </w:p>
    <w:p w14:paraId="24F9D9E3" w14:textId="77777777" w:rsidR="00CD341B" w:rsidRPr="00940DE9" w:rsidRDefault="009674A7" w:rsidP="005108E4">
      <w:pPr>
        <w:spacing w:line="360" w:lineRule="auto"/>
        <w:rPr>
          <w:rFonts w:ascii="Arial" w:hAnsi="Arial" w:cs="Arial"/>
          <w:sz w:val="22"/>
          <w:szCs w:val="22"/>
        </w:rPr>
      </w:pPr>
      <w:r w:rsidRPr="00940DE9">
        <w:rPr>
          <w:rFonts w:ascii="Arial" w:hAnsi="Arial" w:cs="Arial"/>
          <w:sz w:val="22"/>
          <w:szCs w:val="22"/>
        </w:rPr>
        <w:t>Erikson, E.H. (1982) The Life Cycle Completed. New York: W.W. Norton &amp; Company, pp. 110–120.</w:t>
      </w:r>
      <w:r w:rsidR="00CD341B" w:rsidRPr="00940DE9">
        <w:rPr>
          <w:rFonts w:ascii="Arial" w:hAnsi="Arial" w:cs="Arial"/>
          <w:sz w:val="22"/>
          <w:szCs w:val="22"/>
        </w:rPr>
        <w:t xml:space="preserve"> </w:t>
      </w:r>
    </w:p>
    <w:p w14:paraId="533D4C79" w14:textId="4992EF79" w:rsidR="00CD341B" w:rsidRPr="00940DE9" w:rsidRDefault="00CD341B" w:rsidP="005108E4">
      <w:pPr>
        <w:spacing w:line="360" w:lineRule="auto"/>
        <w:rPr>
          <w:rFonts w:ascii="Arial" w:hAnsi="Arial" w:cs="Arial"/>
          <w:sz w:val="22"/>
          <w:szCs w:val="22"/>
        </w:rPr>
      </w:pPr>
      <w:r w:rsidRPr="00940DE9">
        <w:rPr>
          <w:rFonts w:ascii="Arial" w:hAnsi="Arial" w:cs="Arial"/>
          <w:sz w:val="22"/>
          <w:szCs w:val="22"/>
        </w:rPr>
        <w:t>Erik Erikson (1963) Childhood and Society. 2nd edn. New York: W.W. Norton &amp; Company.</w:t>
      </w:r>
    </w:p>
    <w:p w14:paraId="39A51F07" w14:textId="71ABA19C" w:rsidR="009674A7" w:rsidRPr="00940DE9" w:rsidRDefault="00CD341B" w:rsidP="005108E4">
      <w:pPr>
        <w:spacing w:line="360" w:lineRule="auto"/>
        <w:rPr>
          <w:rFonts w:ascii="Arial" w:hAnsi="Arial" w:cs="Arial"/>
          <w:sz w:val="22"/>
          <w:szCs w:val="22"/>
        </w:rPr>
      </w:pPr>
      <w:r w:rsidRPr="00940DE9">
        <w:rPr>
          <w:rFonts w:ascii="Arial" w:hAnsi="Arial" w:cs="Arial"/>
          <w:sz w:val="22"/>
          <w:szCs w:val="22"/>
        </w:rPr>
        <w:t>Erik Erikson (1982) The Life Cycle Completed. New York: W.W. Norton &amp; Company</w:t>
      </w:r>
    </w:p>
    <w:p w14:paraId="76D21BCD" w14:textId="78E7331A" w:rsidR="00066357" w:rsidRPr="00940DE9" w:rsidRDefault="00066357" w:rsidP="005108E4">
      <w:pPr>
        <w:spacing w:line="360" w:lineRule="auto"/>
        <w:rPr>
          <w:rFonts w:ascii="Arial" w:hAnsi="Arial" w:cs="Arial"/>
          <w:sz w:val="22"/>
          <w:szCs w:val="22"/>
        </w:rPr>
      </w:pPr>
      <w:r w:rsidRPr="00940DE9">
        <w:rPr>
          <w:rFonts w:ascii="Arial" w:hAnsi="Arial" w:cs="Arial"/>
          <w:sz w:val="22"/>
          <w:szCs w:val="22"/>
        </w:rPr>
        <w:t>Havighurst, R.J. (1961) ‘Successful aging’, The Gerontologist, 1(1), pp. 8–13.</w:t>
      </w:r>
    </w:p>
    <w:p w14:paraId="758189B2" w14:textId="77777777" w:rsidR="00066357" w:rsidRPr="00940DE9" w:rsidRDefault="00066357" w:rsidP="005108E4">
      <w:pPr>
        <w:spacing w:line="360" w:lineRule="auto"/>
        <w:rPr>
          <w:rFonts w:ascii="Arial" w:hAnsi="Arial" w:cs="Arial"/>
          <w:sz w:val="22"/>
          <w:szCs w:val="22"/>
        </w:rPr>
      </w:pPr>
      <w:r w:rsidRPr="00940DE9">
        <w:rPr>
          <w:rFonts w:ascii="Arial" w:hAnsi="Arial" w:cs="Arial"/>
          <w:sz w:val="22"/>
          <w:szCs w:val="22"/>
        </w:rPr>
        <w:t>Malcolm Payne (2014) Modern Social Work Theory. 4th edn. Oxford: Oxford University Press.</w:t>
      </w:r>
    </w:p>
    <w:p w14:paraId="36BF99FA" w14:textId="3A7E15E5" w:rsidR="00066357" w:rsidRPr="00940DE9" w:rsidRDefault="00066357" w:rsidP="005108E4">
      <w:pPr>
        <w:spacing w:line="360" w:lineRule="auto"/>
        <w:rPr>
          <w:rFonts w:ascii="Arial" w:hAnsi="Arial" w:cs="Arial"/>
          <w:sz w:val="22"/>
          <w:szCs w:val="22"/>
        </w:rPr>
      </w:pPr>
      <w:r w:rsidRPr="00940DE9">
        <w:rPr>
          <w:rFonts w:ascii="Arial" w:hAnsi="Arial" w:cs="Arial"/>
          <w:sz w:val="22"/>
          <w:szCs w:val="22"/>
        </w:rPr>
        <w:t xml:space="preserve">NHS (2023) Mental health of older adults. Available at: </w:t>
      </w:r>
      <w:hyperlink r:id="rId8" w:history="1">
        <w:r w:rsidR="00A84696" w:rsidRPr="00940DE9">
          <w:rPr>
            <w:rStyle w:val="Hyperlink"/>
            <w:rFonts w:ascii="Arial" w:hAnsi="Arial" w:cs="Arial"/>
            <w:sz w:val="22"/>
            <w:szCs w:val="22"/>
          </w:rPr>
          <w:t>https://www.nhs.uk</w:t>
        </w:r>
      </w:hyperlink>
      <w:r w:rsidR="00A84696" w:rsidRPr="00940DE9">
        <w:rPr>
          <w:rFonts w:ascii="Arial" w:hAnsi="Arial" w:cs="Arial"/>
          <w:sz w:val="22"/>
          <w:szCs w:val="22"/>
        </w:rPr>
        <w:t xml:space="preserve"> </w:t>
      </w:r>
      <w:r w:rsidRPr="00940DE9">
        <w:rPr>
          <w:rFonts w:ascii="Arial" w:hAnsi="Arial" w:cs="Arial"/>
          <w:sz w:val="22"/>
          <w:szCs w:val="22"/>
        </w:rPr>
        <w:t>(Accessed: 22 March 2026).</w:t>
      </w:r>
    </w:p>
    <w:p w14:paraId="595D4C65" w14:textId="44262B7F" w:rsidR="009674A7" w:rsidRPr="00940DE9" w:rsidRDefault="009674A7" w:rsidP="005108E4">
      <w:pPr>
        <w:spacing w:line="360" w:lineRule="auto"/>
        <w:rPr>
          <w:rFonts w:ascii="Arial" w:hAnsi="Arial" w:cs="Arial"/>
          <w:sz w:val="22"/>
          <w:szCs w:val="22"/>
        </w:rPr>
      </w:pPr>
      <w:r w:rsidRPr="00940DE9">
        <w:rPr>
          <w:rFonts w:ascii="Arial" w:hAnsi="Arial" w:cs="Arial"/>
          <w:sz w:val="22"/>
          <w:szCs w:val="22"/>
        </w:rPr>
        <w:t>Westerhof, G.J. and Bohlmeijer, E.T. (2014) ‘Celebrating fifty years of research and applications in reminiscence and life review: State of the art and new directions’, Journal of Aging Studies, 29, pp. 107–114.</w:t>
      </w:r>
      <w:r w:rsidR="005659EF" w:rsidRPr="00940DE9">
        <w:rPr>
          <w:rFonts w:ascii="Arial" w:hAnsi="Arial" w:cs="Arial"/>
          <w:sz w:val="22"/>
          <w:szCs w:val="22"/>
        </w:rPr>
        <w:tab/>
      </w:r>
    </w:p>
    <w:p w14:paraId="758D976C" w14:textId="77777777" w:rsidR="00066357" w:rsidRPr="00940DE9" w:rsidRDefault="00066357" w:rsidP="005108E4">
      <w:pPr>
        <w:spacing w:line="360" w:lineRule="auto"/>
        <w:rPr>
          <w:rFonts w:ascii="Arial" w:hAnsi="Arial" w:cs="Arial"/>
          <w:sz w:val="22"/>
          <w:szCs w:val="22"/>
        </w:rPr>
      </w:pPr>
    </w:p>
    <w:sectPr w:rsidR="00066357" w:rsidRPr="00940DE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CD1BC" w14:textId="77777777" w:rsidR="0077083F" w:rsidRDefault="0077083F" w:rsidP="00D45990">
      <w:pPr>
        <w:spacing w:after="0" w:line="240" w:lineRule="auto"/>
      </w:pPr>
      <w:r>
        <w:separator/>
      </w:r>
    </w:p>
  </w:endnote>
  <w:endnote w:type="continuationSeparator" w:id="0">
    <w:p w14:paraId="38EF1838" w14:textId="77777777" w:rsidR="0077083F" w:rsidRDefault="0077083F" w:rsidP="00D4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630900"/>
      <w:docPartObj>
        <w:docPartGallery w:val="Page Numbers (Bottom of Page)"/>
        <w:docPartUnique/>
      </w:docPartObj>
    </w:sdtPr>
    <w:sdtEndPr>
      <w:rPr>
        <w:noProof/>
      </w:rPr>
    </w:sdtEndPr>
    <w:sdtContent>
      <w:p w14:paraId="38BDC2F7" w14:textId="472E3A3D" w:rsidR="00F16E5D" w:rsidRDefault="00F16E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B871FD" w14:textId="77777777" w:rsidR="00F16E5D" w:rsidRDefault="00F16E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FBF57" w14:textId="77777777" w:rsidR="0077083F" w:rsidRDefault="0077083F" w:rsidP="00D45990">
      <w:pPr>
        <w:spacing w:after="0" w:line="240" w:lineRule="auto"/>
      </w:pPr>
      <w:r>
        <w:separator/>
      </w:r>
    </w:p>
  </w:footnote>
  <w:footnote w:type="continuationSeparator" w:id="0">
    <w:p w14:paraId="176A2EE2" w14:textId="77777777" w:rsidR="0077083F" w:rsidRDefault="0077083F" w:rsidP="00D459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C77"/>
    <w:rsid w:val="00000FFA"/>
    <w:rsid w:val="00003E25"/>
    <w:rsid w:val="000246DA"/>
    <w:rsid w:val="000652BB"/>
    <w:rsid w:val="00066357"/>
    <w:rsid w:val="00071E4F"/>
    <w:rsid w:val="0008064A"/>
    <w:rsid w:val="00097DC7"/>
    <w:rsid w:val="000B0CA2"/>
    <w:rsid w:val="001023D8"/>
    <w:rsid w:val="0015609C"/>
    <w:rsid w:val="001724BF"/>
    <w:rsid w:val="001C7556"/>
    <w:rsid w:val="00231F92"/>
    <w:rsid w:val="00250787"/>
    <w:rsid w:val="00252B5D"/>
    <w:rsid w:val="002C1391"/>
    <w:rsid w:val="00357957"/>
    <w:rsid w:val="003A5F68"/>
    <w:rsid w:val="003E7967"/>
    <w:rsid w:val="0049030D"/>
    <w:rsid w:val="004C1C04"/>
    <w:rsid w:val="004E5A5B"/>
    <w:rsid w:val="004F297C"/>
    <w:rsid w:val="005108E4"/>
    <w:rsid w:val="00545C2B"/>
    <w:rsid w:val="005659EF"/>
    <w:rsid w:val="005749F5"/>
    <w:rsid w:val="00575336"/>
    <w:rsid w:val="006657F0"/>
    <w:rsid w:val="00674858"/>
    <w:rsid w:val="00675EE4"/>
    <w:rsid w:val="0075261B"/>
    <w:rsid w:val="0077083F"/>
    <w:rsid w:val="00811AC8"/>
    <w:rsid w:val="00824D06"/>
    <w:rsid w:val="008738AB"/>
    <w:rsid w:val="008B6D7F"/>
    <w:rsid w:val="00940DE9"/>
    <w:rsid w:val="009674A7"/>
    <w:rsid w:val="00A07575"/>
    <w:rsid w:val="00A53EC7"/>
    <w:rsid w:val="00A71AC7"/>
    <w:rsid w:val="00A760B5"/>
    <w:rsid w:val="00A84696"/>
    <w:rsid w:val="00AE5AA2"/>
    <w:rsid w:val="00AF5415"/>
    <w:rsid w:val="00B02576"/>
    <w:rsid w:val="00B130F1"/>
    <w:rsid w:val="00B97D9F"/>
    <w:rsid w:val="00BA3032"/>
    <w:rsid w:val="00C500F8"/>
    <w:rsid w:val="00C54E8F"/>
    <w:rsid w:val="00C96685"/>
    <w:rsid w:val="00CD341B"/>
    <w:rsid w:val="00D3791A"/>
    <w:rsid w:val="00D45990"/>
    <w:rsid w:val="00DC0E44"/>
    <w:rsid w:val="00DF0C99"/>
    <w:rsid w:val="00E255AB"/>
    <w:rsid w:val="00E6655E"/>
    <w:rsid w:val="00EA0903"/>
    <w:rsid w:val="00EB263B"/>
    <w:rsid w:val="00EF0C77"/>
    <w:rsid w:val="00F16E5D"/>
    <w:rsid w:val="00F21543"/>
    <w:rsid w:val="00FE2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15C63"/>
  <w15:chartTrackingRefBased/>
  <w15:docId w15:val="{DD24BD7C-AA30-4930-A8CD-48FB1C0E1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C77"/>
  </w:style>
  <w:style w:type="paragraph" w:styleId="Heading1">
    <w:name w:val="heading 1"/>
    <w:basedOn w:val="Normal"/>
    <w:next w:val="Normal"/>
    <w:link w:val="Heading1Char"/>
    <w:uiPriority w:val="9"/>
    <w:qFormat/>
    <w:rsid w:val="00EF0C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C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C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C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C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C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C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C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C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C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C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C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C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C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C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C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C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C77"/>
    <w:rPr>
      <w:rFonts w:eastAsiaTheme="majorEastAsia" w:cstheme="majorBidi"/>
      <w:color w:val="272727" w:themeColor="text1" w:themeTint="D8"/>
    </w:rPr>
  </w:style>
  <w:style w:type="paragraph" w:styleId="Title">
    <w:name w:val="Title"/>
    <w:basedOn w:val="Normal"/>
    <w:next w:val="Normal"/>
    <w:link w:val="TitleChar"/>
    <w:uiPriority w:val="10"/>
    <w:qFormat/>
    <w:rsid w:val="00EF0C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C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C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C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C77"/>
    <w:pPr>
      <w:spacing w:before="160"/>
      <w:jc w:val="center"/>
    </w:pPr>
    <w:rPr>
      <w:i/>
      <w:iCs/>
      <w:color w:val="404040" w:themeColor="text1" w:themeTint="BF"/>
    </w:rPr>
  </w:style>
  <w:style w:type="character" w:customStyle="1" w:styleId="QuoteChar">
    <w:name w:val="Quote Char"/>
    <w:basedOn w:val="DefaultParagraphFont"/>
    <w:link w:val="Quote"/>
    <w:uiPriority w:val="29"/>
    <w:rsid w:val="00EF0C77"/>
    <w:rPr>
      <w:i/>
      <w:iCs/>
      <w:color w:val="404040" w:themeColor="text1" w:themeTint="BF"/>
    </w:rPr>
  </w:style>
  <w:style w:type="paragraph" w:styleId="ListParagraph">
    <w:name w:val="List Paragraph"/>
    <w:basedOn w:val="Normal"/>
    <w:uiPriority w:val="34"/>
    <w:qFormat/>
    <w:rsid w:val="00EF0C77"/>
    <w:pPr>
      <w:ind w:left="720"/>
      <w:contextualSpacing/>
    </w:pPr>
  </w:style>
  <w:style w:type="character" w:styleId="IntenseEmphasis">
    <w:name w:val="Intense Emphasis"/>
    <w:basedOn w:val="DefaultParagraphFont"/>
    <w:uiPriority w:val="21"/>
    <w:qFormat/>
    <w:rsid w:val="00EF0C77"/>
    <w:rPr>
      <w:i/>
      <w:iCs/>
      <w:color w:val="0F4761" w:themeColor="accent1" w:themeShade="BF"/>
    </w:rPr>
  </w:style>
  <w:style w:type="paragraph" w:styleId="IntenseQuote">
    <w:name w:val="Intense Quote"/>
    <w:basedOn w:val="Normal"/>
    <w:next w:val="Normal"/>
    <w:link w:val="IntenseQuoteChar"/>
    <w:uiPriority w:val="30"/>
    <w:qFormat/>
    <w:rsid w:val="00EF0C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C77"/>
    <w:rPr>
      <w:i/>
      <w:iCs/>
      <w:color w:val="0F4761" w:themeColor="accent1" w:themeShade="BF"/>
    </w:rPr>
  </w:style>
  <w:style w:type="character" w:styleId="IntenseReference">
    <w:name w:val="Intense Reference"/>
    <w:basedOn w:val="DefaultParagraphFont"/>
    <w:uiPriority w:val="32"/>
    <w:qFormat/>
    <w:rsid w:val="00EF0C77"/>
    <w:rPr>
      <w:b/>
      <w:bCs/>
      <w:smallCaps/>
      <w:color w:val="0F4761" w:themeColor="accent1" w:themeShade="BF"/>
      <w:spacing w:val="5"/>
    </w:rPr>
  </w:style>
  <w:style w:type="paragraph" w:styleId="Header">
    <w:name w:val="header"/>
    <w:basedOn w:val="Normal"/>
    <w:link w:val="HeaderChar"/>
    <w:uiPriority w:val="99"/>
    <w:unhideWhenUsed/>
    <w:rsid w:val="00D45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990"/>
  </w:style>
  <w:style w:type="paragraph" w:styleId="Footer">
    <w:name w:val="footer"/>
    <w:basedOn w:val="Normal"/>
    <w:link w:val="FooterChar"/>
    <w:uiPriority w:val="99"/>
    <w:unhideWhenUsed/>
    <w:rsid w:val="00D45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990"/>
  </w:style>
  <w:style w:type="character" w:styleId="Hyperlink">
    <w:name w:val="Hyperlink"/>
    <w:basedOn w:val="DefaultParagraphFont"/>
    <w:uiPriority w:val="99"/>
    <w:unhideWhenUsed/>
    <w:rsid w:val="00066357"/>
    <w:rPr>
      <w:color w:val="467886" w:themeColor="hyperlink"/>
      <w:u w:val="single"/>
    </w:rPr>
  </w:style>
  <w:style w:type="character" w:styleId="UnresolvedMention">
    <w:name w:val="Unresolved Mention"/>
    <w:basedOn w:val="DefaultParagraphFont"/>
    <w:uiPriority w:val="99"/>
    <w:semiHidden/>
    <w:unhideWhenUsed/>
    <w:rsid w:val="00066357"/>
    <w:rPr>
      <w:color w:val="605E5C"/>
      <w:shd w:val="clear" w:color="auto" w:fill="E1DFDD"/>
    </w:rPr>
  </w:style>
  <w:style w:type="character" w:styleId="LineNumber">
    <w:name w:val="line number"/>
    <w:basedOn w:val="DefaultParagraphFont"/>
    <w:uiPriority w:val="99"/>
    <w:semiHidden/>
    <w:unhideWhenUsed/>
    <w:rsid w:val="00F16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3" Type="http://schemas.openxmlformats.org/officeDocument/2006/relationships/webSettings" Target="webSettings.xml"/><Relationship Id="rId7" Type="http://schemas.openxmlformats.org/officeDocument/2006/relationships/hyperlink" Target="https://www.alzheimers.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geuk.org.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89</TotalTime>
  <Pages>7</Pages>
  <Words>1724</Words>
  <Characters>9828</Characters>
  <Application>Microsoft Office Word</Application>
  <DocSecurity>0</DocSecurity>
  <Lines>81</Lines>
  <Paragraphs>23</Paragraphs>
  <ScaleCrop>false</ScaleCrop>
  <Company/>
  <LinksUpToDate>false</LinksUpToDate>
  <CharactersWithSpaces>11529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Zabiar, Wannia</dc:creator>
  <cp:keywords/>
  <dc:description/>
  <cp:lastModifiedBy>Zabiar, Wannia</cp:lastModifiedBy>
  <cp:revision>62</cp:revision>
  <dcterms:created xsi:type="dcterms:W3CDTF">2026-03-17T22:51:00Z</dcterms:created>
  <dcterms:modified xsi:type="dcterms:W3CDTF">2026-03-22T12:28:00Z</dcterms:modified>
</cp:coreProperties>
</file>