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D4640" w14:textId="77777777" w:rsidR="009E0733" w:rsidRDefault="00D00BD7" w:rsidP="00F279CF">
      <w:pPr>
        <w:spacing w:line="360" w:lineRule="auto"/>
        <w:jc w:val="center"/>
        <w:rPr>
          <w:rFonts w:ascii="Arial" w:eastAsia="Times New Roman" w:hAnsi="Arial" w:cs="Arial"/>
          <w:b/>
          <w:bCs/>
          <w:color w:val="000000"/>
        </w:rPr>
      </w:pPr>
      <w:r w:rsidRPr="00077BFA">
        <w:rPr>
          <w:rFonts w:ascii="Arial" w:eastAsia="Times New Roman" w:hAnsi="Arial" w:cs="Arial"/>
          <w:b/>
          <w:bCs/>
          <w:color w:val="000000"/>
        </w:rPr>
        <w:t>Applying Person-Centred Care, Partnership Working, and Ethical Practice to Improve Quality in Health and Social Care: A Reflective Analysis</w:t>
      </w:r>
      <w:r w:rsidR="006D561A">
        <w:rPr>
          <w:rFonts w:ascii="Arial" w:eastAsia="Times New Roman" w:hAnsi="Arial" w:cs="Arial"/>
          <w:b/>
          <w:bCs/>
          <w:color w:val="000000"/>
        </w:rPr>
        <w:t>.</w:t>
      </w:r>
    </w:p>
    <w:p w14:paraId="07BBA231" w14:textId="77777777" w:rsidR="006D561A" w:rsidRDefault="006D561A" w:rsidP="00F279CF">
      <w:pPr>
        <w:spacing w:line="360" w:lineRule="auto"/>
        <w:jc w:val="center"/>
        <w:rPr>
          <w:rFonts w:ascii="Arial" w:eastAsia="Times New Roman" w:hAnsi="Arial" w:cs="Arial"/>
          <w:b/>
          <w:bCs/>
          <w:color w:val="000000"/>
        </w:rPr>
      </w:pPr>
    </w:p>
    <w:p w14:paraId="110B7B91" w14:textId="77777777" w:rsidR="006D561A" w:rsidRDefault="006D561A" w:rsidP="00F279CF">
      <w:pPr>
        <w:spacing w:line="360" w:lineRule="auto"/>
        <w:jc w:val="center"/>
        <w:rPr>
          <w:rFonts w:ascii="Arial" w:eastAsia="Times New Roman" w:hAnsi="Arial" w:cs="Arial"/>
          <w:b/>
          <w:bCs/>
          <w:color w:val="000000"/>
        </w:rPr>
      </w:pPr>
      <w:r>
        <w:rPr>
          <w:rFonts w:ascii="Arial" w:eastAsia="Times New Roman" w:hAnsi="Arial" w:cs="Arial"/>
          <w:b/>
          <w:bCs/>
          <w:color w:val="000000"/>
        </w:rPr>
        <w:t>NAME:     CHINAEMEREM   IHENACHO</w:t>
      </w:r>
    </w:p>
    <w:p w14:paraId="3772A809" w14:textId="77777777" w:rsidR="006D561A" w:rsidRDefault="006D561A" w:rsidP="00F279CF">
      <w:pPr>
        <w:spacing w:line="360" w:lineRule="auto"/>
        <w:jc w:val="center"/>
        <w:rPr>
          <w:rFonts w:ascii="Arial" w:eastAsia="Times New Roman" w:hAnsi="Arial" w:cs="Arial"/>
          <w:b/>
          <w:bCs/>
          <w:color w:val="000000"/>
        </w:rPr>
      </w:pPr>
    </w:p>
    <w:p w14:paraId="5FF2249F" w14:textId="77777777" w:rsidR="006D561A" w:rsidRDefault="006D561A" w:rsidP="00F279CF">
      <w:pPr>
        <w:spacing w:line="360" w:lineRule="auto"/>
        <w:jc w:val="center"/>
        <w:rPr>
          <w:rFonts w:ascii="Arial" w:eastAsia="Times New Roman" w:hAnsi="Arial" w:cs="Arial"/>
          <w:b/>
          <w:bCs/>
          <w:color w:val="000000"/>
        </w:rPr>
      </w:pPr>
      <w:r>
        <w:rPr>
          <w:rFonts w:ascii="Arial" w:eastAsia="Times New Roman" w:hAnsi="Arial" w:cs="Arial"/>
          <w:b/>
          <w:bCs/>
          <w:color w:val="000000"/>
        </w:rPr>
        <w:t>S/N:   2311669</w:t>
      </w:r>
    </w:p>
    <w:p w14:paraId="60CB2C1D" w14:textId="77777777" w:rsidR="006D561A" w:rsidRDefault="006D561A" w:rsidP="00F279CF">
      <w:pPr>
        <w:spacing w:line="360" w:lineRule="auto"/>
        <w:jc w:val="center"/>
        <w:rPr>
          <w:rFonts w:ascii="Arial" w:eastAsia="Times New Roman" w:hAnsi="Arial" w:cs="Arial"/>
          <w:b/>
          <w:bCs/>
          <w:color w:val="000000"/>
        </w:rPr>
      </w:pPr>
    </w:p>
    <w:p w14:paraId="2E3A8A8F" w14:textId="77777777" w:rsidR="006D561A" w:rsidRDefault="006D561A" w:rsidP="00F279CF">
      <w:pPr>
        <w:spacing w:line="360" w:lineRule="auto"/>
        <w:jc w:val="center"/>
        <w:rPr>
          <w:rFonts w:ascii="Arial" w:eastAsia="Times New Roman" w:hAnsi="Arial" w:cs="Arial"/>
          <w:b/>
          <w:bCs/>
          <w:color w:val="000000"/>
        </w:rPr>
      </w:pPr>
      <w:r>
        <w:rPr>
          <w:rFonts w:ascii="Arial" w:eastAsia="Times New Roman" w:hAnsi="Arial" w:cs="Arial"/>
          <w:b/>
          <w:bCs/>
          <w:color w:val="000000"/>
        </w:rPr>
        <w:t>COURSE: PRINCIPLE OF HEALTH AND SOCIAL CARE PRACTICE</w:t>
      </w:r>
    </w:p>
    <w:p w14:paraId="03BCC1B1" w14:textId="77777777" w:rsidR="006D561A" w:rsidRDefault="006D561A" w:rsidP="00F279CF">
      <w:pPr>
        <w:spacing w:line="360" w:lineRule="auto"/>
        <w:jc w:val="center"/>
        <w:rPr>
          <w:rFonts w:ascii="Arial" w:eastAsia="Times New Roman" w:hAnsi="Arial" w:cs="Arial"/>
          <w:b/>
          <w:bCs/>
          <w:color w:val="000000"/>
        </w:rPr>
      </w:pPr>
    </w:p>
    <w:p w14:paraId="49419023" w14:textId="77777777" w:rsidR="006D561A" w:rsidRDefault="006D561A" w:rsidP="00F279CF">
      <w:pPr>
        <w:spacing w:line="360" w:lineRule="auto"/>
        <w:jc w:val="center"/>
        <w:rPr>
          <w:rFonts w:ascii="Arial" w:eastAsia="Times New Roman" w:hAnsi="Arial" w:cs="Arial"/>
          <w:b/>
          <w:bCs/>
          <w:color w:val="000000"/>
        </w:rPr>
      </w:pPr>
      <w:r>
        <w:rPr>
          <w:rFonts w:ascii="Arial" w:eastAsia="Times New Roman" w:hAnsi="Arial" w:cs="Arial"/>
          <w:b/>
          <w:bCs/>
          <w:color w:val="000000"/>
        </w:rPr>
        <w:t>COURSE CODE: BMHP5016</w:t>
      </w:r>
    </w:p>
    <w:p w14:paraId="7BB5C543" w14:textId="77777777" w:rsidR="006D561A" w:rsidRDefault="006D561A" w:rsidP="00F279CF">
      <w:pPr>
        <w:spacing w:line="360" w:lineRule="auto"/>
        <w:jc w:val="center"/>
        <w:rPr>
          <w:rFonts w:ascii="Arial" w:eastAsia="Times New Roman" w:hAnsi="Arial" w:cs="Arial"/>
          <w:b/>
          <w:bCs/>
          <w:color w:val="000000"/>
        </w:rPr>
      </w:pPr>
    </w:p>
    <w:p w14:paraId="363D5717" w14:textId="3C700806" w:rsidR="006D561A" w:rsidRPr="00077BFA" w:rsidRDefault="006D561A" w:rsidP="00F279CF">
      <w:pPr>
        <w:spacing w:line="360" w:lineRule="auto"/>
        <w:jc w:val="center"/>
        <w:rPr>
          <w:rFonts w:ascii="Arial" w:hAnsi="Arial" w:cs="Arial"/>
          <w:b/>
          <w:bCs/>
        </w:rPr>
        <w:sectPr w:rsidR="006D561A" w:rsidRPr="00077BF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r>
        <w:rPr>
          <w:rFonts w:ascii="Arial" w:eastAsia="Times New Roman" w:hAnsi="Arial" w:cs="Arial"/>
          <w:b/>
          <w:bCs/>
          <w:color w:val="000000"/>
        </w:rPr>
        <w:t>LECTURER:  FARAH ISLAM</w:t>
      </w:r>
    </w:p>
    <w:sdt>
      <w:sdtPr>
        <w:id w:val="1812400262"/>
        <w:docPartObj>
          <w:docPartGallery w:val="Table of Contents"/>
          <w:docPartUnique/>
        </w:docPartObj>
      </w:sdtPr>
      <w:sdtContent>
        <w:p w14:paraId="025CA0C9" w14:textId="6D3BEB01" w:rsidR="00DB2AF8" w:rsidRPr="00077BFA" w:rsidRDefault="009C4F5E" w:rsidP="001E5659">
          <w:pPr>
            <w:pStyle w:val="TOC1"/>
            <w:tabs>
              <w:tab w:val="left" w:pos="480"/>
              <w:tab w:val="right" w:leader="dot" w:pos="9015"/>
            </w:tabs>
            <w:jc w:val="center"/>
            <w:rPr>
              <w:b/>
              <w:bCs/>
            </w:rPr>
          </w:pPr>
          <w:r w:rsidRPr="00077BFA">
            <w:rPr>
              <w:b/>
              <w:bCs/>
            </w:rPr>
            <w:t>T</w:t>
          </w:r>
          <w:r w:rsidR="003E17ED" w:rsidRPr="00077BFA">
            <w:rPr>
              <w:b/>
              <w:bCs/>
            </w:rPr>
            <w:t xml:space="preserve">ABLE </w:t>
          </w:r>
          <w:r w:rsidR="00F75AF9" w:rsidRPr="00077BFA">
            <w:rPr>
              <w:b/>
              <w:bCs/>
            </w:rPr>
            <w:t>OF CONTEN</w:t>
          </w:r>
          <w:r w:rsidR="001E5659" w:rsidRPr="00077BFA">
            <w:rPr>
              <w:b/>
              <w:bCs/>
            </w:rPr>
            <w:t>T</w:t>
          </w:r>
          <w:r w:rsidR="00500D67" w:rsidRPr="00077BFA">
            <w:rPr>
              <w:b/>
              <w:bCs/>
            </w:rPr>
            <w:t>S</w:t>
          </w:r>
        </w:p>
        <w:p w14:paraId="441E03ED" w14:textId="0B6B270E" w:rsidR="06BD3846" w:rsidRPr="00077BFA" w:rsidRDefault="00000000" w:rsidP="06BD3846">
          <w:pPr>
            <w:pStyle w:val="TOC1"/>
            <w:tabs>
              <w:tab w:val="right" w:leader="dot" w:pos="9015"/>
            </w:tabs>
            <w:rPr>
              <w:rStyle w:val="Hyperlink"/>
            </w:rPr>
          </w:pPr>
        </w:p>
      </w:sdtContent>
    </w:sdt>
    <w:sdt>
      <w:sdtPr>
        <w:rPr>
          <w:color w:val="467886"/>
          <w:u w:val="single"/>
        </w:rPr>
        <w:id w:val="879493577"/>
        <w:docPartObj>
          <w:docPartGallery w:val="Table of Contents"/>
          <w:docPartUnique/>
        </w:docPartObj>
      </w:sdtPr>
      <w:sdtEndPr>
        <w:rPr>
          <w:color w:val="auto"/>
          <w:u w:val="none"/>
        </w:rPr>
      </w:sdtEndPr>
      <w:sdtContent>
        <w:p w14:paraId="2CAE1574" w14:textId="4C868556" w:rsidR="0025024D" w:rsidRDefault="06BD3846">
          <w:pPr>
            <w:pStyle w:val="TOC1"/>
            <w:tabs>
              <w:tab w:val="right" w:leader="dot" w:pos="9016"/>
            </w:tabs>
            <w:rPr>
              <w:noProof/>
            </w:rPr>
          </w:pPr>
          <w:r w:rsidRPr="00077BFA">
            <w:fldChar w:fldCharType="begin"/>
          </w:r>
          <w:r w:rsidRPr="00077BFA">
            <w:instrText>TOC \o \z \u \h</w:instrText>
          </w:r>
          <w:r w:rsidRPr="00077BFA">
            <w:fldChar w:fldCharType="separate"/>
          </w:r>
          <w:hyperlink w:anchor="_Toc210898339" w:history="1">
            <w:r w:rsidR="0025024D" w:rsidRPr="0083660C">
              <w:rPr>
                <w:rStyle w:val="Hyperlink"/>
                <w:rFonts w:ascii="Arial" w:eastAsia="Arial" w:hAnsi="Arial" w:cs="Arial"/>
                <w:noProof/>
              </w:rPr>
              <w:t>1. Introduction</w:t>
            </w:r>
            <w:r w:rsidR="0025024D">
              <w:rPr>
                <w:noProof/>
                <w:webHidden/>
              </w:rPr>
              <w:tab/>
            </w:r>
            <w:r w:rsidR="0025024D">
              <w:rPr>
                <w:noProof/>
                <w:webHidden/>
              </w:rPr>
              <w:fldChar w:fldCharType="begin"/>
            </w:r>
            <w:r w:rsidR="0025024D">
              <w:rPr>
                <w:noProof/>
                <w:webHidden/>
              </w:rPr>
              <w:instrText xml:space="preserve"> PAGEREF _Toc210898339 \h </w:instrText>
            </w:r>
            <w:r w:rsidR="0025024D">
              <w:rPr>
                <w:noProof/>
                <w:webHidden/>
              </w:rPr>
            </w:r>
            <w:r w:rsidR="0025024D">
              <w:rPr>
                <w:noProof/>
                <w:webHidden/>
              </w:rPr>
              <w:fldChar w:fldCharType="separate"/>
            </w:r>
            <w:r w:rsidR="0025024D">
              <w:rPr>
                <w:noProof/>
                <w:webHidden/>
              </w:rPr>
              <w:t>3</w:t>
            </w:r>
            <w:r w:rsidR="0025024D">
              <w:rPr>
                <w:noProof/>
                <w:webHidden/>
              </w:rPr>
              <w:fldChar w:fldCharType="end"/>
            </w:r>
          </w:hyperlink>
        </w:p>
        <w:p w14:paraId="2D79C587" w14:textId="6DFF0C06" w:rsidR="0025024D" w:rsidRDefault="0025024D">
          <w:pPr>
            <w:pStyle w:val="TOC1"/>
            <w:tabs>
              <w:tab w:val="right" w:leader="dot" w:pos="9016"/>
            </w:tabs>
            <w:rPr>
              <w:noProof/>
            </w:rPr>
          </w:pPr>
          <w:hyperlink w:anchor="_Toc210898340" w:history="1">
            <w:r w:rsidRPr="0083660C">
              <w:rPr>
                <w:rStyle w:val="Hyperlink"/>
                <w:noProof/>
              </w:rPr>
              <w:t>2. Reflection on the Importance of Principles</w:t>
            </w:r>
            <w:r>
              <w:rPr>
                <w:noProof/>
                <w:webHidden/>
              </w:rPr>
              <w:tab/>
            </w:r>
            <w:r>
              <w:rPr>
                <w:noProof/>
                <w:webHidden/>
              </w:rPr>
              <w:fldChar w:fldCharType="begin"/>
            </w:r>
            <w:r>
              <w:rPr>
                <w:noProof/>
                <w:webHidden/>
              </w:rPr>
              <w:instrText xml:space="preserve"> PAGEREF _Toc210898340 \h </w:instrText>
            </w:r>
            <w:r>
              <w:rPr>
                <w:noProof/>
                <w:webHidden/>
              </w:rPr>
            </w:r>
            <w:r>
              <w:rPr>
                <w:noProof/>
                <w:webHidden/>
              </w:rPr>
              <w:fldChar w:fldCharType="separate"/>
            </w:r>
            <w:r>
              <w:rPr>
                <w:noProof/>
                <w:webHidden/>
              </w:rPr>
              <w:t>3</w:t>
            </w:r>
            <w:r>
              <w:rPr>
                <w:noProof/>
                <w:webHidden/>
              </w:rPr>
              <w:fldChar w:fldCharType="end"/>
            </w:r>
          </w:hyperlink>
        </w:p>
        <w:p w14:paraId="339BA356" w14:textId="2CD1071F" w:rsidR="0025024D" w:rsidRDefault="0025024D">
          <w:pPr>
            <w:pStyle w:val="TOC1"/>
            <w:tabs>
              <w:tab w:val="right" w:leader="dot" w:pos="9016"/>
            </w:tabs>
            <w:rPr>
              <w:noProof/>
            </w:rPr>
          </w:pPr>
          <w:hyperlink w:anchor="_Toc210898341" w:history="1">
            <w:r w:rsidRPr="0083660C">
              <w:rPr>
                <w:rStyle w:val="Hyperlink"/>
                <w:noProof/>
              </w:rPr>
              <w:t>3. Application of Principles in Practice</w:t>
            </w:r>
            <w:r>
              <w:rPr>
                <w:noProof/>
                <w:webHidden/>
              </w:rPr>
              <w:tab/>
            </w:r>
            <w:r>
              <w:rPr>
                <w:noProof/>
                <w:webHidden/>
              </w:rPr>
              <w:fldChar w:fldCharType="begin"/>
            </w:r>
            <w:r>
              <w:rPr>
                <w:noProof/>
                <w:webHidden/>
              </w:rPr>
              <w:instrText xml:space="preserve"> PAGEREF _Toc210898341 \h </w:instrText>
            </w:r>
            <w:r>
              <w:rPr>
                <w:noProof/>
                <w:webHidden/>
              </w:rPr>
            </w:r>
            <w:r>
              <w:rPr>
                <w:noProof/>
                <w:webHidden/>
              </w:rPr>
              <w:fldChar w:fldCharType="separate"/>
            </w:r>
            <w:r>
              <w:rPr>
                <w:noProof/>
                <w:webHidden/>
              </w:rPr>
              <w:t>4</w:t>
            </w:r>
            <w:r>
              <w:rPr>
                <w:noProof/>
                <w:webHidden/>
              </w:rPr>
              <w:fldChar w:fldCharType="end"/>
            </w:r>
          </w:hyperlink>
        </w:p>
        <w:p w14:paraId="74D5E52B" w14:textId="62839E3A" w:rsidR="0025024D" w:rsidRDefault="0025024D">
          <w:pPr>
            <w:pStyle w:val="TOC1"/>
            <w:tabs>
              <w:tab w:val="right" w:leader="dot" w:pos="9016"/>
            </w:tabs>
            <w:rPr>
              <w:noProof/>
            </w:rPr>
          </w:pPr>
          <w:hyperlink w:anchor="_Toc210898342" w:history="1">
            <w:r w:rsidRPr="0083660C">
              <w:rPr>
                <w:rStyle w:val="Hyperlink"/>
                <w:noProof/>
              </w:rPr>
              <w:t>4. Personal Reflection on the Application of Principles in Practice</w:t>
            </w:r>
            <w:r>
              <w:rPr>
                <w:noProof/>
                <w:webHidden/>
              </w:rPr>
              <w:tab/>
            </w:r>
            <w:r>
              <w:rPr>
                <w:noProof/>
                <w:webHidden/>
              </w:rPr>
              <w:fldChar w:fldCharType="begin"/>
            </w:r>
            <w:r>
              <w:rPr>
                <w:noProof/>
                <w:webHidden/>
              </w:rPr>
              <w:instrText xml:space="preserve"> PAGEREF _Toc210898342 \h </w:instrText>
            </w:r>
            <w:r>
              <w:rPr>
                <w:noProof/>
                <w:webHidden/>
              </w:rPr>
            </w:r>
            <w:r>
              <w:rPr>
                <w:noProof/>
                <w:webHidden/>
              </w:rPr>
              <w:fldChar w:fldCharType="separate"/>
            </w:r>
            <w:r>
              <w:rPr>
                <w:noProof/>
                <w:webHidden/>
              </w:rPr>
              <w:t>5</w:t>
            </w:r>
            <w:r>
              <w:rPr>
                <w:noProof/>
                <w:webHidden/>
              </w:rPr>
              <w:fldChar w:fldCharType="end"/>
            </w:r>
          </w:hyperlink>
        </w:p>
        <w:p w14:paraId="4CC59509" w14:textId="139F708E" w:rsidR="0025024D" w:rsidRDefault="0025024D">
          <w:pPr>
            <w:pStyle w:val="TOC1"/>
            <w:tabs>
              <w:tab w:val="right" w:leader="dot" w:pos="9016"/>
            </w:tabs>
            <w:rPr>
              <w:noProof/>
            </w:rPr>
          </w:pPr>
          <w:hyperlink w:anchor="_Toc210898343" w:history="1">
            <w:r w:rsidRPr="0083660C">
              <w:rPr>
                <w:rStyle w:val="Hyperlink"/>
                <w:noProof/>
              </w:rPr>
              <w:t>5. Conclusion</w:t>
            </w:r>
            <w:r>
              <w:rPr>
                <w:noProof/>
                <w:webHidden/>
              </w:rPr>
              <w:tab/>
            </w:r>
            <w:r>
              <w:rPr>
                <w:noProof/>
                <w:webHidden/>
              </w:rPr>
              <w:fldChar w:fldCharType="begin"/>
            </w:r>
            <w:r>
              <w:rPr>
                <w:noProof/>
                <w:webHidden/>
              </w:rPr>
              <w:instrText xml:space="preserve"> PAGEREF _Toc210898343 \h </w:instrText>
            </w:r>
            <w:r>
              <w:rPr>
                <w:noProof/>
                <w:webHidden/>
              </w:rPr>
            </w:r>
            <w:r>
              <w:rPr>
                <w:noProof/>
                <w:webHidden/>
              </w:rPr>
              <w:fldChar w:fldCharType="separate"/>
            </w:r>
            <w:r>
              <w:rPr>
                <w:noProof/>
                <w:webHidden/>
              </w:rPr>
              <w:t>8</w:t>
            </w:r>
            <w:r>
              <w:rPr>
                <w:noProof/>
                <w:webHidden/>
              </w:rPr>
              <w:fldChar w:fldCharType="end"/>
            </w:r>
          </w:hyperlink>
        </w:p>
        <w:p w14:paraId="73EDDBCC" w14:textId="52F36232" w:rsidR="06BD3846" w:rsidRPr="00077BFA" w:rsidRDefault="06BD3846" w:rsidP="06BD3846">
          <w:pPr>
            <w:pStyle w:val="TOC1"/>
            <w:tabs>
              <w:tab w:val="right" w:leader="dot" w:pos="9015"/>
            </w:tabs>
            <w:rPr>
              <w:rStyle w:val="Hyperlink"/>
            </w:rPr>
          </w:pPr>
          <w:r w:rsidRPr="00077BFA">
            <w:fldChar w:fldCharType="end"/>
          </w:r>
        </w:p>
      </w:sdtContent>
    </w:sdt>
    <w:p w14:paraId="307430BC" w14:textId="13F94D4A" w:rsidR="005D005C" w:rsidRPr="00077BFA" w:rsidRDefault="005D005C" w:rsidP="06BD3846">
      <w:pPr>
        <w:sectPr w:rsidR="005D005C" w:rsidRPr="00077BFA">
          <w:pgSz w:w="11906" w:h="16838"/>
          <w:pgMar w:top="1440" w:right="1440" w:bottom="1440" w:left="1440" w:header="708" w:footer="708" w:gutter="0"/>
          <w:cols w:space="708"/>
          <w:docGrid w:linePitch="360"/>
        </w:sectPr>
      </w:pPr>
    </w:p>
    <w:p w14:paraId="218122F4" w14:textId="17ED921F" w:rsidR="00DC3BEF" w:rsidRPr="00077BFA" w:rsidRDefault="00DA7A69" w:rsidP="00DA7A69">
      <w:pPr>
        <w:spacing w:line="360" w:lineRule="auto"/>
        <w:jc w:val="both"/>
        <w:rPr>
          <w:rFonts w:ascii="Arial" w:eastAsia="Arial" w:hAnsi="Arial" w:cs="Arial"/>
          <w:b/>
          <w:color w:val="000000" w:themeColor="text1"/>
          <w:sz w:val="22"/>
          <w:szCs w:val="22"/>
        </w:rPr>
      </w:pPr>
      <w:bookmarkStart w:id="0" w:name="_Toc1613761145"/>
      <w:bookmarkStart w:id="1" w:name="_Toc311314961"/>
      <w:bookmarkStart w:id="2" w:name="_Toc692540292"/>
      <w:bookmarkStart w:id="3" w:name="_Toc210898339"/>
      <w:r w:rsidRPr="00077BFA">
        <w:rPr>
          <w:rStyle w:val="Heading1Char"/>
          <w:rFonts w:ascii="Arial" w:eastAsia="Arial" w:hAnsi="Arial" w:cs="Arial"/>
          <w:lang w:val="en-GB"/>
        </w:rPr>
        <w:lastRenderedPageBreak/>
        <w:t xml:space="preserve">1. </w:t>
      </w:r>
      <w:r w:rsidR="00DC3BEF" w:rsidRPr="00077BFA">
        <w:rPr>
          <w:rStyle w:val="Heading1Char"/>
          <w:rFonts w:ascii="Arial" w:eastAsia="Arial" w:hAnsi="Arial" w:cs="Arial"/>
          <w:lang w:val="en-GB"/>
        </w:rPr>
        <w:t>Introduction</w:t>
      </w:r>
      <w:bookmarkEnd w:id="0"/>
      <w:bookmarkEnd w:id="1"/>
      <w:bookmarkEnd w:id="2"/>
      <w:bookmarkEnd w:id="3"/>
    </w:p>
    <w:p w14:paraId="433AA825" w14:textId="208A2D42" w:rsidR="00DC3BEF" w:rsidRPr="00077BFA" w:rsidRDefault="00322747" w:rsidP="00EB7595">
      <w:pPr>
        <w:spacing w:line="360" w:lineRule="auto"/>
        <w:jc w:val="both"/>
        <w:rPr>
          <w:rFonts w:ascii="Arial" w:hAnsi="Arial" w:cs="Arial"/>
          <w:sz w:val="22"/>
          <w:szCs w:val="22"/>
        </w:rPr>
      </w:pPr>
      <w:r w:rsidRPr="00077BFA">
        <w:rPr>
          <w:rFonts w:ascii="Arial" w:hAnsi="Arial" w:cs="Arial"/>
          <w:sz w:val="22"/>
          <w:szCs w:val="22"/>
        </w:rPr>
        <w:t xml:space="preserve">This report </w:t>
      </w:r>
      <w:r w:rsidR="00F94034" w:rsidRPr="00077BFA">
        <w:rPr>
          <w:rFonts w:ascii="Arial" w:hAnsi="Arial" w:cs="Arial"/>
          <w:sz w:val="22"/>
          <w:szCs w:val="22"/>
        </w:rPr>
        <w:t>focuses on</w:t>
      </w:r>
      <w:r w:rsidR="664635A4" w:rsidRPr="00077BFA">
        <w:rPr>
          <w:rFonts w:ascii="Arial" w:hAnsi="Arial" w:cs="Arial"/>
          <w:sz w:val="22"/>
          <w:szCs w:val="22"/>
        </w:rPr>
        <w:t xml:space="preserve"> some </w:t>
      </w:r>
      <w:r w:rsidR="00F94034" w:rsidRPr="00077BFA">
        <w:rPr>
          <w:rFonts w:ascii="Arial" w:hAnsi="Arial" w:cs="Arial"/>
          <w:sz w:val="22"/>
          <w:szCs w:val="22"/>
        </w:rPr>
        <w:t>essential</w:t>
      </w:r>
      <w:r w:rsidR="00DC3BEF" w:rsidRPr="00077BFA">
        <w:rPr>
          <w:rFonts w:ascii="Arial" w:hAnsi="Arial" w:cs="Arial"/>
          <w:sz w:val="22"/>
          <w:szCs w:val="22"/>
        </w:rPr>
        <w:t xml:space="preserve"> </w:t>
      </w:r>
      <w:r w:rsidR="00173161" w:rsidRPr="00077BFA">
        <w:rPr>
          <w:rFonts w:ascii="Arial" w:hAnsi="Arial" w:cs="Arial"/>
          <w:sz w:val="22"/>
          <w:szCs w:val="22"/>
        </w:rPr>
        <w:t>principles of health and social care practice</w:t>
      </w:r>
      <w:r w:rsidR="00DC3BEF" w:rsidRPr="00077BFA">
        <w:rPr>
          <w:rFonts w:ascii="Arial" w:hAnsi="Arial" w:cs="Arial"/>
          <w:sz w:val="22"/>
          <w:szCs w:val="22"/>
        </w:rPr>
        <w:t xml:space="preserve">. </w:t>
      </w:r>
      <w:r w:rsidR="664635A4" w:rsidRPr="00077BFA">
        <w:rPr>
          <w:rFonts w:ascii="Arial" w:hAnsi="Arial" w:cs="Arial"/>
          <w:sz w:val="22"/>
          <w:szCs w:val="22"/>
        </w:rPr>
        <w:t>It aims to discuss</w:t>
      </w:r>
      <w:r w:rsidR="00DC3BEF" w:rsidRPr="00077BFA">
        <w:rPr>
          <w:rFonts w:ascii="Arial" w:hAnsi="Arial" w:cs="Arial"/>
          <w:sz w:val="22"/>
          <w:szCs w:val="22"/>
        </w:rPr>
        <w:t xml:space="preserve"> how person-centred care, partnership working and ethical considerations </w:t>
      </w:r>
      <w:r w:rsidR="664635A4" w:rsidRPr="00077BFA">
        <w:rPr>
          <w:rFonts w:ascii="Arial" w:hAnsi="Arial" w:cs="Arial"/>
          <w:sz w:val="22"/>
          <w:szCs w:val="22"/>
        </w:rPr>
        <w:t>offer</w:t>
      </w:r>
      <w:r w:rsidR="00DC3BEF" w:rsidRPr="00077BFA">
        <w:rPr>
          <w:rFonts w:ascii="Arial" w:hAnsi="Arial" w:cs="Arial"/>
          <w:sz w:val="22"/>
          <w:szCs w:val="22"/>
        </w:rPr>
        <w:t xml:space="preserve"> high-quality</w:t>
      </w:r>
      <w:r w:rsidR="00F94034" w:rsidRPr="00077BFA">
        <w:rPr>
          <w:rFonts w:ascii="Arial" w:hAnsi="Arial" w:cs="Arial"/>
          <w:sz w:val="22"/>
          <w:szCs w:val="22"/>
        </w:rPr>
        <w:t>,</w:t>
      </w:r>
      <w:r w:rsidR="00DC3BEF" w:rsidRPr="00077BFA">
        <w:rPr>
          <w:rFonts w:ascii="Arial" w:hAnsi="Arial" w:cs="Arial"/>
          <w:sz w:val="22"/>
          <w:szCs w:val="22"/>
        </w:rPr>
        <w:t xml:space="preserve"> safe and compassionate services. </w:t>
      </w:r>
      <w:r w:rsidR="664635A4" w:rsidRPr="00077BFA">
        <w:rPr>
          <w:rFonts w:ascii="Arial" w:hAnsi="Arial" w:cs="Arial"/>
          <w:sz w:val="22"/>
          <w:szCs w:val="22"/>
        </w:rPr>
        <w:t xml:space="preserve">Based on the available </w:t>
      </w:r>
      <w:r w:rsidR="00DC3BEF" w:rsidRPr="00077BFA">
        <w:rPr>
          <w:rFonts w:ascii="Arial" w:hAnsi="Arial" w:cs="Arial"/>
          <w:sz w:val="22"/>
          <w:szCs w:val="22"/>
        </w:rPr>
        <w:t>theories, professional codes</w:t>
      </w:r>
      <w:r w:rsidR="006261F9" w:rsidRPr="00077BFA">
        <w:rPr>
          <w:rFonts w:ascii="Arial" w:hAnsi="Arial" w:cs="Arial"/>
          <w:sz w:val="22"/>
          <w:szCs w:val="22"/>
        </w:rPr>
        <w:t>, and laws, the discussion will analyse how these principles are implemented into real-life practice to support individuals' well-being and autonomy</w:t>
      </w:r>
      <w:r w:rsidR="664635A4" w:rsidRPr="00077BFA">
        <w:rPr>
          <w:rFonts w:ascii="Arial" w:hAnsi="Arial" w:cs="Arial"/>
          <w:sz w:val="22"/>
          <w:szCs w:val="22"/>
        </w:rPr>
        <w:t xml:space="preserve">. The </w:t>
      </w:r>
      <w:r w:rsidR="00DC3BEF" w:rsidRPr="00077BFA">
        <w:rPr>
          <w:rFonts w:ascii="Arial" w:hAnsi="Arial" w:cs="Arial"/>
          <w:sz w:val="22"/>
          <w:szCs w:val="22"/>
        </w:rPr>
        <w:t>repor</w:t>
      </w:r>
      <w:r w:rsidR="00F94034" w:rsidRPr="00077BFA">
        <w:rPr>
          <w:rFonts w:ascii="Arial" w:hAnsi="Arial" w:cs="Arial"/>
          <w:sz w:val="22"/>
          <w:szCs w:val="22"/>
        </w:rPr>
        <w:t>t will use the case of Joan, one of the patients with chronic obstructive pulmonary disease and Crohn's disease, whose experience will be relevant to the report to show the relevance of collaborative, individualised and ethically informed care.</w:t>
      </w:r>
    </w:p>
    <w:p w14:paraId="38918875" w14:textId="5D0DA00B" w:rsidR="00BB1A98" w:rsidRPr="00077BFA" w:rsidRDefault="61610920" w:rsidP="06BD3846">
      <w:pPr>
        <w:pStyle w:val="Heading1"/>
        <w:rPr>
          <w:rFonts w:ascii="Arial" w:hAnsi="Arial" w:cs="Arial"/>
          <w:sz w:val="24"/>
          <w:szCs w:val="24"/>
          <w:lang w:val="en-GB"/>
        </w:rPr>
      </w:pPr>
      <w:bookmarkStart w:id="4" w:name="_Toc595197727"/>
      <w:bookmarkStart w:id="5" w:name="_Toc713233840"/>
      <w:bookmarkStart w:id="6" w:name="_Toc210898340"/>
      <w:r w:rsidRPr="00077BFA">
        <w:rPr>
          <w:lang w:val="en-GB"/>
        </w:rPr>
        <w:t xml:space="preserve">2. </w:t>
      </w:r>
      <w:r w:rsidR="00BB1A98" w:rsidRPr="00077BFA">
        <w:rPr>
          <w:lang w:val="en-GB"/>
        </w:rPr>
        <w:t>Reflection on the Importance of Principles</w:t>
      </w:r>
      <w:bookmarkEnd w:id="4"/>
      <w:bookmarkEnd w:id="5"/>
      <w:bookmarkEnd w:id="6"/>
    </w:p>
    <w:p w14:paraId="2BDE2F28" w14:textId="6A65923A" w:rsidR="005B2910" w:rsidRPr="00077BFA" w:rsidRDefault="00A24AF3" w:rsidP="4786E647">
      <w:pPr>
        <w:spacing w:line="360" w:lineRule="auto"/>
        <w:jc w:val="both"/>
        <w:rPr>
          <w:rFonts w:ascii="Arial" w:hAnsi="Arial" w:cs="Arial"/>
          <w:sz w:val="22"/>
          <w:szCs w:val="22"/>
        </w:rPr>
      </w:pPr>
      <w:r w:rsidRPr="00077BFA">
        <w:rPr>
          <w:rFonts w:ascii="Arial" w:hAnsi="Arial" w:cs="Arial"/>
          <w:sz w:val="22"/>
          <w:szCs w:val="22"/>
        </w:rPr>
        <w:t xml:space="preserve">Person-centred care is a foundation of quality health and social care practice, </w:t>
      </w:r>
      <w:r w:rsidR="00173161" w:rsidRPr="00077BFA">
        <w:rPr>
          <w:rFonts w:ascii="Arial" w:hAnsi="Arial" w:cs="Arial"/>
          <w:sz w:val="22"/>
          <w:szCs w:val="22"/>
        </w:rPr>
        <w:t>focusing</w:t>
      </w:r>
      <w:r w:rsidRPr="00077BFA">
        <w:rPr>
          <w:rFonts w:ascii="Arial" w:hAnsi="Arial" w:cs="Arial"/>
          <w:sz w:val="22"/>
          <w:szCs w:val="22"/>
        </w:rPr>
        <w:t xml:space="preserve"> on </w:t>
      </w:r>
      <w:r w:rsidR="005E3A10" w:rsidRPr="00077BFA">
        <w:rPr>
          <w:rFonts w:ascii="Arial" w:hAnsi="Arial" w:cs="Arial"/>
          <w:sz w:val="22"/>
          <w:szCs w:val="22"/>
        </w:rPr>
        <w:t>an individual's values, preferences and experiences</w:t>
      </w:r>
      <w:r w:rsidRPr="00077BFA">
        <w:rPr>
          <w:rFonts w:ascii="Arial" w:hAnsi="Arial" w:cs="Arial"/>
          <w:sz w:val="22"/>
          <w:szCs w:val="22"/>
        </w:rPr>
        <w:t xml:space="preserve">, rather than the illness itself (Santana et al., 2018; Andersson et al., 2022). The UK Health Foundation (2016) explains that </w:t>
      </w:r>
      <w:r w:rsidR="006617C0" w:rsidRPr="00077BFA">
        <w:rPr>
          <w:rFonts w:ascii="Arial" w:hAnsi="Arial" w:cs="Arial"/>
          <w:sz w:val="22"/>
          <w:szCs w:val="22"/>
        </w:rPr>
        <w:t>care is respectful and dignified and encourages</w:t>
      </w:r>
      <w:r w:rsidRPr="00077BFA">
        <w:rPr>
          <w:rFonts w:ascii="Arial" w:hAnsi="Arial" w:cs="Arial"/>
          <w:sz w:val="22"/>
          <w:szCs w:val="22"/>
        </w:rPr>
        <w:t xml:space="preserve"> </w:t>
      </w:r>
      <w:r w:rsidR="00F642E7" w:rsidRPr="00077BFA">
        <w:rPr>
          <w:rFonts w:ascii="Arial" w:hAnsi="Arial" w:cs="Arial"/>
          <w:sz w:val="22"/>
          <w:szCs w:val="22"/>
        </w:rPr>
        <w:t xml:space="preserve">respecting patient </w:t>
      </w:r>
      <w:r w:rsidRPr="00077BFA">
        <w:rPr>
          <w:rFonts w:ascii="Arial" w:hAnsi="Arial" w:cs="Arial"/>
          <w:sz w:val="22"/>
          <w:szCs w:val="22"/>
        </w:rPr>
        <w:t xml:space="preserve">choice and </w:t>
      </w:r>
      <w:r w:rsidR="00CE5A21" w:rsidRPr="00077BFA">
        <w:rPr>
          <w:rFonts w:ascii="Arial" w:hAnsi="Arial" w:cs="Arial"/>
          <w:sz w:val="22"/>
          <w:szCs w:val="22"/>
        </w:rPr>
        <w:t xml:space="preserve">autonomy. As a result, </w:t>
      </w:r>
      <w:r w:rsidR="005E3A10" w:rsidRPr="00077BFA">
        <w:rPr>
          <w:rFonts w:ascii="Arial" w:hAnsi="Arial" w:cs="Arial"/>
          <w:sz w:val="22"/>
          <w:szCs w:val="22"/>
        </w:rPr>
        <w:t>it aids in the establishment of meaningful relationships between the professionals and the service users.</w:t>
      </w:r>
      <w:r w:rsidR="7DC1BB48" w:rsidRPr="00077BFA">
        <w:rPr>
          <w:rFonts w:ascii="Arial" w:hAnsi="Arial" w:cs="Arial"/>
          <w:sz w:val="22"/>
          <w:szCs w:val="22"/>
        </w:rPr>
        <w:t xml:space="preserve"> This strategy is supported by the Care Act 2014</w:t>
      </w:r>
      <w:r w:rsidR="005E3A10" w:rsidRPr="00077BFA">
        <w:rPr>
          <w:rFonts w:ascii="Arial" w:hAnsi="Arial" w:cs="Arial"/>
          <w:sz w:val="22"/>
          <w:szCs w:val="22"/>
        </w:rPr>
        <w:t>, which emphasises the individual's well-being and empowerment as the priorities of service provision.</w:t>
      </w:r>
      <w:r w:rsidR="006617C0" w:rsidRPr="00077BFA">
        <w:rPr>
          <w:rFonts w:ascii="Arial" w:hAnsi="Arial" w:cs="Arial"/>
          <w:sz w:val="22"/>
          <w:szCs w:val="22"/>
        </w:rPr>
        <w:t xml:space="preserve"> </w:t>
      </w:r>
      <w:r w:rsidR="7DC1BB48" w:rsidRPr="00077BFA">
        <w:rPr>
          <w:rFonts w:ascii="Arial" w:hAnsi="Arial" w:cs="Arial"/>
          <w:sz w:val="22"/>
          <w:szCs w:val="22"/>
        </w:rPr>
        <w:t xml:space="preserve">The significance may be further elaborated with the help of </w:t>
      </w:r>
      <w:r w:rsidR="005B2910" w:rsidRPr="00077BFA">
        <w:rPr>
          <w:rFonts w:ascii="Arial" w:hAnsi="Arial" w:cs="Arial"/>
          <w:sz w:val="22"/>
          <w:szCs w:val="22"/>
        </w:rPr>
        <w:t xml:space="preserve">the </w:t>
      </w:r>
      <w:r w:rsidR="7DC1BB48" w:rsidRPr="00077BFA">
        <w:rPr>
          <w:rFonts w:ascii="Arial" w:hAnsi="Arial" w:cs="Arial"/>
          <w:sz w:val="22"/>
          <w:szCs w:val="22"/>
        </w:rPr>
        <w:t>Hierarchy of Needs by Maslow. When basic physiological and safety needs are fulfilled, the practitioners establish the basis of the upper-level objectives, e.g., self-esteem and self-actualisation</w:t>
      </w:r>
      <w:r w:rsidR="00EC0C24">
        <w:rPr>
          <w:rFonts w:ascii="Arial" w:hAnsi="Arial" w:cs="Arial"/>
          <w:sz w:val="22"/>
          <w:szCs w:val="22"/>
        </w:rPr>
        <w:t xml:space="preserve"> (Mustofa, 2022).</w:t>
      </w:r>
    </w:p>
    <w:p w14:paraId="2B451556" w14:textId="2C51E016" w:rsidR="007B7CED" w:rsidRPr="00077BFA" w:rsidRDefault="005D1B89" w:rsidP="007B7CED">
      <w:pPr>
        <w:spacing w:line="360" w:lineRule="auto"/>
        <w:jc w:val="both"/>
        <w:rPr>
          <w:rFonts w:ascii="Arial" w:hAnsi="Arial" w:cs="Arial"/>
          <w:sz w:val="22"/>
          <w:szCs w:val="22"/>
        </w:rPr>
      </w:pPr>
      <w:r>
        <w:rPr>
          <w:rFonts w:ascii="Arial" w:hAnsi="Arial" w:cs="Arial"/>
          <w:sz w:val="22"/>
          <w:szCs w:val="22"/>
        </w:rPr>
        <w:t xml:space="preserve">Despite </w:t>
      </w:r>
      <w:r w:rsidR="7DC1BB48" w:rsidRPr="00077BFA">
        <w:rPr>
          <w:rFonts w:ascii="Arial" w:hAnsi="Arial" w:cs="Arial"/>
          <w:sz w:val="22"/>
          <w:szCs w:val="22"/>
        </w:rPr>
        <w:t xml:space="preserve">these advantages, its real application is still a problem. </w:t>
      </w:r>
      <w:r w:rsidR="007B7CED" w:rsidRPr="00077BFA">
        <w:rPr>
          <w:rFonts w:ascii="Arial" w:hAnsi="Arial" w:cs="Arial"/>
          <w:sz w:val="22"/>
          <w:szCs w:val="22"/>
        </w:rPr>
        <w:t xml:space="preserve">The </w:t>
      </w:r>
      <w:r w:rsidR="00645524" w:rsidRPr="00077BFA">
        <w:rPr>
          <w:rFonts w:ascii="Arial" w:hAnsi="Arial" w:cs="Arial"/>
          <w:sz w:val="22"/>
          <w:szCs w:val="22"/>
        </w:rPr>
        <w:t xml:space="preserve">institutional </w:t>
      </w:r>
      <w:r w:rsidR="007B7CED" w:rsidRPr="00077BFA">
        <w:rPr>
          <w:rFonts w:ascii="Arial" w:hAnsi="Arial" w:cs="Arial"/>
          <w:sz w:val="22"/>
          <w:szCs w:val="22"/>
        </w:rPr>
        <w:t>routines, time</w:t>
      </w:r>
      <w:r w:rsidR="00645524" w:rsidRPr="00077BFA">
        <w:rPr>
          <w:rFonts w:ascii="Arial" w:hAnsi="Arial" w:cs="Arial"/>
          <w:sz w:val="22"/>
          <w:szCs w:val="22"/>
        </w:rPr>
        <w:t xml:space="preserve"> constraint</w:t>
      </w:r>
      <w:r w:rsidR="007B7CED" w:rsidRPr="00077BFA">
        <w:rPr>
          <w:rFonts w:ascii="Arial" w:hAnsi="Arial" w:cs="Arial"/>
          <w:sz w:val="22"/>
          <w:szCs w:val="22"/>
        </w:rPr>
        <w:t xml:space="preserve">, and pressure of work can lead to tokenistic and false engagements (Lateef </w:t>
      </w:r>
      <w:r>
        <w:rPr>
          <w:rFonts w:ascii="Arial" w:hAnsi="Arial" w:cs="Arial"/>
          <w:sz w:val="22"/>
          <w:szCs w:val="22"/>
        </w:rPr>
        <w:t>&amp;</w:t>
      </w:r>
      <w:r w:rsidR="007B7CED" w:rsidRPr="00077BFA">
        <w:rPr>
          <w:rFonts w:ascii="Arial" w:hAnsi="Arial" w:cs="Arial"/>
          <w:sz w:val="22"/>
          <w:szCs w:val="22"/>
        </w:rPr>
        <w:t xml:space="preserve"> Mhlongo, 2021; </w:t>
      </w:r>
      <w:proofErr w:type="spellStart"/>
      <w:r w:rsidR="007B7CED" w:rsidRPr="00077BFA">
        <w:rPr>
          <w:rFonts w:ascii="Arial" w:hAnsi="Arial" w:cs="Arial"/>
          <w:sz w:val="22"/>
          <w:szCs w:val="22"/>
        </w:rPr>
        <w:t>Kodom</w:t>
      </w:r>
      <w:proofErr w:type="spellEnd"/>
      <w:r w:rsidR="003A7011">
        <w:rPr>
          <w:rFonts w:ascii="Arial" w:hAnsi="Arial" w:cs="Arial"/>
          <w:sz w:val="22"/>
          <w:szCs w:val="22"/>
        </w:rPr>
        <w:t xml:space="preserve"> &amp;</w:t>
      </w:r>
      <w:r w:rsidR="007B7CED" w:rsidRPr="00077BFA">
        <w:rPr>
          <w:rFonts w:ascii="Arial" w:hAnsi="Arial" w:cs="Arial"/>
          <w:sz w:val="22"/>
          <w:szCs w:val="22"/>
        </w:rPr>
        <w:t xml:space="preserve"> </w:t>
      </w:r>
      <w:proofErr w:type="spellStart"/>
      <w:r w:rsidR="007B7CED" w:rsidRPr="00077BFA">
        <w:rPr>
          <w:rFonts w:ascii="Arial" w:hAnsi="Arial" w:cs="Arial"/>
          <w:sz w:val="22"/>
          <w:szCs w:val="22"/>
        </w:rPr>
        <w:t>Netangaheni</w:t>
      </w:r>
      <w:proofErr w:type="spellEnd"/>
      <w:r w:rsidR="00100812">
        <w:rPr>
          <w:rFonts w:ascii="Arial" w:hAnsi="Arial" w:cs="Arial"/>
          <w:sz w:val="22"/>
          <w:szCs w:val="22"/>
        </w:rPr>
        <w:t xml:space="preserve">, </w:t>
      </w:r>
      <w:r w:rsidR="007B7CED" w:rsidRPr="00077BFA">
        <w:rPr>
          <w:rFonts w:ascii="Arial" w:hAnsi="Arial" w:cs="Arial"/>
          <w:sz w:val="22"/>
          <w:szCs w:val="22"/>
        </w:rPr>
        <w:t>2024). Also, the absence of health literacy or cultural background gap</w:t>
      </w:r>
      <w:r w:rsidR="00600F77" w:rsidRPr="00077BFA">
        <w:rPr>
          <w:rFonts w:ascii="Arial" w:hAnsi="Arial" w:cs="Arial"/>
          <w:sz w:val="22"/>
          <w:szCs w:val="22"/>
        </w:rPr>
        <w:t>s</w:t>
      </w:r>
      <w:r w:rsidR="007B7CED" w:rsidRPr="00077BFA">
        <w:rPr>
          <w:rFonts w:ascii="Arial" w:hAnsi="Arial" w:cs="Arial"/>
          <w:sz w:val="22"/>
          <w:szCs w:val="22"/>
        </w:rPr>
        <w:t xml:space="preserve"> may also limit the ability of an individual to contribute to the decision (Holden et al., 2021). Person-centred care, therefore, needs organisational assistance, employee education, and structures that facilitate continuity, empathy and mutual decision-making. </w:t>
      </w:r>
    </w:p>
    <w:p w14:paraId="49274294" w14:textId="0E1AF3DF" w:rsidR="00F36E7E" w:rsidRPr="00077BFA" w:rsidRDefault="007B7CED" w:rsidP="007B7CED">
      <w:pPr>
        <w:spacing w:line="360" w:lineRule="auto"/>
        <w:jc w:val="both"/>
        <w:rPr>
          <w:rFonts w:ascii="Arial" w:hAnsi="Arial" w:cs="Arial"/>
          <w:sz w:val="22"/>
          <w:szCs w:val="22"/>
        </w:rPr>
      </w:pPr>
      <w:r w:rsidRPr="00077BFA">
        <w:rPr>
          <w:rFonts w:ascii="Arial" w:hAnsi="Arial" w:cs="Arial"/>
          <w:sz w:val="22"/>
          <w:szCs w:val="22"/>
        </w:rPr>
        <w:t xml:space="preserve">Furthermore, it also requires working in </w:t>
      </w:r>
      <w:r w:rsidR="00FC6129" w:rsidRPr="00077BFA">
        <w:rPr>
          <w:rFonts w:ascii="Arial" w:hAnsi="Arial" w:cs="Arial"/>
          <w:sz w:val="22"/>
          <w:szCs w:val="22"/>
        </w:rPr>
        <w:t>partnership</w:t>
      </w:r>
      <w:r w:rsidRPr="00077BFA">
        <w:rPr>
          <w:rFonts w:ascii="Arial" w:hAnsi="Arial" w:cs="Arial"/>
          <w:sz w:val="22"/>
          <w:szCs w:val="22"/>
        </w:rPr>
        <w:t xml:space="preserve">, which encourages collaboration among professionals, service users, carers and organisations in providing holistic care coordination (Davies, 2016; Sauvage and Ahluwalia, 2016). </w:t>
      </w:r>
      <w:r w:rsidR="00D304EA" w:rsidRPr="00077BFA">
        <w:rPr>
          <w:rFonts w:ascii="Arial" w:hAnsi="Arial" w:cs="Arial"/>
          <w:sz w:val="22"/>
          <w:szCs w:val="22"/>
        </w:rPr>
        <w:t>This aligns</w:t>
      </w:r>
      <w:r w:rsidR="00F542DD" w:rsidRPr="00077BFA">
        <w:rPr>
          <w:rFonts w:ascii="Arial" w:hAnsi="Arial" w:cs="Arial"/>
          <w:sz w:val="22"/>
          <w:szCs w:val="22"/>
        </w:rPr>
        <w:t xml:space="preserve"> with the Care Act (2014) and Health and Care Act (2022) </w:t>
      </w:r>
      <w:r w:rsidR="005C74B9" w:rsidRPr="00077BFA">
        <w:rPr>
          <w:rFonts w:ascii="Arial" w:hAnsi="Arial" w:cs="Arial"/>
          <w:sz w:val="22"/>
          <w:szCs w:val="22"/>
        </w:rPr>
        <w:t xml:space="preserve">which </w:t>
      </w:r>
      <w:r w:rsidR="00F542DD" w:rsidRPr="00077BFA">
        <w:rPr>
          <w:rFonts w:ascii="Arial" w:hAnsi="Arial" w:cs="Arial"/>
          <w:sz w:val="22"/>
          <w:szCs w:val="22"/>
        </w:rPr>
        <w:t>empha</w:t>
      </w:r>
      <w:r w:rsidR="00600F77" w:rsidRPr="00077BFA">
        <w:rPr>
          <w:rFonts w:ascii="Arial" w:hAnsi="Arial" w:cs="Arial"/>
          <w:sz w:val="22"/>
          <w:szCs w:val="22"/>
        </w:rPr>
        <w:t>s</w:t>
      </w:r>
      <w:r w:rsidR="005C74B9" w:rsidRPr="00077BFA">
        <w:rPr>
          <w:rFonts w:ascii="Arial" w:hAnsi="Arial" w:cs="Arial"/>
          <w:sz w:val="22"/>
          <w:szCs w:val="22"/>
        </w:rPr>
        <w:t>ise</w:t>
      </w:r>
      <w:r w:rsidR="00F542DD" w:rsidRPr="00077BFA">
        <w:rPr>
          <w:rFonts w:ascii="Arial" w:hAnsi="Arial" w:cs="Arial"/>
          <w:sz w:val="22"/>
          <w:szCs w:val="22"/>
        </w:rPr>
        <w:t xml:space="preserve"> the combination and cooperation of agencies to improve performance and decrease fragmentation</w:t>
      </w:r>
      <w:r w:rsidRPr="00077BFA">
        <w:rPr>
          <w:rFonts w:ascii="Arial" w:hAnsi="Arial" w:cs="Arial"/>
          <w:sz w:val="22"/>
          <w:szCs w:val="22"/>
        </w:rPr>
        <w:t>.</w:t>
      </w:r>
      <w:r w:rsidR="7DC1BB48" w:rsidRPr="00077BFA">
        <w:rPr>
          <w:rFonts w:ascii="Arial" w:hAnsi="Arial" w:cs="Arial"/>
          <w:sz w:val="22"/>
          <w:szCs w:val="22"/>
        </w:rPr>
        <w:t xml:space="preserve"> Practically, partnership working aids thorough evaluation, success in discharge planning and continuity of care of people with complex needs. The ecological systems theory by Bronfenbrenner demonstrates the importance of such collaboration</w:t>
      </w:r>
      <w:r w:rsidR="00314054" w:rsidRPr="00077BFA">
        <w:rPr>
          <w:rFonts w:ascii="Arial" w:hAnsi="Arial" w:cs="Arial"/>
          <w:sz w:val="22"/>
          <w:szCs w:val="22"/>
        </w:rPr>
        <w:t>,</w:t>
      </w:r>
      <w:r w:rsidR="7DC1BB48" w:rsidRPr="00077BFA">
        <w:rPr>
          <w:rFonts w:ascii="Arial" w:hAnsi="Arial" w:cs="Arial"/>
          <w:sz w:val="22"/>
          <w:szCs w:val="22"/>
        </w:rPr>
        <w:t xml:space="preserve"> as a person has various systems that affect </w:t>
      </w:r>
      <w:r w:rsidR="00314054" w:rsidRPr="00077BFA">
        <w:rPr>
          <w:rFonts w:ascii="Arial" w:hAnsi="Arial" w:cs="Arial"/>
          <w:sz w:val="22"/>
          <w:szCs w:val="22"/>
        </w:rPr>
        <w:t>their</w:t>
      </w:r>
      <w:r w:rsidR="7DC1BB48" w:rsidRPr="00077BFA">
        <w:rPr>
          <w:rFonts w:ascii="Arial" w:hAnsi="Arial" w:cs="Arial"/>
          <w:sz w:val="22"/>
          <w:szCs w:val="22"/>
        </w:rPr>
        <w:t xml:space="preserve"> wellbeing </w:t>
      </w:r>
      <w:r w:rsidR="7DC1BB48" w:rsidRPr="00077BFA">
        <w:rPr>
          <w:rFonts w:ascii="Arial" w:hAnsi="Arial" w:cs="Arial"/>
          <w:sz w:val="22"/>
          <w:szCs w:val="22"/>
        </w:rPr>
        <w:lastRenderedPageBreak/>
        <w:t>(Jackman et al., 2022).</w:t>
      </w:r>
      <w:r w:rsidR="2AC724A6" w:rsidRPr="00077BFA">
        <w:rPr>
          <w:rFonts w:ascii="Arial" w:hAnsi="Arial" w:cs="Arial"/>
          <w:sz w:val="22"/>
          <w:szCs w:val="22"/>
        </w:rPr>
        <w:t xml:space="preserve"> </w:t>
      </w:r>
      <w:r w:rsidR="7DC1BB48" w:rsidRPr="00077BFA">
        <w:rPr>
          <w:rFonts w:ascii="Arial" w:hAnsi="Arial" w:cs="Arial"/>
          <w:sz w:val="22"/>
          <w:szCs w:val="22"/>
        </w:rPr>
        <w:t xml:space="preserve">In this case, </w:t>
      </w:r>
      <w:r w:rsidR="00407BC0" w:rsidRPr="00077BFA">
        <w:rPr>
          <w:rFonts w:ascii="Arial" w:hAnsi="Arial" w:cs="Arial"/>
          <w:sz w:val="22"/>
          <w:szCs w:val="22"/>
        </w:rPr>
        <w:t>it may be family, community, healthcare structure,</w:t>
      </w:r>
      <w:r w:rsidR="7DC1BB48" w:rsidRPr="00077BFA">
        <w:rPr>
          <w:rFonts w:ascii="Arial" w:hAnsi="Arial" w:cs="Arial"/>
          <w:sz w:val="22"/>
          <w:szCs w:val="22"/>
        </w:rPr>
        <w:t xml:space="preserve"> and policy frameworks. Through collaborative efforts within such layers, practitioners </w:t>
      </w:r>
      <w:r w:rsidR="00F36E7E" w:rsidRPr="00077BFA">
        <w:rPr>
          <w:rFonts w:ascii="Arial" w:hAnsi="Arial" w:cs="Arial"/>
          <w:sz w:val="22"/>
          <w:szCs w:val="22"/>
        </w:rPr>
        <w:t>can</w:t>
      </w:r>
      <w:r w:rsidR="7DC1BB48" w:rsidRPr="00077BFA">
        <w:rPr>
          <w:rFonts w:ascii="Arial" w:hAnsi="Arial" w:cs="Arial"/>
          <w:sz w:val="22"/>
          <w:szCs w:val="22"/>
        </w:rPr>
        <w:t xml:space="preserve"> meet the entire scope of physical, psychological, and social demands of an individual.</w:t>
      </w:r>
    </w:p>
    <w:p w14:paraId="05A9602C" w14:textId="33D9632E" w:rsidR="7DC1BB48" w:rsidRPr="00077BFA" w:rsidRDefault="7DC1BB48" w:rsidP="4786E647">
      <w:pPr>
        <w:spacing w:line="360" w:lineRule="auto"/>
        <w:jc w:val="both"/>
      </w:pPr>
      <w:r w:rsidRPr="00077BFA">
        <w:rPr>
          <w:rFonts w:ascii="Arial" w:hAnsi="Arial" w:cs="Arial"/>
          <w:sz w:val="22"/>
          <w:szCs w:val="22"/>
        </w:rPr>
        <w:t>Nevertheless, the differences in professional values, communication barriers, and organisational hierarchies that result in power imbalances are likely to cause challenges (Rawlinson et al., 2021). To overcome these barriers, it is essential to have effective communication pathways, common goals, respect and leadership that promotes inter-professional trust</w:t>
      </w:r>
      <w:r w:rsidR="47BF8E96" w:rsidRPr="00077BFA">
        <w:rPr>
          <w:rFonts w:ascii="Arial" w:hAnsi="Arial" w:cs="Arial"/>
          <w:sz w:val="22"/>
          <w:szCs w:val="22"/>
        </w:rPr>
        <w:t xml:space="preserve"> </w:t>
      </w:r>
      <w:r w:rsidRPr="00077BFA">
        <w:rPr>
          <w:rFonts w:ascii="Arial" w:hAnsi="Arial" w:cs="Arial"/>
          <w:sz w:val="22"/>
          <w:szCs w:val="22"/>
        </w:rPr>
        <w:t xml:space="preserve">(El-Awaisi et al., 2024; Meneses-La-Riva et al., 2025). </w:t>
      </w:r>
      <w:r w:rsidR="000A60B3" w:rsidRPr="00077BFA">
        <w:rPr>
          <w:rFonts w:ascii="Arial" w:hAnsi="Arial" w:cs="Arial"/>
          <w:sz w:val="22"/>
          <w:szCs w:val="22"/>
        </w:rPr>
        <w:t xml:space="preserve"> It</w:t>
      </w:r>
      <w:r w:rsidR="2A91235B" w:rsidRPr="00077BFA">
        <w:rPr>
          <w:rFonts w:ascii="Arial" w:hAnsi="Arial" w:cs="Arial"/>
          <w:sz w:val="22"/>
          <w:szCs w:val="22"/>
        </w:rPr>
        <w:t xml:space="preserve"> is seen that p</w:t>
      </w:r>
      <w:r w:rsidRPr="00077BFA">
        <w:rPr>
          <w:rFonts w:ascii="Arial" w:hAnsi="Arial" w:cs="Arial"/>
          <w:sz w:val="22"/>
          <w:szCs w:val="22"/>
        </w:rPr>
        <w:t>artnership working, when effective, increases resource efficiency, minimi</w:t>
      </w:r>
      <w:r w:rsidR="728BEE34" w:rsidRPr="00077BFA">
        <w:rPr>
          <w:rFonts w:ascii="Arial" w:hAnsi="Arial" w:cs="Arial"/>
          <w:sz w:val="22"/>
          <w:szCs w:val="22"/>
        </w:rPr>
        <w:t>s</w:t>
      </w:r>
      <w:r w:rsidRPr="00077BFA">
        <w:rPr>
          <w:rFonts w:ascii="Arial" w:hAnsi="Arial" w:cs="Arial"/>
          <w:sz w:val="22"/>
          <w:szCs w:val="22"/>
        </w:rPr>
        <w:t>es duplication and provides more consistent and person-centred results (</w:t>
      </w:r>
      <w:proofErr w:type="spellStart"/>
      <w:r w:rsidRPr="00077BFA">
        <w:rPr>
          <w:rFonts w:ascii="Arial" w:hAnsi="Arial" w:cs="Arial"/>
          <w:sz w:val="22"/>
          <w:szCs w:val="22"/>
        </w:rPr>
        <w:t>Linthucum</w:t>
      </w:r>
      <w:proofErr w:type="spellEnd"/>
      <w:r w:rsidRPr="00077BFA">
        <w:rPr>
          <w:rFonts w:ascii="Arial" w:hAnsi="Arial" w:cs="Arial"/>
          <w:sz w:val="22"/>
          <w:szCs w:val="22"/>
        </w:rPr>
        <w:t xml:space="preserve"> et al., 2021; </w:t>
      </w:r>
      <w:proofErr w:type="spellStart"/>
      <w:r w:rsidRPr="00077BFA">
        <w:rPr>
          <w:rFonts w:ascii="Arial" w:hAnsi="Arial" w:cs="Arial"/>
          <w:sz w:val="22"/>
          <w:szCs w:val="22"/>
        </w:rPr>
        <w:t>Thomposon</w:t>
      </w:r>
      <w:proofErr w:type="spellEnd"/>
      <w:r w:rsidRPr="00077BFA">
        <w:rPr>
          <w:rFonts w:ascii="Arial" w:hAnsi="Arial" w:cs="Arial"/>
          <w:sz w:val="22"/>
          <w:szCs w:val="22"/>
        </w:rPr>
        <w:t xml:space="preserve"> et al., 2024). </w:t>
      </w:r>
    </w:p>
    <w:p w14:paraId="59870A82" w14:textId="196E37E1" w:rsidR="00820C12" w:rsidRPr="00077BFA" w:rsidRDefault="65EDE577" w:rsidP="004C3E66">
      <w:pPr>
        <w:spacing w:line="360" w:lineRule="auto"/>
        <w:jc w:val="both"/>
        <w:rPr>
          <w:rFonts w:ascii="Arial" w:hAnsi="Arial" w:cs="Arial"/>
          <w:sz w:val="22"/>
          <w:szCs w:val="22"/>
        </w:rPr>
      </w:pPr>
      <w:r w:rsidRPr="00077BFA">
        <w:rPr>
          <w:rFonts w:ascii="Arial" w:hAnsi="Arial" w:cs="Arial"/>
          <w:sz w:val="22"/>
          <w:szCs w:val="22"/>
        </w:rPr>
        <w:t>Furthermore, e</w:t>
      </w:r>
      <w:r w:rsidR="7DC1BB48" w:rsidRPr="00077BFA">
        <w:rPr>
          <w:rFonts w:ascii="Arial" w:hAnsi="Arial" w:cs="Arial"/>
          <w:sz w:val="22"/>
          <w:szCs w:val="22"/>
        </w:rPr>
        <w:t>thical practice forms the basis of the person-centred care and partnership working, and it is through ethical practice that practitioners are guided to behave with integrity, fairness and compassion. Beauchamp and Childress (2019) state that the four-</w:t>
      </w:r>
      <w:proofErr w:type="gramStart"/>
      <w:r w:rsidR="7DC1BB48" w:rsidRPr="00077BFA">
        <w:rPr>
          <w:rFonts w:ascii="Arial" w:hAnsi="Arial" w:cs="Arial"/>
          <w:sz w:val="22"/>
          <w:szCs w:val="22"/>
        </w:rPr>
        <w:t>principle</w:t>
      </w:r>
      <w:proofErr w:type="gramEnd"/>
      <w:r w:rsidR="7DC1BB48" w:rsidRPr="00077BFA">
        <w:rPr>
          <w:rFonts w:ascii="Arial" w:hAnsi="Arial" w:cs="Arial"/>
          <w:sz w:val="22"/>
          <w:szCs w:val="22"/>
        </w:rPr>
        <w:t xml:space="preserve"> model</w:t>
      </w:r>
      <w:r w:rsidR="000A60B3" w:rsidRPr="00077BFA">
        <w:rPr>
          <w:rFonts w:ascii="Arial" w:hAnsi="Arial" w:cs="Arial"/>
          <w:sz w:val="22"/>
          <w:szCs w:val="22"/>
        </w:rPr>
        <w:t>, including autonomy, beneficence, non-maleficence and justice, is central to medical ethics decision-making.</w:t>
      </w:r>
      <w:r w:rsidR="4D857F0A" w:rsidRPr="00077BFA">
        <w:rPr>
          <w:rFonts w:ascii="Arial" w:hAnsi="Arial" w:cs="Arial"/>
          <w:sz w:val="22"/>
          <w:szCs w:val="22"/>
        </w:rPr>
        <w:t xml:space="preserve"> As such,</w:t>
      </w:r>
      <w:r w:rsidR="7DC1BB48" w:rsidRPr="00077BFA">
        <w:rPr>
          <w:rFonts w:ascii="Arial" w:hAnsi="Arial" w:cs="Arial"/>
          <w:sz w:val="22"/>
          <w:szCs w:val="22"/>
        </w:rPr>
        <w:t xml:space="preserve"> </w:t>
      </w:r>
      <w:r w:rsidR="5FA677C5" w:rsidRPr="00077BFA">
        <w:rPr>
          <w:rFonts w:ascii="Arial" w:hAnsi="Arial" w:cs="Arial"/>
          <w:sz w:val="22"/>
          <w:szCs w:val="22"/>
        </w:rPr>
        <w:t>e</w:t>
      </w:r>
      <w:r w:rsidR="7DC1BB48" w:rsidRPr="00077BFA">
        <w:rPr>
          <w:rFonts w:ascii="Arial" w:hAnsi="Arial" w:cs="Arial"/>
          <w:sz w:val="22"/>
          <w:szCs w:val="22"/>
        </w:rPr>
        <w:t xml:space="preserve">thical awareness guarantees that the service users are treated as persons with rights and </w:t>
      </w:r>
      <w:r w:rsidR="001B0046" w:rsidRPr="00077BFA">
        <w:rPr>
          <w:rFonts w:ascii="Arial" w:hAnsi="Arial" w:cs="Arial"/>
          <w:sz w:val="22"/>
          <w:szCs w:val="22"/>
        </w:rPr>
        <w:t>that the decisions are transparent, fair,</w:t>
      </w:r>
      <w:r w:rsidR="7DC1BB48" w:rsidRPr="00077BFA">
        <w:rPr>
          <w:rFonts w:ascii="Arial" w:hAnsi="Arial" w:cs="Arial"/>
          <w:sz w:val="22"/>
          <w:szCs w:val="22"/>
        </w:rPr>
        <w:t xml:space="preserve"> and respectful (Varkey, 2021; O'Sul</w:t>
      </w:r>
      <w:r w:rsidR="001B0046" w:rsidRPr="00077BFA">
        <w:rPr>
          <w:rFonts w:ascii="Arial" w:hAnsi="Arial" w:cs="Arial"/>
          <w:sz w:val="22"/>
          <w:szCs w:val="22"/>
        </w:rPr>
        <w:t>livan</w:t>
      </w:r>
      <w:r w:rsidR="7DC1BB48" w:rsidRPr="00077BFA">
        <w:rPr>
          <w:rFonts w:ascii="Arial" w:hAnsi="Arial" w:cs="Arial"/>
          <w:sz w:val="22"/>
          <w:szCs w:val="22"/>
        </w:rPr>
        <w:t xml:space="preserve"> et al., 2022). </w:t>
      </w:r>
      <w:proofErr w:type="gramStart"/>
      <w:r w:rsidR="004C3E66" w:rsidRPr="00077BFA">
        <w:rPr>
          <w:rFonts w:ascii="Arial" w:hAnsi="Arial" w:cs="Arial"/>
          <w:sz w:val="22"/>
          <w:szCs w:val="22"/>
        </w:rPr>
        <w:t>All of</w:t>
      </w:r>
      <w:proofErr w:type="gramEnd"/>
      <w:r w:rsidR="004C3E66" w:rsidRPr="00077BFA">
        <w:rPr>
          <w:rFonts w:ascii="Arial" w:hAnsi="Arial" w:cs="Arial"/>
          <w:sz w:val="22"/>
          <w:szCs w:val="22"/>
        </w:rPr>
        <w:t xml:space="preserve"> these ethical values are reflected in </w:t>
      </w:r>
      <w:r w:rsidR="00600F77" w:rsidRPr="00077BFA">
        <w:rPr>
          <w:rFonts w:ascii="Arial" w:hAnsi="Arial" w:cs="Arial"/>
          <w:sz w:val="22"/>
          <w:szCs w:val="22"/>
        </w:rPr>
        <w:t>professional</w:t>
      </w:r>
      <w:r w:rsidR="004C3E66" w:rsidRPr="00077BFA">
        <w:rPr>
          <w:rFonts w:ascii="Arial" w:hAnsi="Arial" w:cs="Arial"/>
          <w:sz w:val="22"/>
          <w:szCs w:val="22"/>
        </w:rPr>
        <w:t xml:space="preserve"> responsibility by such professional codes as the NMC Code (2015) and the HCPC Standards (2024), according to which practitioners are required to adhere to confidentiality, promote informed choice, and prevent harm to people. Ethical decision making is thus of particular interest in instances where a clash of values exists as in the situation of balancing autonomy and protection of obligations as per the Mental Capacity Act 2005. In such circumstances, practitioners </w:t>
      </w:r>
      <w:proofErr w:type="gramStart"/>
      <w:r w:rsidR="004C3E66" w:rsidRPr="00077BFA">
        <w:rPr>
          <w:rFonts w:ascii="Arial" w:hAnsi="Arial" w:cs="Arial"/>
          <w:sz w:val="22"/>
          <w:szCs w:val="22"/>
        </w:rPr>
        <w:t>have to</w:t>
      </w:r>
      <w:proofErr w:type="gramEnd"/>
      <w:r w:rsidR="004C3E66" w:rsidRPr="00077BFA">
        <w:rPr>
          <w:rFonts w:ascii="Arial" w:hAnsi="Arial" w:cs="Arial"/>
          <w:sz w:val="22"/>
          <w:szCs w:val="22"/>
        </w:rPr>
        <w:t xml:space="preserve"> come up with critical decisions concerning the potential advantages and disadvantages</w:t>
      </w:r>
      <w:r w:rsidR="006036C3" w:rsidRPr="00077BFA">
        <w:rPr>
          <w:rFonts w:ascii="Arial" w:hAnsi="Arial" w:cs="Arial"/>
          <w:sz w:val="22"/>
          <w:szCs w:val="22"/>
        </w:rPr>
        <w:t xml:space="preserve">, while still </w:t>
      </w:r>
      <w:r w:rsidR="00364446" w:rsidRPr="00077BFA">
        <w:rPr>
          <w:rFonts w:ascii="Arial" w:hAnsi="Arial" w:cs="Arial"/>
          <w:sz w:val="22"/>
          <w:szCs w:val="22"/>
        </w:rPr>
        <w:t>maintaining</w:t>
      </w:r>
      <w:r w:rsidR="004C3E66" w:rsidRPr="00077BFA">
        <w:rPr>
          <w:rFonts w:ascii="Arial" w:hAnsi="Arial" w:cs="Arial"/>
          <w:sz w:val="22"/>
          <w:szCs w:val="22"/>
        </w:rPr>
        <w:t xml:space="preserve"> empathy and professional responsibility. </w:t>
      </w:r>
    </w:p>
    <w:p w14:paraId="6E4AE409" w14:textId="2F5B9B3E" w:rsidR="003A2BC1" w:rsidRPr="00077BFA" w:rsidRDefault="11710781" w:rsidP="06BD3846">
      <w:pPr>
        <w:pStyle w:val="Heading1"/>
        <w:rPr>
          <w:rFonts w:ascii="Arial" w:hAnsi="Arial" w:cs="Arial"/>
          <w:sz w:val="24"/>
          <w:szCs w:val="24"/>
          <w:lang w:val="en-GB"/>
        </w:rPr>
      </w:pPr>
      <w:bookmarkStart w:id="7" w:name="_Toc210898341"/>
      <w:bookmarkStart w:id="8" w:name="_Toc1235451978"/>
      <w:r w:rsidRPr="00077BFA">
        <w:rPr>
          <w:lang w:val="en-GB"/>
        </w:rPr>
        <w:t xml:space="preserve">3. </w:t>
      </w:r>
      <w:r w:rsidR="003A2BC1" w:rsidRPr="00077BFA">
        <w:rPr>
          <w:lang w:val="en-GB"/>
        </w:rPr>
        <w:t>Application of Principles in Practice</w:t>
      </w:r>
      <w:bookmarkEnd w:id="7"/>
      <w:r w:rsidR="003A2BC1" w:rsidRPr="00077BFA">
        <w:rPr>
          <w:lang w:val="en-GB"/>
        </w:rPr>
        <w:t xml:space="preserve"> </w:t>
      </w:r>
      <w:bookmarkEnd w:id="8"/>
    </w:p>
    <w:p w14:paraId="3C57B8F9" w14:textId="55EB26CC" w:rsidR="060C28E4" w:rsidRPr="00077BFA" w:rsidRDefault="060C28E4" w:rsidP="4786E647">
      <w:pPr>
        <w:spacing w:line="360" w:lineRule="auto"/>
        <w:jc w:val="both"/>
        <w:rPr>
          <w:rFonts w:ascii="Arial" w:hAnsi="Arial" w:cs="Arial"/>
          <w:sz w:val="22"/>
          <w:szCs w:val="22"/>
        </w:rPr>
      </w:pPr>
      <w:r w:rsidRPr="00077BFA">
        <w:rPr>
          <w:rFonts w:ascii="Arial" w:hAnsi="Arial" w:cs="Arial"/>
          <w:sz w:val="22"/>
          <w:szCs w:val="22"/>
        </w:rPr>
        <w:t xml:space="preserve">According to the </w:t>
      </w:r>
      <w:r w:rsidR="008D1F86" w:rsidRPr="00077BFA">
        <w:rPr>
          <w:rFonts w:ascii="Arial" w:hAnsi="Arial" w:cs="Arial"/>
          <w:sz w:val="22"/>
          <w:szCs w:val="22"/>
        </w:rPr>
        <w:t>Health Foundation (2021) definition</w:t>
      </w:r>
      <w:r w:rsidRPr="00077BFA">
        <w:rPr>
          <w:rFonts w:ascii="Arial" w:hAnsi="Arial" w:cs="Arial"/>
          <w:sz w:val="22"/>
          <w:szCs w:val="22"/>
        </w:rPr>
        <w:t xml:space="preserve">, person-centred care is about respect, choice and active participation. </w:t>
      </w:r>
      <w:r w:rsidR="00BF3BEB" w:rsidRPr="00077BFA">
        <w:rPr>
          <w:rFonts w:ascii="Arial" w:hAnsi="Arial" w:cs="Arial"/>
          <w:sz w:val="22"/>
          <w:szCs w:val="22"/>
        </w:rPr>
        <w:t>In Joan</w:t>
      </w:r>
      <w:r w:rsidR="00415346" w:rsidRPr="00077BFA">
        <w:rPr>
          <w:rFonts w:ascii="Arial" w:hAnsi="Arial" w:cs="Arial"/>
          <w:sz w:val="22"/>
          <w:szCs w:val="22"/>
        </w:rPr>
        <w:t>’s</w:t>
      </w:r>
      <w:r w:rsidR="00BF3BEB" w:rsidRPr="00077BFA">
        <w:rPr>
          <w:rFonts w:ascii="Arial" w:hAnsi="Arial" w:cs="Arial"/>
          <w:sz w:val="22"/>
          <w:szCs w:val="22"/>
        </w:rPr>
        <w:t xml:space="preserve"> case, the</w:t>
      </w:r>
      <w:r w:rsidRPr="00077BFA">
        <w:rPr>
          <w:rFonts w:ascii="Arial" w:hAnsi="Arial" w:cs="Arial"/>
          <w:sz w:val="22"/>
          <w:szCs w:val="22"/>
        </w:rPr>
        <w:t xml:space="preserve"> interaction with her physiotherapist </w:t>
      </w:r>
      <w:r w:rsidR="00BF3BEB" w:rsidRPr="00077BFA">
        <w:rPr>
          <w:rFonts w:ascii="Arial" w:hAnsi="Arial" w:cs="Arial"/>
          <w:sz w:val="22"/>
          <w:szCs w:val="22"/>
        </w:rPr>
        <w:t xml:space="preserve">shifted </w:t>
      </w:r>
      <w:r w:rsidRPr="00077BFA">
        <w:rPr>
          <w:rFonts w:ascii="Arial" w:hAnsi="Arial" w:cs="Arial"/>
          <w:sz w:val="22"/>
          <w:szCs w:val="22"/>
        </w:rPr>
        <w:t xml:space="preserve">into </w:t>
      </w:r>
      <w:r w:rsidR="009614BA" w:rsidRPr="00077BFA">
        <w:rPr>
          <w:rFonts w:ascii="Arial" w:hAnsi="Arial" w:cs="Arial"/>
          <w:sz w:val="22"/>
          <w:szCs w:val="22"/>
        </w:rPr>
        <w:t xml:space="preserve">shared </w:t>
      </w:r>
      <w:r w:rsidR="005D6CCD" w:rsidRPr="00077BFA">
        <w:rPr>
          <w:rFonts w:ascii="Arial" w:hAnsi="Arial" w:cs="Arial"/>
          <w:sz w:val="22"/>
          <w:szCs w:val="22"/>
        </w:rPr>
        <w:t xml:space="preserve">decision making, </w:t>
      </w:r>
      <w:r w:rsidRPr="00077BFA">
        <w:rPr>
          <w:rFonts w:ascii="Arial" w:hAnsi="Arial" w:cs="Arial"/>
          <w:sz w:val="22"/>
          <w:szCs w:val="22"/>
        </w:rPr>
        <w:t xml:space="preserve">rather than compliance-centred </w:t>
      </w:r>
      <w:r w:rsidR="009614BA" w:rsidRPr="00077BFA">
        <w:rPr>
          <w:rFonts w:ascii="Arial" w:hAnsi="Arial" w:cs="Arial"/>
          <w:sz w:val="22"/>
          <w:szCs w:val="22"/>
        </w:rPr>
        <w:t>instruction</w:t>
      </w:r>
      <w:r w:rsidRPr="00077BFA">
        <w:rPr>
          <w:rFonts w:ascii="Arial" w:hAnsi="Arial" w:cs="Arial"/>
          <w:sz w:val="22"/>
          <w:szCs w:val="22"/>
        </w:rPr>
        <w:t>, which is in line with the NICE NG159 (2021a) principle of patient experience</w:t>
      </w:r>
      <w:r w:rsidR="00BC7A73">
        <w:rPr>
          <w:rFonts w:ascii="Arial" w:hAnsi="Arial" w:cs="Arial"/>
          <w:sz w:val="22"/>
          <w:szCs w:val="22"/>
        </w:rPr>
        <w:t xml:space="preserve">. This </w:t>
      </w:r>
      <w:r w:rsidRPr="00077BFA">
        <w:rPr>
          <w:rFonts w:ascii="Arial" w:hAnsi="Arial" w:cs="Arial"/>
          <w:sz w:val="22"/>
          <w:szCs w:val="22"/>
        </w:rPr>
        <w:t xml:space="preserve">encourages the joint setting of goals and individual self-management </w:t>
      </w:r>
      <w:r w:rsidR="009807B1" w:rsidRPr="00077BFA">
        <w:rPr>
          <w:rFonts w:ascii="Arial" w:hAnsi="Arial" w:cs="Arial"/>
          <w:sz w:val="22"/>
          <w:szCs w:val="22"/>
        </w:rPr>
        <w:t>plans</w:t>
      </w:r>
      <w:r w:rsidRPr="00077BFA">
        <w:rPr>
          <w:rFonts w:ascii="Arial" w:hAnsi="Arial" w:cs="Arial"/>
          <w:sz w:val="22"/>
          <w:szCs w:val="22"/>
        </w:rPr>
        <w:t xml:space="preserve">. This correspondence to evidence-based advice led directly to the activation and confidence of Joan, </w:t>
      </w:r>
      <w:r w:rsidR="009807B1" w:rsidRPr="00077BFA">
        <w:rPr>
          <w:rFonts w:ascii="Arial" w:hAnsi="Arial" w:cs="Arial"/>
          <w:sz w:val="22"/>
          <w:szCs w:val="22"/>
        </w:rPr>
        <w:t xml:space="preserve">minimising </w:t>
      </w:r>
      <w:r w:rsidRPr="00077BFA">
        <w:rPr>
          <w:rFonts w:ascii="Arial" w:hAnsi="Arial" w:cs="Arial"/>
          <w:sz w:val="22"/>
          <w:szCs w:val="22"/>
        </w:rPr>
        <w:t>unnecessary hospital</w:t>
      </w:r>
      <w:r w:rsidR="00C62CEF" w:rsidRPr="00077BFA">
        <w:rPr>
          <w:rFonts w:ascii="Arial" w:hAnsi="Arial" w:cs="Arial"/>
          <w:sz w:val="22"/>
          <w:szCs w:val="22"/>
        </w:rPr>
        <w:t>isations</w:t>
      </w:r>
      <w:r w:rsidRPr="00077BFA">
        <w:rPr>
          <w:rFonts w:ascii="Arial" w:hAnsi="Arial" w:cs="Arial"/>
          <w:sz w:val="22"/>
          <w:szCs w:val="22"/>
        </w:rPr>
        <w:t xml:space="preserve">. This approach is justified in policy as encouraged in the Health and Care Act 2022, which requires the Integrated Care Systems to incorporate personalised care as a tool in enhancing population health. More so, when professionals dealt with psychosocial obstacles (her anxiety </w:t>
      </w:r>
      <w:r w:rsidRPr="00077BFA">
        <w:rPr>
          <w:rFonts w:ascii="Arial" w:hAnsi="Arial" w:cs="Arial"/>
          <w:sz w:val="22"/>
          <w:szCs w:val="22"/>
        </w:rPr>
        <w:lastRenderedPageBreak/>
        <w:t xml:space="preserve">due to Crohn), they fulfilled Maslow lower-order needs, which allowed her to be motivated and </w:t>
      </w:r>
      <w:r w:rsidR="00CA1EF0">
        <w:rPr>
          <w:rFonts w:ascii="Arial" w:hAnsi="Arial" w:cs="Arial"/>
          <w:sz w:val="22"/>
          <w:szCs w:val="22"/>
        </w:rPr>
        <w:t>adherent to treatment</w:t>
      </w:r>
      <w:r w:rsidR="00F10252">
        <w:rPr>
          <w:rFonts w:ascii="Arial" w:hAnsi="Arial" w:cs="Arial"/>
          <w:sz w:val="22"/>
          <w:szCs w:val="22"/>
        </w:rPr>
        <w:t xml:space="preserve"> recommendations </w:t>
      </w:r>
      <w:r w:rsidRPr="00077BFA">
        <w:rPr>
          <w:rFonts w:ascii="Arial" w:hAnsi="Arial" w:cs="Arial"/>
          <w:sz w:val="22"/>
          <w:szCs w:val="22"/>
        </w:rPr>
        <w:t xml:space="preserve">(Hale et al., 2019). </w:t>
      </w:r>
      <w:r w:rsidR="00061098">
        <w:rPr>
          <w:rFonts w:ascii="Arial" w:hAnsi="Arial" w:cs="Arial"/>
          <w:sz w:val="22"/>
          <w:szCs w:val="22"/>
        </w:rPr>
        <w:t>Importantly</w:t>
      </w:r>
      <w:r w:rsidRPr="00077BFA">
        <w:rPr>
          <w:rFonts w:ascii="Arial" w:hAnsi="Arial" w:cs="Arial"/>
          <w:sz w:val="22"/>
          <w:szCs w:val="22"/>
        </w:rPr>
        <w:t>, this case demonstrates that person-centred frameworks supported by policy do not just represent an ideology but practically decrease waste, improve wellbeing, and provide cost-effective care when faithfully and compassionately implemented (</w:t>
      </w:r>
      <w:proofErr w:type="spellStart"/>
      <w:r w:rsidRPr="00077BFA">
        <w:rPr>
          <w:rFonts w:ascii="Arial" w:hAnsi="Arial" w:cs="Arial"/>
          <w:sz w:val="22"/>
          <w:szCs w:val="22"/>
        </w:rPr>
        <w:t>Lefugrey</w:t>
      </w:r>
      <w:proofErr w:type="spellEnd"/>
      <w:r w:rsidRPr="00077BFA">
        <w:rPr>
          <w:rFonts w:ascii="Arial" w:hAnsi="Arial" w:cs="Arial"/>
          <w:sz w:val="22"/>
          <w:szCs w:val="22"/>
        </w:rPr>
        <w:t xml:space="preserve"> et al., 2025). </w:t>
      </w:r>
    </w:p>
    <w:p w14:paraId="7B332619" w14:textId="2E0BE498" w:rsidR="060C28E4" w:rsidRPr="00077BFA" w:rsidRDefault="060C28E4" w:rsidP="4786E647">
      <w:pPr>
        <w:spacing w:line="360" w:lineRule="auto"/>
        <w:jc w:val="both"/>
        <w:rPr>
          <w:rFonts w:ascii="Arial" w:hAnsi="Arial" w:cs="Arial"/>
          <w:sz w:val="22"/>
          <w:szCs w:val="22"/>
        </w:rPr>
      </w:pPr>
      <w:r w:rsidRPr="00077BFA">
        <w:rPr>
          <w:rFonts w:ascii="Arial" w:hAnsi="Arial" w:cs="Arial"/>
          <w:sz w:val="22"/>
          <w:szCs w:val="22"/>
        </w:rPr>
        <w:t>Partnership working enhanced such gains by putting into action the integration purposes of the Act. The partnership between the GP and the therapy team of Joan illustrated the CQC (2025) requirements of safe, effective, responsive, caring and well-led services.</w:t>
      </w:r>
      <w:r w:rsidR="00D83C91" w:rsidRPr="00077BFA">
        <w:rPr>
          <w:rFonts w:ascii="Arial" w:hAnsi="Arial" w:cs="Arial"/>
          <w:sz w:val="22"/>
          <w:szCs w:val="22"/>
        </w:rPr>
        <w:t xml:space="preserve"> Likewise,</w:t>
      </w:r>
      <w:r w:rsidRPr="00077BFA">
        <w:rPr>
          <w:rFonts w:ascii="Arial" w:hAnsi="Arial" w:cs="Arial"/>
          <w:sz w:val="22"/>
          <w:szCs w:val="22"/>
        </w:rPr>
        <w:t xml:space="preserve"> </w:t>
      </w:r>
      <w:r w:rsidR="00D83C91" w:rsidRPr="00077BFA">
        <w:rPr>
          <w:rFonts w:ascii="Arial" w:hAnsi="Arial" w:cs="Arial"/>
          <w:sz w:val="22"/>
          <w:szCs w:val="22"/>
        </w:rPr>
        <w:t>the</w:t>
      </w:r>
      <w:r w:rsidRPr="00077BFA">
        <w:rPr>
          <w:rFonts w:ascii="Arial" w:hAnsi="Arial" w:cs="Arial"/>
          <w:sz w:val="22"/>
          <w:szCs w:val="22"/>
        </w:rPr>
        <w:t xml:space="preserve"> use of inter-professional reviews on a regular basis resulted in accountability and shared ownership, addressing historical </w:t>
      </w:r>
      <w:proofErr w:type="spellStart"/>
      <w:r w:rsidRPr="00077BFA">
        <w:rPr>
          <w:rFonts w:ascii="Arial" w:hAnsi="Arial" w:cs="Arial"/>
          <w:sz w:val="22"/>
          <w:szCs w:val="22"/>
        </w:rPr>
        <w:t>disjointure</w:t>
      </w:r>
      <w:proofErr w:type="spellEnd"/>
      <w:r w:rsidRPr="00077BFA">
        <w:rPr>
          <w:rFonts w:ascii="Arial" w:hAnsi="Arial" w:cs="Arial"/>
          <w:sz w:val="22"/>
          <w:szCs w:val="22"/>
        </w:rPr>
        <w:t xml:space="preserve"> between community and primary care. The NHS Long term plan (2019) considers this multidisciplinary coordination to be essential to the management of chronic illness </w:t>
      </w:r>
      <w:r w:rsidR="00D83C91" w:rsidRPr="00077BFA">
        <w:rPr>
          <w:rFonts w:ascii="Arial" w:hAnsi="Arial" w:cs="Arial"/>
          <w:sz w:val="22"/>
          <w:szCs w:val="22"/>
        </w:rPr>
        <w:t xml:space="preserve">such as COPD which is evident in Joan’s case </w:t>
      </w:r>
      <w:r w:rsidRPr="00077BFA">
        <w:rPr>
          <w:rFonts w:ascii="Arial" w:hAnsi="Arial" w:cs="Arial"/>
          <w:sz w:val="22"/>
          <w:szCs w:val="22"/>
        </w:rPr>
        <w:t>(</w:t>
      </w:r>
      <w:r w:rsidR="00DB602A" w:rsidRPr="00077BFA">
        <w:rPr>
          <w:rFonts w:ascii="Arial" w:hAnsi="Arial" w:cs="Arial"/>
          <w:sz w:val="22"/>
          <w:szCs w:val="22"/>
        </w:rPr>
        <w:t xml:space="preserve">Charles </w:t>
      </w:r>
      <w:r w:rsidRPr="00077BFA">
        <w:rPr>
          <w:rFonts w:ascii="Arial" w:hAnsi="Arial" w:cs="Arial"/>
          <w:sz w:val="22"/>
          <w:szCs w:val="22"/>
        </w:rPr>
        <w:t>et al., 2019)</w:t>
      </w:r>
      <w:r w:rsidR="0056323E">
        <w:rPr>
          <w:rFonts w:ascii="Arial" w:hAnsi="Arial" w:cs="Arial"/>
          <w:sz w:val="22"/>
          <w:szCs w:val="22"/>
        </w:rPr>
        <w:t xml:space="preserve">. Also, </w:t>
      </w:r>
      <w:r w:rsidRPr="00077BFA">
        <w:rPr>
          <w:rFonts w:ascii="Arial" w:hAnsi="Arial" w:cs="Arial"/>
          <w:sz w:val="22"/>
          <w:szCs w:val="22"/>
        </w:rPr>
        <w:t xml:space="preserve">the professional collaboration was also indicative of the 6 C's especially communication and commitment, which led to transparency and consistency in the treatment of Joan. </w:t>
      </w:r>
    </w:p>
    <w:p w14:paraId="5F8EE653" w14:textId="1C90CA1B" w:rsidR="060C28E4" w:rsidRPr="00077BFA" w:rsidRDefault="00DB602A" w:rsidP="4786E647">
      <w:pPr>
        <w:spacing w:line="360" w:lineRule="auto"/>
        <w:jc w:val="both"/>
      </w:pPr>
      <w:r w:rsidRPr="00077BFA">
        <w:rPr>
          <w:rFonts w:ascii="Arial" w:hAnsi="Arial" w:cs="Arial"/>
          <w:sz w:val="22"/>
          <w:szCs w:val="22"/>
        </w:rPr>
        <w:t>Additionally, these</w:t>
      </w:r>
      <w:r w:rsidR="060C28E4" w:rsidRPr="00077BFA">
        <w:rPr>
          <w:rFonts w:ascii="Arial" w:hAnsi="Arial" w:cs="Arial"/>
          <w:sz w:val="22"/>
          <w:szCs w:val="22"/>
        </w:rPr>
        <w:t xml:space="preserve"> processes were framed and maintained by ethical practice. Based on the four-</w:t>
      </w:r>
      <w:proofErr w:type="gramStart"/>
      <w:r w:rsidR="060C28E4" w:rsidRPr="00077BFA">
        <w:rPr>
          <w:rFonts w:ascii="Arial" w:hAnsi="Arial" w:cs="Arial"/>
          <w:sz w:val="22"/>
          <w:szCs w:val="22"/>
        </w:rPr>
        <w:t>principle</w:t>
      </w:r>
      <w:proofErr w:type="gramEnd"/>
      <w:r w:rsidR="060C28E4" w:rsidRPr="00077BFA">
        <w:rPr>
          <w:rFonts w:ascii="Arial" w:hAnsi="Arial" w:cs="Arial"/>
          <w:sz w:val="22"/>
          <w:szCs w:val="22"/>
        </w:rPr>
        <w:t xml:space="preserve"> model of Beauchamp and Childress (2019), professionals were able to balance the autonomy of Joan with beneficence so that the chosen decisions </w:t>
      </w:r>
      <w:proofErr w:type="gramStart"/>
      <w:r w:rsidR="060C28E4" w:rsidRPr="00077BFA">
        <w:rPr>
          <w:rFonts w:ascii="Arial" w:hAnsi="Arial" w:cs="Arial"/>
          <w:sz w:val="22"/>
          <w:szCs w:val="22"/>
        </w:rPr>
        <w:t>took into account</w:t>
      </w:r>
      <w:proofErr w:type="gramEnd"/>
      <w:r w:rsidR="060C28E4" w:rsidRPr="00077BFA">
        <w:rPr>
          <w:rFonts w:ascii="Arial" w:hAnsi="Arial" w:cs="Arial"/>
          <w:sz w:val="22"/>
          <w:szCs w:val="22"/>
        </w:rPr>
        <w:t xml:space="preserve"> her dignity and avoided her unnecessary harm. These ethical imperatives are </w:t>
      </w:r>
      <w:r w:rsidR="0034429C" w:rsidRPr="00077BFA">
        <w:rPr>
          <w:rFonts w:ascii="Arial" w:hAnsi="Arial" w:cs="Arial"/>
          <w:sz w:val="22"/>
          <w:szCs w:val="22"/>
        </w:rPr>
        <w:t xml:space="preserve">translated </w:t>
      </w:r>
      <w:r w:rsidR="00A17027" w:rsidRPr="00077BFA">
        <w:rPr>
          <w:rFonts w:ascii="Arial" w:hAnsi="Arial" w:cs="Arial"/>
          <w:sz w:val="22"/>
          <w:szCs w:val="22"/>
        </w:rPr>
        <w:t>from</w:t>
      </w:r>
      <w:r w:rsidR="060C28E4" w:rsidRPr="00077BFA">
        <w:rPr>
          <w:rFonts w:ascii="Arial" w:hAnsi="Arial" w:cs="Arial"/>
          <w:sz w:val="22"/>
          <w:szCs w:val="22"/>
        </w:rPr>
        <w:t xml:space="preserve"> the NMC Code (2018) and HCPC Standards (2023) into the duties of candour, confidentiality and shared decision-making. The team demonstrated the ethical competencies found in the CQC caring area by considering the moral conflict between the respect of refusal, and the need to encourage health. This gives a picture of the operationalisation of ethics in terms of national standards</w:t>
      </w:r>
      <w:r w:rsidR="00F50DC1" w:rsidRPr="00077BFA">
        <w:rPr>
          <w:rFonts w:ascii="Arial" w:hAnsi="Arial" w:cs="Arial"/>
          <w:sz w:val="22"/>
          <w:szCs w:val="22"/>
        </w:rPr>
        <w:t xml:space="preserve">, </w:t>
      </w:r>
      <w:r w:rsidR="00BD32B2" w:rsidRPr="00077BFA">
        <w:rPr>
          <w:rFonts w:ascii="Arial" w:hAnsi="Arial" w:cs="Arial"/>
          <w:sz w:val="22"/>
          <w:szCs w:val="22"/>
        </w:rPr>
        <w:t>i.e.</w:t>
      </w:r>
      <w:r w:rsidR="060C28E4" w:rsidRPr="00077BFA">
        <w:rPr>
          <w:rFonts w:ascii="Arial" w:hAnsi="Arial" w:cs="Arial"/>
          <w:sz w:val="22"/>
          <w:szCs w:val="22"/>
        </w:rPr>
        <w:t xml:space="preserve"> they </w:t>
      </w:r>
      <w:r w:rsidR="00B84969" w:rsidRPr="00077BFA">
        <w:rPr>
          <w:rFonts w:ascii="Arial" w:hAnsi="Arial" w:cs="Arial"/>
          <w:sz w:val="22"/>
          <w:szCs w:val="22"/>
        </w:rPr>
        <w:t xml:space="preserve">transform </w:t>
      </w:r>
      <w:r w:rsidR="060C28E4" w:rsidRPr="00077BFA">
        <w:rPr>
          <w:rFonts w:ascii="Arial" w:hAnsi="Arial" w:cs="Arial"/>
          <w:sz w:val="22"/>
          <w:szCs w:val="22"/>
        </w:rPr>
        <w:t xml:space="preserve">abstract values into </w:t>
      </w:r>
      <w:r w:rsidR="00B84969" w:rsidRPr="00077BFA">
        <w:rPr>
          <w:rFonts w:ascii="Arial" w:hAnsi="Arial" w:cs="Arial"/>
          <w:sz w:val="22"/>
          <w:szCs w:val="22"/>
        </w:rPr>
        <w:t xml:space="preserve">accountable </w:t>
      </w:r>
      <w:r w:rsidR="060C28E4" w:rsidRPr="00077BFA">
        <w:rPr>
          <w:rFonts w:ascii="Arial" w:hAnsi="Arial" w:cs="Arial"/>
          <w:sz w:val="22"/>
          <w:szCs w:val="22"/>
        </w:rPr>
        <w:t xml:space="preserve">behaviour. </w:t>
      </w:r>
      <w:r w:rsidR="00B84969" w:rsidRPr="00077BFA">
        <w:rPr>
          <w:rFonts w:ascii="Arial" w:hAnsi="Arial" w:cs="Arial"/>
          <w:sz w:val="22"/>
          <w:szCs w:val="22"/>
        </w:rPr>
        <w:t>As a result</w:t>
      </w:r>
      <w:r w:rsidR="060C28E4" w:rsidRPr="00077BFA">
        <w:rPr>
          <w:rFonts w:ascii="Arial" w:hAnsi="Arial" w:cs="Arial"/>
          <w:sz w:val="22"/>
          <w:szCs w:val="22"/>
        </w:rPr>
        <w:t xml:space="preserve">, the enhanced performance, increased self-esteem, reduced admissions, are </w:t>
      </w:r>
      <w:r w:rsidR="00E47C2C" w:rsidRPr="00077BFA">
        <w:rPr>
          <w:rFonts w:ascii="Arial" w:hAnsi="Arial" w:cs="Arial"/>
          <w:sz w:val="22"/>
          <w:szCs w:val="22"/>
        </w:rPr>
        <w:t xml:space="preserve">justifications </w:t>
      </w:r>
      <w:r w:rsidR="060C28E4" w:rsidRPr="00077BFA">
        <w:rPr>
          <w:rFonts w:ascii="Arial" w:hAnsi="Arial" w:cs="Arial"/>
          <w:sz w:val="22"/>
          <w:szCs w:val="22"/>
        </w:rPr>
        <w:t>that once national policies, codes of ethics and principles of person-centred care collide, they generate care which is fair, efficient and truly transformative.</w:t>
      </w:r>
    </w:p>
    <w:p w14:paraId="01FE53E0" w14:textId="57EA02C6" w:rsidR="00D6402E" w:rsidRPr="00077BFA" w:rsidRDefault="425DDF77" w:rsidP="06BD3846">
      <w:pPr>
        <w:pStyle w:val="Heading1"/>
        <w:rPr>
          <w:rFonts w:ascii="Arial" w:hAnsi="Arial" w:cs="Arial"/>
          <w:sz w:val="24"/>
          <w:szCs w:val="24"/>
          <w:lang w:val="en-GB"/>
        </w:rPr>
      </w:pPr>
      <w:bookmarkStart w:id="9" w:name="_Toc210898342"/>
      <w:bookmarkStart w:id="10" w:name="_Toc1727099216"/>
      <w:r w:rsidRPr="00077BFA">
        <w:rPr>
          <w:lang w:val="en-GB"/>
        </w:rPr>
        <w:t xml:space="preserve">4. </w:t>
      </w:r>
      <w:r w:rsidR="00D6402E" w:rsidRPr="00077BFA">
        <w:rPr>
          <w:lang w:val="en-GB"/>
        </w:rPr>
        <w:t>Personal Reflection on the Application of Principles in Practice</w:t>
      </w:r>
      <w:bookmarkEnd w:id="9"/>
      <w:r w:rsidR="006C32F1" w:rsidRPr="00077BFA">
        <w:rPr>
          <w:lang w:val="en-GB"/>
        </w:rPr>
        <w:t xml:space="preserve"> </w:t>
      </w:r>
      <w:bookmarkEnd w:id="10"/>
    </w:p>
    <w:p w14:paraId="16F99F2E" w14:textId="77777777" w:rsidR="00D6402E" w:rsidRPr="00077BFA" w:rsidRDefault="00D6402E" w:rsidP="00D6402E">
      <w:pPr>
        <w:spacing w:line="360" w:lineRule="auto"/>
        <w:jc w:val="both"/>
        <w:rPr>
          <w:rFonts w:ascii="Arial" w:hAnsi="Arial" w:cs="Arial"/>
          <w:b/>
          <w:bCs/>
          <w:sz w:val="22"/>
          <w:szCs w:val="22"/>
        </w:rPr>
      </w:pPr>
      <w:r w:rsidRPr="00077BFA">
        <w:rPr>
          <w:rFonts w:ascii="Arial" w:hAnsi="Arial" w:cs="Arial"/>
          <w:b/>
          <w:bCs/>
          <w:sz w:val="22"/>
          <w:szCs w:val="22"/>
        </w:rPr>
        <w:t>Person-centred care in my practice</w:t>
      </w:r>
    </w:p>
    <w:p w14:paraId="72941FC3" w14:textId="515D2F06"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 xml:space="preserve">One of the things I have learned in my work is that person-centred care cannot be accomplished by following a checklist but by building authentic relationships that acknowledge the uniqueness of every service user. </w:t>
      </w:r>
      <w:proofErr w:type="gramStart"/>
      <w:r w:rsidRPr="00077BFA">
        <w:rPr>
          <w:rFonts w:ascii="Arial" w:hAnsi="Arial" w:cs="Arial"/>
          <w:sz w:val="22"/>
          <w:szCs w:val="22"/>
        </w:rPr>
        <w:t>Similar to</w:t>
      </w:r>
      <w:proofErr w:type="gramEnd"/>
      <w:r w:rsidRPr="00077BFA">
        <w:rPr>
          <w:rFonts w:ascii="Arial" w:hAnsi="Arial" w:cs="Arial"/>
          <w:sz w:val="22"/>
          <w:szCs w:val="22"/>
        </w:rPr>
        <w:t xml:space="preserve"> Joan, most of the people I support have chronic conditions which influence their motivation and emotional state.</w:t>
      </w:r>
      <w:r w:rsidR="00C6447E" w:rsidRPr="00077BFA">
        <w:rPr>
          <w:rFonts w:ascii="Arial" w:hAnsi="Arial" w:cs="Arial"/>
          <w:sz w:val="22"/>
          <w:szCs w:val="22"/>
        </w:rPr>
        <w:t xml:space="preserve"> As a result,</w:t>
      </w:r>
      <w:r w:rsidRPr="00077BFA">
        <w:rPr>
          <w:rFonts w:ascii="Arial" w:hAnsi="Arial" w:cs="Arial"/>
          <w:sz w:val="22"/>
          <w:szCs w:val="22"/>
        </w:rPr>
        <w:t xml:space="preserve"> I have learned that the greater levels of engagement and trust are achieved by actively listening to </w:t>
      </w:r>
      <w:r w:rsidRPr="00077BFA">
        <w:rPr>
          <w:rFonts w:ascii="Arial" w:hAnsi="Arial" w:cs="Arial"/>
          <w:sz w:val="22"/>
          <w:szCs w:val="22"/>
        </w:rPr>
        <w:lastRenderedPageBreak/>
        <w:t>their experiences and co-producing care plans. Th</w:t>
      </w:r>
      <w:r w:rsidR="00411726" w:rsidRPr="00077BFA">
        <w:rPr>
          <w:rFonts w:ascii="Arial" w:hAnsi="Arial" w:cs="Arial"/>
          <w:sz w:val="22"/>
          <w:szCs w:val="22"/>
        </w:rPr>
        <w:t>is</w:t>
      </w:r>
      <w:r w:rsidRPr="00077BFA">
        <w:rPr>
          <w:rFonts w:ascii="Arial" w:hAnsi="Arial" w:cs="Arial"/>
          <w:sz w:val="22"/>
          <w:szCs w:val="22"/>
        </w:rPr>
        <w:t xml:space="preserve"> given strategy aligns with the Person-Centred Care Framework by the Health Foundation (2021) and the NICE (2021) guideline on patient experience, </w:t>
      </w:r>
      <w:r w:rsidR="00411726" w:rsidRPr="00077BFA">
        <w:rPr>
          <w:rFonts w:ascii="Arial" w:hAnsi="Arial" w:cs="Arial"/>
          <w:sz w:val="22"/>
          <w:szCs w:val="22"/>
        </w:rPr>
        <w:t xml:space="preserve">where </w:t>
      </w:r>
      <w:r w:rsidRPr="00077BFA">
        <w:rPr>
          <w:rFonts w:ascii="Arial" w:hAnsi="Arial" w:cs="Arial"/>
          <w:sz w:val="22"/>
          <w:szCs w:val="22"/>
        </w:rPr>
        <w:t>empathy, communication and shared decision-making are seen as key pillars of quality care.</w:t>
      </w:r>
    </w:p>
    <w:p w14:paraId="379365B7" w14:textId="4EFC5719"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 xml:space="preserve">Nevertheless, I realise that I do not always meet this ideal. Severe workloads and time strains occasionally lead me to task-based practices that may not </w:t>
      </w:r>
      <w:r w:rsidR="00BD32B2" w:rsidRPr="00077BFA">
        <w:rPr>
          <w:rFonts w:ascii="Arial" w:hAnsi="Arial" w:cs="Arial"/>
          <w:sz w:val="22"/>
          <w:szCs w:val="22"/>
        </w:rPr>
        <w:t>prioritise</w:t>
      </w:r>
      <w:r w:rsidR="00BA0365" w:rsidRPr="00077BFA">
        <w:rPr>
          <w:rFonts w:ascii="Arial" w:hAnsi="Arial" w:cs="Arial"/>
          <w:sz w:val="22"/>
          <w:szCs w:val="22"/>
        </w:rPr>
        <w:t xml:space="preserve"> </w:t>
      </w:r>
      <w:r w:rsidRPr="00077BFA">
        <w:rPr>
          <w:rFonts w:ascii="Arial" w:hAnsi="Arial" w:cs="Arial"/>
          <w:sz w:val="22"/>
          <w:szCs w:val="22"/>
        </w:rPr>
        <w:t xml:space="preserve">the emotional </w:t>
      </w:r>
      <w:r w:rsidR="00BA0365" w:rsidRPr="00077BFA">
        <w:rPr>
          <w:rFonts w:ascii="Arial" w:hAnsi="Arial" w:cs="Arial"/>
          <w:sz w:val="22"/>
          <w:szCs w:val="22"/>
        </w:rPr>
        <w:t xml:space="preserve">state </w:t>
      </w:r>
      <w:r w:rsidRPr="00077BFA">
        <w:rPr>
          <w:rFonts w:ascii="Arial" w:hAnsi="Arial" w:cs="Arial"/>
          <w:sz w:val="22"/>
          <w:szCs w:val="22"/>
        </w:rPr>
        <w:t xml:space="preserve">of a person. In reflection of this, the </w:t>
      </w:r>
      <w:r w:rsidR="00BD32B2" w:rsidRPr="00077BFA">
        <w:rPr>
          <w:rFonts w:ascii="Arial" w:hAnsi="Arial" w:cs="Arial"/>
          <w:sz w:val="22"/>
          <w:szCs w:val="22"/>
        </w:rPr>
        <w:t>Maslow’s</w:t>
      </w:r>
      <w:r w:rsidRPr="00077BFA">
        <w:rPr>
          <w:rFonts w:ascii="Arial" w:hAnsi="Arial" w:cs="Arial"/>
          <w:sz w:val="22"/>
          <w:szCs w:val="22"/>
        </w:rPr>
        <w:t xml:space="preserve"> Hierarchy of Needs (1943) </w:t>
      </w:r>
      <w:r w:rsidR="00BA0365" w:rsidRPr="00077BFA">
        <w:rPr>
          <w:rFonts w:ascii="Arial" w:hAnsi="Arial" w:cs="Arial"/>
          <w:sz w:val="22"/>
          <w:szCs w:val="22"/>
        </w:rPr>
        <w:t>made</w:t>
      </w:r>
      <w:r w:rsidRPr="00077BFA">
        <w:rPr>
          <w:rFonts w:ascii="Arial" w:hAnsi="Arial" w:cs="Arial"/>
          <w:sz w:val="22"/>
          <w:szCs w:val="22"/>
        </w:rPr>
        <w:t xml:space="preserve"> me reali</w:t>
      </w:r>
      <w:r w:rsidR="00BA0365" w:rsidRPr="00077BFA">
        <w:rPr>
          <w:rFonts w:ascii="Arial" w:hAnsi="Arial" w:cs="Arial"/>
          <w:sz w:val="22"/>
          <w:szCs w:val="22"/>
        </w:rPr>
        <w:t>se</w:t>
      </w:r>
      <w:r w:rsidRPr="00077BFA">
        <w:rPr>
          <w:rFonts w:ascii="Arial" w:hAnsi="Arial" w:cs="Arial"/>
          <w:sz w:val="22"/>
          <w:szCs w:val="22"/>
        </w:rPr>
        <w:t xml:space="preserve"> that when safety and belonging are not considered, there is less engagement with care (Ghaleb, 2024). Another thing I understand is that the service users with less health literacy require more time and encouragement when it comes to discussing their preferences. In this way, there is more trust and compliance when I slow down, use simple language and make sure </w:t>
      </w:r>
      <w:r w:rsidR="00BA0365" w:rsidRPr="00077BFA">
        <w:rPr>
          <w:rFonts w:ascii="Arial" w:hAnsi="Arial" w:cs="Arial"/>
          <w:sz w:val="22"/>
          <w:szCs w:val="22"/>
        </w:rPr>
        <w:t>they</w:t>
      </w:r>
      <w:r w:rsidRPr="00077BFA">
        <w:rPr>
          <w:rFonts w:ascii="Arial" w:hAnsi="Arial" w:cs="Arial"/>
          <w:sz w:val="22"/>
          <w:szCs w:val="22"/>
        </w:rPr>
        <w:t xml:space="preserve"> understand what I am saying. The Care Act 2014 acknowledges this obligation to enhance wellbeing and personal </w:t>
      </w:r>
      <w:r w:rsidR="00BD32B2" w:rsidRPr="00077BFA">
        <w:rPr>
          <w:rFonts w:ascii="Arial" w:hAnsi="Arial" w:cs="Arial"/>
          <w:sz w:val="22"/>
          <w:szCs w:val="22"/>
        </w:rPr>
        <w:t>outcomes and</w:t>
      </w:r>
      <w:r w:rsidRPr="00077BFA">
        <w:rPr>
          <w:rFonts w:ascii="Arial" w:hAnsi="Arial" w:cs="Arial"/>
          <w:sz w:val="22"/>
          <w:szCs w:val="22"/>
        </w:rPr>
        <w:t xml:space="preserve"> helps me remember that person-centred care is a legal and ethical obligation, rather than an act of </w:t>
      </w:r>
      <w:r w:rsidR="002D3AFE" w:rsidRPr="00077BFA">
        <w:rPr>
          <w:rFonts w:ascii="Arial" w:hAnsi="Arial" w:cs="Arial"/>
          <w:sz w:val="22"/>
          <w:szCs w:val="22"/>
        </w:rPr>
        <w:t>kindness</w:t>
      </w:r>
      <w:r w:rsidRPr="00077BFA">
        <w:rPr>
          <w:rFonts w:ascii="Arial" w:hAnsi="Arial" w:cs="Arial"/>
          <w:sz w:val="22"/>
          <w:szCs w:val="22"/>
        </w:rPr>
        <w:t>.</w:t>
      </w:r>
    </w:p>
    <w:p w14:paraId="2CB1EA49" w14:textId="158DFEB7" w:rsidR="00F7026C" w:rsidRPr="00077BFA" w:rsidRDefault="00F7026C" w:rsidP="00F7026C">
      <w:pPr>
        <w:spacing w:line="360" w:lineRule="auto"/>
        <w:jc w:val="both"/>
        <w:rPr>
          <w:rFonts w:ascii="Arial" w:hAnsi="Arial" w:cs="Arial"/>
          <w:b/>
          <w:bCs/>
          <w:sz w:val="22"/>
          <w:szCs w:val="22"/>
        </w:rPr>
      </w:pPr>
      <w:r w:rsidRPr="00077BFA">
        <w:rPr>
          <w:rFonts w:ascii="Arial" w:hAnsi="Arial" w:cs="Arial"/>
          <w:b/>
          <w:bCs/>
          <w:sz w:val="22"/>
          <w:szCs w:val="22"/>
        </w:rPr>
        <w:t>Partnership working</w:t>
      </w:r>
    </w:p>
    <w:p w14:paraId="4075ACF7" w14:textId="34AE8314"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My experience of collaboration with colleagues has demonstrated that the ability to work in partnership can be a game-changer when implemented successfully</w:t>
      </w:r>
      <w:r w:rsidR="003F7FB3" w:rsidRPr="00077BFA">
        <w:rPr>
          <w:rFonts w:ascii="Arial" w:hAnsi="Arial" w:cs="Arial"/>
          <w:sz w:val="22"/>
          <w:szCs w:val="22"/>
        </w:rPr>
        <w:t xml:space="preserve">. However, </w:t>
      </w:r>
      <w:r w:rsidRPr="00077BFA">
        <w:rPr>
          <w:rFonts w:ascii="Arial" w:hAnsi="Arial" w:cs="Arial"/>
          <w:sz w:val="22"/>
          <w:szCs w:val="22"/>
        </w:rPr>
        <w:t>it may</w:t>
      </w:r>
      <w:r w:rsidR="003F7FB3" w:rsidRPr="00077BFA">
        <w:rPr>
          <w:rFonts w:ascii="Arial" w:hAnsi="Arial" w:cs="Arial"/>
          <w:sz w:val="22"/>
          <w:szCs w:val="22"/>
        </w:rPr>
        <w:t xml:space="preserve"> also</w:t>
      </w:r>
      <w:r w:rsidRPr="00077BFA">
        <w:rPr>
          <w:rFonts w:ascii="Arial" w:hAnsi="Arial" w:cs="Arial"/>
          <w:sz w:val="22"/>
          <w:szCs w:val="22"/>
        </w:rPr>
        <w:t xml:space="preserve"> lead to tension when roles or communication is not well defined. The Health and Care Act</w:t>
      </w:r>
      <w:r w:rsidR="003F7FB3" w:rsidRPr="00077BFA">
        <w:rPr>
          <w:rFonts w:ascii="Arial" w:hAnsi="Arial" w:cs="Arial"/>
          <w:sz w:val="22"/>
          <w:szCs w:val="22"/>
        </w:rPr>
        <w:t xml:space="preserve"> (</w:t>
      </w:r>
      <w:r w:rsidRPr="00077BFA">
        <w:rPr>
          <w:rFonts w:ascii="Arial" w:hAnsi="Arial" w:cs="Arial"/>
          <w:sz w:val="22"/>
          <w:szCs w:val="22"/>
        </w:rPr>
        <w:t>2022</w:t>
      </w:r>
      <w:r w:rsidR="003F7FB3" w:rsidRPr="00077BFA">
        <w:rPr>
          <w:rFonts w:ascii="Arial" w:hAnsi="Arial" w:cs="Arial"/>
          <w:sz w:val="22"/>
          <w:szCs w:val="22"/>
        </w:rPr>
        <w:t>)</w:t>
      </w:r>
      <w:r w:rsidRPr="00077BFA">
        <w:rPr>
          <w:rFonts w:ascii="Arial" w:hAnsi="Arial" w:cs="Arial"/>
          <w:sz w:val="22"/>
          <w:szCs w:val="22"/>
        </w:rPr>
        <w:t xml:space="preserve"> </w:t>
      </w:r>
      <w:proofErr w:type="gramStart"/>
      <w:r w:rsidRPr="00077BFA">
        <w:rPr>
          <w:rFonts w:ascii="Arial" w:hAnsi="Arial" w:cs="Arial"/>
          <w:sz w:val="22"/>
          <w:szCs w:val="22"/>
        </w:rPr>
        <w:t>envisions</w:t>
      </w:r>
      <w:proofErr w:type="gramEnd"/>
      <w:r w:rsidRPr="00077BFA">
        <w:rPr>
          <w:rFonts w:ascii="Arial" w:hAnsi="Arial" w:cs="Arial"/>
          <w:sz w:val="22"/>
          <w:szCs w:val="22"/>
        </w:rPr>
        <w:t xml:space="preserve"> the combination of health and social care, and I can see the positive outcomes when it happens successfully. </w:t>
      </w:r>
      <w:r w:rsidR="00F154AD" w:rsidRPr="00077BFA">
        <w:rPr>
          <w:rFonts w:ascii="Arial" w:hAnsi="Arial" w:cs="Arial"/>
          <w:sz w:val="22"/>
          <w:szCs w:val="22"/>
        </w:rPr>
        <w:t xml:space="preserve">This </w:t>
      </w:r>
      <w:proofErr w:type="gramStart"/>
      <w:r w:rsidR="00F154AD" w:rsidRPr="00077BFA">
        <w:rPr>
          <w:rFonts w:ascii="Arial" w:hAnsi="Arial" w:cs="Arial"/>
          <w:sz w:val="22"/>
          <w:szCs w:val="22"/>
        </w:rPr>
        <w:t>include</w:t>
      </w:r>
      <w:proofErr w:type="gramEnd"/>
      <w:r w:rsidRPr="00077BFA">
        <w:rPr>
          <w:rFonts w:ascii="Arial" w:hAnsi="Arial" w:cs="Arial"/>
          <w:sz w:val="22"/>
          <w:szCs w:val="22"/>
        </w:rPr>
        <w:t xml:space="preserve"> flow of information without interference, minimal duplication</w:t>
      </w:r>
      <w:r w:rsidR="0011630D" w:rsidRPr="00077BFA">
        <w:rPr>
          <w:rFonts w:ascii="Arial" w:hAnsi="Arial" w:cs="Arial"/>
          <w:sz w:val="22"/>
          <w:szCs w:val="22"/>
        </w:rPr>
        <w:t xml:space="preserve">, </w:t>
      </w:r>
      <w:r w:rsidRPr="00077BFA">
        <w:rPr>
          <w:rFonts w:ascii="Arial" w:hAnsi="Arial" w:cs="Arial"/>
          <w:sz w:val="22"/>
          <w:szCs w:val="22"/>
        </w:rPr>
        <w:t xml:space="preserve">and individuals such as Joan </w:t>
      </w:r>
      <w:r w:rsidR="0011630D" w:rsidRPr="00077BFA">
        <w:rPr>
          <w:rFonts w:ascii="Arial" w:hAnsi="Arial" w:cs="Arial"/>
          <w:sz w:val="22"/>
          <w:szCs w:val="22"/>
        </w:rPr>
        <w:t xml:space="preserve">receive </w:t>
      </w:r>
      <w:r w:rsidRPr="00077BFA">
        <w:rPr>
          <w:rFonts w:ascii="Arial" w:hAnsi="Arial" w:cs="Arial"/>
          <w:sz w:val="22"/>
          <w:szCs w:val="22"/>
        </w:rPr>
        <w:t xml:space="preserve">constant guidance. I remember a situation when </w:t>
      </w:r>
      <w:r w:rsidR="00E24EA6" w:rsidRPr="00077BFA">
        <w:rPr>
          <w:rFonts w:ascii="Arial" w:hAnsi="Arial" w:cs="Arial"/>
          <w:sz w:val="22"/>
          <w:szCs w:val="22"/>
        </w:rPr>
        <w:t>a</w:t>
      </w:r>
      <w:r w:rsidRPr="00077BFA">
        <w:rPr>
          <w:rFonts w:ascii="Arial" w:hAnsi="Arial" w:cs="Arial"/>
          <w:sz w:val="22"/>
          <w:szCs w:val="22"/>
        </w:rPr>
        <w:t xml:space="preserve"> joint </w:t>
      </w:r>
      <w:r w:rsidR="00CB5C9B" w:rsidRPr="00077BFA">
        <w:rPr>
          <w:rFonts w:ascii="Arial" w:hAnsi="Arial" w:cs="Arial"/>
          <w:sz w:val="22"/>
          <w:szCs w:val="22"/>
        </w:rPr>
        <w:t>meeting</w:t>
      </w:r>
      <w:r w:rsidR="00E24EA6" w:rsidRPr="00077BFA">
        <w:rPr>
          <w:rFonts w:ascii="Arial" w:hAnsi="Arial" w:cs="Arial"/>
          <w:sz w:val="22"/>
          <w:szCs w:val="22"/>
        </w:rPr>
        <w:t xml:space="preserve"> </w:t>
      </w:r>
      <w:r w:rsidRPr="00077BFA">
        <w:rPr>
          <w:rFonts w:ascii="Arial" w:hAnsi="Arial" w:cs="Arial"/>
          <w:sz w:val="22"/>
          <w:szCs w:val="22"/>
        </w:rPr>
        <w:t xml:space="preserve">with physiotherapists and social workers helped a client to restore mobility and independence faster. This once again confirmed to me that the real integration should be based on </w:t>
      </w:r>
      <w:r w:rsidR="00E24EA6" w:rsidRPr="00077BFA">
        <w:rPr>
          <w:rFonts w:ascii="Arial" w:hAnsi="Arial" w:cs="Arial"/>
          <w:sz w:val="22"/>
          <w:szCs w:val="22"/>
        </w:rPr>
        <w:t xml:space="preserve">mutual </w:t>
      </w:r>
      <w:r w:rsidRPr="00077BFA">
        <w:rPr>
          <w:rFonts w:ascii="Arial" w:hAnsi="Arial" w:cs="Arial"/>
          <w:sz w:val="22"/>
          <w:szCs w:val="22"/>
        </w:rPr>
        <w:t>respect and shared vision</w:t>
      </w:r>
      <w:r w:rsidR="00CB5C9B" w:rsidRPr="00077BFA">
        <w:rPr>
          <w:rFonts w:ascii="Arial" w:hAnsi="Arial" w:cs="Arial"/>
          <w:sz w:val="22"/>
          <w:szCs w:val="22"/>
        </w:rPr>
        <w:t xml:space="preserve">, rather than </w:t>
      </w:r>
      <w:r w:rsidRPr="00077BFA">
        <w:rPr>
          <w:rFonts w:ascii="Arial" w:hAnsi="Arial" w:cs="Arial"/>
          <w:sz w:val="22"/>
          <w:szCs w:val="22"/>
        </w:rPr>
        <w:t>hierarch</w:t>
      </w:r>
      <w:r w:rsidR="00CB5C9B" w:rsidRPr="00077BFA">
        <w:rPr>
          <w:rFonts w:ascii="Arial" w:hAnsi="Arial" w:cs="Arial"/>
          <w:sz w:val="22"/>
          <w:szCs w:val="22"/>
        </w:rPr>
        <w:t>y based.</w:t>
      </w:r>
    </w:p>
    <w:p w14:paraId="7D794D47" w14:textId="4D7ACEC6"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Nonetheless,</w:t>
      </w:r>
      <w:r w:rsidR="00CB5C9B" w:rsidRPr="00077BFA">
        <w:rPr>
          <w:rFonts w:ascii="Arial" w:hAnsi="Arial" w:cs="Arial"/>
          <w:sz w:val="22"/>
          <w:szCs w:val="22"/>
        </w:rPr>
        <w:t xml:space="preserve"> </w:t>
      </w:r>
      <w:r w:rsidRPr="00077BFA">
        <w:rPr>
          <w:rFonts w:ascii="Arial" w:hAnsi="Arial" w:cs="Arial"/>
          <w:sz w:val="22"/>
          <w:szCs w:val="22"/>
        </w:rPr>
        <w:t xml:space="preserve">I have also been able to see instances in which the lack of communication resulted in disjointed care. Sometimes, I was afraid to voice my disagreement when I did not agree with a decision of more experienced employees. </w:t>
      </w:r>
      <w:r w:rsidR="00CB5C9B" w:rsidRPr="00077BFA">
        <w:rPr>
          <w:rFonts w:ascii="Arial" w:hAnsi="Arial" w:cs="Arial"/>
          <w:sz w:val="22"/>
          <w:szCs w:val="22"/>
        </w:rPr>
        <w:t>Reflecting on</w:t>
      </w:r>
      <w:r w:rsidRPr="00077BFA">
        <w:rPr>
          <w:rFonts w:ascii="Arial" w:hAnsi="Arial" w:cs="Arial"/>
          <w:sz w:val="22"/>
          <w:szCs w:val="22"/>
        </w:rPr>
        <w:t xml:space="preserve"> the ecological systems theory proposed by Bronfenbrenner (1979)</w:t>
      </w:r>
      <w:r w:rsidR="00CB5C9B" w:rsidRPr="00077BFA">
        <w:rPr>
          <w:rFonts w:ascii="Arial" w:hAnsi="Arial" w:cs="Arial"/>
          <w:sz w:val="22"/>
          <w:szCs w:val="22"/>
        </w:rPr>
        <w:t>,</w:t>
      </w:r>
      <w:r w:rsidRPr="00077BFA">
        <w:rPr>
          <w:rFonts w:ascii="Arial" w:hAnsi="Arial" w:cs="Arial"/>
          <w:sz w:val="22"/>
          <w:szCs w:val="22"/>
        </w:rPr>
        <w:t xml:space="preserve"> I find that my practice functions within the multiple layers of influence that may either enable or disenfranchise practitioners, including organisational policies, leadership culture,</w:t>
      </w:r>
      <w:r w:rsidR="00B54F44">
        <w:rPr>
          <w:rFonts w:ascii="Arial" w:hAnsi="Arial" w:cs="Arial"/>
          <w:sz w:val="22"/>
          <w:szCs w:val="22"/>
        </w:rPr>
        <w:t xml:space="preserve"> and</w:t>
      </w:r>
      <w:r w:rsidRPr="00077BFA">
        <w:rPr>
          <w:rFonts w:ascii="Arial" w:hAnsi="Arial" w:cs="Arial"/>
          <w:sz w:val="22"/>
          <w:szCs w:val="22"/>
        </w:rPr>
        <w:t xml:space="preserve"> professional norms</w:t>
      </w:r>
      <w:r w:rsidR="00B54F44">
        <w:rPr>
          <w:rFonts w:ascii="Arial" w:hAnsi="Arial" w:cs="Arial"/>
          <w:sz w:val="22"/>
          <w:szCs w:val="22"/>
        </w:rPr>
        <w:t xml:space="preserve">. </w:t>
      </w:r>
      <w:r w:rsidRPr="00077BFA">
        <w:rPr>
          <w:rFonts w:ascii="Arial" w:hAnsi="Arial" w:cs="Arial"/>
          <w:sz w:val="22"/>
          <w:szCs w:val="22"/>
        </w:rPr>
        <w:t xml:space="preserve">However, the 6 Cs of Nursing (Department of Health, 2012) have reminded me that constructive challenge requires courage and communication. </w:t>
      </w:r>
      <w:r w:rsidR="00CB5C9B" w:rsidRPr="00077BFA">
        <w:rPr>
          <w:rFonts w:ascii="Arial" w:hAnsi="Arial" w:cs="Arial"/>
          <w:sz w:val="22"/>
          <w:szCs w:val="22"/>
        </w:rPr>
        <w:t xml:space="preserve">Hence, </w:t>
      </w:r>
      <w:r w:rsidRPr="00077BFA">
        <w:rPr>
          <w:rFonts w:ascii="Arial" w:hAnsi="Arial" w:cs="Arial"/>
          <w:sz w:val="22"/>
          <w:szCs w:val="22"/>
        </w:rPr>
        <w:t xml:space="preserve">I </w:t>
      </w:r>
      <w:r w:rsidR="00CB5C9B" w:rsidRPr="00077BFA">
        <w:rPr>
          <w:rFonts w:ascii="Arial" w:hAnsi="Arial" w:cs="Arial"/>
          <w:sz w:val="22"/>
          <w:szCs w:val="22"/>
        </w:rPr>
        <w:t>was able to</w:t>
      </w:r>
      <w:r w:rsidRPr="00077BFA">
        <w:rPr>
          <w:rFonts w:ascii="Arial" w:hAnsi="Arial" w:cs="Arial"/>
          <w:sz w:val="22"/>
          <w:szCs w:val="22"/>
        </w:rPr>
        <w:t xml:space="preserve"> learn how to </w:t>
      </w:r>
      <w:r w:rsidR="006A22B5">
        <w:rPr>
          <w:rFonts w:ascii="Arial" w:hAnsi="Arial" w:cs="Arial"/>
          <w:sz w:val="22"/>
          <w:szCs w:val="22"/>
        </w:rPr>
        <w:t xml:space="preserve">articulate better </w:t>
      </w:r>
      <w:r w:rsidRPr="00077BFA">
        <w:rPr>
          <w:rFonts w:ascii="Arial" w:hAnsi="Arial" w:cs="Arial"/>
          <w:sz w:val="22"/>
          <w:szCs w:val="22"/>
        </w:rPr>
        <w:t>when giving professional opinions by citing evidence and policy framework to support my opinions. By doing so, I have helped to enhance collaboration and service users have been able to receive more streamlined, coherent plans.</w:t>
      </w:r>
    </w:p>
    <w:p w14:paraId="31969CEC" w14:textId="77777777" w:rsidR="00F7026C" w:rsidRPr="00077BFA" w:rsidRDefault="00F7026C" w:rsidP="00F7026C">
      <w:pPr>
        <w:spacing w:line="360" w:lineRule="auto"/>
        <w:jc w:val="both"/>
        <w:rPr>
          <w:rFonts w:ascii="Arial" w:hAnsi="Arial" w:cs="Arial"/>
          <w:b/>
          <w:bCs/>
          <w:sz w:val="22"/>
          <w:szCs w:val="22"/>
        </w:rPr>
      </w:pPr>
      <w:r w:rsidRPr="00077BFA">
        <w:rPr>
          <w:rFonts w:ascii="Arial" w:hAnsi="Arial" w:cs="Arial"/>
          <w:b/>
          <w:bCs/>
          <w:sz w:val="22"/>
          <w:szCs w:val="22"/>
        </w:rPr>
        <w:lastRenderedPageBreak/>
        <w:t>Ethical practice</w:t>
      </w:r>
    </w:p>
    <w:p w14:paraId="7A0ED46F" w14:textId="14222540"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 xml:space="preserve">Moral issues </w:t>
      </w:r>
      <w:r w:rsidR="00BD32B2">
        <w:rPr>
          <w:rFonts w:ascii="Arial" w:hAnsi="Arial" w:cs="Arial"/>
          <w:sz w:val="22"/>
          <w:szCs w:val="22"/>
        </w:rPr>
        <w:t>cannot be separated from</w:t>
      </w:r>
      <w:r w:rsidRPr="00077BFA">
        <w:rPr>
          <w:rFonts w:ascii="Arial" w:hAnsi="Arial" w:cs="Arial"/>
          <w:sz w:val="22"/>
          <w:szCs w:val="22"/>
        </w:rPr>
        <w:t xml:space="preserve"> care. There have been several times when I have had to make decisions involving the necessity to respect autonomy and the need to be concerned about safety. The four principles presented by Beauchamp and Childress (2019) offer a perspective to consider. I remember when I was assisting one of my clients who kept on declining a diet that was necessary to help her control diabetes. I was initially frustrated, but</w:t>
      </w:r>
      <w:r w:rsidR="00050263" w:rsidRPr="00077BFA">
        <w:rPr>
          <w:rFonts w:ascii="Arial" w:hAnsi="Arial" w:cs="Arial"/>
          <w:sz w:val="22"/>
          <w:szCs w:val="22"/>
        </w:rPr>
        <w:t xml:space="preserve"> after a deep</w:t>
      </w:r>
      <w:r w:rsidRPr="00077BFA">
        <w:rPr>
          <w:rFonts w:ascii="Arial" w:hAnsi="Arial" w:cs="Arial"/>
          <w:sz w:val="22"/>
          <w:szCs w:val="22"/>
        </w:rPr>
        <w:t xml:space="preserve"> </w:t>
      </w:r>
      <w:r w:rsidR="00050263" w:rsidRPr="00077BFA">
        <w:rPr>
          <w:rFonts w:ascii="Arial" w:hAnsi="Arial" w:cs="Arial"/>
          <w:sz w:val="22"/>
          <w:szCs w:val="22"/>
        </w:rPr>
        <w:t xml:space="preserve">contemplation, I </w:t>
      </w:r>
      <w:r w:rsidRPr="00077BFA">
        <w:rPr>
          <w:rFonts w:ascii="Arial" w:hAnsi="Arial" w:cs="Arial"/>
          <w:sz w:val="22"/>
          <w:szCs w:val="22"/>
        </w:rPr>
        <w:t>realise</w:t>
      </w:r>
      <w:r w:rsidR="005570C4">
        <w:rPr>
          <w:rFonts w:ascii="Arial" w:hAnsi="Arial" w:cs="Arial"/>
          <w:sz w:val="22"/>
          <w:szCs w:val="22"/>
        </w:rPr>
        <w:t>d</w:t>
      </w:r>
      <w:r w:rsidRPr="00077BFA">
        <w:rPr>
          <w:rFonts w:ascii="Arial" w:hAnsi="Arial" w:cs="Arial"/>
          <w:sz w:val="22"/>
          <w:szCs w:val="22"/>
        </w:rPr>
        <w:t xml:space="preserve"> that autonomy</w:t>
      </w:r>
      <w:r w:rsidR="00050263" w:rsidRPr="00077BFA">
        <w:rPr>
          <w:rFonts w:ascii="Arial" w:hAnsi="Arial" w:cs="Arial"/>
          <w:sz w:val="22"/>
          <w:szCs w:val="22"/>
        </w:rPr>
        <w:t xml:space="preserve"> also</w:t>
      </w:r>
      <w:r w:rsidRPr="00077BFA">
        <w:rPr>
          <w:rFonts w:ascii="Arial" w:hAnsi="Arial" w:cs="Arial"/>
          <w:sz w:val="22"/>
          <w:szCs w:val="22"/>
        </w:rPr>
        <w:t xml:space="preserve"> implies the right to make </w:t>
      </w:r>
      <w:r w:rsidR="00050263" w:rsidRPr="00077BFA">
        <w:rPr>
          <w:rFonts w:ascii="Arial" w:hAnsi="Arial" w:cs="Arial"/>
          <w:sz w:val="22"/>
          <w:szCs w:val="22"/>
        </w:rPr>
        <w:t xml:space="preserve">unwise </w:t>
      </w:r>
      <w:r w:rsidRPr="00077BFA">
        <w:rPr>
          <w:rFonts w:ascii="Arial" w:hAnsi="Arial" w:cs="Arial"/>
          <w:sz w:val="22"/>
          <w:szCs w:val="22"/>
        </w:rPr>
        <w:t xml:space="preserve">decisions. </w:t>
      </w:r>
      <w:r w:rsidR="00050263" w:rsidRPr="00077BFA">
        <w:rPr>
          <w:rFonts w:ascii="Arial" w:hAnsi="Arial" w:cs="Arial"/>
          <w:sz w:val="22"/>
          <w:szCs w:val="22"/>
        </w:rPr>
        <w:t xml:space="preserve">Applying </w:t>
      </w:r>
      <w:r w:rsidRPr="00077BFA">
        <w:rPr>
          <w:rFonts w:ascii="Arial" w:hAnsi="Arial" w:cs="Arial"/>
          <w:sz w:val="22"/>
          <w:szCs w:val="22"/>
        </w:rPr>
        <w:t xml:space="preserve">the NMC Code (2018), which requires respect, communication and accountability, I did not persuade but engaged in a conversation and inquired about the reasons that caused the resistance. This established confidence and ultimately </w:t>
      </w:r>
      <w:r w:rsidR="005570C4">
        <w:rPr>
          <w:rFonts w:ascii="Arial" w:hAnsi="Arial" w:cs="Arial"/>
          <w:sz w:val="22"/>
          <w:szCs w:val="22"/>
        </w:rPr>
        <w:t>facilitated</w:t>
      </w:r>
      <w:r w:rsidRPr="00077BFA">
        <w:rPr>
          <w:rFonts w:ascii="Arial" w:hAnsi="Arial" w:cs="Arial"/>
          <w:sz w:val="22"/>
          <w:szCs w:val="22"/>
        </w:rPr>
        <w:t xml:space="preserve"> compromise.</w:t>
      </w:r>
    </w:p>
    <w:p w14:paraId="25F8AA33" w14:textId="16094F80" w:rsidR="00F7026C" w:rsidRPr="00077BFA" w:rsidRDefault="00050263" w:rsidP="00F7026C">
      <w:pPr>
        <w:spacing w:line="360" w:lineRule="auto"/>
        <w:jc w:val="both"/>
        <w:rPr>
          <w:rFonts w:ascii="Arial" w:hAnsi="Arial" w:cs="Arial"/>
          <w:sz w:val="22"/>
          <w:szCs w:val="22"/>
        </w:rPr>
      </w:pPr>
      <w:r w:rsidRPr="00077BFA">
        <w:rPr>
          <w:rFonts w:ascii="Arial" w:hAnsi="Arial" w:cs="Arial"/>
          <w:sz w:val="22"/>
          <w:szCs w:val="22"/>
        </w:rPr>
        <w:t xml:space="preserve">However, </w:t>
      </w:r>
      <w:r w:rsidR="00F7026C" w:rsidRPr="00077BFA">
        <w:rPr>
          <w:rFonts w:ascii="Arial" w:hAnsi="Arial" w:cs="Arial"/>
          <w:sz w:val="22"/>
          <w:szCs w:val="22"/>
        </w:rPr>
        <w:t>sometimes I can be challenged by the emotional burden of ethical decision-making. Defensive practice may occur due to the fear of inflicting harm or being critici</w:t>
      </w:r>
      <w:r w:rsidR="00D530A4">
        <w:rPr>
          <w:rFonts w:ascii="Arial" w:hAnsi="Arial" w:cs="Arial"/>
          <w:sz w:val="22"/>
          <w:szCs w:val="22"/>
        </w:rPr>
        <w:t>s</w:t>
      </w:r>
      <w:r w:rsidR="00F7026C" w:rsidRPr="00077BFA">
        <w:rPr>
          <w:rFonts w:ascii="Arial" w:hAnsi="Arial" w:cs="Arial"/>
          <w:sz w:val="22"/>
          <w:szCs w:val="22"/>
        </w:rPr>
        <w:t xml:space="preserve">ed (Loreno et al., 2024). However, reflective supervision allowed me to work through this </w:t>
      </w:r>
      <w:r w:rsidR="00D530A4" w:rsidRPr="00077BFA">
        <w:rPr>
          <w:rFonts w:ascii="Arial" w:hAnsi="Arial" w:cs="Arial"/>
          <w:sz w:val="22"/>
          <w:szCs w:val="22"/>
        </w:rPr>
        <w:t>anxiety and</w:t>
      </w:r>
      <w:r w:rsidR="00F7026C" w:rsidRPr="00077BFA">
        <w:rPr>
          <w:rFonts w:ascii="Arial" w:hAnsi="Arial" w:cs="Arial"/>
          <w:sz w:val="22"/>
          <w:szCs w:val="22"/>
        </w:rPr>
        <w:t xml:space="preserve"> make decisions that were reason-based as opposed to reactive-based. The domain of </w:t>
      </w:r>
      <w:r w:rsidR="0031757E" w:rsidRPr="00077BFA">
        <w:rPr>
          <w:rFonts w:ascii="Arial" w:hAnsi="Arial" w:cs="Arial"/>
          <w:sz w:val="22"/>
          <w:szCs w:val="22"/>
        </w:rPr>
        <w:t>“</w:t>
      </w:r>
      <w:r w:rsidR="00F7026C" w:rsidRPr="00077BFA">
        <w:rPr>
          <w:rFonts w:ascii="Arial" w:hAnsi="Arial" w:cs="Arial"/>
          <w:sz w:val="22"/>
          <w:szCs w:val="22"/>
        </w:rPr>
        <w:t>caring</w:t>
      </w:r>
      <w:r w:rsidR="0031757E" w:rsidRPr="00077BFA">
        <w:rPr>
          <w:rFonts w:ascii="Arial" w:hAnsi="Arial" w:cs="Arial"/>
          <w:sz w:val="22"/>
          <w:szCs w:val="22"/>
        </w:rPr>
        <w:t>”</w:t>
      </w:r>
      <w:r w:rsidR="00F7026C" w:rsidRPr="00077BFA">
        <w:rPr>
          <w:rFonts w:ascii="Arial" w:hAnsi="Arial" w:cs="Arial"/>
          <w:sz w:val="22"/>
          <w:szCs w:val="22"/>
        </w:rPr>
        <w:t xml:space="preserve"> and </w:t>
      </w:r>
      <w:r w:rsidR="0031757E" w:rsidRPr="00077BFA">
        <w:rPr>
          <w:rFonts w:ascii="Arial" w:hAnsi="Arial" w:cs="Arial"/>
          <w:sz w:val="22"/>
          <w:szCs w:val="22"/>
        </w:rPr>
        <w:t>“</w:t>
      </w:r>
      <w:r w:rsidR="00F7026C" w:rsidRPr="00077BFA">
        <w:rPr>
          <w:rFonts w:ascii="Arial" w:hAnsi="Arial" w:cs="Arial"/>
          <w:sz w:val="22"/>
          <w:szCs w:val="22"/>
        </w:rPr>
        <w:t>responsive</w:t>
      </w:r>
      <w:r w:rsidR="0031757E" w:rsidRPr="00077BFA">
        <w:rPr>
          <w:rFonts w:ascii="Arial" w:hAnsi="Arial" w:cs="Arial"/>
          <w:sz w:val="22"/>
          <w:szCs w:val="22"/>
        </w:rPr>
        <w:t>”</w:t>
      </w:r>
      <w:r w:rsidR="00F7026C" w:rsidRPr="00077BFA">
        <w:rPr>
          <w:rFonts w:ascii="Arial" w:hAnsi="Arial" w:cs="Arial"/>
          <w:sz w:val="22"/>
          <w:szCs w:val="22"/>
        </w:rPr>
        <w:t xml:space="preserve"> proposed by the CQC (2023) confirms that the issue of ethical practice is not based on preventing bad, but rather on actively establishing dignity and equity in care. I have been empowered by the knowledge of this which has made me </w:t>
      </w:r>
      <w:proofErr w:type="gramStart"/>
      <w:r w:rsidR="00F7026C" w:rsidRPr="00077BFA">
        <w:rPr>
          <w:rFonts w:ascii="Arial" w:hAnsi="Arial" w:cs="Arial"/>
          <w:sz w:val="22"/>
          <w:szCs w:val="22"/>
        </w:rPr>
        <w:t>more resilient and strong</w:t>
      </w:r>
      <w:proofErr w:type="gramEnd"/>
      <w:r w:rsidR="00F7026C" w:rsidRPr="00077BFA">
        <w:rPr>
          <w:rFonts w:ascii="Arial" w:hAnsi="Arial" w:cs="Arial"/>
          <w:sz w:val="22"/>
          <w:szCs w:val="22"/>
        </w:rPr>
        <w:t xml:space="preserve"> in my profession.</w:t>
      </w:r>
    </w:p>
    <w:p w14:paraId="4FA63461" w14:textId="1FFE1508"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 xml:space="preserve">In all these experiences, I </w:t>
      </w:r>
      <w:proofErr w:type="gramStart"/>
      <w:r w:rsidRPr="00077BFA">
        <w:rPr>
          <w:rFonts w:ascii="Arial" w:hAnsi="Arial" w:cs="Arial"/>
          <w:sz w:val="22"/>
          <w:szCs w:val="22"/>
        </w:rPr>
        <w:t>am able to</w:t>
      </w:r>
      <w:proofErr w:type="gramEnd"/>
      <w:r w:rsidRPr="00077BFA">
        <w:rPr>
          <w:rFonts w:ascii="Arial" w:hAnsi="Arial" w:cs="Arial"/>
          <w:sz w:val="22"/>
          <w:szCs w:val="22"/>
        </w:rPr>
        <w:t xml:space="preserve"> pinpoint my personal strengths which include empathy, adaptability and true commitment to collaborative working</w:t>
      </w:r>
      <w:r w:rsidR="0031757E" w:rsidRPr="00077BFA">
        <w:rPr>
          <w:rFonts w:ascii="Arial" w:hAnsi="Arial" w:cs="Arial"/>
          <w:sz w:val="22"/>
          <w:szCs w:val="22"/>
        </w:rPr>
        <w:t xml:space="preserve">, though </w:t>
      </w:r>
      <w:r w:rsidRPr="00077BFA">
        <w:rPr>
          <w:rFonts w:ascii="Arial" w:hAnsi="Arial" w:cs="Arial"/>
          <w:sz w:val="22"/>
          <w:szCs w:val="22"/>
        </w:rPr>
        <w:t xml:space="preserve">my weaknesses in confidence and time management persist. I understand that these </w:t>
      </w:r>
      <w:r w:rsidR="0031757E" w:rsidRPr="00077BFA">
        <w:rPr>
          <w:rFonts w:ascii="Arial" w:hAnsi="Arial" w:cs="Arial"/>
          <w:sz w:val="22"/>
          <w:szCs w:val="22"/>
        </w:rPr>
        <w:t>weaknesses</w:t>
      </w:r>
      <w:r w:rsidRPr="00077BFA">
        <w:rPr>
          <w:rFonts w:ascii="Arial" w:hAnsi="Arial" w:cs="Arial"/>
          <w:sz w:val="22"/>
          <w:szCs w:val="22"/>
        </w:rPr>
        <w:t xml:space="preserve"> influence my practice of providing a person-oriented, evidence-based care consistently. To solve them, I have now included policy awareness and theory into my everyday reflection. </w:t>
      </w:r>
      <w:proofErr w:type="gramStart"/>
      <w:r w:rsidRPr="00077BFA">
        <w:rPr>
          <w:rFonts w:ascii="Arial" w:hAnsi="Arial" w:cs="Arial"/>
          <w:sz w:val="22"/>
          <w:szCs w:val="22"/>
        </w:rPr>
        <w:t>In particular, I</w:t>
      </w:r>
      <w:proofErr w:type="gramEnd"/>
      <w:r w:rsidRPr="00077BFA">
        <w:rPr>
          <w:rFonts w:ascii="Arial" w:hAnsi="Arial" w:cs="Arial"/>
          <w:sz w:val="22"/>
          <w:szCs w:val="22"/>
        </w:rPr>
        <w:t xml:space="preserve"> go through the pertinent NICE guidance or organisation policy before conducting a review of care to </w:t>
      </w:r>
      <w:r w:rsidR="0013338C" w:rsidRPr="00077BFA">
        <w:rPr>
          <w:rFonts w:ascii="Arial" w:hAnsi="Arial" w:cs="Arial"/>
          <w:sz w:val="22"/>
          <w:szCs w:val="22"/>
        </w:rPr>
        <w:t xml:space="preserve">ensure </w:t>
      </w:r>
      <w:r w:rsidRPr="00077BFA">
        <w:rPr>
          <w:rFonts w:ascii="Arial" w:hAnsi="Arial" w:cs="Arial"/>
          <w:sz w:val="22"/>
          <w:szCs w:val="22"/>
        </w:rPr>
        <w:t xml:space="preserve">that my decisions are justifiable and ethical. The practice </w:t>
      </w:r>
      <w:proofErr w:type="gramStart"/>
      <w:r w:rsidRPr="00077BFA">
        <w:rPr>
          <w:rFonts w:ascii="Arial" w:hAnsi="Arial" w:cs="Arial"/>
          <w:sz w:val="22"/>
          <w:szCs w:val="22"/>
        </w:rPr>
        <w:t>is a reflection of</w:t>
      </w:r>
      <w:proofErr w:type="gramEnd"/>
      <w:r w:rsidRPr="00077BFA">
        <w:rPr>
          <w:rFonts w:ascii="Arial" w:hAnsi="Arial" w:cs="Arial"/>
          <w:sz w:val="22"/>
          <w:szCs w:val="22"/>
        </w:rPr>
        <w:t xml:space="preserve"> the concept of the reflective practitioner, introduced by Schon (1983), where reflection-in-action is used to perfect judgement in the moments of complex situations (Kinsella, 2010).</w:t>
      </w:r>
    </w:p>
    <w:p w14:paraId="36343C83" w14:textId="7E3B945F" w:rsidR="00F7026C" w:rsidRPr="00077BFA" w:rsidRDefault="00F7026C" w:rsidP="00F7026C">
      <w:pPr>
        <w:spacing w:line="360" w:lineRule="auto"/>
        <w:jc w:val="both"/>
        <w:rPr>
          <w:rFonts w:ascii="Arial" w:hAnsi="Arial" w:cs="Arial"/>
          <w:sz w:val="22"/>
          <w:szCs w:val="22"/>
        </w:rPr>
      </w:pPr>
      <w:r w:rsidRPr="00077BFA">
        <w:rPr>
          <w:rFonts w:ascii="Arial" w:hAnsi="Arial" w:cs="Arial"/>
          <w:sz w:val="22"/>
          <w:szCs w:val="22"/>
        </w:rPr>
        <w:t xml:space="preserve">I also engage in short reflective notes following difficult engagements to determine whether I have met the 6 Cs and professional codes. </w:t>
      </w:r>
      <w:proofErr w:type="gramStart"/>
      <w:r w:rsidR="00FA3C48" w:rsidRPr="00077BFA">
        <w:rPr>
          <w:rFonts w:ascii="Arial" w:hAnsi="Arial" w:cs="Arial"/>
          <w:sz w:val="22"/>
          <w:szCs w:val="22"/>
        </w:rPr>
        <w:t>This habits</w:t>
      </w:r>
      <w:proofErr w:type="gramEnd"/>
      <w:r w:rsidR="00FA3C48" w:rsidRPr="00077BFA">
        <w:rPr>
          <w:rFonts w:ascii="Arial" w:hAnsi="Arial" w:cs="Arial"/>
          <w:sz w:val="22"/>
          <w:szCs w:val="22"/>
        </w:rPr>
        <w:t xml:space="preserve"> </w:t>
      </w:r>
      <w:r w:rsidRPr="00077BFA">
        <w:rPr>
          <w:rFonts w:ascii="Arial" w:hAnsi="Arial" w:cs="Arial"/>
          <w:sz w:val="22"/>
          <w:szCs w:val="22"/>
        </w:rPr>
        <w:t>allow me to recogni</w:t>
      </w:r>
      <w:r w:rsidR="00FA3C48" w:rsidRPr="00077BFA">
        <w:rPr>
          <w:rFonts w:ascii="Arial" w:hAnsi="Arial" w:cs="Arial"/>
          <w:sz w:val="22"/>
          <w:szCs w:val="22"/>
        </w:rPr>
        <w:t>se</w:t>
      </w:r>
      <w:r w:rsidRPr="00077BFA">
        <w:rPr>
          <w:rFonts w:ascii="Arial" w:hAnsi="Arial" w:cs="Arial"/>
          <w:sz w:val="22"/>
          <w:szCs w:val="22"/>
        </w:rPr>
        <w:t xml:space="preserve"> the patterns of </w:t>
      </w:r>
      <w:r w:rsidR="00FA3C48" w:rsidRPr="00077BFA">
        <w:rPr>
          <w:rFonts w:ascii="Arial" w:hAnsi="Arial" w:cs="Arial"/>
          <w:sz w:val="22"/>
          <w:szCs w:val="22"/>
        </w:rPr>
        <w:t>stress</w:t>
      </w:r>
      <w:r w:rsidRPr="00077BFA">
        <w:rPr>
          <w:rFonts w:ascii="Arial" w:hAnsi="Arial" w:cs="Arial"/>
          <w:sz w:val="22"/>
          <w:szCs w:val="22"/>
        </w:rPr>
        <w:t xml:space="preserve"> or workload</w:t>
      </w:r>
      <w:r w:rsidR="00FA3C48" w:rsidRPr="00077BFA">
        <w:rPr>
          <w:rFonts w:ascii="Arial" w:hAnsi="Arial" w:cs="Arial"/>
          <w:sz w:val="22"/>
          <w:szCs w:val="22"/>
        </w:rPr>
        <w:t>,</w:t>
      </w:r>
      <w:r w:rsidRPr="00077BFA">
        <w:rPr>
          <w:rFonts w:ascii="Arial" w:hAnsi="Arial" w:cs="Arial"/>
          <w:sz w:val="22"/>
          <w:szCs w:val="22"/>
        </w:rPr>
        <w:t xml:space="preserve"> decreasing empathy and to plan strategies as pacing, or debriefing with colleagues. Though I still struggle to balance empathy and efficiency, I have learned to realise that being able to hold onto person-centred values in a high-pressure situation is also a way of professional bravery.</w:t>
      </w:r>
    </w:p>
    <w:p w14:paraId="2DAA9D47" w14:textId="4EB80D87" w:rsidR="009F03ED" w:rsidRPr="00077BFA" w:rsidRDefault="00FA3C48" w:rsidP="009F03ED">
      <w:pPr>
        <w:spacing w:line="360" w:lineRule="auto"/>
        <w:jc w:val="both"/>
        <w:rPr>
          <w:rFonts w:ascii="Arial" w:hAnsi="Arial" w:cs="Arial"/>
          <w:b/>
          <w:sz w:val="22"/>
          <w:szCs w:val="22"/>
        </w:rPr>
      </w:pPr>
      <w:r w:rsidRPr="00077BFA">
        <w:rPr>
          <w:rFonts w:ascii="Arial" w:hAnsi="Arial" w:cs="Arial"/>
          <w:sz w:val="22"/>
          <w:szCs w:val="22"/>
        </w:rPr>
        <w:lastRenderedPageBreak/>
        <w:t xml:space="preserve">Going forward, </w:t>
      </w:r>
      <w:r w:rsidR="00F7026C" w:rsidRPr="00077BFA">
        <w:rPr>
          <w:rFonts w:ascii="Arial" w:hAnsi="Arial" w:cs="Arial"/>
          <w:sz w:val="22"/>
          <w:szCs w:val="22"/>
        </w:rPr>
        <w:t xml:space="preserve">I would like to make sure that everyone I serve will </w:t>
      </w:r>
      <w:r w:rsidR="006F55C9" w:rsidRPr="00077BFA">
        <w:rPr>
          <w:rFonts w:ascii="Arial" w:hAnsi="Arial" w:cs="Arial"/>
          <w:sz w:val="22"/>
          <w:szCs w:val="22"/>
        </w:rPr>
        <w:t xml:space="preserve">also experience </w:t>
      </w:r>
      <w:r w:rsidR="00F7026C" w:rsidRPr="00077BFA">
        <w:rPr>
          <w:rFonts w:ascii="Arial" w:hAnsi="Arial" w:cs="Arial"/>
          <w:sz w:val="22"/>
          <w:szCs w:val="22"/>
        </w:rPr>
        <w:t xml:space="preserve">what Joan was finally able to </w:t>
      </w:r>
      <w:r w:rsidR="006F55C9" w:rsidRPr="00077BFA">
        <w:rPr>
          <w:rFonts w:ascii="Arial" w:hAnsi="Arial" w:cs="Arial"/>
          <w:sz w:val="22"/>
          <w:szCs w:val="22"/>
        </w:rPr>
        <w:t xml:space="preserve">achieve such as </w:t>
      </w:r>
      <w:r w:rsidR="00F7026C" w:rsidRPr="00077BFA">
        <w:rPr>
          <w:rFonts w:ascii="Arial" w:hAnsi="Arial" w:cs="Arial"/>
          <w:sz w:val="22"/>
          <w:szCs w:val="22"/>
        </w:rPr>
        <w:t>dignity, empowerment and a true sense of being heard in a caring, collaborative system</w:t>
      </w:r>
      <w:r w:rsidR="006F55C9" w:rsidRPr="00077BFA">
        <w:rPr>
          <w:rFonts w:ascii="Arial" w:hAnsi="Arial" w:cs="Arial"/>
          <w:sz w:val="22"/>
          <w:szCs w:val="22"/>
        </w:rPr>
        <w:t>.</w:t>
      </w:r>
    </w:p>
    <w:p w14:paraId="53150083" w14:textId="05E6745C" w:rsidR="00581C53" w:rsidRPr="00077BFA" w:rsidRDefault="278318BA" w:rsidP="06BD3846">
      <w:pPr>
        <w:pStyle w:val="Heading1"/>
        <w:rPr>
          <w:rFonts w:ascii="Arial" w:hAnsi="Arial" w:cs="Arial"/>
          <w:sz w:val="24"/>
          <w:szCs w:val="24"/>
          <w:lang w:val="en-GB"/>
        </w:rPr>
      </w:pPr>
      <w:bookmarkStart w:id="11" w:name="_Toc1121080596"/>
      <w:bookmarkStart w:id="12" w:name="_Toc210898343"/>
      <w:r w:rsidRPr="00077BFA">
        <w:rPr>
          <w:lang w:val="en-GB"/>
        </w:rPr>
        <w:t xml:space="preserve">5. </w:t>
      </w:r>
      <w:r w:rsidR="00581C53" w:rsidRPr="00077BFA">
        <w:rPr>
          <w:lang w:val="en-GB"/>
        </w:rPr>
        <w:t>Conclusion</w:t>
      </w:r>
      <w:bookmarkEnd w:id="11"/>
      <w:bookmarkEnd w:id="12"/>
      <w:r w:rsidR="00581C53" w:rsidRPr="00077BFA">
        <w:rPr>
          <w:lang w:val="en-GB"/>
        </w:rPr>
        <w:t xml:space="preserve"> </w:t>
      </w:r>
    </w:p>
    <w:p w14:paraId="03872944" w14:textId="493002CC" w:rsidR="00E5136B" w:rsidRPr="00077BFA" w:rsidRDefault="00B45713" w:rsidP="00B45713">
      <w:pPr>
        <w:spacing w:line="360" w:lineRule="auto"/>
        <w:jc w:val="both"/>
        <w:rPr>
          <w:rFonts w:ascii="Arial" w:eastAsia="Times New Roman" w:hAnsi="Arial" w:cs="Arial"/>
          <w:color w:val="000000"/>
          <w:sz w:val="22"/>
          <w:szCs w:val="22"/>
        </w:rPr>
      </w:pPr>
      <w:r w:rsidRPr="00077BFA">
        <w:rPr>
          <w:rFonts w:ascii="Arial" w:eastAsia="Times New Roman" w:hAnsi="Arial" w:cs="Arial"/>
          <w:color w:val="000000"/>
          <w:sz w:val="22"/>
          <w:szCs w:val="22"/>
        </w:rPr>
        <w:t>The key principles that make up quality health and social care are person-centred care, partnership working and ethical practice, which are connected to each other. They advocate dignity, safety and empowerment of the service users in conjunction with directing the professionals to accountable, caring practice. These principles allow practitioners to react efficiently to multifaceted requirements and remain honest in their decisions through constant reflection and adherence to the existing policies and professional standards. Maintaining these values enhances both individual outcomes</w:t>
      </w:r>
      <w:r w:rsidR="00615380" w:rsidRPr="00077BFA">
        <w:rPr>
          <w:rFonts w:ascii="Arial" w:eastAsia="Times New Roman" w:hAnsi="Arial" w:cs="Arial"/>
          <w:color w:val="000000"/>
          <w:sz w:val="22"/>
          <w:szCs w:val="22"/>
        </w:rPr>
        <w:t xml:space="preserve">, </w:t>
      </w:r>
      <w:r w:rsidRPr="00077BFA">
        <w:rPr>
          <w:rFonts w:ascii="Arial" w:eastAsia="Times New Roman" w:hAnsi="Arial" w:cs="Arial"/>
          <w:color w:val="000000"/>
          <w:sz w:val="22"/>
          <w:szCs w:val="22"/>
        </w:rPr>
        <w:t xml:space="preserve">professional development </w:t>
      </w:r>
      <w:r w:rsidR="00615380" w:rsidRPr="00077BFA">
        <w:rPr>
          <w:rFonts w:ascii="Arial" w:eastAsia="Times New Roman" w:hAnsi="Arial" w:cs="Arial"/>
          <w:color w:val="000000"/>
          <w:sz w:val="22"/>
          <w:szCs w:val="22"/>
        </w:rPr>
        <w:t>and</w:t>
      </w:r>
      <w:r w:rsidRPr="00077BFA">
        <w:rPr>
          <w:rFonts w:ascii="Arial" w:eastAsia="Times New Roman" w:hAnsi="Arial" w:cs="Arial"/>
          <w:color w:val="000000"/>
          <w:sz w:val="22"/>
          <w:szCs w:val="22"/>
        </w:rPr>
        <w:t xml:space="preserve"> the</w:t>
      </w:r>
      <w:r w:rsidR="00615380" w:rsidRPr="00077BFA">
        <w:rPr>
          <w:rFonts w:ascii="Arial" w:eastAsia="Times New Roman" w:hAnsi="Arial" w:cs="Arial"/>
          <w:color w:val="000000"/>
          <w:sz w:val="22"/>
          <w:szCs w:val="22"/>
        </w:rPr>
        <w:t xml:space="preserve"> overall </w:t>
      </w:r>
      <w:r w:rsidRPr="00077BFA">
        <w:rPr>
          <w:rFonts w:ascii="Arial" w:eastAsia="Times New Roman" w:hAnsi="Arial" w:cs="Arial"/>
          <w:color w:val="000000"/>
          <w:sz w:val="22"/>
          <w:szCs w:val="22"/>
        </w:rPr>
        <w:t>culture of care.</w:t>
      </w:r>
    </w:p>
    <w:p w14:paraId="699C961F" w14:textId="77777777" w:rsidR="00A075DC" w:rsidRPr="00077BFA" w:rsidRDefault="00A075DC" w:rsidP="00B45713">
      <w:pPr>
        <w:spacing w:line="360" w:lineRule="auto"/>
        <w:jc w:val="both"/>
        <w:rPr>
          <w:rFonts w:ascii="Arial" w:eastAsia="Times New Roman" w:hAnsi="Arial" w:cs="Arial"/>
          <w:color w:val="000000"/>
          <w:sz w:val="22"/>
          <w:szCs w:val="22"/>
        </w:rPr>
      </w:pPr>
    </w:p>
    <w:p w14:paraId="7D1A7BE7" w14:textId="77777777" w:rsidR="00A075DC" w:rsidRPr="00077BFA" w:rsidRDefault="00A075DC" w:rsidP="00B45713">
      <w:pPr>
        <w:spacing w:line="360" w:lineRule="auto"/>
        <w:jc w:val="both"/>
        <w:rPr>
          <w:rFonts w:ascii="Arial" w:eastAsia="Times New Roman" w:hAnsi="Arial" w:cs="Arial"/>
          <w:color w:val="000000"/>
          <w:sz w:val="22"/>
          <w:szCs w:val="22"/>
        </w:rPr>
      </w:pPr>
    </w:p>
    <w:p w14:paraId="17E735F6" w14:textId="77777777" w:rsidR="00A075DC" w:rsidRPr="00077BFA" w:rsidRDefault="00A075DC" w:rsidP="00B45713">
      <w:pPr>
        <w:spacing w:line="360" w:lineRule="auto"/>
        <w:jc w:val="both"/>
        <w:rPr>
          <w:rFonts w:ascii="Arial" w:eastAsia="Times New Roman" w:hAnsi="Arial" w:cs="Arial"/>
          <w:color w:val="000000"/>
          <w:sz w:val="22"/>
          <w:szCs w:val="22"/>
        </w:rPr>
      </w:pPr>
    </w:p>
    <w:p w14:paraId="59DED5A3" w14:textId="77777777" w:rsidR="00A075DC" w:rsidRPr="00077BFA" w:rsidRDefault="00A075DC" w:rsidP="00B45713">
      <w:pPr>
        <w:spacing w:line="360" w:lineRule="auto"/>
        <w:jc w:val="both"/>
        <w:rPr>
          <w:rFonts w:ascii="Arial" w:eastAsia="Times New Roman" w:hAnsi="Arial" w:cs="Arial"/>
          <w:color w:val="000000"/>
          <w:sz w:val="22"/>
          <w:szCs w:val="22"/>
        </w:rPr>
      </w:pPr>
    </w:p>
    <w:p w14:paraId="02B54095" w14:textId="77777777" w:rsidR="00A075DC" w:rsidRPr="00077BFA" w:rsidRDefault="00A075DC" w:rsidP="00B45713">
      <w:pPr>
        <w:spacing w:line="360" w:lineRule="auto"/>
        <w:jc w:val="both"/>
        <w:rPr>
          <w:rFonts w:ascii="Arial" w:eastAsia="Times New Roman" w:hAnsi="Arial" w:cs="Arial"/>
          <w:color w:val="000000"/>
          <w:sz w:val="22"/>
          <w:szCs w:val="22"/>
        </w:rPr>
      </w:pPr>
    </w:p>
    <w:p w14:paraId="5C3D028C" w14:textId="77777777" w:rsidR="00A075DC" w:rsidRPr="00077BFA" w:rsidRDefault="00A075DC" w:rsidP="00B45713">
      <w:pPr>
        <w:spacing w:line="360" w:lineRule="auto"/>
        <w:jc w:val="both"/>
        <w:rPr>
          <w:rFonts w:ascii="Arial" w:eastAsia="Times New Roman" w:hAnsi="Arial" w:cs="Arial"/>
          <w:color w:val="000000"/>
          <w:sz w:val="22"/>
          <w:szCs w:val="22"/>
        </w:rPr>
      </w:pPr>
    </w:p>
    <w:p w14:paraId="31D4FF3C" w14:textId="32016577" w:rsidR="00A075DC" w:rsidRPr="00077BFA" w:rsidRDefault="00A075DC" w:rsidP="00B45713">
      <w:pPr>
        <w:spacing w:line="360" w:lineRule="auto"/>
        <w:jc w:val="both"/>
        <w:rPr>
          <w:rFonts w:ascii="Arial" w:eastAsia="Times New Roman" w:hAnsi="Arial" w:cs="Arial"/>
          <w:color w:val="000000"/>
          <w:sz w:val="22"/>
          <w:szCs w:val="22"/>
        </w:rPr>
      </w:pPr>
    </w:p>
    <w:p w14:paraId="25DBC69D" w14:textId="77777777" w:rsidR="00A075DC" w:rsidRPr="00077BFA" w:rsidRDefault="00A075DC" w:rsidP="00B45713">
      <w:pPr>
        <w:spacing w:line="360" w:lineRule="auto"/>
        <w:jc w:val="both"/>
        <w:rPr>
          <w:rFonts w:ascii="Arial" w:eastAsia="Times New Roman" w:hAnsi="Arial" w:cs="Arial"/>
          <w:color w:val="000000"/>
          <w:sz w:val="22"/>
          <w:szCs w:val="22"/>
        </w:rPr>
      </w:pPr>
    </w:p>
    <w:p w14:paraId="0FDDD605" w14:textId="77777777" w:rsidR="00A075DC" w:rsidRPr="00077BFA" w:rsidRDefault="00A075DC" w:rsidP="00B45713">
      <w:pPr>
        <w:spacing w:line="360" w:lineRule="auto"/>
        <w:jc w:val="both"/>
        <w:rPr>
          <w:rFonts w:ascii="Arial" w:eastAsia="Times New Roman" w:hAnsi="Arial" w:cs="Arial"/>
          <w:color w:val="000000"/>
          <w:sz w:val="22"/>
          <w:szCs w:val="22"/>
        </w:rPr>
      </w:pPr>
    </w:p>
    <w:p w14:paraId="5482988E" w14:textId="77777777" w:rsidR="00A075DC" w:rsidRPr="00077BFA" w:rsidRDefault="00A075DC" w:rsidP="00B45713">
      <w:pPr>
        <w:spacing w:line="360" w:lineRule="auto"/>
        <w:jc w:val="both"/>
        <w:rPr>
          <w:rFonts w:ascii="Arial" w:eastAsia="Times New Roman" w:hAnsi="Arial" w:cs="Arial"/>
          <w:color w:val="000000"/>
          <w:sz w:val="22"/>
          <w:szCs w:val="22"/>
        </w:rPr>
      </w:pPr>
    </w:p>
    <w:p w14:paraId="3549EF56" w14:textId="77777777" w:rsidR="00A075DC" w:rsidRPr="00077BFA" w:rsidRDefault="00A075DC" w:rsidP="00B45713">
      <w:pPr>
        <w:spacing w:line="360" w:lineRule="auto"/>
        <w:jc w:val="both"/>
        <w:rPr>
          <w:rFonts w:ascii="Arial" w:eastAsia="Times New Roman" w:hAnsi="Arial" w:cs="Arial"/>
          <w:color w:val="000000"/>
          <w:sz w:val="22"/>
          <w:szCs w:val="22"/>
        </w:rPr>
      </w:pPr>
    </w:p>
    <w:p w14:paraId="04617702" w14:textId="77777777" w:rsidR="00A075DC" w:rsidRPr="00077BFA" w:rsidRDefault="00A075DC" w:rsidP="00B45713">
      <w:pPr>
        <w:spacing w:line="360" w:lineRule="auto"/>
        <w:jc w:val="both"/>
        <w:rPr>
          <w:rFonts w:ascii="Arial" w:eastAsia="Times New Roman" w:hAnsi="Arial" w:cs="Arial"/>
          <w:color w:val="000000"/>
          <w:sz w:val="22"/>
          <w:szCs w:val="22"/>
        </w:rPr>
      </w:pPr>
    </w:p>
    <w:p w14:paraId="0DC9ED90" w14:textId="77777777" w:rsidR="00A075DC" w:rsidRPr="00077BFA" w:rsidRDefault="00A075DC" w:rsidP="00B45713">
      <w:pPr>
        <w:spacing w:line="360" w:lineRule="auto"/>
        <w:jc w:val="both"/>
        <w:rPr>
          <w:rFonts w:ascii="Arial" w:eastAsia="Times New Roman" w:hAnsi="Arial" w:cs="Arial"/>
          <w:color w:val="000000"/>
          <w:sz w:val="22"/>
          <w:szCs w:val="22"/>
        </w:rPr>
      </w:pPr>
    </w:p>
    <w:p w14:paraId="480EB2A8" w14:textId="77777777" w:rsidR="00A075DC" w:rsidRPr="00077BFA" w:rsidRDefault="00A075DC" w:rsidP="00B45713">
      <w:pPr>
        <w:spacing w:line="360" w:lineRule="auto"/>
        <w:jc w:val="both"/>
        <w:rPr>
          <w:rFonts w:ascii="Arial" w:eastAsia="Times New Roman" w:hAnsi="Arial" w:cs="Arial"/>
          <w:color w:val="000000"/>
          <w:sz w:val="22"/>
          <w:szCs w:val="22"/>
        </w:rPr>
      </w:pPr>
    </w:p>
    <w:p w14:paraId="4FF26B5C" w14:textId="77777777" w:rsidR="00A075DC" w:rsidRPr="00077BFA" w:rsidRDefault="00A075DC" w:rsidP="00B45713">
      <w:pPr>
        <w:spacing w:line="360" w:lineRule="auto"/>
        <w:jc w:val="both"/>
        <w:rPr>
          <w:rFonts w:ascii="Arial" w:eastAsia="Times New Roman" w:hAnsi="Arial" w:cs="Arial"/>
          <w:color w:val="000000"/>
          <w:sz w:val="22"/>
          <w:szCs w:val="22"/>
        </w:rPr>
      </w:pPr>
    </w:p>
    <w:p w14:paraId="139EAC5C" w14:textId="05EBC831" w:rsidR="00A075DC" w:rsidRPr="00717D5D" w:rsidRDefault="00BD32B2" w:rsidP="00717D5D">
      <w:pPr>
        <w:jc w:val="center"/>
        <w:rPr>
          <w:rFonts w:ascii="Arial" w:eastAsia="Times New Roman" w:hAnsi="Arial" w:cs="Arial"/>
          <w:b/>
          <w:bCs/>
          <w:color w:val="000000"/>
        </w:rPr>
      </w:pPr>
      <w:bookmarkStart w:id="13" w:name="_Toc1656172797"/>
      <w:r>
        <w:br w:type="page"/>
      </w:r>
      <w:r w:rsidR="007A292B" w:rsidRPr="00717D5D">
        <w:rPr>
          <w:rFonts w:ascii="Arial" w:hAnsi="Arial" w:cs="Arial"/>
          <w:b/>
          <w:bCs/>
        </w:rPr>
        <w:lastRenderedPageBreak/>
        <w:t>REFERENCES</w:t>
      </w:r>
      <w:bookmarkEnd w:id="13"/>
    </w:p>
    <w:p w14:paraId="2C2C5937"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Andersson, V., Sawatzky, R. and </w:t>
      </w:r>
      <w:proofErr w:type="spellStart"/>
      <w:r w:rsidRPr="00077BFA">
        <w:rPr>
          <w:rFonts w:ascii="Arial" w:eastAsia="Arial" w:hAnsi="Arial" w:cs="Arial"/>
          <w:color w:val="222222"/>
          <w:kern w:val="0"/>
          <w:sz w:val="22"/>
          <w:szCs w:val="22"/>
          <w:lang w:eastAsia="ja-JP"/>
          <w14:ligatures w14:val="none"/>
        </w:rPr>
        <w:t>Öhlén</w:t>
      </w:r>
      <w:proofErr w:type="spellEnd"/>
      <w:r w:rsidRPr="00077BFA">
        <w:rPr>
          <w:rFonts w:ascii="Arial" w:eastAsia="Arial" w:hAnsi="Arial" w:cs="Arial"/>
          <w:color w:val="222222"/>
          <w:kern w:val="0"/>
          <w:sz w:val="22"/>
          <w:szCs w:val="22"/>
          <w:lang w:eastAsia="ja-JP"/>
          <w14:ligatures w14:val="none"/>
        </w:rPr>
        <w:t>, J. (2022) ’Relating person</w:t>
      </w:r>
      <w:r w:rsidRPr="00077BFA">
        <w:rPr>
          <w:rFonts w:ascii="Cambria Math" w:eastAsia="Arial" w:hAnsi="Cambria Math" w:cs="Cambria Math"/>
          <w:color w:val="222222"/>
          <w:kern w:val="0"/>
          <w:sz w:val="22"/>
          <w:szCs w:val="22"/>
          <w:lang w:eastAsia="ja-JP"/>
          <w14:ligatures w14:val="none"/>
        </w:rPr>
        <w:t>‐</w:t>
      </w:r>
      <w:r w:rsidRPr="00077BFA">
        <w:rPr>
          <w:rFonts w:ascii="Arial" w:eastAsia="Arial" w:hAnsi="Arial" w:cs="Arial"/>
          <w:color w:val="222222"/>
          <w:kern w:val="0"/>
          <w:sz w:val="22"/>
          <w:szCs w:val="22"/>
          <w:lang w:eastAsia="ja-JP"/>
          <w14:ligatures w14:val="none"/>
        </w:rPr>
        <w:t>centredness to quality</w:t>
      </w:r>
      <w:r w:rsidRPr="00077BFA">
        <w:rPr>
          <w:rFonts w:ascii="Cambria Math" w:eastAsia="Arial" w:hAnsi="Cambria Math" w:cs="Cambria Math"/>
          <w:color w:val="222222"/>
          <w:kern w:val="0"/>
          <w:sz w:val="22"/>
          <w:szCs w:val="22"/>
          <w:lang w:eastAsia="ja-JP"/>
          <w14:ligatures w14:val="none"/>
        </w:rPr>
        <w:t>‐</w:t>
      </w:r>
      <w:r w:rsidRPr="00077BFA">
        <w:rPr>
          <w:rFonts w:ascii="Arial" w:eastAsia="Arial" w:hAnsi="Arial" w:cs="Arial"/>
          <w:color w:val="222222"/>
          <w:kern w:val="0"/>
          <w:sz w:val="22"/>
          <w:szCs w:val="22"/>
          <w:lang w:eastAsia="ja-JP"/>
          <w14:ligatures w14:val="none"/>
        </w:rPr>
        <w:t>of</w:t>
      </w:r>
      <w:r w:rsidRPr="00077BFA">
        <w:rPr>
          <w:rFonts w:ascii="Cambria Math" w:eastAsia="Arial" w:hAnsi="Cambria Math" w:cs="Cambria Math"/>
          <w:color w:val="222222"/>
          <w:kern w:val="0"/>
          <w:sz w:val="22"/>
          <w:szCs w:val="22"/>
          <w:lang w:eastAsia="ja-JP"/>
          <w14:ligatures w14:val="none"/>
        </w:rPr>
        <w:t>‐</w:t>
      </w:r>
      <w:r w:rsidRPr="00077BFA">
        <w:rPr>
          <w:rFonts w:ascii="Arial" w:eastAsia="Arial" w:hAnsi="Arial" w:cs="Arial"/>
          <w:color w:val="222222"/>
          <w:kern w:val="0"/>
          <w:sz w:val="22"/>
          <w:szCs w:val="22"/>
          <w:lang w:eastAsia="ja-JP"/>
          <w14:ligatures w14:val="none"/>
        </w:rPr>
        <w:t>life assessments and patient</w:t>
      </w:r>
      <w:r w:rsidRPr="00077BFA">
        <w:rPr>
          <w:rFonts w:ascii="Cambria Math" w:eastAsia="Arial" w:hAnsi="Cambria Math" w:cs="Cambria Math"/>
          <w:color w:val="222222"/>
          <w:kern w:val="0"/>
          <w:sz w:val="22"/>
          <w:szCs w:val="22"/>
          <w:lang w:eastAsia="ja-JP"/>
          <w14:ligatures w14:val="none"/>
        </w:rPr>
        <w:t>‐</w:t>
      </w:r>
      <w:r w:rsidRPr="00077BFA">
        <w:rPr>
          <w:rFonts w:ascii="Arial" w:eastAsia="Arial" w:hAnsi="Arial" w:cs="Arial"/>
          <w:color w:val="222222"/>
          <w:kern w:val="0"/>
          <w:sz w:val="22"/>
          <w:szCs w:val="22"/>
          <w:lang w:eastAsia="ja-JP"/>
          <w14:ligatures w14:val="none"/>
        </w:rPr>
        <w:t xml:space="preserve">reported outcomes in healthcare: A critical theoretical discussion’, </w:t>
      </w:r>
      <w:r w:rsidRPr="00077BFA">
        <w:rPr>
          <w:rFonts w:ascii="Arial" w:eastAsia="Arial" w:hAnsi="Arial" w:cs="Arial"/>
          <w:i/>
          <w:iCs/>
          <w:color w:val="222222"/>
          <w:kern w:val="0"/>
          <w:sz w:val="22"/>
          <w:szCs w:val="22"/>
          <w:lang w:eastAsia="ja-JP"/>
          <w14:ligatures w14:val="none"/>
        </w:rPr>
        <w:t>Nursing Philosophy</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23</w:t>
      </w:r>
      <w:r w:rsidRPr="00077BFA">
        <w:rPr>
          <w:rFonts w:ascii="Arial" w:eastAsia="Arial" w:hAnsi="Arial" w:cs="Arial"/>
          <w:color w:val="222222"/>
          <w:kern w:val="0"/>
          <w:sz w:val="22"/>
          <w:szCs w:val="22"/>
          <w:lang w:eastAsia="ja-JP"/>
          <w14:ligatures w14:val="none"/>
        </w:rPr>
        <w:t xml:space="preserve">(3), p.e12391. Available at: </w:t>
      </w:r>
      <w:hyperlink r:id="rId13">
        <w:r w:rsidRPr="00077BFA">
          <w:rPr>
            <w:rFonts w:ascii="Arial" w:eastAsia="Arial" w:hAnsi="Arial" w:cs="Arial"/>
            <w:color w:val="467886"/>
            <w:kern w:val="0"/>
            <w:sz w:val="22"/>
            <w:szCs w:val="22"/>
            <w:u w:val="single"/>
            <w:lang w:eastAsia="ja-JP"/>
            <w14:ligatures w14:val="none"/>
          </w:rPr>
          <w:t>https://onlinelibrary.wiley.com/doi/abs/10.1111/nup.12391</w:t>
        </w:r>
      </w:hyperlink>
      <w:r w:rsidRPr="00077BFA">
        <w:rPr>
          <w:rFonts w:ascii="Arial" w:eastAsia="Arial" w:hAnsi="Arial" w:cs="Arial"/>
          <w:color w:val="222222"/>
          <w:kern w:val="0"/>
          <w:sz w:val="22"/>
          <w:szCs w:val="22"/>
          <w:lang w:eastAsia="ja-JP"/>
          <w14:ligatures w14:val="none"/>
        </w:rPr>
        <w:t xml:space="preserve"> (Accessed: 8th October 2025).</w:t>
      </w:r>
    </w:p>
    <w:p w14:paraId="3C675119"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Beauchamp, T. and Childress, J. (2019) ’Principles of biomedical ethics: marking its fortieth anniversary’, </w:t>
      </w:r>
      <w:r w:rsidRPr="00077BFA">
        <w:rPr>
          <w:rFonts w:ascii="Arial" w:eastAsia="Arial" w:hAnsi="Arial" w:cs="Arial"/>
          <w:i/>
          <w:iCs/>
          <w:color w:val="222222"/>
          <w:kern w:val="0"/>
          <w:sz w:val="22"/>
          <w:szCs w:val="22"/>
          <w:lang w:eastAsia="ja-JP"/>
          <w14:ligatures w14:val="none"/>
        </w:rPr>
        <w:t>The American journal of bioethics</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19</w:t>
      </w:r>
      <w:r w:rsidRPr="00077BFA">
        <w:rPr>
          <w:rFonts w:ascii="Arial" w:eastAsia="Arial" w:hAnsi="Arial" w:cs="Arial"/>
          <w:color w:val="222222"/>
          <w:kern w:val="0"/>
          <w:sz w:val="22"/>
          <w:szCs w:val="22"/>
          <w:lang w:eastAsia="ja-JP"/>
          <w14:ligatures w14:val="none"/>
        </w:rPr>
        <w:t xml:space="preserve">(11), pp.9-12.Available at: </w:t>
      </w:r>
      <w:hyperlink r:id="rId14">
        <w:r w:rsidRPr="00077BFA">
          <w:rPr>
            <w:rFonts w:ascii="Arial" w:eastAsia="Arial" w:hAnsi="Arial" w:cs="Arial"/>
            <w:color w:val="467886"/>
            <w:kern w:val="0"/>
            <w:sz w:val="22"/>
            <w:szCs w:val="22"/>
            <w:u w:val="single"/>
            <w:lang w:eastAsia="ja-JP"/>
            <w14:ligatures w14:val="none"/>
          </w:rPr>
          <w:t>https://www.tandfonline.com/doi/full/10.1080/15265161.2019.1665402</w:t>
        </w:r>
      </w:hyperlink>
      <w:r w:rsidRPr="00077BFA">
        <w:rPr>
          <w:rFonts w:ascii="Arial" w:eastAsia="Arial" w:hAnsi="Arial" w:cs="Arial"/>
          <w:color w:val="222222"/>
          <w:kern w:val="0"/>
          <w:sz w:val="22"/>
          <w:szCs w:val="22"/>
          <w:lang w:eastAsia="ja-JP"/>
          <w14:ligatures w14:val="none"/>
        </w:rPr>
        <w:t xml:space="preserve"> (Accessed: 8th October 2025).</w:t>
      </w:r>
    </w:p>
    <w:p w14:paraId="629EF5CF"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 xml:space="preserve">Care Act 2014, c. 23. UK Parliament. Available at: </w:t>
      </w:r>
      <w:hyperlink r:id="rId15">
        <w:r w:rsidRPr="00077BFA">
          <w:rPr>
            <w:rFonts w:ascii="Arial" w:eastAsia="Arial" w:hAnsi="Arial" w:cs="Arial"/>
            <w:color w:val="467886"/>
            <w:kern w:val="0"/>
            <w:sz w:val="22"/>
            <w:szCs w:val="22"/>
            <w:u w:val="single"/>
            <w:lang w:eastAsia="ja-JP"/>
            <w14:ligatures w14:val="none"/>
          </w:rPr>
          <w:t>https://www.legislation.gov.uk/id/ukpga/2014/23</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0748FC37" w14:textId="77777777" w:rsidR="007A292B" w:rsidRPr="00077BFA" w:rsidRDefault="007A292B" w:rsidP="007A292B">
      <w:pPr>
        <w:spacing w:before="240" w:after="240"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 xml:space="preserve">Care Act 2014, s. 6. UK Parliament. Available at: </w:t>
      </w:r>
      <w:hyperlink r:id="rId16">
        <w:r w:rsidRPr="00077BFA">
          <w:rPr>
            <w:rFonts w:ascii="Arial" w:eastAsia="Arial" w:hAnsi="Arial" w:cs="Arial"/>
            <w:color w:val="467886"/>
            <w:kern w:val="0"/>
            <w:sz w:val="22"/>
            <w:szCs w:val="22"/>
            <w:u w:val="single"/>
            <w:lang w:eastAsia="ja-JP"/>
            <w14:ligatures w14:val="none"/>
          </w:rPr>
          <w:t>https://www.legislation.gov.uk/ukpga/2014/23/section/6</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160080AE" w14:textId="77777777" w:rsidR="007A292B" w:rsidRPr="00077BFA" w:rsidRDefault="007A292B" w:rsidP="007A292B">
      <w:pPr>
        <w:spacing w:before="240" w:after="240"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kern w:val="0"/>
          <w:sz w:val="22"/>
          <w:szCs w:val="22"/>
          <w:lang w:eastAsia="ja-JP"/>
          <w14:ligatures w14:val="none"/>
        </w:rPr>
        <w:t>Charles, A., Ewbank, L., McKenna, H. and Wenzel, L. (2019) ‘</w:t>
      </w:r>
      <w:r w:rsidRPr="00077BFA">
        <w:rPr>
          <w:rFonts w:ascii="Arial" w:eastAsia="Arial" w:hAnsi="Arial" w:cs="Arial"/>
          <w:i/>
          <w:iCs/>
          <w:kern w:val="0"/>
          <w:sz w:val="22"/>
          <w:szCs w:val="22"/>
          <w:lang w:eastAsia="ja-JP"/>
          <w14:ligatures w14:val="none"/>
        </w:rPr>
        <w:t>The NHS long-term plan explained</w:t>
      </w:r>
      <w:r w:rsidRPr="00077BFA">
        <w:rPr>
          <w:rFonts w:ascii="Arial" w:eastAsia="Arial" w:hAnsi="Arial" w:cs="Arial"/>
          <w:kern w:val="0"/>
          <w:sz w:val="22"/>
          <w:szCs w:val="22"/>
          <w:lang w:eastAsia="ja-JP"/>
          <w14:ligatures w14:val="none"/>
        </w:rPr>
        <w:t xml:space="preserve">’, The King’s Fund. Available at: </w:t>
      </w:r>
      <w:hyperlink r:id="rId17">
        <w:r w:rsidRPr="00077BFA">
          <w:rPr>
            <w:rFonts w:ascii="Arial" w:eastAsia="Arial" w:hAnsi="Arial" w:cs="Arial"/>
            <w:color w:val="467886"/>
            <w:kern w:val="0"/>
            <w:sz w:val="22"/>
            <w:szCs w:val="22"/>
            <w:u w:val="single"/>
            <w:lang w:eastAsia="ja-JP"/>
            <w14:ligatures w14:val="none"/>
          </w:rPr>
          <w:t>https://www.kingsfund.org.uk/insight-and-analysis/long-reads/nhs-long-term-plan-explained</w:t>
        </w:r>
      </w:hyperlink>
      <w:r w:rsidRPr="00077BFA">
        <w:rPr>
          <w:rFonts w:ascii="Arial" w:eastAsia="Arial" w:hAnsi="Arial" w:cs="Arial"/>
          <w:kern w:val="0"/>
          <w:sz w:val="22"/>
          <w:szCs w:val="22"/>
          <w:lang w:eastAsia="ja-JP"/>
          <w14:ligatures w14:val="none"/>
        </w:rPr>
        <w:t xml:space="preserve"> </w:t>
      </w:r>
      <w:r w:rsidRPr="00077BFA">
        <w:rPr>
          <w:rFonts w:ascii="Arial" w:eastAsia="Arial" w:hAnsi="Arial" w:cs="Arial"/>
          <w:color w:val="000000" w:themeColor="text1"/>
          <w:kern w:val="0"/>
          <w:sz w:val="22"/>
          <w:szCs w:val="22"/>
          <w:lang w:eastAsia="ja-JP"/>
          <w14:ligatures w14:val="none"/>
        </w:rPr>
        <w:t>(Accessed: 8th October 2025).</w:t>
      </w:r>
    </w:p>
    <w:p w14:paraId="2C555D9E" w14:textId="77777777" w:rsidR="007A292B" w:rsidRPr="00077BFA" w:rsidRDefault="007A292B" w:rsidP="007A292B">
      <w:pPr>
        <w:spacing w:after="0"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 xml:space="preserve">CQC (2025) </w:t>
      </w:r>
      <w:r w:rsidRPr="00077BFA">
        <w:rPr>
          <w:rFonts w:ascii="Arial" w:eastAsia="Arial" w:hAnsi="Arial" w:cs="Arial"/>
          <w:i/>
          <w:iCs/>
          <w:color w:val="000000" w:themeColor="text1"/>
          <w:kern w:val="0"/>
          <w:sz w:val="22"/>
          <w:szCs w:val="22"/>
          <w:lang w:eastAsia="ja-JP"/>
          <w14:ligatures w14:val="none"/>
        </w:rPr>
        <w:t>‘</w:t>
      </w:r>
      <w:r w:rsidRPr="00077BFA">
        <w:rPr>
          <w:rFonts w:ascii="Arial" w:eastAsia="Times New Roman" w:hAnsi="Arial" w:cs="Arial"/>
          <w:i/>
          <w:iCs/>
          <w:kern w:val="0"/>
          <w:sz w:val="22"/>
          <w:szCs w:val="22"/>
          <w:lang w:eastAsia="ja-JP"/>
          <w14:ligatures w14:val="none"/>
        </w:rPr>
        <w:t xml:space="preserve">Assessment framework: Key questions and quality statements’, </w:t>
      </w:r>
      <w:r w:rsidRPr="00077BFA">
        <w:rPr>
          <w:rFonts w:ascii="Arial" w:eastAsia="Times New Roman" w:hAnsi="Arial" w:cs="Arial"/>
          <w:kern w:val="0"/>
          <w:sz w:val="22"/>
          <w:szCs w:val="22"/>
          <w:lang w:eastAsia="ja-JP"/>
          <w14:ligatures w14:val="none"/>
        </w:rPr>
        <w:t xml:space="preserve">Available at: </w:t>
      </w:r>
      <w:r w:rsidRPr="00077BFA">
        <w:rPr>
          <w:rFonts w:ascii="Arial" w:eastAsia="Times New Roman" w:hAnsi="Arial" w:cs="Arial"/>
          <w:i/>
          <w:iCs/>
          <w:kern w:val="0"/>
          <w:sz w:val="22"/>
          <w:szCs w:val="22"/>
          <w:lang w:eastAsia="ja-JP"/>
          <w14:ligatures w14:val="none"/>
        </w:rPr>
        <w:t xml:space="preserve"> </w:t>
      </w:r>
      <w:hyperlink r:id="rId18">
        <w:r w:rsidRPr="00077BFA">
          <w:rPr>
            <w:rFonts w:ascii="Arial" w:eastAsia="Times New Roman" w:hAnsi="Arial" w:cs="Arial"/>
            <w:color w:val="467886"/>
            <w:kern w:val="0"/>
            <w:sz w:val="22"/>
            <w:szCs w:val="22"/>
            <w:u w:val="single"/>
            <w:lang w:eastAsia="ja-JP"/>
            <w14:ligatures w14:val="none"/>
          </w:rPr>
          <w:t>https://www.cqc.org.uk/guidance-regulation/providers/assessment/assessment-framework</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61F53809" w14:textId="77777777" w:rsidR="007A292B" w:rsidRPr="00077BFA" w:rsidRDefault="007A292B" w:rsidP="007A292B">
      <w:pPr>
        <w:spacing w:after="0" w:line="360" w:lineRule="auto"/>
        <w:jc w:val="both"/>
        <w:rPr>
          <w:rFonts w:ascii="Arial" w:eastAsia="Arial" w:hAnsi="Arial" w:cs="Arial"/>
          <w:color w:val="000000" w:themeColor="text1"/>
          <w:kern w:val="0"/>
          <w:sz w:val="22"/>
          <w:szCs w:val="22"/>
          <w:lang w:eastAsia="ja-JP"/>
          <w14:ligatures w14:val="none"/>
        </w:rPr>
      </w:pPr>
    </w:p>
    <w:p w14:paraId="17738F9B"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 xml:space="preserve">Davies, E. (2016) ’Partnership working and new roles and responsibilities’, Future Hospital Journal, 3(2), pp.123-127. Available at: </w:t>
      </w:r>
      <w:hyperlink r:id="rId19">
        <w:r w:rsidRPr="00077BFA">
          <w:rPr>
            <w:rFonts w:ascii="Arial" w:eastAsia="Arial" w:hAnsi="Arial" w:cs="Arial"/>
            <w:color w:val="467886"/>
            <w:kern w:val="0"/>
            <w:sz w:val="22"/>
            <w:szCs w:val="22"/>
            <w:u w:val="single"/>
            <w:lang w:eastAsia="ja-JP"/>
            <w14:ligatures w14:val="none"/>
          </w:rPr>
          <w:t>https://www.sciencedirect.com/science/article/pii/S2514664524010865</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4758FB16"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El-Awaisi, A., </w:t>
      </w:r>
      <w:proofErr w:type="spellStart"/>
      <w:r w:rsidRPr="00077BFA">
        <w:rPr>
          <w:rFonts w:ascii="Arial" w:eastAsia="Arial" w:hAnsi="Arial" w:cs="Arial"/>
          <w:color w:val="222222"/>
          <w:kern w:val="0"/>
          <w:sz w:val="22"/>
          <w:szCs w:val="22"/>
          <w:lang w:eastAsia="ja-JP"/>
          <w14:ligatures w14:val="none"/>
        </w:rPr>
        <w:t>Yakti</w:t>
      </w:r>
      <w:proofErr w:type="spellEnd"/>
      <w:r w:rsidRPr="00077BFA">
        <w:rPr>
          <w:rFonts w:ascii="Arial" w:eastAsia="Arial" w:hAnsi="Arial" w:cs="Arial"/>
          <w:color w:val="222222"/>
          <w:kern w:val="0"/>
          <w:sz w:val="22"/>
          <w:szCs w:val="22"/>
          <w:lang w:eastAsia="ja-JP"/>
          <w14:ligatures w14:val="none"/>
        </w:rPr>
        <w:t xml:space="preserve">, O.H., </w:t>
      </w:r>
      <w:proofErr w:type="spellStart"/>
      <w:r w:rsidRPr="00077BFA">
        <w:rPr>
          <w:rFonts w:ascii="Arial" w:eastAsia="Arial" w:hAnsi="Arial" w:cs="Arial"/>
          <w:color w:val="222222"/>
          <w:kern w:val="0"/>
          <w:sz w:val="22"/>
          <w:szCs w:val="22"/>
          <w:lang w:eastAsia="ja-JP"/>
          <w14:ligatures w14:val="none"/>
        </w:rPr>
        <w:t>Elboshra</w:t>
      </w:r>
      <w:proofErr w:type="spellEnd"/>
      <w:r w:rsidRPr="00077BFA">
        <w:rPr>
          <w:rFonts w:ascii="Arial" w:eastAsia="Arial" w:hAnsi="Arial" w:cs="Arial"/>
          <w:color w:val="222222"/>
          <w:kern w:val="0"/>
          <w:sz w:val="22"/>
          <w:szCs w:val="22"/>
          <w:lang w:eastAsia="ja-JP"/>
          <w14:ligatures w14:val="none"/>
        </w:rPr>
        <w:t xml:space="preserve">, A.M., Jasim, K.H., </w:t>
      </w:r>
      <w:proofErr w:type="spellStart"/>
      <w:r w:rsidRPr="00077BFA">
        <w:rPr>
          <w:rFonts w:ascii="Arial" w:eastAsia="Arial" w:hAnsi="Arial" w:cs="Arial"/>
          <w:color w:val="222222"/>
          <w:kern w:val="0"/>
          <w:sz w:val="22"/>
          <w:szCs w:val="22"/>
          <w:lang w:eastAsia="ja-JP"/>
          <w14:ligatures w14:val="none"/>
        </w:rPr>
        <w:t>AboAlward</w:t>
      </w:r>
      <w:proofErr w:type="spellEnd"/>
      <w:r w:rsidRPr="00077BFA">
        <w:rPr>
          <w:rFonts w:ascii="Arial" w:eastAsia="Arial" w:hAnsi="Arial" w:cs="Arial"/>
          <w:color w:val="222222"/>
          <w:kern w:val="0"/>
          <w:sz w:val="22"/>
          <w:szCs w:val="22"/>
          <w:lang w:eastAsia="ja-JP"/>
          <w14:ligatures w14:val="none"/>
        </w:rPr>
        <w:t xml:space="preserve">, A.F., Shalfawi, R.W., </w:t>
      </w:r>
      <w:proofErr w:type="spellStart"/>
      <w:r w:rsidRPr="00077BFA">
        <w:rPr>
          <w:rFonts w:ascii="Arial" w:eastAsia="Arial" w:hAnsi="Arial" w:cs="Arial"/>
          <w:color w:val="222222"/>
          <w:kern w:val="0"/>
          <w:sz w:val="22"/>
          <w:szCs w:val="22"/>
          <w:lang w:eastAsia="ja-JP"/>
          <w14:ligatures w14:val="none"/>
        </w:rPr>
        <w:t>Awaisu</w:t>
      </w:r>
      <w:proofErr w:type="spellEnd"/>
      <w:r w:rsidRPr="00077BFA">
        <w:rPr>
          <w:rFonts w:ascii="Arial" w:eastAsia="Arial" w:hAnsi="Arial" w:cs="Arial"/>
          <w:color w:val="222222"/>
          <w:kern w:val="0"/>
          <w:sz w:val="22"/>
          <w:szCs w:val="22"/>
          <w:lang w:eastAsia="ja-JP"/>
          <w14:ligatures w14:val="none"/>
        </w:rPr>
        <w:t xml:space="preserve">, A., </w:t>
      </w:r>
      <w:proofErr w:type="spellStart"/>
      <w:r w:rsidRPr="00077BFA">
        <w:rPr>
          <w:rFonts w:ascii="Arial" w:eastAsia="Arial" w:hAnsi="Arial" w:cs="Arial"/>
          <w:color w:val="222222"/>
          <w:kern w:val="0"/>
          <w:sz w:val="22"/>
          <w:szCs w:val="22"/>
          <w:lang w:eastAsia="ja-JP"/>
          <w14:ligatures w14:val="none"/>
        </w:rPr>
        <w:t>Rainkie</w:t>
      </w:r>
      <w:proofErr w:type="spellEnd"/>
      <w:r w:rsidRPr="00077BFA">
        <w:rPr>
          <w:rFonts w:ascii="Arial" w:eastAsia="Arial" w:hAnsi="Arial" w:cs="Arial"/>
          <w:color w:val="222222"/>
          <w:kern w:val="0"/>
          <w:sz w:val="22"/>
          <w:szCs w:val="22"/>
          <w:lang w:eastAsia="ja-JP"/>
          <w14:ligatures w14:val="none"/>
        </w:rPr>
        <w:t xml:space="preserve">, D., Al Mutawa, N. and Major, S., 2024. Facilitators and barriers to interprofessional collaboration among health professionals in primary healthcare </w:t>
      </w:r>
      <w:proofErr w:type="spellStart"/>
      <w:r w:rsidRPr="00077BFA">
        <w:rPr>
          <w:rFonts w:ascii="Arial" w:eastAsia="Arial" w:hAnsi="Arial" w:cs="Arial"/>
          <w:color w:val="222222"/>
          <w:kern w:val="0"/>
          <w:sz w:val="22"/>
          <w:szCs w:val="22"/>
          <w:lang w:eastAsia="ja-JP"/>
          <w14:ligatures w14:val="none"/>
        </w:rPr>
        <w:t>centers</w:t>
      </w:r>
      <w:proofErr w:type="spellEnd"/>
      <w:r w:rsidRPr="00077BFA">
        <w:rPr>
          <w:rFonts w:ascii="Arial" w:eastAsia="Arial" w:hAnsi="Arial" w:cs="Arial"/>
          <w:color w:val="222222"/>
          <w:kern w:val="0"/>
          <w:sz w:val="22"/>
          <w:szCs w:val="22"/>
          <w:lang w:eastAsia="ja-JP"/>
          <w14:ligatures w14:val="none"/>
        </w:rPr>
        <w:t xml:space="preserve"> in Qatar: a qualitative exploration using the “Gears” model. </w:t>
      </w:r>
      <w:r w:rsidRPr="00077BFA">
        <w:rPr>
          <w:rFonts w:ascii="Arial" w:eastAsia="Arial" w:hAnsi="Arial" w:cs="Arial"/>
          <w:i/>
          <w:iCs/>
          <w:color w:val="222222"/>
          <w:kern w:val="0"/>
          <w:sz w:val="22"/>
          <w:szCs w:val="22"/>
          <w:lang w:eastAsia="ja-JP"/>
          <w14:ligatures w14:val="none"/>
        </w:rPr>
        <w:t>BMC Primary Care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25</w:t>
      </w:r>
      <w:r w:rsidRPr="00077BFA">
        <w:rPr>
          <w:rFonts w:ascii="Arial" w:eastAsia="Arial" w:hAnsi="Arial" w:cs="Arial"/>
          <w:color w:val="222222"/>
          <w:kern w:val="0"/>
          <w:sz w:val="22"/>
          <w:szCs w:val="22"/>
          <w:lang w:eastAsia="ja-JP"/>
          <w14:ligatures w14:val="none"/>
        </w:rPr>
        <w:t xml:space="preserve">(1), p.316. Available at: </w:t>
      </w:r>
      <w:hyperlink r:id="rId20">
        <w:r w:rsidRPr="00077BFA">
          <w:rPr>
            <w:rFonts w:ascii="Arial" w:eastAsia="Arial" w:hAnsi="Arial" w:cs="Arial"/>
            <w:color w:val="467886"/>
            <w:kern w:val="0"/>
            <w:sz w:val="22"/>
            <w:szCs w:val="22"/>
            <w:u w:val="single"/>
            <w:lang w:eastAsia="ja-JP"/>
            <w14:ligatures w14:val="none"/>
          </w:rPr>
          <w:t>https://link.springer.com/article/10.1186/s12875-024-02537-8</w:t>
        </w:r>
      </w:hyperlink>
      <w:r w:rsidRPr="00077BFA">
        <w:rPr>
          <w:rFonts w:ascii="Arial" w:eastAsia="Arial" w:hAnsi="Arial" w:cs="Arial"/>
          <w:color w:val="222222"/>
          <w:kern w:val="0"/>
          <w:sz w:val="22"/>
          <w:szCs w:val="22"/>
          <w:lang w:eastAsia="ja-JP"/>
          <w14:ligatures w14:val="none"/>
        </w:rPr>
        <w:t xml:space="preserve"> (Accessed: 8th October 2025). </w:t>
      </w:r>
    </w:p>
    <w:p w14:paraId="3BA5434C"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kern w:val="0"/>
          <w:sz w:val="22"/>
          <w:szCs w:val="22"/>
          <w:lang w:eastAsia="ja-JP"/>
          <w14:ligatures w14:val="none"/>
        </w:rPr>
        <w:t xml:space="preserve">Ghaleb, B.D.S. (2024) ‘Towards a dynamic model of human needs: a critical analysis of Maslow’s hierarchy’, </w:t>
      </w:r>
      <w:r w:rsidRPr="00077BFA">
        <w:rPr>
          <w:rFonts w:ascii="Arial" w:eastAsia="Arial" w:hAnsi="Arial" w:cs="Arial"/>
          <w:i/>
          <w:iCs/>
          <w:kern w:val="0"/>
          <w:sz w:val="22"/>
          <w:szCs w:val="22"/>
          <w:lang w:eastAsia="ja-JP"/>
          <w14:ligatures w14:val="none"/>
        </w:rPr>
        <w:t>International Journal of Multidisciplinary Approach Research and Science</w:t>
      </w:r>
      <w:r w:rsidRPr="00077BFA">
        <w:rPr>
          <w:rFonts w:ascii="Arial" w:eastAsia="Arial" w:hAnsi="Arial" w:cs="Arial"/>
          <w:kern w:val="0"/>
          <w:sz w:val="22"/>
          <w:szCs w:val="22"/>
          <w:lang w:eastAsia="ja-JP"/>
          <w14:ligatures w14:val="none"/>
        </w:rPr>
        <w:t xml:space="preserve">, 2(3), pp. 1028–1046. Available at: </w:t>
      </w:r>
      <w:hyperlink r:id="rId21">
        <w:r w:rsidRPr="00077BFA">
          <w:rPr>
            <w:rFonts w:ascii="Arial" w:eastAsia="Arial" w:hAnsi="Arial" w:cs="Arial"/>
            <w:color w:val="467886"/>
            <w:kern w:val="0"/>
            <w:sz w:val="22"/>
            <w:szCs w:val="22"/>
            <w:u w:val="single"/>
            <w:lang w:eastAsia="ja-JP"/>
            <w14:ligatures w14:val="none"/>
          </w:rPr>
          <w:t>https://risetpress.com/index.php/ijmars/article/download/674/594/3821</w:t>
        </w:r>
      </w:hyperlink>
      <w:r w:rsidRPr="00077BFA">
        <w:rPr>
          <w:rFonts w:ascii="Arial" w:eastAsia="Arial" w:hAnsi="Arial" w:cs="Arial"/>
          <w:color w:val="222222"/>
          <w:kern w:val="0"/>
          <w:sz w:val="22"/>
          <w:szCs w:val="22"/>
          <w:lang w:eastAsia="ja-JP"/>
          <w14:ligatures w14:val="none"/>
        </w:rPr>
        <w:t xml:space="preserve"> (Accessed: 8th October 2025).</w:t>
      </w:r>
    </w:p>
    <w:p w14:paraId="4E139F50"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Hale, A.J., Ricotta, D.N., Freed, J., Smith, C.C. and Huang, G.C. (2019) ‘Adapting Maslow's hierarchy of needs as a framework for resident wellness’, </w:t>
      </w:r>
      <w:r w:rsidRPr="00077BFA">
        <w:rPr>
          <w:rFonts w:ascii="Arial" w:eastAsia="Arial" w:hAnsi="Arial" w:cs="Arial"/>
          <w:i/>
          <w:iCs/>
          <w:color w:val="222222"/>
          <w:kern w:val="0"/>
          <w:sz w:val="22"/>
          <w:szCs w:val="22"/>
          <w:lang w:eastAsia="ja-JP"/>
          <w14:ligatures w14:val="none"/>
        </w:rPr>
        <w:t>Teaching and learning in medicine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31</w:t>
      </w:r>
      <w:r w:rsidRPr="00077BFA">
        <w:rPr>
          <w:rFonts w:ascii="Arial" w:eastAsia="Arial" w:hAnsi="Arial" w:cs="Arial"/>
          <w:color w:val="222222"/>
          <w:kern w:val="0"/>
          <w:sz w:val="22"/>
          <w:szCs w:val="22"/>
          <w:lang w:eastAsia="ja-JP"/>
          <w14:ligatures w14:val="none"/>
        </w:rPr>
        <w:t xml:space="preserve">(1), pp.109-118. Available at: </w:t>
      </w:r>
      <w:hyperlink r:id="rId22">
        <w:r w:rsidRPr="00077BFA">
          <w:rPr>
            <w:rFonts w:ascii="Arial" w:eastAsia="Arial" w:hAnsi="Arial" w:cs="Arial"/>
            <w:color w:val="467886"/>
            <w:kern w:val="0"/>
            <w:sz w:val="22"/>
            <w:szCs w:val="22"/>
            <w:u w:val="single"/>
            <w:lang w:eastAsia="ja-JP"/>
            <w14:ligatures w14:val="none"/>
          </w:rPr>
          <w:t>https://www.tandfonline.com/doi/abs/10.1080/10401334.2018.1456928</w:t>
        </w:r>
      </w:hyperlink>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color w:val="000000" w:themeColor="text1"/>
          <w:kern w:val="0"/>
          <w:sz w:val="22"/>
          <w:szCs w:val="22"/>
          <w:lang w:eastAsia="ja-JP"/>
          <w14:ligatures w14:val="none"/>
        </w:rPr>
        <w:t>Accessed: 8 October 2025).</w:t>
      </w:r>
    </w:p>
    <w:p w14:paraId="61D39EB2"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i/>
          <w:iCs/>
          <w:color w:val="000000" w:themeColor="text1"/>
          <w:kern w:val="0"/>
          <w:sz w:val="22"/>
          <w:szCs w:val="22"/>
          <w:lang w:eastAsia="ja-JP"/>
          <w14:ligatures w14:val="none"/>
        </w:rPr>
        <w:t>Health and Care Act 2022: summary &amp; additional measures impact assessment</w:t>
      </w:r>
      <w:r w:rsidRPr="00077BFA">
        <w:rPr>
          <w:rFonts w:ascii="Arial" w:eastAsia="Arial" w:hAnsi="Arial" w:cs="Arial"/>
          <w:color w:val="000000" w:themeColor="text1"/>
          <w:kern w:val="0"/>
          <w:sz w:val="22"/>
          <w:szCs w:val="22"/>
          <w:lang w:eastAsia="ja-JP"/>
          <w14:ligatures w14:val="none"/>
        </w:rPr>
        <w:t xml:space="preserve">. Available at: </w:t>
      </w:r>
      <w:hyperlink r:id="rId23">
        <w:r w:rsidRPr="00077BFA">
          <w:rPr>
            <w:rFonts w:ascii="Arial" w:eastAsia="Arial" w:hAnsi="Arial" w:cs="Arial"/>
            <w:color w:val="467886"/>
            <w:kern w:val="0"/>
            <w:sz w:val="22"/>
            <w:szCs w:val="22"/>
            <w:u w:val="single"/>
            <w:lang w:eastAsia="ja-JP"/>
            <w14:ligatures w14:val="none"/>
          </w:rPr>
          <w:t>https://assets.publishing.service.gov.uk/media/6363d911e90e0705a8c35457/health-and-care-act-2022-summary-and-additional-measures-impact-assessment.pdf</w:t>
        </w:r>
      </w:hyperlink>
      <w:r w:rsidRPr="00077BFA">
        <w:rPr>
          <w:rFonts w:ascii="Arial" w:eastAsia="Arial" w:hAnsi="Arial" w:cs="Arial"/>
          <w:color w:val="000000" w:themeColor="text1"/>
          <w:kern w:val="0"/>
          <w:sz w:val="22"/>
          <w:szCs w:val="22"/>
          <w:lang w:eastAsia="ja-JP"/>
          <w14:ligatures w14:val="none"/>
        </w:rPr>
        <w:t xml:space="preserve"> (Accessed: 8 October 2025).</w:t>
      </w:r>
    </w:p>
    <w:p w14:paraId="0E7BFC51"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Health and Care Professions Council (2024) ‘</w:t>
      </w:r>
      <w:r w:rsidRPr="00077BFA">
        <w:rPr>
          <w:rFonts w:ascii="Arial" w:eastAsia="Arial" w:hAnsi="Arial" w:cs="Arial"/>
          <w:i/>
          <w:iCs/>
          <w:color w:val="000000" w:themeColor="text1"/>
          <w:kern w:val="0"/>
          <w:sz w:val="22"/>
          <w:szCs w:val="22"/>
          <w:lang w:eastAsia="ja-JP"/>
          <w14:ligatures w14:val="none"/>
        </w:rPr>
        <w:t xml:space="preserve">Standards of conduct, performance and ethics’, </w:t>
      </w:r>
      <w:r w:rsidRPr="00077BFA">
        <w:rPr>
          <w:rFonts w:ascii="Arial" w:eastAsia="Arial" w:hAnsi="Arial" w:cs="Arial"/>
          <w:color w:val="000000" w:themeColor="text1"/>
          <w:kern w:val="0"/>
          <w:sz w:val="22"/>
          <w:szCs w:val="22"/>
          <w:lang w:eastAsia="ja-JP"/>
          <w14:ligatures w14:val="none"/>
        </w:rPr>
        <w:t xml:space="preserve">Available at: </w:t>
      </w:r>
      <w:hyperlink r:id="rId24">
        <w:r w:rsidRPr="00077BFA">
          <w:rPr>
            <w:rFonts w:ascii="Arial" w:eastAsia="Arial" w:hAnsi="Arial" w:cs="Arial"/>
            <w:color w:val="467886"/>
            <w:kern w:val="0"/>
            <w:sz w:val="22"/>
            <w:szCs w:val="22"/>
            <w:u w:val="single"/>
            <w:lang w:eastAsia="ja-JP"/>
            <w14:ligatures w14:val="none"/>
          </w:rPr>
          <w:t>https://www.hcpc-uk.org/standards/standards-of-conduct-performance-and-ethics/</w:t>
        </w:r>
      </w:hyperlink>
      <w:r w:rsidRPr="00077BFA">
        <w:rPr>
          <w:rFonts w:ascii="Arial" w:eastAsia="Arial" w:hAnsi="Arial" w:cs="Arial"/>
          <w:color w:val="000000" w:themeColor="text1"/>
          <w:kern w:val="0"/>
          <w:sz w:val="22"/>
          <w:szCs w:val="22"/>
          <w:lang w:eastAsia="ja-JP"/>
          <w14:ligatures w14:val="none"/>
        </w:rPr>
        <w:t xml:space="preserve"> (Accessed: 8 October 2025).</w:t>
      </w:r>
    </w:p>
    <w:p w14:paraId="458B673F"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 xml:space="preserve">Holden, C.E., Wheelwright, S., Harle, A. and </w:t>
      </w:r>
      <w:proofErr w:type="spellStart"/>
      <w:r w:rsidRPr="00077BFA">
        <w:rPr>
          <w:rFonts w:ascii="Arial" w:eastAsia="Arial" w:hAnsi="Arial" w:cs="Arial"/>
          <w:color w:val="000000" w:themeColor="text1"/>
          <w:kern w:val="0"/>
          <w:sz w:val="22"/>
          <w:szCs w:val="22"/>
          <w:lang w:eastAsia="ja-JP"/>
          <w14:ligatures w14:val="none"/>
        </w:rPr>
        <w:t>Wagland</w:t>
      </w:r>
      <w:proofErr w:type="spellEnd"/>
      <w:r w:rsidRPr="00077BFA">
        <w:rPr>
          <w:rFonts w:ascii="Arial" w:eastAsia="Arial" w:hAnsi="Arial" w:cs="Arial"/>
          <w:color w:val="000000" w:themeColor="text1"/>
          <w:kern w:val="0"/>
          <w:sz w:val="22"/>
          <w:szCs w:val="22"/>
          <w:lang w:eastAsia="ja-JP"/>
          <w14:ligatures w14:val="none"/>
        </w:rPr>
        <w:t>, R. (2021) ’The role of health literacy in cancer care: a mixed studies systematic review</w:t>
      </w:r>
      <w:proofErr w:type="gramStart"/>
      <w:r w:rsidRPr="00077BFA">
        <w:rPr>
          <w:rFonts w:ascii="Arial" w:eastAsia="Arial" w:hAnsi="Arial" w:cs="Arial"/>
          <w:color w:val="000000" w:themeColor="text1"/>
          <w:kern w:val="0"/>
          <w:sz w:val="22"/>
          <w:szCs w:val="22"/>
          <w:lang w:eastAsia="ja-JP"/>
          <w14:ligatures w14:val="none"/>
        </w:rPr>
        <w:t xml:space="preserve">’,  </w:t>
      </w:r>
      <w:proofErr w:type="spellStart"/>
      <w:r w:rsidRPr="00077BFA">
        <w:rPr>
          <w:rFonts w:ascii="Arial" w:eastAsia="Arial" w:hAnsi="Arial" w:cs="Arial"/>
          <w:color w:val="000000" w:themeColor="text1"/>
          <w:kern w:val="0"/>
          <w:sz w:val="22"/>
          <w:szCs w:val="22"/>
          <w:lang w:eastAsia="ja-JP"/>
          <w14:ligatures w14:val="none"/>
        </w:rPr>
        <w:t>PloS</w:t>
      </w:r>
      <w:proofErr w:type="spellEnd"/>
      <w:proofErr w:type="gramEnd"/>
      <w:r w:rsidRPr="00077BFA">
        <w:rPr>
          <w:rFonts w:ascii="Arial" w:eastAsia="Arial" w:hAnsi="Arial" w:cs="Arial"/>
          <w:color w:val="000000" w:themeColor="text1"/>
          <w:kern w:val="0"/>
          <w:sz w:val="22"/>
          <w:szCs w:val="22"/>
          <w:lang w:eastAsia="ja-JP"/>
          <w14:ligatures w14:val="none"/>
        </w:rPr>
        <w:t xml:space="preserve"> one, 16(11), p.e0259815. Available at: </w:t>
      </w:r>
      <w:hyperlink r:id="rId25">
        <w:r w:rsidRPr="00077BFA">
          <w:rPr>
            <w:rFonts w:ascii="Arial" w:eastAsia="Arial" w:hAnsi="Arial" w:cs="Arial"/>
            <w:color w:val="467886"/>
            <w:kern w:val="0"/>
            <w:sz w:val="22"/>
            <w:szCs w:val="22"/>
            <w:u w:val="single"/>
            <w:lang w:eastAsia="ja-JP"/>
            <w14:ligatures w14:val="none"/>
          </w:rPr>
          <w:t>https://journals.plos.org/plosone/article?id=10.1371/journal.pone.0259815</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1004C218"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Jackman, P.C., Sanderson, R., Allen-Collinson, J. and Jacobs, L. (2022) ’There’s only so much an individual can do’: an ecological systems perspective on mental health and wellbeing in the early stages of doctoral research’, </w:t>
      </w:r>
      <w:r w:rsidRPr="00077BFA">
        <w:rPr>
          <w:rFonts w:ascii="Arial" w:eastAsia="Arial" w:hAnsi="Arial" w:cs="Arial"/>
          <w:i/>
          <w:iCs/>
          <w:color w:val="222222"/>
          <w:kern w:val="0"/>
          <w:sz w:val="22"/>
          <w:szCs w:val="22"/>
          <w:lang w:eastAsia="ja-JP"/>
          <w14:ligatures w14:val="none"/>
        </w:rPr>
        <w:t>Journal of Further and Higher Education</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46</w:t>
      </w:r>
      <w:r w:rsidRPr="00077BFA">
        <w:rPr>
          <w:rFonts w:ascii="Arial" w:eastAsia="Arial" w:hAnsi="Arial" w:cs="Arial"/>
          <w:color w:val="222222"/>
          <w:kern w:val="0"/>
          <w:sz w:val="22"/>
          <w:szCs w:val="22"/>
          <w:lang w:eastAsia="ja-JP"/>
          <w14:ligatures w14:val="none"/>
        </w:rPr>
        <w:t xml:space="preserve">(7), pp.931-946. Available at: </w:t>
      </w:r>
      <w:hyperlink r:id="rId26">
        <w:r w:rsidRPr="00077BFA">
          <w:rPr>
            <w:rFonts w:ascii="Arial" w:eastAsia="Arial" w:hAnsi="Arial" w:cs="Arial"/>
            <w:color w:val="467886"/>
            <w:kern w:val="0"/>
            <w:sz w:val="22"/>
            <w:szCs w:val="22"/>
            <w:u w:val="single"/>
            <w:lang w:eastAsia="ja-JP"/>
            <w14:ligatures w14:val="none"/>
          </w:rPr>
          <w:t>https://www.tandfonline.com/doi/abs/10.1080/0309877X.2021.2023732</w:t>
        </w:r>
      </w:hyperlink>
      <w:r w:rsidRPr="00077BFA">
        <w:rPr>
          <w:rFonts w:ascii="Arial" w:eastAsia="Arial" w:hAnsi="Arial" w:cs="Arial"/>
          <w:color w:val="222222"/>
          <w:kern w:val="0"/>
          <w:sz w:val="22"/>
          <w:szCs w:val="22"/>
          <w:lang w:eastAsia="ja-JP"/>
          <w14:ligatures w14:val="none"/>
        </w:rPr>
        <w:t xml:space="preserve"> (Accessed: 8th October 2025).</w:t>
      </w:r>
    </w:p>
    <w:p w14:paraId="2196BCE8"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Kinsella, E.A. (2010) ‘The art of reflective practice in health and social care: Reflections on the legacy of Donald Schön’, </w:t>
      </w:r>
      <w:r w:rsidRPr="00077BFA">
        <w:rPr>
          <w:rFonts w:ascii="Arial" w:eastAsia="Arial" w:hAnsi="Arial" w:cs="Arial"/>
          <w:i/>
          <w:iCs/>
          <w:color w:val="222222"/>
          <w:kern w:val="0"/>
          <w:sz w:val="22"/>
          <w:szCs w:val="22"/>
          <w:lang w:eastAsia="ja-JP"/>
          <w14:ligatures w14:val="none"/>
        </w:rPr>
        <w:t>Reflective Practice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11</w:t>
      </w:r>
      <w:r w:rsidRPr="00077BFA">
        <w:rPr>
          <w:rFonts w:ascii="Arial" w:eastAsia="Arial" w:hAnsi="Arial" w:cs="Arial"/>
          <w:color w:val="222222"/>
          <w:kern w:val="0"/>
          <w:sz w:val="22"/>
          <w:szCs w:val="22"/>
          <w:lang w:eastAsia="ja-JP"/>
          <w14:ligatures w14:val="none"/>
        </w:rPr>
        <w:t xml:space="preserve">(4), pp.565-575. Available at: </w:t>
      </w:r>
      <w:hyperlink r:id="rId27">
        <w:r w:rsidRPr="00077BFA">
          <w:rPr>
            <w:rFonts w:ascii="Arial" w:eastAsia="Arial" w:hAnsi="Arial" w:cs="Arial"/>
            <w:color w:val="467886"/>
            <w:kern w:val="0"/>
            <w:sz w:val="22"/>
            <w:szCs w:val="22"/>
            <w:u w:val="single"/>
            <w:lang w:eastAsia="ja-JP"/>
            <w14:ligatures w14:val="none"/>
          </w:rPr>
          <w:t>https://www.tandfonline.com/doi/abs/10.1080/14623943.2010.506260</w:t>
        </w:r>
      </w:hyperlink>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color w:val="000000" w:themeColor="text1"/>
          <w:kern w:val="0"/>
          <w:sz w:val="22"/>
          <w:szCs w:val="22"/>
          <w:lang w:eastAsia="ja-JP"/>
          <w14:ligatures w14:val="none"/>
        </w:rPr>
        <w:t>(Accessed: 8th October 2025).</w:t>
      </w:r>
    </w:p>
    <w:p w14:paraId="2ED9CDE0"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proofErr w:type="spellStart"/>
      <w:r w:rsidRPr="00077BFA">
        <w:rPr>
          <w:rFonts w:ascii="Arial" w:eastAsia="Arial" w:hAnsi="Arial" w:cs="Arial"/>
          <w:color w:val="222222"/>
          <w:kern w:val="0"/>
          <w:sz w:val="22"/>
          <w:szCs w:val="22"/>
          <w:lang w:eastAsia="ja-JP"/>
          <w14:ligatures w14:val="none"/>
        </w:rPr>
        <w:t>Kodom</w:t>
      </w:r>
      <w:proofErr w:type="spellEnd"/>
      <w:r w:rsidRPr="00077BFA">
        <w:rPr>
          <w:rFonts w:ascii="Arial" w:eastAsia="Arial" w:hAnsi="Arial" w:cs="Arial"/>
          <w:color w:val="222222"/>
          <w:kern w:val="0"/>
          <w:sz w:val="22"/>
          <w:szCs w:val="22"/>
          <w:lang w:eastAsia="ja-JP"/>
          <w14:ligatures w14:val="none"/>
        </w:rPr>
        <w:t xml:space="preserve">, R.V. and </w:t>
      </w:r>
      <w:proofErr w:type="spellStart"/>
      <w:r w:rsidRPr="00077BFA">
        <w:rPr>
          <w:rFonts w:ascii="Arial" w:eastAsia="Arial" w:hAnsi="Arial" w:cs="Arial"/>
          <w:color w:val="222222"/>
          <w:kern w:val="0"/>
          <w:sz w:val="22"/>
          <w:szCs w:val="22"/>
          <w:lang w:eastAsia="ja-JP"/>
          <w14:ligatures w14:val="none"/>
        </w:rPr>
        <w:t>Netangaheni</w:t>
      </w:r>
      <w:proofErr w:type="spellEnd"/>
      <w:r w:rsidRPr="00077BFA">
        <w:rPr>
          <w:rFonts w:ascii="Arial" w:eastAsia="Arial" w:hAnsi="Arial" w:cs="Arial"/>
          <w:color w:val="222222"/>
          <w:kern w:val="0"/>
          <w:sz w:val="22"/>
          <w:szCs w:val="22"/>
          <w:lang w:eastAsia="ja-JP"/>
          <w14:ligatures w14:val="none"/>
        </w:rPr>
        <w:t>, R.T. (2024) ‘Challenges in accessing patient-</w:t>
      </w:r>
      <w:proofErr w:type="spellStart"/>
      <w:r w:rsidRPr="00077BFA">
        <w:rPr>
          <w:rFonts w:ascii="Arial" w:eastAsia="Arial" w:hAnsi="Arial" w:cs="Arial"/>
          <w:color w:val="222222"/>
          <w:kern w:val="0"/>
          <w:sz w:val="22"/>
          <w:szCs w:val="22"/>
          <w:lang w:eastAsia="ja-JP"/>
          <w14:ligatures w14:val="none"/>
        </w:rPr>
        <w:t>centered</w:t>
      </w:r>
      <w:proofErr w:type="spellEnd"/>
      <w:r w:rsidRPr="00077BFA">
        <w:rPr>
          <w:rFonts w:ascii="Arial" w:eastAsia="Arial" w:hAnsi="Arial" w:cs="Arial"/>
          <w:color w:val="222222"/>
          <w:kern w:val="0"/>
          <w:sz w:val="22"/>
          <w:szCs w:val="22"/>
          <w:lang w:eastAsia="ja-JP"/>
          <w14:ligatures w14:val="none"/>
        </w:rPr>
        <w:t xml:space="preserve"> care and patient empowerment in selected Ghanaian hospitals’, </w:t>
      </w:r>
      <w:r w:rsidRPr="00077BFA">
        <w:rPr>
          <w:rFonts w:ascii="Arial" w:eastAsia="Arial" w:hAnsi="Arial" w:cs="Arial"/>
          <w:i/>
          <w:iCs/>
          <w:color w:val="222222"/>
          <w:kern w:val="0"/>
          <w:sz w:val="22"/>
          <w:szCs w:val="22"/>
          <w:lang w:eastAsia="ja-JP"/>
          <w14:ligatures w14:val="none"/>
        </w:rPr>
        <w:t xml:space="preserve">Health SA </w:t>
      </w:r>
      <w:proofErr w:type="spellStart"/>
      <w:r w:rsidRPr="00077BFA">
        <w:rPr>
          <w:rFonts w:ascii="Arial" w:eastAsia="Arial" w:hAnsi="Arial" w:cs="Arial"/>
          <w:i/>
          <w:iCs/>
          <w:color w:val="222222"/>
          <w:kern w:val="0"/>
          <w:sz w:val="22"/>
          <w:szCs w:val="22"/>
          <w:lang w:eastAsia="ja-JP"/>
          <w14:ligatures w14:val="none"/>
        </w:rPr>
        <w:t>Gesondheid</w:t>
      </w:r>
      <w:proofErr w:type="spellEnd"/>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29</w:t>
      </w:r>
      <w:r w:rsidRPr="00077BFA">
        <w:rPr>
          <w:rFonts w:ascii="Arial" w:eastAsia="Arial" w:hAnsi="Arial" w:cs="Arial"/>
          <w:color w:val="222222"/>
          <w:kern w:val="0"/>
          <w:sz w:val="22"/>
          <w:szCs w:val="22"/>
          <w:lang w:eastAsia="ja-JP"/>
          <w14:ligatures w14:val="none"/>
        </w:rPr>
        <w:t xml:space="preserve">(1). Available at: </w:t>
      </w:r>
      <w:hyperlink r:id="rId28">
        <w:r w:rsidRPr="00077BFA">
          <w:rPr>
            <w:rFonts w:ascii="Arial" w:eastAsia="Arial" w:hAnsi="Arial" w:cs="Arial"/>
            <w:color w:val="467886"/>
            <w:kern w:val="0"/>
            <w:sz w:val="22"/>
            <w:szCs w:val="22"/>
            <w:u w:val="single"/>
            <w:lang w:eastAsia="ja-JP"/>
            <w14:ligatures w14:val="none"/>
          </w:rPr>
          <w:t>https://www.ajol.info/index.php/hsa/article/view/286514</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74BBC9B0"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lastRenderedPageBreak/>
        <w:t>Lateef, A. and Mhlongo, E. (2021) ‘Challenges for Nurses in Providing Patient-</w:t>
      </w:r>
      <w:proofErr w:type="spellStart"/>
      <w:r w:rsidRPr="00077BFA">
        <w:rPr>
          <w:rFonts w:ascii="Arial" w:eastAsia="Arial" w:hAnsi="Arial" w:cs="Arial"/>
          <w:color w:val="000000" w:themeColor="text1"/>
          <w:kern w:val="0"/>
          <w:sz w:val="22"/>
          <w:szCs w:val="22"/>
          <w:lang w:eastAsia="ja-JP"/>
          <w14:ligatures w14:val="none"/>
        </w:rPr>
        <w:t>Centered</w:t>
      </w:r>
      <w:proofErr w:type="spellEnd"/>
      <w:r w:rsidRPr="00077BFA">
        <w:rPr>
          <w:rFonts w:ascii="Arial" w:eastAsia="Arial" w:hAnsi="Arial" w:cs="Arial"/>
          <w:color w:val="000000" w:themeColor="text1"/>
          <w:kern w:val="0"/>
          <w:sz w:val="22"/>
          <w:szCs w:val="22"/>
          <w:lang w:eastAsia="ja-JP"/>
          <w14:ligatures w14:val="none"/>
        </w:rPr>
        <w:t xml:space="preserve"> Care in Rural Primary Health Care Clinics in Nigeria’, Open Journal of </w:t>
      </w:r>
      <w:r w:rsidRPr="00077BFA">
        <w:rPr>
          <w:rFonts w:ascii="Arial" w:eastAsia="Arial" w:hAnsi="Arial" w:cs="Arial"/>
          <w:i/>
          <w:iCs/>
          <w:color w:val="000000" w:themeColor="text1"/>
          <w:kern w:val="0"/>
          <w:sz w:val="22"/>
          <w:szCs w:val="22"/>
          <w:lang w:eastAsia="ja-JP"/>
          <w14:ligatures w14:val="none"/>
        </w:rPr>
        <w:t>Nursing</w:t>
      </w:r>
      <w:r w:rsidRPr="00077BFA">
        <w:rPr>
          <w:rFonts w:ascii="Arial" w:eastAsia="Arial" w:hAnsi="Arial" w:cs="Arial"/>
          <w:color w:val="000000" w:themeColor="text1"/>
          <w:kern w:val="0"/>
          <w:sz w:val="22"/>
          <w:szCs w:val="22"/>
          <w:lang w:eastAsia="ja-JP"/>
          <w14:ligatures w14:val="none"/>
        </w:rPr>
        <w:t xml:space="preserve">, 11, pp. 772-793. Available at: </w:t>
      </w:r>
      <w:hyperlink r:id="rId29">
        <w:r w:rsidRPr="00077BFA">
          <w:rPr>
            <w:rFonts w:ascii="Arial" w:eastAsia="Arial" w:hAnsi="Arial" w:cs="Arial"/>
            <w:color w:val="467886"/>
            <w:kern w:val="0"/>
            <w:sz w:val="22"/>
            <w:szCs w:val="22"/>
            <w:u w:val="single"/>
            <w:lang w:eastAsia="ja-JP"/>
            <w14:ligatures w14:val="none"/>
          </w:rPr>
          <w:t>https://doi.org/10.4236/ojn.2021.119065</w:t>
        </w:r>
      </w:hyperlink>
      <w:r w:rsidRPr="00077BFA">
        <w:rPr>
          <w:rFonts w:ascii="Arial" w:eastAsia="Arial" w:hAnsi="Arial" w:cs="Arial"/>
          <w:color w:val="000000" w:themeColor="text1"/>
          <w:kern w:val="0"/>
          <w:sz w:val="22"/>
          <w:szCs w:val="22"/>
          <w:lang w:eastAsia="ja-JP"/>
          <w14:ligatures w14:val="none"/>
        </w:rPr>
        <w:t xml:space="preserve"> (Accessed: 8th October 2025).</w:t>
      </w:r>
    </w:p>
    <w:p w14:paraId="6335516F"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Lefurgey, S., </w:t>
      </w:r>
      <w:proofErr w:type="spellStart"/>
      <w:r w:rsidRPr="00077BFA">
        <w:rPr>
          <w:rFonts w:ascii="Arial" w:eastAsia="Arial" w:hAnsi="Arial" w:cs="Arial"/>
          <w:color w:val="222222"/>
          <w:kern w:val="0"/>
          <w:sz w:val="22"/>
          <w:szCs w:val="22"/>
          <w:lang w:eastAsia="ja-JP"/>
          <w14:ligatures w14:val="none"/>
        </w:rPr>
        <w:t>Detillieux</w:t>
      </w:r>
      <w:proofErr w:type="spellEnd"/>
      <w:r w:rsidRPr="00077BFA">
        <w:rPr>
          <w:rFonts w:ascii="Arial" w:eastAsia="Arial" w:hAnsi="Arial" w:cs="Arial"/>
          <w:color w:val="222222"/>
          <w:kern w:val="0"/>
          <w:sz w:val="22"/>
          <w:szCs w:val="22"/>
          <w:lang w:eastAsia="ja-JP"/>
          <w14:ligatures w14:val="none"/>
        </w:rPr>
        <w:t>, S., Shaheen, A., Daigle, P., Nolan, D. and Rudnick, A. (2025) ‘Person-</w:t>
      </w:r>
      <w:proofErr w:type="spellStart"/>
      <w:r w:rsidRPr="00077BFA">
        <w:rPr>
          <w:rFonts w:ascii="Arial" w:eastAsia="Arial" w:hAnsi="Arial" w:cs="Arial"/>
          <w:color w:val="222222"/>
          <w:kern w:val="0"/>
          <w:sz w:val="22"/>
          <w:szCs w:val="22"/>
          <w:lang w:eastAsia="ja-JP"/>
          <w14:ligatures w14:val="none"/>
        </w:rPr>
        <w:t>Centered</w:t>
      </w:r>
      <w:proofErr w:type="spellEnd"/>
      <w:r w:rsidRPr="00077BFA">
        <w:rPr>
          <w:rFonts w:ascii="Arial" w:eastAsia="Arial" w:hAnsi="Arial" w:cs="Arial"/>
          <w:color w:val="222222"/>
          <w:kern w:val="0"/>
          <w:sz w:val="22"/>
          <w:szCs w:val="22"/>
          <w:lang w:eastAsia="ja-JP"/>
          <w14:ligatures w14:val="none"/>
        </w:rPr>
        <w:t xml:space="preserve"> Care: Learning from the Evolution of Mental Health Care’, </w:t>
      </w:r>
      <w:proofErr w:type="spellStart"/>
      <w:r w:rsidRPr="00077BFA">
        <w:rPr>
          <w:rFonts w:ascii="Arial" w:eastAsia="Arial" w:hAnsi="Arial" w:cs="Arial"/>
          <w:i/>
          <w:iCs/>
          <w:color w:val="222222"/>
          <w:kern w:val="0"/>
          <w:sz w:val="22"/>
          <w:szCs w:val="22"/>
          <w:lang w:eastAsia="ja-JP"/>
          <w14:ligatures w14:val="none"/>
        </w:rPr>
        <w:t>Encyclopedia</w:t>
      </w:r>
      <w:proofErr w:type="spellEnd"/>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5</w:t>
      </w:r>
      <w:r w:rsidRPr="00077BFA">
        <w:rPr>
          <w:rFonts w:ascii="Arial" w:eastAsia="Arial" w:hAnsi="Arial" w:cs="Arial"/>
          <w:color w:val="222222"/>
          <w:kern w:val="0"/>
          <w:sz w:val="22"/>
          <w:szCs w:val="22"/>
          <w:lang w:eastAsia="ja-JP"/>
          <w14:ligatures w14:val="none"/>
        </w:rPr>
        <w:t xml:space="preserve">(1), p.29. Available at: </w:t>
      </w:r>
      <w:hyperlink r:id="rId30">
        <w:r w:rsidRPr="00077BFA">
          <w:rPr>
            <w:rFonts w:ascii="Arial" w:eastAsia="Arial" w:hAnsi="Arial" w:cs="Arial"/>
            <w:color w:val="467886"/>
            <w:kern w:val="0"/>
            <w:sz w:val="22"/>
            <w:szCs w:val="22"/>
            <w:u w:val="single"/>
            <w:lang w:eastAsia="ja-JP"/>
            <w14:ligatures w14:val="none"/>
          </w:rPr>
          <w:t>https://www.mdpi.com/2673-8392/5/1/29</w:t>
        </w:r>
      </w:hyperlink>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color w:val="000000" w:themeColor="text1"/>
          <w:kern w:val="0"/>
          <w:sz w:val="22"/>
          <w:szCs w:val="22"/>
          <w:lang w:eastAsia="ja-JP"/>
          <w14:ligatures w14:val="none"/>
        </w:rPr>
        <w:t>(Accessed: 8th October 2025).</w:t>
      </w:r>
    </w:p>
    <w:p w14:paraId="0F81E9C4"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Linthicum, M.T., </w:t>
      </w:r>
      <w:proofErr w:type="spellStart"/>
      <w:r w:rsidRPr="00077BFA">
        <w:rPr>
          <w:rFonts w:ascii="Arial" w:eastAsia="Arial" w:hAnsi="Arial" w:cs="Arial"/>
          <w:color w:val="222222"/>
          <w:kern w:val="0"/>
          <w:sz w:val="22"/>
          <w:szCs w:val="22"/>
          <w:lang w:eastAsia="ja-JP"/>
          <w14:ligatures w14:val="none"/>
        </w:rPr>
        <w:t>dosReis</w:t>
      </w:r>
      <w:proofErr w:type="spellEnd"/>
      <w:r w:rsidRPr="00077BFA">
        <w:rPr>
          <w:rFonts w:ascii="Arial" w:eastAsia="Arial" w:hAnsi="Arial" w:cs="Arial"/>
          <w:color w:val="222222"/>
          <w:kern w:val="0"/>
          <w:sz w:val="22"/>
          <w:szCs w:val="22"/>
          <w:lang w:eastAsia="ja-JP"/>
          <w14:ligatures w14:val="none"/>
        </w:rPr>
        <w:t>, S., Slejko, J.F., Mattingly, T.J. and Bright, J.L. (2021) ’The importance of collaboration in pursuit of patient-</w:t>
      </w:r>
      <w:proofErr w:type="spellStart"/>
      <w:r w:rsidRPr="00077BFA">
        <w:rPr>
          <w:rFonts w:ascii="Arial" w:eastAsia="Arial" w:hAnsi="Arial" w:cs="Arial"/>
          <w:color w:val="222222"/>
          <w:kern w:val="0"/>
          <w:sz w:val="22"/>
          <w:szCs w:val="22"/>
          <w:lang w:eastAsia="ja-JP"/>
          <w14:ligatures w14:val="none"/>
        </w:rPr>
        <w:t>centered</w:t>
      </w:r>
      <w:proofErr w:type="spellEnd"/>
      <w:r w:rsidRPr="00077BFA">
        <w:rPr>
          <w:rFonts w:ascii="Arial" w:eastAsia="Arial" w:hAnsi="Arial" w:cs="Arial"/>
          <w:color w:val="222222"/>
          <w:kern w:val="0"/>
          <w:sz w:val="22"/>
          <w:szCs w:val="22"/>
          <w:lang w:eastAsia="ja-JP"/>
          <w14:ligatures w14:val="none"/>
        </w:rPr>
        <w:t xml:space="preserve"> value assessment’, </w:t>
      </w:r>
      <w:r w:rsidRPr="00077BFA">
        <w:rPr>
          <w:rFonts w:ascii="Arial" w:eastAsia="Arial" w:hAnsi="Arial" w:cs="Arial"/>
          <w:i/>
          <w:iCs/>
          <w:color w:val="222222"/>
          <w:kern w:val="0"/>
          <w:sz w:val="22"/>
          <w:szCs w:val="22"/>
          <w:lang w:eastAsia="ja-JP"/>
          <w14:ligatures w14:val="none"/>
        </w:rPr>
        <w:t>The Patient-Patient-</w:t>
      </w:r>
      <w:proofErr w:type="spellStart"/>
      <w:r w:rsidRPr="00077BFA">
        <w:rPr>
          <w:rFonts w:ascii="Arial" w:eastAsia="Arial" w:hAnsi="Arial" w:cs="Arial"/>
          <w:i/>
          <w:iCs/>
          <w:color w:val="222222"/>
          <w:kern w:val="0"/>
          <w:sz w:val="22"/>
          <w:szCs w:val="22"/>
          <w:lang w:eastAsia="ja-JP"/>
          <w14:ligatures w14:val="none"/>
        </w:rPr>
        <w:t>Centered</w:t>
      </w:r>
      <w:proofErr w:type="spellEnd"/>
      <w:r w:rsidRPr="00077BFA">
        <w:rPr>
          <w:rFonts w:ascii="Arial" w:eastAsia="Arial" w:hAnsi="Arial" w:cs="Arial"/>
          <w:i/>
          <w:iCs/>
          <w:color w:val="222222"/>
          <w:kern w:val="0"/>
          <w:sz w:val="22"/>
          <w:szCs w:val="22"/>
          <w:lang w:eastAsia="ja-JP"/>
          <w14:ligatures w14:val="none"/>
        </w:rPr>
        <w:t xml:space="preserve"> Outcomes Research</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14</w:t>
      </w:r>
      <w:r w:rsidRPr="00077BFA">
        <w:rPr>
          <w:rFonts w:ascii="Arial" w:eastAsia="Arial" w:hAnsi="Arial" w:cs="Arial"/>
          <w:color w:val="222222"/>
          <w:kern w:val="0"/>
          <w:sz w:val="22"/>
          <w:szCs w:val="22"/>
          <w:lang w:eastAsia="ja-JP"/>
          <w14:ligatures w14:val="none"/>
        </w:rPr>
        <w:t xml:space="preserve">(4), pp.381-384. Available at: </w:t>
      </w:r>
      <w:hyperlink r:id="rId31">
        <w:r w:rsidRPr="00077BFA">
          <w:rPr>
            <w:rFonts w:ascii="Arial" w:eastAsia="Arial" w:hAnsi="Arial" w:cs="Arial"/>
            <w:color w:val="467886"/>
            <w:kern w:val="0"/>
            <w:sz w:val="22"/>
            <w:szCs w:val="22"/>
            <w:u w:val="single"/>
            <w:lang w:eastAsia="ja-JP"/>
            <w14:ligatures w14:val="none"/>
          </w:rPr>
          <w:t>https://link.springer.com/article/10.1007/s40271-020-00446-3</w:t>
        </w:r>
      </w:hyperlink>
      <w:r w:rsidRPr="00077BFA">
        <w:rPr>
          <w:rFonts w:ascii="Arial" w:eastAsia="Arial" w:hAnsi="Arial" w:cs="Arial"/>
          <w:color w:val="222222"/>
          <w:kern w:val="0"/>
          <w:sz w:val="22"/>
          <w:szCs w:val="22"/>
          <w:lang w:eastAsia="ja-JP"/>
          <w14:ligatures w14:val="none"/>
        </w:rPr>
        <w:t xml:space="preserve"> (Accessed: 8th October 2025).</w:t>
      </w:r>
    </w:p>
    <w:p w14:paraId="05F1C0E6"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Lorenc, T., Khouja, C., Harden, M., Fulbright, H. and Thomas, J. (2024) ‘Defensive healthcare practice: systematic review of qualitative evidence’, </w:t>
      </w:r>
      <w:r w:rsidRPr="00077BFA">
        <w:rPr>
          <w:rFonts w:ascii="Arial" w:eastAsia="Arial" w:hAnsi="Arial" w:cs="Arial"/>
          <w:i/>
          <w:iCs/>
          <w:color w:val="222222"/>
          <w:kern w:val="0"/>
          <w:sz w:val="22"/>
          <w:szCs w:val="22"/>
          <w:lang w:eastAsia="ja-JP"/>
          <w14:ligatures w14:val="none"/>
        </w:rPr>
        <w:t>BMJ open</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14</w:t>
      </w:r>
      <w:r w:rsidRPr="00077BFA">
        <w:rPr>
          <w:rFonts w:ascii="Arial" w:eastAsia="Arial" w:hAnsi="Arial" w:cs="Arial"/>
          <w:color w:val="222222"/>
          <w:kern w:val="0"/>
          <w:sz w:val="22"/>
          <w:szCs w:val="22"/>
          <w:lang w:eastAsia="ja-JP"/>
          <w14:ligatures w14:val="none"/>
        </w:rPr>
        <w:t xml:space="preserve">(7), p.e085673. Available at: </w:t>
      </w:r>
      <w:hyperlink r:id="rId32">
        <w:r w:rsidRPr="00077BFA">
          <w:rPr>
            <w:rFonts w:ascii="Arial" w:eastAsia="Arial" w:hAnsi="Arial" w:cs="Arial"/>
            <w:color w:val="467886"/>
            <w:kern w:val="0"/>
            <w:sz w:val="22"/>
            <w:szCs w:val="22"/>
            <w:u w:val="single"/>
            <w:lang w:eastAsia="ja-JP"/>
            <w14:ligatures w14:val="none"/>
          </w:rPr>
          <w:t>https://bmjopen.bmj.com/content/14/7/e085673.abstract</w:t>
        </w:r>
      </w:hyperlink>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color w:val="000000" w:themeColor="text1"/>
          <w:kern w:val="0"/>
          <w:sz w:val="22"/>
          <w:szCs w:val="22"/>
          <w:lang w:eastAsia="ja-JP"/>
          <w14:ligatures w14:val="none"/>
        </w:rPr>
        <w:t>(Accessed: 8th October 2025).</w:t>
      </w:r>
    </w:p>
    <w:p w14:paraId="2681EFFA"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Meneses-La-Riva, M.E., Fernández-Bedoya, V.H., </w:t>
      </w:r>
      <w:proofErr w:type="spellStart"/>
      <w:r w:rsidRPr="00077BFA">
        <w:rPr>
          <w:rFonts w:ascii="Arial" w:eastAsia="Arial" w:hAnsi="Arial" w:cs="Arial"/>
          <w:color w:val="222222"/>
          <w:kern w:val="0"/>
          <w:sz w:val="22"/>
          <w:szCs w:val="22"/>
          <w:lang w:eastAsia="ja-JP"/>
          <w14:ligatures w14:val="none"/>
        </w:rPr>
        <w:t>Suyo</w:t>
      </w:r>
      <w:proofErr w:type="spellEnd"/>
      <w:r w:rsidRPr="00077BFA">
        <w:rPr>
          <w:rFonts w:ascii="Arial" w:eastAsia="Arial" w:hAnsi="Arial" w:cs="Arial"/>
          <w:color w:val="222222"/>
          <w:kern w:val="0"/>
          <w:sz w:val="22"/>
          <w:szCs w:val="22"/>
          <w:lang w:eastAsia="ja-JP"/>
          <w14:ligatures w14:val="none"/>
        </w:rPr>
        <w:t xml:space="preserve">-Vega, J.A., </w:t>
      </w:r>
      <w:proofErr w:type="spellStart"/>
      <w:r w:rsidRPr="00077BFA">
        <w:rPr>
          <w:rFonts w:ascii="Arial" w:eastAsia="Arial" w:hAnsi="Arial" w:cs="Arial"/>
          <w:color w:val="222222"/>
          <w:kern w:val="0"/>
          <w:sz w:val="22"/>
          <w:szCs w:val="22"/>
          <w:lang w:eastAsia="ja-JP"/>
          <w14:ligatures w14:val="none"/>
        </w:rPr>
        <w:t>Ocupa</w:t>
      </w:r>
      <w:proofErr w:type="spellEnd"/>
      <w:r w:rsidRPr="00077BFA">
        <w:rPr>
          <w:rFonts w:ascii="Arial" w:eastAsia="Arial" w:hAnsi="Arial" w:cs="Arial"/>
          <w:color w:val="222222"/>
          <w:kern w:val="0"/>
          <w:sz w:val="22"/>
          <w:szCs w:val="22"/>
          <w:lang w:eastAsia="ja-JP"/>
          <w14:ligatures w14:val="none"/>
        </w:rPr>
        <w:t xml:space="preserve">-Cabrera, H.G., Grijalva-Salazar, R.V. and </w:t>
      </w:r>
      <w:proofErr w:type="spellStart"/>
      <w:r w:rsidRPr="00077BFA">
        <w:rPr>
          <w:rFonts w:ascii="Arial" w:eastAsia="Arial" w:hAnsi="Arial" w:cs="Arial"/>
          <w:color w:val="222222"/>
          <w:kern w:val="0"/>
          <w:sz w:val="22"/>
          <w:szCs w:val="22"/>
          <w:lang w:eastAsia="ja-JP"/>
          <w14:ligatures w14:val="none"/>
        </w:rPr>
        <w:t>Ocupa</w:t>
      </w:r>
      <w:proofErr w:type="spellEnd"/>
      <w:r w:rsidRPr="00077BFA">
        <w:rPr>
          <w:rFonts w:ascii="Arial" w:eastAsia="Arial" w:hAnsi="Arial" w:cs="Arial"/>
          <w:color w:val="222222"/>
          <w:kern w:val="0"/>
          <w:sz w:val="22"/>
          <w:szCs w:val="22"/>
          <w:lang w:eastAsia="ja-JP"/>
          <w14:ligatures w14:val="none"/>
        </w:rPr>
        <w:t xml:space="preserve">-Meneses, G.D.D. (2025) ‘Enhancing Healthcare Efficiency: The Relationship Between Effective Communication and Teamwork Among Nurses in Peru’, </w:t>
      </w:r>
      <w:r w:rsidRPr="00077BFA">
        <w:rPr>
          <w:rFonts w:ascii="Arial" w:eastAsia="Arial" w:hAnsi="Arial" w:cs="Arial"/>
          <w:i/>
          <w:iCs/>
          <w:color w:val="222222"/>
          <w:kern w:val="0"/>
          <w:sz w:val="22"/>
          <w:szCs w:val="22"/>
          <w:lang w:eastAsia="ja-JP"/>
          <w14:ligatures w14:val="none"/>
        </w:rPr>
        <w:t>Nursing Reports</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15</w:t>
      </w:r>
      <w:r w:rsidRPr="00077BFA">
        <w:rPr>
          <w:rFonts w:ascii="Arial" w:eastAsia="Arial" w:hAnsi="Arial" w:cs="Arial"/>
          <w:color w:val="222222"/>
          <w:kern w:val="0"/>
          <w:sz w:val="22"/>
          <w:szCs w:val="22"/>
          <w:lang w:eastAsia="ja-JP"/>
          <w14:ligatures w14:val="none"/>
        </w:rPr>
        <w:t xml:space="preserve">(2), p.59. Available at: </w:t>
      </w:r>
      <w:hyperlink r:id="rId33">
        <w:r w:rsidRPr="00077BFA">
          <w:rPr>
            <w:rFonts w:ascii="Arial" w:eastAsia="Arial" w:hAnsi="Arial" w:cs="Arial"/>
            <w:color w:val="467886"/>
            <w:kern w:val="0"/>
            <w:sz w:val="22"/>
            <w:szCs w:val="22"/>
            <w:u w:val="single"/>
            <w:lang w:eastAsia="ja-JP"/>
            <w14:ligatures w14:val="none"/>
          </w:rPr>
          <w:t>https://www.mdpi.com/2039-4403/15/2/59</w:t>
        </w:r>
      </w:hyperlink>
      <w:r w:rsidRPr="00077BFA">
        <w:rPr>
          <w:rFonts w:ascii="Arial" w:eastAsia="Arial" w:hAnsi="Arial" w:cs="Arial"/>
          <w:color w:val="222222"/>
          <w:kern w:val="0"/>
          <w:sz w:val="22"/>
          <w:szCs w:val="22"/>
          <w:lang w:eastAsia="ja-JP"/>
          <w14:ligatures w14:val="none"/>
        </w:rPr>
        <w:t xml:space="preserve"> (Accessed: 8th October 2025).</w:t>
      </w:r>
      <w:r w:rsidRPr="00077BFA">
        <w:rPr>
          <w:rFonts w:ascii="Arial" w:hAnsi="Arial" w:cs="Arial"/>
          <w:kern w:val="0"/>
          <w:sz w:val="22"/>
          <w:szCs w:val="22"/>
          <w:lang w:eastAsia="ja-JP"/>
          <w14:ligatures w14:val="none"/>
        </w:rPr>
        <w:br/>
      </w:r>
      <w:r w:rsidRPr="00077BFA">
        <w:rPr>
          <w:rFonts w:ascii="Arial" w:hAnsi="Arial" w:cs="Arial"/>
          <w:kern w:val="0"/>
          <w:sz w:val="22"/>
          <w:szCs w:val="22"/>
          <w:lang w:eastAsia="ja-JP"/>
          <w14:ligatures w14:val="none"/>
        </w:rPr>
        <w:br/>
      </w:r>
      <w:r w:rsidRPr="00077BFA">
        <w:rPr>
          <w:rFonts w:ascii="Arial" w:eastAsia="Arial" w:hAnsi="Arial" w:cs="Arial"/>
          <w:i/>
          <w:iCs/>
          <w:color w:val="000000" w:themeColor="text1"/>
          <w:kern w:val="0"/>
          <w:sz w:val="22"/>
          <w:szCs w:val="22"/>
          <w:lang w:eastAsia="ja-JP"/>
          <w14:ligatures w14:val="none"/>
        </w:rPr>
        <w:t>Mental Capacity Act 2005: Code of Practice</w:t>
      </w:r>
      <w:r w:rsidRPr="00077BFA">
        <w:rPr>
          <w:rFonts w:ascii="Arial" w:eastAsia="Arial" w:hAnsi="Arial" w:cs="Arial"/>
          <w:color w:val="000000" w:themeColor="text1"/>
          <w:kern w:val="0"/>
          <w:sz w:val="22"/>
          <w:szCs w:val="22"/>
          <w:lang w:eastAsia="ja-JP"/>
          <w14:ligatures w14:val="none"/>
        </w:rPr>
        <w:t xml:space="preserve">. London: TSO. Available at: </w:t>
      </w:r>
      <w:hyperlink r:id="rId34">
        <w:r w:rsidRPr="00077BFA">
          <w:rPr>
            <w:rFonts w:ascii="Arial" w:eastAsia="Arial" w:hAnsi="Arial" w:cs="Arial"/>
            <w:color w:val="467886"/>
            <w:kern w:val="0"/>
            <w:sz w:val="22"/>
            <w:szCs w:val="22"/>
            <w:u w:val="single"/>
            <w:lang w:eastAsia="ja-JP"/>
            <w14:ligatures w14:val="none"/>
          </w:rPr>
          <w:t>https://assets.publishing.service.gov.uk/media/5f6cc6138fa8f541f6763295/Mental-capacity-act-code-of-practice.pdf</w:t>
        </w:r>
      </w:hyperlink>
      <w:r w:rsidRPr="00077BFA">
        <w:rPr>
          <w:rFonts w:ascii="Arial" w:eastAsia="Arial" w:hAnsi="Arial" w:cs="Arial"/>
          <w:color w:val="000000" w:themeColor="text1"/>
          <w:kern w:val="0"/>
          <w:sz w:val="22"/>
          <w:szCs w:val="22"/>
          <w:lang w:eastAsia="ja-JP"/>
          <w14:ligatures w14:val="none"/>
        </w:rPr>
        <w:t>(Accessed: 8 October 2025).</w:t>
      </w:r>
    </w:p>
    <w:p w14:paraId="61E01B0A"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NHS England (2022) ‘</w:t>
      </w:r>
      <w:r w:rsidRPr="00077BFA">
        <w:rPr>
          <w:rFonts w:ascii="Arial" w:eastAsia="Arial" w:hAnsi="Arial" w:cs="Arial"/>
          <w:i/>
          <w:iCs/>
          <w:color w:val="000000" w:themeColor="text1"/>
          <w:kern w:val="0"/>
          <w:sz w:val="22"/>
          <w:szCs w:val="22"/>
          <w:lang w:eastAsia="ja-JP"/>
          <w14:ligatures w14:val="none"/>
        </w:rPr>
        <w:t>Enhance Programme Handbook’,</w:t>
      </w:r>
      <w:r w:rsidRPr="00077BFA">
        <w:rPr>
          <w:rFonts w:ascii="Arial" w:eastAsia="Arial" w:hAnsi="Arial" w:cs="Arial"/>
          <w:color w:val="000000" w:themeColor="text1"/>
          <w:kern w:val="0"/>
          <w:sz w:val="22"/>
          <w:szCs w:val="22"/>
          <w:lang w:eastAsia="ja-JP"/>
          <w14:ligatures w14:val="none"/>
        </w:rPr>
        <w:t xml:space="preserve"> Available at: </w:t>
      </w:r>
      <w:hyperlink r:id="rId35">
        <w:r w:rsidRPr="00077BFA">
          <w:rPr>
            <w:rFonts w:ascii="Arial" w:eastAsia="Arial" w:hAnsi="Arial" w:cs="Arial"/>
            <w:color w:val="467886"/>
            <w:kern w:val="0"/>
            <w:sz w:val="22"/>
            <w:szCs w:val="22"/>
            <w:u w:val="single"/>
            <w:lang w:eastAsia="ja-JP"/>
            <w14:ligatures w14:val="none"/>
          </w:rPr>
          <w:t>https://www.hee.nhs.uk/sites/default/files/documents/Enhance%20Handbook.pdf</w:t>
        </w:r>
      </w:hyperlink>
      <w:r w:rsidRPr="00077BFA">
        <w:rPr>
          <w:rFonts w:ascii="Arial" w:eastAsia="Arial" w:hAnsi="Arial" w:cs="Arial"/>
          <w:color w:val="000000" w:themeColor="text1"/>
          <w:kern w:val="0"/>
          <w:sz w:val="22"/>
          <w:szCs w:val="22"/>
          <w:lang w:eastAsia="ja-JP"/>
          <w14:ligatures w14:val="none"/>
        </w:rPr>
        <w:t xml:space="preserve"> (Accessed: 8 October 2025).</w:t>
      </w:r>
    </w:p>
    <w:p w14:paraId="6D7A4AF0"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color w:val="000000" w:themeColor="text1"/>
          <w:kern w:val="0"/>
          <w:sz w:val="22"/>
          <w:szCs w:val="22"/>
          <w:lang w:eastAsia="ja-JP"/>
          <w14:ligatures w14:val="none"/>
        </w:rPr>
        <w:t>NICE (2021a) ‘</w:t>
      </w:r>
      <w:r w:rsidRPr="00077BFA">
        <w:rPr>
          <w:rFonts w:ascii="Arial" w:eastAsia="Arial" w:hAnsi="Arial" w:cs="Arial"/>
          <w:i/>
          <w:iCs/>
          <w:color w:val="000000" w:themeColor="text1"/>
          <w:kern w:val="0"/>
          <w:sz w:val="22"/>
          <w:szCs w:val="22"/>
          <w:lang w:eastAsia="ja-JP"/>
          <w14:ligatures w14:val="none"/>
        </w:rPr>
        <w:t>COVID-19 rapid guideline: critical care in adults’,</w:t>
      </w:r>
      <w:r w:rsidRPr="00077BFA">
        <w:rPr>
          <w:rFonts w:ascii="Arial" w:eastAsia="Arial" w:hAnsi="Arial" w:cs="Arial"/>
          <w:color w:val="000000" w:themeColor="text1"/>
          <w:kern w:val="0"/>
          <w:sz w:val="22"/>
          <w:szCs w:val="22"/>
          <w:lang w:eastAsia="ja-JP"/>
          <w14:ligatures w14:val="none"/>
        </w:rPr>
        <w:t xml:space="preserve"> Guidance. Available at: </w:t>
      </w:r>
      <w:hyperlink r:id="rId36">
        <w:r w:rsidRPr="00077BFA">
          <w:rPr>
            <w:rFonts w:ascii="Arial" w:eastAsia="Arial" w:hAnsi="Arial" w:cs="Arial"/>
            <w:color w:val="467886"/>
            <w:kern w:val="0"/>
            <w:sz w:val="22"/>
            <w:szCs w:val="22"/>
            <w:u w:val="single"/>
            <w:lang w:eastAsia="ja-JP"/>
            <w14:ligatures w14:val="none"/>
          </w:rPr>
          <w:t>https://www.nice.org.uk/guidance/ng159</w:t>
        </w:r>
      </w:hyperlink>
      <w:r w:rsidRPr="00077BFA">
        <w:rPr>
          <w:rFonts w:ascii="Arial" w:eastAsia="Arial" w:hAnsi="Arial" w:cs="Arial"/>
          <w:color w:val="000000" w:themeColor="text1"/>
          <w:kern w:val="0"/>
          <w:sz w:val="22"/>
          <w:szCs w:val="22"/>
          <w:lang w:eastAsia="ja-JP"/>
          <w14:ligatures w14:val="none"/>
        </w:rPr>
        <w:t xml:space="preserve"> (Accessed: 8 October 2025).</w:t>
      </w:r>
    </w:p>
    <w:p w14:paraId="0799C025" w14:textId="77777777" w:rsidR="007A292B" w:rsidRPr="00077BFA" w:rsidRDefault="007A292B" w:rsidP="007A292B">
      <w:pPr>
        <w:spacing w:line="360" w:lineRule="auto"/>
        <w:jc w:val="both"/>
        <w:rPr>
          <w:rFonts w:ascii="Arial" w:eastAsia="Arial" w:hAnsi="Arial" w:cs="Arial"/>
          <w:color w:val="000000" w:themeColor="text1"/>
          <w:kern w:val="0"/>
          <w:sz w:val="22"/>
          <w:szCs w:val="22"/>
          <w:lang w:eastAsia="ja-JP"/>
          <w14:ligatures w14:val="none"/>
        </w:rPr>
      </w:pPr>
      <w:r w:rsidRPr="00077BFA">
        <w:rPr>
          <w:rFonts w:ascii="Arial" w:eastAsia="Arial" w:hAnsi="Arial" w:cs="Arial"/>
          <w:kern w:val="0"/>
          <w:sz w:val="22"/>
          <w:szCs w:val="22"/>
          <w:lang w:eastAsia="ja-JP"/>
          <w14:ligatures w14:val="none"/>
        </w:rPr>
        <w:t xml:space="preserve">NICE (2021b) </w:t>
      </w:r>
      <w:r w:rsidRPr="00077BFA">
        <w:rPr>
          <w:rFonts w:ascii="Arial" w:eastAsia="Arial" w:hAnsi="Arial" w:cs="Arial"/>
          <w:i/>
          <w:iCs/>
          <w:kern w:val="0"/>
          <w:sz w:val="22"/>
          <w:szCs w:val="22"/>
          <w:lang w:eastAsia="ja-JP"/>
          <w14:ligatures w14:val="none"/>
        </w:rPr>
        <w:t>2021 surveillance of patient experience in adult NHS services (NICE guideline CG138)</w:t>
      </w:r>
      <w:r w:rsidRPr="00077BFA">
        <w:rPr>
          <w:rFonts w:ascii="Arial" w:eastAsia="Arial" w:hAnsi="Arial" w:cs="Arial"/>
          <w:kern w:val="0"/>
          <w:sz w:val="22"/>
          <w:szCs w:val="22"/>
          <w:lang w:eastAsia="ja-JP"/>
          <w14:ligatures w14:val="none"/>
        </w:rPr>
        <w:t xml:space="preserve">. Available at: </w:t>
      </w:r>
      <w:hyperlink r:id="rId37">
        <w:r w:rsidRPr="00077BFA">
          <w:rPr>
            <w:rFonts w:ascii="Arial" w:eastAsia="Arial" w:hAnsi="Arial" w:cs="Arial"/>
            <w:color w:val="467886"/>
            <w:kern w:val="0"/>
            <w:sz w:val="22"/>
            <w:szCs w:val="22"/>
            <w:u w:val="single"/>
            <w:lang w:eastAsia="ja-JP"/>
            <w14:ligatures w14:val="none"/>
          </w:rPr>
          <w:t>https://www.nice.org.uk/guidance/cg138/resources/2021-surveillance-of-patient-experience-in-adult-nhs-services-nice-guideline-cg138-pdf-11926783529413</w:t>
        </w:r>
      </w:hyperlink>
      <w:r w:rsidRPr="00077BFA">
        <w:rPr>
          <w:rFonts w:ascii="Arial" w:eastAsia="Arial" w:hAnsi="Arial" w:cs="Arial"/>
          <w:color w:val="000000" w:themeColor="text1"/>
          <w:kern w:val="0"/>
          <w:sz w:val="22"/>
          <w:szCs w:val="22"/>
          <w:lang w:eastAsia="ja-JP"/>
          <w14:ligatures w14:val="none"/>
        </w:rPr>
        <w:t xml:space="preserve"> (Accessed: 8 October 2025).</w:t>
      </w:r>
    </w:p>
    <w:p w14:paraId="306CEE96"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O’Sullivan, L., </w:t>
      </w:r>
      <w:proofErr w:type="spellStart"/>
      <w:r w:rsidRPr="00077BFA">
        <w:rPr>
          <w:rFonts w:ascii="Arial" w:eastAsia="Arial" w:hAnsi="Arial" w:cs="Arial"/>
          <w:color w:val="222222"/>
          <w:kern w:val="0"/>
          <w:sz w:val="22"/>
          <w:szCs w:val="22"/>
          <w:lang w:eastAsia="ja-JP"/>
          <w14:ligatures w14:val="none"/>
        </w:rPr>
        <w:t>Aldasoro</w:t>
      </w:r>
      <w:proofErr w:type="spellEnd"/>
      <w:r w:rsidRPr="00077BFA">
        <w:rPr>
          <w:rFonts w:ascii="Arial" w:eastAsia="Arial" w:hAnsi="Arial" w:cs="Arial"/>
          <w:color w:val="222222"/>
          <w:kern w:val="0"/>
          <w:sz w:val="22"/>
          <w:szCs w:val="22"/>
          <w:lang w:eastAsia="ja-JP"/>
          <w14:ligatures w14:val="none"/>
        </w:rPr>
        <w:t xml:space="preserve">, E., O’Brien, Á., Nolan, M., McGovern, C. and Carroll, Á. (2022) ’Ethical values and principles to guide the fair allocation of resources in response to a </w:t>
      </w:r>
      <w:r w:rsidRPr="00077BFA">
        <w:rPr>
          <w:rFonts w:ascii="Arial" w:eastAsia="Arial" w:hAnsi="Arial" w:cs="Arial"/>
          <w:color w:val="222222"/>
          <w:kern w:val="0"/>
          <w:sz w:val="22"/>
          <w:szCs w:val="22"/>
          <w:lang w:eastAsia="ja-JP"/>
          <w14:ligatures w14:val="none"/>
        </w:rPr>
        <w:lastRenderedPageBreak/>
        <w:t xml:space="preserve">pandemic: a rapid systematic review’, </w:t>
      </w:r>
      <w:r w:rsidRPr="00077BFA">
        <w:rPr>
          <w:rFonts w:ascii="Arial" w:eastAsia="Arial" w:hAnsi="Arial" w:cs="Arial"/>
          <w:i/>
          <w:iCs/>
          <w:color w:val="222222"/>
          <w:kern w:val="0"/>
          <w:sz w:val="22"/>
          <w:szCs w:val="22"/>
          <w:lang w:eastAsia="ja-JP"/>
          <w14:ligatures w14:val="none"/>
        </w:rPr>
        <w:t>BMC Medical Ethics</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23</w:t>
      </w:r>
      <w:r w:rsidRPr="00077BFA">
        <w:rPr>
          <w:rFonts w:ascii="Arial" w:eastAsia="Arial" w:hAnsi="Arial" w:cs="Arial"/>
          <w:color w:val="222222"/>
          <w:kern w:val="0"/>
          <w:sz w:val="22"/>
          <w:szCs w:val="22"/>
          <w:lang w:eastAsia="ja-JP"/>
          <w14:ligatures w14:val="none"/>
        </w:rPr>
        <w:t xml:space="preserve">(1), p.70.Available at: </w:t>
      </w:r>
      <w:hyperlink r:id="rId38">
        <w:r w:rsidRPr="00077BFA">
          <w:rPr>
            <w:rFonts w:ascii="Arial" w:eastAsia="Arial" w:hAnsi="Arial" w:cs="Arial"/>
            <w:color w:val="467886"/>
            <w:kern w:val="0"/>
            <w:sz w:val="22"/>
            <w:szCs w:val="22"/>
            <w:u w:val="single"/>
            <w:lang w:eastAsia="ja-JP"/>
            <w14:ligatures w14:val="none"/>
          </w:rPr>
          <w:t>https://link.springer.com/article/10.1186/s12910-022-00806-8</w:t>
        </w:r>
      </w:hyperlink>
      <w:r w:rsidRPr="00077BFA">
        <w:rPr>
          <w:rFonts w:ascii="Arial" w:eastAsia="Arial" w:hAnsi="Arial" w:cs="Arial"/>
          <w:color w:val="222222"/>
          <w:kern w:val="0"/>
          <w:sz w:val="22"/>
          <w:szCs w:val="22"/>
          <w:lang w:eastAsia="ja-JP"/>
          <w14:ligatures w14:val="none"/>
        </w:rPr>
        <w:t xml:space="preserve"> (Accessed: 8th October 2025).</w:t>
      </w:r>
    </w:p>
    <w:p w14:paraId="5E09AB3C"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Rawlinson, C., Carron, T., </w:t>
      </w:r>
      <w:proofErr w:type="spellStart"/>
      <w:r w:rsidRPr="00077BFA">
        <w:rPr>
          <w:rFonts w:ascii="Arial" w:eastAsia="Arial" w:hAnsi="Arial" w:cs="Arial"/>
          <w:color w:val="222222"/>
          <w:kern w:val="0"/>
          <w:sz w:val="22"/>
          <w:szCs w:val="22"/>
          <w:lang w:eastAsia="ja-JP"/>
          <w14:ligatures w14:val="none"/>
        </w:rPr>
        <w:t>Cohidon</w:t>
      </w:r>
      <w:proofErr w:type="spellEnd"/>
      <w:r w:rsidRPr="00077BFA">
        <w:rPr>
          <w:rFonts w:ascii="Arial" w:eastAsia="Arial" w:hAnsi="Arial" w:cs="Arial"/>
          <w:color w:val="222222"/>
          <w:kern w:val="0"/>
          <w:sz w:val="22"/>
          <w:szCs w:val="22"/>
          <w:lang w:eastAsia="ja-JP"/>
          <w14:ligatures w14:val="none"/>
        </w:rPr>
        <w:t xml:space="preserve">, C., Arditi, C., Hong, Q.N., </w:t>
      </w:r>
      <w:proofErr w:type="spellStart"/>
      <w:r w:rsidRPr="00077BFA">
        <w:rPr>
          <w:rFonts w:ascii="Arial" w:eastAsia="Arial" w:hAnsi="Arial" w:cs="Arial"/>
          <w:color w:val="222222"/>
          <w:kern w:val="0"/>
          <w:sz w:val="22"/>
          <w:szCs w:val="22"/>
          <w:lang w:eastAsia="ja-JP"/>
          <w14:ligatures w14:val="none"/>
        </w:rPr>
        <w:t>Pluye</w:t>
      </w:r>
      <w:proofErr w:type="spellEnd"/>
      <w:r w:rsidRPr="00077BFA">
        <w:rPr>
          <w:rFonts w:ascii="Arial" w:eastAsia="Arial" w:hAnsi="Arial" w:cs="Arial"/>
          <w:color w:val="222222"/>
          <w:kern w:val="0"/>
          <w:sz w:val="22"/>
          <w:szCs w:val="22"/>
          <w:lang w:eastAsia="ja-JP"/>
          <w14:ligatures w14:val="none"/>
        </w:rPr>
        <w:t xml:space="preserve">, P., Peytremann-Bridevaux, I. and Gilles, I. (2021) ’An overview of reviews on interprofessional collaboration in primary care: barriers and facilitators’, </w:t>
      </w:r>
      <w:r w:rsidRPr="00077BFA">
        <w:rPr>
          <w:rFonts w:ascii="Arial" w:eastAsia="Arial" w:hAnsi="Arial" w:cs="Arial"/>
          <w:i/>
          <w:iCs/>
          <w:color w:val="222222"/>
          <w:kern w:val="0"/>
          <w:sz w:val="22"/>
          <w:szCs w:val="22"/>
          <w:lang w:eastAsia="ja-JP"/>
          <w14:ligatures w14:val="none"/>
        </w:rPr>
        <w:t>International journal of integrated care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21</w:t>
      </w:r>
      <w:r w:rsidRPr="00077BFA">
        <w:rPr>
          <w:rFonts w:ascii="Arial" w:eastAsia="Arial" w:hAnsi="Arial" w:cs="Arial"/>
          <w:color w:val="222222"/>
          <w:kern w:val="0"/>
          <w:sz w:val="22"/>
          <w:szCs w:val="22"/>
          <w:lang w:eastAsia="ja-JP"/>
          <w14:ligatures w14:val="none"/>
        </w:rPr>
        <w:t xml:space="preserve">(2), p.32. Available at: </w:t>
      </w:r>
      <w:hyperlink r:id="rId39">
        <w:r w:rsidRPr="00077BFA">
          <w:rPr>
            <w:rFonts w:ascii="Arial" w:eastAsia="Arial" w:hAnsi="Arial" w:cs="Arial"/>
            <w:color w:val="467886"/>
            <w:kern w:val="0"/>
            <w:sz w:val="22"/>
            <w:szCs w:val="22"/>
            <w:u w:val="single"/>
            <w:lang w:eastAsia="ja-JP"/>
            <w14:ligatures w14:val="none"/>
          </w:rPr>
          <w:t>https://pmc.ncbi.nlm.nih.gov/articles/PMC8231480/</w:t>
        </w:r>
      </w:hyperlink>
      <w:r w:rsidRPr="00077BFA">
        <w:rPr>
          <w:rFonts w:ascii="Arial" w:eastAsia="Arial" w:hAnsi="Arial" w:cs="Arial"/>
          <w:color w:val="222222"/>
          <w:kern w:val="0"/>
          <w:sz w:val="22"/>
          <w:szCs w:val="22"/>
          <w:lang w:eastAsia="ja-JP"/>
          <w14:ligatures w14:val="none"/>
        </w:rPr>
        <w:t xml:space="preserve"> (Accessed: 8th October 2025). </w:t>
      </w:r>
    </w:p>
    <w:p w14:paraId="33FB0639"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Santana, M.J., Manalili, K., Jolley, R.J., Zelinsky, S., Quan, H. and Lu, M. (2018) ’How to practice person</w:t>
      </w:r>
      <w:r w:rsidRPr="00077BFA">
        <w:rPr>
          <w:rFonts w:ascii="Cambria Math" w:eastAsia="Arial" w:hAnsi="Cambria Math" w:cs="Cambria Math"/>
          <w:color w:val="222222"/>
          <w:kern w:val="0"/>
          <w:sz w:val="22"/>
          <w:szCs w:val="22"/>
          <w:lang w:eastAsia="ja-JP"/>
          <w14:ligatures w14:val="none"/>
        </w:rPr>
        <w:t>‐</w:t>
      </w:r>
      <w:r w:rsidRPr="00077BFA">
        <w:rPr>
          <w:rFonts w:ascii="Arial" w:eastAsia="Arial" w:hAnsi="Arial" w:cs="Arial"/>
          <w:color w:val="222222"/>
          <w:kern w:val="0"/>
          <w:sz w:val="22"/>
          <w:szCs w:val="22"/>
          <w:lang w:eastAsia="ja-JP"/>
          <w14:ligatures w14:val="none"/>
        </w:rPr>
        <w:t xml:space="preserve">centred care: A conceptual framework’, </w:t>
      </w:r>
      <w:r w:rsidRPr="00077BFA">
        <w:rPr>
          <w:rFonts w:ascii="Arial" w:eastAsia="Arial" w:hAnsi="Arial" w:cs="Arial"/>
          <w:i/>
          <w:iCs/>
          <w:color w:val="222222"/>
          <w:kern w:val="0"/>
          <w:sz w:val="22"/>
          <w:szCs w:val="22"/>
          <w:lang w:eastAsia="ja-JP"/>
          <w14:ligatures w14:val="none"/>
        </w:rPr>
        <w:t>Health Expectations</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21</w:t>
      </w:r>
      <w:r w:rsidRPr="00077BFA">
        <w:rPr>
          <w:rFonts w:ascii="Arial" w:eastAsia="Arial" w:hAnsi="Arial" w:cs="Arial"/>
          <w:color w:val="222222"/>
          <w:kern w:val="0"/>
          <w:sz w:val="22"/>
          <w:szCs w:val="22"/>
          <w:lang w:eastAsia="ja-JP"/>
          <w14:ligatures w14:val="none"/>
        </w:rPr>
        <w:t xml:space="preserve">(2), pp.429-440. Available at: </w:t>
      </w:r>
      <w:hyperlink r:id="rId40">
        <w:r w:rsidRPr="00077BFA">
          <w:rPr>
            <w:rFonts w:ascii="Arial" w:eastAsia="Arial" w:hAnsi="Arial" w:cs="Arial"/>
            <w:color w:val="467886"/>
            <w:kern w:val="0"/>
            <w:sz w:val="22"/>
            <w:szCs w:val="22"/>
            <w:u w:val="single"/>
            <w:lang w:eastAsia="ja-JP"/>
            <w14:ligatures w14:val="none"/>
          </w:rPr>
          <w:t>https://onlinelibrary.wiley.com/doi/abs/10.1111/hex.12640</w:t>
        </w:r>
      </w:hyperlink>
      <w:r w:rsidRPr="00077BFA">
        <w:rPr>
          <w:rFonts w:ascii="Arial" w:eastAsia="Arial" w:hAnsi="Arial" w:cs="Arial"/>
          <w:color w:val="222222"/>
          <w:kern w:val="0"/>
          <w:sz w:val="22"/>
          <w:szCs w:val="22"/>
          <w:lang w:eastAsia="ja-JP"/>
          <w14:ligatures w14:val="none"/>
        </w:rPr>
        <w:t xml:space="preserve"> (Accessed: 8th October 2025).</w:t>
      </w:r>
    </w:p>
    <w:p w14:paraId="402A81FD"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Sauvage, J. and Ahluwalia, S. (2016) ’Health and care professionals committed to partnership working: right wall of the House of Care framework’, </w:t>
      </w:r>
      <w:r w:rsidRPr="00077BFA">
        <w:rPr>
          <w:rFonts w:ascii="Arial" w:eastAsia="Arial" w:hAnsi="Arial" w:cs="Arial"/>
          <w:i/>
          <w:iCs/>
          <w:color w:val="222222"/>
          <w:kern w:val="0"/>
          <w:sz w:val="22"/>
          <w:szCs w:val="22"/>
          <w:lang w:eastAsia="ja-JP"/>
          <w14:ligatures w14:val="none"/>
        </w:rPr>
        <w:t>The British Journal of General Practice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66</w:t>
      </w:r>
      <w:r w:rsidRPr="00077BFA">
        <w:rPr>
          <w:rFonts w:ascii="Arial" w:eastAsia="Arial" w:hAnsi="Arial" w:cs="Arial"/>
          <w:color w:val="222222"/>
          <w:kern w:val="0"/>
          <w:sz w:val="22"/>
          <w:szCs w:val="22"/>
          <w:lang w:eastAsia="ja-JP"/>
          <w14:ligatures w14:val="none"/>
        </w:rPr>
        <w:t xml:space="preserve">(642), p.52. Available at: </w:t>
      </w:r>
      <w:hyperlink r:id="rId41">
        <w:r w:rsidRPr="00077BFA">
          <w:rPr>
            <w:rFonts w:ascii="Arial" w:eastAsia="Arial" w:hAnsi="Arial" w:cs="Arial"/>
            <w:color w:val="467886"/>
            <w:kern w:val="0"/>
            <w:sz w:val="22"/>
            <w:szCs w:val="22"/>
            <w:u w:val="single"/>
            <w:lang w:eastAsia="ja-JP"/>
            <w14:ligatures w14:val="none"/>
          </w:rPr>
          <w:t>https://pmc.ncbi.nlm.nih.gov/articles/PMC4684026/</w:t>
        </w:r>
      </w:hyperlink>
      <w:r w:rsidRPr="00077BFA">
        <w:rPr>
          <w:rFonts w:ascii="Arial" w:eastAsia="Arial" w:hAnsi="Arial" w:cs="Arial"/>
          <w:color w:val="222222"/>
          <w:kern w:val="0"/>
          <w:sz w:val="22"/>
          <w:szCs w:val="22"/>
          <w:lang w:eastAsia="ja-JP"/>
          <w14:ligatures w14:val="none"/>
        </w:rPr>
        <w:t xml:space="preserve"> (Accessed: 8th October 25).</w:t>
      </w:r>
    </w:p>
    <w:p w14:paraId="39C9931D"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Thomson, L.J.M., Waterson, H. and Chatterjee, H.J. (2024) ’Successes and challenges of partnership working to tackle health inequalities using collaborative approaches to community-based research: mixed methods analysis of focus group evidence’, </w:t>
      </w:r>
      <w:r w:rsidRPr="00077BFA">
        <w:rPr>
          <w:rFonts w:ascii="Arial" w:eastAsia="Arial" w:hAnsi="Arial" w:cs="Arial"/>
          <w:i/>
          <w:iCs/>
          <w:color w:val="222222"/>
          <w:kern w:val="0"/>
          <w:sz w:val="22"/>
          <w:szCs w:val="22"/>
          <w:lang w:eastAsia="ja-JP"/>
          <w14:ligatures w14:val="none"/>
        </w:rPr>
        <w:t>International Journal for Equity in Health</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23</w:t>
      </w:r>
      <w:r w:rsidRPr="00077BFA">
        <w:rPr>
          <w:rFonts w:ascii="Arial" w:eastAsia="Arial" w:hAnsi="Arial" w:cs="Arial"/>
          <w:color w:val="222222"/>
          <w:kern w:val="0"/>
          <w:sz w:val="22"/>
          <w:szCs w:val="22"/>
          <w:lang w:eastAsia="ja-JP"/>
          <w14:ligatures w14:val="none"/>
        </w:rPr>
        <w:t xml:space="preserve">(1), p.135. Available at; </w:t>
      </w:r>
      <w:hyperlink r:id="rId42">
        <w:r w:rsidRPr="00077BFA">
          <w:rPr>
            <w:rFonts w:ascii="Arial" w:eastAsia="Arial" w:hAnsi="Arial" w:cs="Arial"/>
            <w:color w:val="467886"/>
            <w:kern w:val="0"/>
            <w:sz w:val="22"/>
            <w:szCs w:val="22"/>
            <w:u w:val="single"/>
            <w:lang w:eastAsia="ja-JP"/>
            <w14:ligatures w14:val="none"/>
          </w:rPr>
          <w:t>https://link.springer.com/article/10.1186/s12939-024-02216-1</w:t>
        </w:r>
      </w:hyperlink>
      <w:r w:rsidRPr="00077BFA">
        <w:rPr>
          <w:rFonts w:ascii="Arial" w:eastAsia="Arial" w:hAnsi="Arial" w:cs="Arial"/>
          <w:color w:val="222222"/>
          <w:kern w:val="0"/>
          <w:sz w:val="22"/>
          <w:szCs w:val="22"/>
          <w:lang w:eastAsia="ja-JP"/>
          <w14:ligatures w14:val="none"/>
        </w:rPr>
        <w:t xml:space="preserve"> (Accessed: 8th October 2025).</w:t>
      </w:r>
    </w:p>
    <w:p w14:paraId="051D8EF7"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Uk Health Foundation (2016, January) </w:t>
      </w:r>
      <w:r w:rsidRPr="00077BFA">
        <w:rPr>
          <w:rFonts w:ascii="Arial" w:eastAsia="Arial" w:hAnsi="Arial" w:cs="Arial"/>
          <w:b/>
          <w:bCs/>
          <w:i/>
          <w:iCs/>
          <w:color w:val="222222"/>
          <w:kern w:val="0"/>
          <w:sz w:val="22"/>
          <w:szCs w:val="22"/>
          <w:lang w:eastAsia="ja-JP"/>
          <w14:ligatures w14:val="none"/>
        </w:rPr>
        <w:t>’Person</w:t>
      </w:r>
      <w:r w:rsidRPr="00077BFA">
        <w:rPr>
          <w:rFonts w:ascii="Arial" w:eastAsia="Arial" w:hAnsi="Arial" w:cs="Arial"/>
          <w:color w:val="222222"/>
          <w:kern w:val="0"/>
          <w:sz w:val="22"/>
          <w:szCs w:val="22"/>
          <w:lang w:eastAsia="ja-JP"/>
          <w14:ligatures w14:val="none"/>
        </w:rPr>
        <w:t xml:space="preserve">-centred care made </w:t>
      </w:r>
      <w:proofErr w:type="spellStart"/>
      <w:r w:rsidRPr="00077BFA">
        <w:rPr>
          <w:rFonts w:ascii="Arial" w:eastAsia="Arial" w:hAnsi="Arial" w:cs="Arial"/>
          <w:color w:val="222222"/>
          <w:kern w:val="0"/>
          <w:sz w:val="22"/>
          <w:szCs w:val="22"/>
          <w:lang w:eastAsia="ja-JP"/>
          <w14:ligatures w14:val="none"/>
        </w:rPr>
        <w:t>simple:What</w:t>
      </w:r>
      <w:proofErr w:type="spellEnd"/>
      <w:r w:rsidRPr="00077BFA">
        <w:rPr>
          <w:rFonts w:ascii="Arial" w:eastAsia="Arial" w:hAnsi="Arial" w:cs="Arial"/>
          <w:color w:val="222222"/>
          <w:kern w:val="0"/>
          <w:sz w:val="22"/>
          <w:szCs w:val="22"/>
          <w:lang w:eastAsia="ja-JP"/>
          <w14:ligatures w14:val="none"/>
        </w:rPr>
        <w:t xml:space="preserve"> everyone should know about person-centred care’, (online) Available at: </w:t>
      </w:r>
      <w:hyperlink r:id="rId43">
        <w:r w:rsidRPr="00077BFA">
          <w:rPr>
            <w:rFonts w:ascii="Arial" w:eastAsia="Arial" w:hAnsi="Arial" w:cs="Arial"/>
            <w:color w:val="467886"/>
            <w:kern w:val="0"/>
            <w:sz w:val="22"/>
            <w:szCs w:val="22"/>
            <w:u w:val="single"/>
            <w:lang w:eastAsia="ja-JP"/>
            <w14:ligatures w14:val="none"/>
          </w:rPr>
          <w:t>https://www.health.org.uk/sites/default/files/PersonCentredCareMadeSimple.pdf</w:t>
        </w:r>
      </w:hyperlink>
      <w:r w:rsidRPr="00077BFA">
        <w:rPr>
          <w:rFonts w:ascii="Arial" w:eastAsia="Arial" w:hAnsi="Arial" w:cs="Arial"/>
          <w:color w:val="222222"/>
          <w:kern w:val="0"/>
          <w:sz w:val="22"/>
          <w:szCs w:val="22"/>
          <w:lang w:eastAsia="ja-JP"/>
          <w14:ligatures w14:val="none"/>
        </w:rPr>
        <w:t xml:space="preserve"> (Accessed: 8th October 2025).</w:t>
      </w:r>
    </w:p>
    <w:p w14:paraId="5A023B86" w14:textId="77777777" w:rsidR="007A292B" w:rsidRPr="00077BFA" w:rsidRDefault="007A292B" w:rsidP="007A292B">
      <w:pPr>
        <w:spacing w:line="360" w:lineRule="auto"/>
        <w:jc w:val="both"/>
        <w:rPr>
          <w:rFonts w:ascii="Arial" w:eastAsia="Arial" w:hAnsi="Arial" w:cs="Arial"/>
          <w:color w:val="222222"/>
          <w:kern w:val="0"/>
          <w:sz w:val="22"/>
          <w:szCs w:val="22"/>
          <w:lang w:eastAsia="ja-JP"/>
          <w14:ligatures w14:val="none"/>
        </w:rPr>
      </w:pPr>
      <w:r w:rsidRPr="00077BFA">
        <w:rPr>
          <w:rFonts w:ascii="Arial" w:eastAsia="Arial" w:hAnsi="Arial" w:cs="Arial"/>
          <w:color w:val="222222"/>
          <w:kern w:val="0"/>
          <w:sz w:val="22"/>
          <w:szCs w:val="22"/>
          <w:lang w:eastAsia="ja-JP"/>
          <w14:ligatures w14:val="none"/>
        </w:rPr>
        <w:t xml:space="preserve">Varkey, B. (2021) ’Principles of clinical ethics and their application to practice’, </w:t>
      </w:r>
      <w:r w:rsidRPr="00077BFA">
        <w:rPr>
          <w:rFonts w:ascii="Arial" w:eastAsia="Arial" w:hAnsi="Arial" w:cs="Arial"/>
          <w:i/>
          <w:iCs/>
          <w:color w:val="222222"/>
          <w:kern w:val="0"/>
          <w:sz w:val="22"/>
          <w:szCs w:val="22"/>
          <w:lang w:eastAsia="ja-JP"/>
          <w14:ligatures w14:val="none"/>
        </w:rPr>
        <w:t>Medical principles and practice</w:t>
      </w:r>
      <w:r w:rsidRPr="00077BFA">
        <w:rPr>
          <w:rFonts w:ascii="Arial" w:eastAsia="Arial" w:hAnsi="Arial" w:cs="Arial"/>
          <w:color w:val="222222"/>
          <w:kern w:val="0"/>
          <w:sz w:val="22"/>
          <w:szCs w:val="22"/>
          <w:lang w:eastAsia="ja-JP"/>
          <w14:ligatures w14:val="none"/>
        </w:rPr>
        <w:t xml:space="preserve">, </w:t>
      </w:r>
      <w:r w:rsidRPr="00077BFA">
        <w:rPr>
          <w:rFonts w:ascii="Arial" w:eastAsia="Arial" w:hAnsi="Arial" w:cs="Arial"/>
          <w:i/>
          <w:iCs/>
          <w:color w:val="222222"/>
          <w:kern w:val="0"/>
          <w:sz w:val="22"/>
          <w:szCs w:val="22"/>
          <w:lang w:eastAsia="ja-JP"/>
          <w14:ligatures w14:val="none"/>
        </w:rPr>
        <w:t>30</w:t>
      </w:r>
      <w:r w:rsidRPr="00077BFA">
        <w:rPr>
          <w:rFonts w:ascii="Arial" w:eastAsia="Arial" w:hAnsi="Arial" w:cs="Arial"/>
          <w:color w:val="222222"/>
          <w:kern w:val="0"/>
          <w:sz w:val="22"/>
          <w:szCs w:val="22"/>
          <w:lang w:eastAsia="ja-JP"/>
          <w14:ligatures w14:val="none"/>
        </w:rPr>
        <w:t xml:space="preserve">(1), pp.17-28. Available at: </w:t>
      </w:r>
      <w:hyperlink r:id="rId44">
        <w:r w:rsidRPr="00077BFA">
          <w:rPr>
            <w:rFonts w:ascii="Arial" w:eastAsia="Arial" w:hAnsi="Arial" w:cs="Arial"/>
            <w:color w:val="467886"/>
            <w:kern w:val="0"/>
            <w:sz w:val="22"/>
            <w:szCs w:val="22"/>
            <w:u w:val="single"/>
            <w:lang w:eastAsia="ja-JP"/>
            <w14:ligatures w14:val="none"/>
          </w:rPr>
          <w:t>https://karger.com/mpp/article-abstract/30/1/17/204816</w:t>
        </w:r>
      </w:hyperlink>
      <w:r w:rsidRPr="00077BFA">
        <w:rPr>
          <w:rFonts w:ascii="Arial" w:eastAsia="Arial" w:hAnsi="Arial" w:cs="Arial"/>
          <w:color w:val="222222"/>
          <w:kern w:val="0"/>
          <w:sz w:val="22"/>
          <w:szCs w:val="22"/>
          <w:lang w:eastAsia="ja-JP"/>
          <w14:ligatures w14:val="none"/>
        </w:rPr>
        <w:t xml:space="preserve"> (Accessed: 8th </w:t>
      </w:r>
      <w:proofErr w:type="gramStart"/>
      <w:r w:rsidRPr="00077BFA">
        <w:rPr>
          <w:rFonts w:ascii="Arial" w:eastAsia="Arial" w:hAnsi="Arial" w:cs="Arial"/>
          <w:color w:val="222222"/>
          <w:kern w:val="0"/>
          <w:sz w:val="22"/>
          <w:szCs w:val="22"/>
          <w:lang w:eastAsia="ja-JP"/>
          <w14:ligatures w14:val="none"/>
        </w:rPr>
        <w:t>October  2025</w:t>
      </w:r>
      <w:proofErr w:type="gramEnd"/>
      <w:r w:rsidRPr="00077BFA">
        <w:rPr>
          <w:rFonts w:ascii="Arial" w:eastAsia="Arial" w:hAnsi="Arial" w:cs="Arial"/>
          <w:color w:val="222222"/>
          <w:kern w:val="0"/>
          <w:sz w:val="22"/>
          <w:szCs w:val="22"/>
          <w:lang w:eastAsia="ja-JP"/>
          <w14:ligatures w14:val="none"/>
        </w:rPr>
        <w:t>).</w:t>
      </w:r>
    </w:p>
    <w:p w14:paraId="22B25A73" w14:textId="77777777" w:rsidR="007A292B" w:rsidRPr="00077BFA" w:rsidRDefault="007A292B" w:rsidP="007A292B">
      <w:pPr>
        <w:spacing w:line="360" w:lineRule="auto"/>
        <w:rPr>
          <w:rFonts w:ascii="Arial" w:eastAsia="Arial" w:hAnsi="Arial" w:cs="Arial"/>
          <w:kern w:val="0"/>
          <w:sz w:val="22"/>
          <w:szCs w:val="22"/>
          <w:lang w:eastAsia="ja-JP"/>
          <w14:ligatures w14:val="none"/>
        </w:rPr>
      </w:pPr>
    </w:p>
    <w:p w14:paraId="4DB8233A" w14:textId="77777777" w:rsidR="007A292B" w:rsidRPr="00077BFA" w:rsidRDefault="007A292B" w:rsidP="00B45713">
      <w:pPr>
        <w:spacing w:line="360" w:lineRule="auto"/>
        <w:jc w:val="both"/>
        <w:rPr>
          <w:rFonts w:ascii="Arial" w:eastAsia="Times New Roman" w:hAnsi="Arial" w:cs="Arial"/>
          <w:color w:val="000000"/>
          <w:sz w:val="22"/>
          <w:szCs w:val="22"/>
        </w:rPr>
      </w:pPr>
    </w:p>
    <w:p w14:paraId="03EA9B7F" w14:textId="77777777" w:rsidR="007A292B" w:rsidRPr="006C32F1" w:rsidRDefault="007A292B" w:rsidP="00B45713">
      <w:pPr>
        <w:spacing w:line="360" w:lineRule="auto"/>
        <w:jc w:val="both"/>
        <w:rPr>
          <w:rFonts w:ascii="Arial" w:hAnsi="Arial" w:cs="Arial"/>
          <w:b/>
          <w:bCs/>
          <w:sz w:val="22"/>
          <w:szCs w:val="22"/>
        </w:rPr>
      </w:pPr>
    </w:p>
    <w:sectPr w:rsidR="007A292B" w:rsidRPr="006C32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FBC9B" w14:textId="77777777" w:rsidR="00121797" w:rsidRPr="00077BFA" w:rsidRDefault="00121797" w:rsidP="007A292B">
      <w:pPr>
        <w:spacing w:after="0" w:line="240" w:lineRule="auto"/>
      </w:pPr>
      <w:r w:rsidRPr="00077BFA">
        <w:separator/>
      </w:r>
    </w:p>
  </w:endnote>
  <w:endnote w:type="continuationSeparator" w:id="0">
    <w:p w14:paraId="105AB86E" w14:textId="77777777" w:rsidR="00121797" w:rsidRPr="00077BFA" w:rsidRDefault="00121797" w:rsidP="007A292B">
      <w:pPr>
        <w:spacing w:after="0" w:line="240" w:lineRule="auto"/>
      </w:pPr>
      <w:r w:rsidRPr="00077BFA">
        <w:continuationSeparator/>
      </w:r>
    </w:p>
  </w:endnote>
  <w:endnote w:type="continuationNotice" w:id="1">
    <w:p w14:paraId="65030B7E" w14:textId="77777777" w:rsidR="00121797" w:rsidRPr="00077BFA" w:rsidRDefault="001217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ADA16" w14:textId="77777777" w:rsidR="005C3F96" w:rsidRDefault="005C3F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0174833"/>
      <w:docPartObj>
        <w:docPartGallery w:val="Page Numbers (Bottom of Page)"/>
        <w:docPartUnique/>
      </w:docPartObj>
    </w:sdtPr>
    <w:sdtContent>
      <w:p w14:paraId="3F80EFEA" w14:textId="0116E665" w:rsidR="005C3F96" w:rsidRDefault="005C3F96">
        <w:pPr>
          <w:pStyle w:val="Footer"/>
          <w:jc w:val="center"/>
        </w:pPr>
        <w:r>
          <w:fldChar w:fldCharType="begin"/>
        </w:r>
        <w:r>
          <w:instrText>PAGE   \* MERGEFORMAT</w:instrText>
        </w:r>
        <w:r>
          <w:fldChar w:fldCharType="separate"/>
        </w:r>
        <w:r>
          <w:t>2</w:t>
        </w:r>
        <w:r>
          <w:fldChar w:fldCharType="end"/>
        </w:r>
      </w:p>
    </w:sdtContent>
  </w:sdt>
  <w:p w14:paraId="7153DEB7" w14:textId="77777777" w:rsidR="005C3F96" w:rsidRDefault="005C3F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95FF4" w14:textId="77777777" w:rsidR="005C3F96" w:rsidRDefault="005C3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6522A" w14:textId="77777777" w:rsidR="00121797" w:rsidRPr="00077BFA" w:rsidRDefault="00121797" w:rsidP="007A292B">
      <w:pPr>
        <w:spacing w:after="0" w:line="240" w:lineRule="auto"/>
      </w:pPr>
      <w:r w:rsidRPr="00077BFA">
        <w:separator/>
      </w:r>
    </w:p>
  </w:footnote>
  <w:footnote w:type="continuationSeparator" w:id="0">
    <w:p w14:paraId="16668A18" w14:textId="77777777" w:rsidR="00121797" w:rsidRPr="00077BFA" w:rsidRDefault="00121797" w:rsidP="007A292B">
      <w:pPr>
        <w:spacing w:after="0" w:line="240" w:lineRule="auto"/>
      </w:pPr>
      <w:r w:rsidRPr="00077BFA">
        <w:continuationSeparator/>
      </w:r>
    </w:p>
  </w:footnote>
  <w:footnote w:type="continuationNotice" w:id="1">
    <w:p w14:paraId="1D1F1528" w14:textId="77777777" w:rsidR="00121797" w:rsidRPr="00077BFA" w:rsidRDefault="001217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A43E0" w14:textId="77777777" w:rsidR="005C3F96" w:rsidRDefault="005C3F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4B404" w14:textId="77777777" w:rsidR="005C3F96" w:rsidRDefault="005C3F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BAE4A" w14:textId="77777777" w:rsidR="005C3F96" w:rsidRDefault="005C3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420B9"/>
    <w:multiLevelType w:val="hybridMultilevel"/>
    <w:tmpl w:val="8E1AEF14"/>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502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BEF"/>
    <w:rsid w:val="00023791"/>
    <w:rsid w:val="00025296"/>
    <w:rsid w:val="00050263"/>
    <w:rsid w:val="00061098"/>
    <w:rsid w:val="00077BFA"/>
    <w:rsid w:val="00086E8E"/>
    <w:rsid w:val="00095BD9"/>
    <w:rsid w:val="00097785"/>
    <w:rsid w:val="000A60B3"/>
    <w:rsid w:val="000B138C"/>
    <w:rsid w:val="000C71C3"/>
    <w:rsid w:val="00100812"/>
    <w:rsid w:val="00105F89"/>
    <w:rsid w:val="0011630D"/>
    <w:rsid w:val="00121797"/>
    <w:rsid w:val="0013338C"/>
    <w:rsid w:val="00155440"/>
    <w:rsid w:val="0015551D"/>
    <w:rsid w:val="00166423"/>
    <w:rsid w:val="00173161"/>
    <w:rsid w:val="00174B25"/>
    <w:rsid w:val="00176275"/>
    <w:rsid w:val="001B0046"/>
    <w:rsid w:val="001C0C7A"/>
    <w:rsid w:val="001E5659"/>
    <w:rsid w:val="001E5F04"/>
    <w:rsid w:val="002075BD"/>
    <w:rsid w:val="00234D09"/>
    <w:rsid w:val="00235C88"/>
    <w:rsid w:val="00246967"/>
    <w:rsid w:val="0024769C"/>
    <w:rsid w:val="0025024D"/>
    <w:rsid w:val="002962D5"/>
    <w:rsid w:val="002D044B"/>
    <w:rsid w:val="002D3AFE"/>
    <w:rsid w:val="002D5BD1"/>
    <w:rsid w:val="002F5F67"/>
    <w:rsid w:val="00314054"/>
    <w:rsid w:val="0031757E"/>
    <w:rsid w:val="00322747"/>
    <w:rsid w:val="0034429C"/>
    <w:rsid w:val="00364446"/>
    <w:rsid w:val="003A2BC1"/>
    <w:rsid w:val="003A7011"/>
    <w:rsid w:val="003B56FB"/>
    <w:rsid w:val="003E17ED"/>
    <w:rsid w:val="003F7FB3"/>
    <w:rsid w:val="00407BC0"/>
    <w:rsid w:val="00411726"/>
    <w:rsid w:val="00415346"/>
    <w:rsid w:val="00452056"/>
    <w:rsid w:val="0045236D"/>
    <w:rsid w:val="004B3649"/>
    <w:rsid w:val="004C3E66"/>
    <w:rsid w:val="00500D67"/>
    <w:rsid w:val="00501DF9"/>
    <w:rsid w:val="005570C4"/>
    <w:rsid w:val="0056323E"/>
    <w:rsid w:val="00581C53"/>
    <w:rsid w:val="005955BA"/>
    <w:rsid w:val="005A36DF"/>
    <w:rsid w:val="005A6B84"/>
    <w:rsid w:val="005B2910"/>
    <w:rsid w:val="005C3F96"/>
    <w:rsid w:val="005C74B9"/>
    <w:rsid w:val="005D005C"/>
    <w:rsid w:val="005D1B89"/>
    <w:rsid w:val="005D6CCD"/>
    <w:rsid w:val="005E3A10"/>
    <w:rsid w:val="00600F77"/>
    <w:rsid w:val="006036C3"/>
    <w:rsid w:val="00615380"/>
    <w:rsid w:val="006261F9"/>
    <w:rsid w:val="00645524"/>
    <w:rsid w:val="006617C0"/>
    <w:rsid w:val="00692661"/>
    <w:rsid w:val="006A1184"/>
    <w:rsid w:val="006A22B5"/>
    <w:rsid w:val="006C32F1"/>
    <w:rsid w:val="006D561A"/>
    <w:rsid w:val="006F55C9"/>
    <w:rsid w:val="006F75BD"/>
    <w:rsid w:val="00717D5D"/>
    <w:rsid w:val="00762FCB"/>
    <w:rsid w:val="007A292B"/>
    <w:rsid w:val="007A4E53"/>
    <w:rsid w:val="007B7CED"/>
    <w:rsid w:val="007C50AD"/>
    <w:rsid w:val="007D32EC"/>
    <w:rsid w:val="007F6D8C"/>
    <w:rsid w:val="00802575"/>
    <w:rsid w:val="00806B1C"/>
    <w:rsid w:val="00820C12"/>
    <w:rsid w:val="0082123B"/>
    <w:rsid w:val="00856F59"/>
    <w:rsid w:val="00865BC9"/>
    <w:rsid w:val="00872EAC"/>
    <w:rsid w:val="00886ABE"/>
    <w:rsid w:val="008D1F86"/>
    <w:rsid w:val="00944C5A"/>
    <w:rsid w:val="009507B4"/>
    <w:rsid w:val="00954F6A"/>
    <w:rsid w:val="009614BA"/>
    <w:rsid w:val="009650F5"/>
    <w:rsid w:val="009807B1"/>
    <w:rsid w:val="009C0436"/>
    <w:rsid w:val="009C4F5E"/>
    <w:rsid w:val="009C5929"/>
    <w:rsid w:val="009E0733"/>
    <w:rsid w:val="009F03ED"/>
    <w:rsid w:val="009F27ED"/>
    <w:rsid w:val="00A075DC"/>
    <w:rsid w:val="00A17027"/>
    <w:rsid w:val="00A24AF3"/>
    <w:rsid w:val="00A35242"/>
    <w:rsid w:val="00A64C9A"/>
    <w:rsid w:val="00A7540E"/>
    <w:rsid w:val="00AE222B"/>
    <w:rsid w:val="00AE2D40"/>
    <w:rsid w:val="00B45713"/>
    <w:rsid w:val="00B54986"/>
    <w:rsid w:val="00B54F44"/>
    <w:rsid w:val="00B62805"/>
    <w:rsid w:val="00B71040"/>
    <w:rsid w:val="00B74ECC"/>
    <w:rsid w:val="00B826D0"/>
    <w:rsid w:val="00B84969"/>
    <w:rsid w:val="00BA0365"/>
    <w:rsid w:val="00BB1A98"/>
    <w:rsid w:val="00BC7A73"/>
    <w:rsid w:val="00BD32B2"/>
    <w:rsid w:val="00BE2BD4"/>
    <w:rsid w:val="00BF34DB"/>
    <w:rsid w:val="00BF3BEB"/>
    <w:rsid w:val="00C30440"/>
    <w:rsid w:val="00C514D1"/>
    <w:rsid w:val="00C62CEF"/>
    <w:rsid w:val="00C6447E"/>
    <w:rsid w:val="00C868C0"/>
    <w:rsid w:val="00C966E5"/>
    <w:rsid w:val="00CA096A"/>
    <w:rsid w:val="00CA1EF0"/>
    <w:rsid w:val="00CB1888"/>
    <w:rsid w:val="00CB5C9B"/>
    <w:rsid w:val="00CD36C2"/>
    <w:rsid w:val="00CE5A21"/>
    <w:rsid w:val="00D00BD7"/>
    <w:rsid w:val="00D304EA"/>
    <w:rsid w:val="00D373FF"/>
    <w:rsid w:val="00D530A4"/>
    <w:rsid w:val="00D6402E"/>
    <w:rsid w:val="00D66564"/>
    <w:rsid w:val="00D67B87"/>
    <w:rsid w:val="00D83C91"/>
    <w:rsid w:val="00D93BE7"/>
    <w:rsid w:val="00DA7A69"/>
    <w:rsid w:val="00DB19B2"/>
    <w:rsid w:val="00DB2AF8"/>
    <w:rsid w:val="00DB602A"/>
    <w:rsid w:val="00DC243B"/>
    <w:rsid w:val="00DC3BEF"/>
    <w:rsid w:val="00E05C0B"/>
    <w:rsid w:val="00E1202E"/>
    <w:rsid w:val="00E24EA6"/>
    <w:rsid w:val="00E34F34"/>
    <w:rsid w:val="00E47C2C"/>
    <w:rsid w:val="00E51278"/>
    <w:rsid w:val="00E5136B"/>
    <w:rsid w:val="00E52A4B"/>
    <w:rsid w:val="00E71724"/>
    <w:rsid w:val="00E77A6C"/>
    <w:rsid w:val="00E81C0A"/>
    <w:rsid w:val="00EA6624"/>
    <w:rsid w:val="00EB0C4B"/>
    <w:rsid w:val="00EB7595"/>
    <w:rsid w:val="00EC0C24"/>
    <w:rsid w:val="00EF61D0"/>
    <w:rsid w:val="00F10252"/>
    <w:rsid w:val="00F154AD"/>
    <w:rsid w:val="00F279CF"/>
    <w:rsid w:val="00F36E7E"/>
    <w:rsid w:val="00F50DC1"/>
    <w:rsid w:val="00F52722"/>
    <w:rsid w:val="00F542DD"/>
    <w:rsid w:val="00F642E7"/>
    <w:rsid w:val="00F7026C"/>
    <w:rsid w:val="00F75AF9"/>
    <w:rsid w:val="00F82FC5"/>
    <w:rsid w:val="00F83103"/>
    <w:rsid w:val="00F94034"/>
    <w:rsid w:val="00FA3C48"/>
    <w:rsid w:val="00FC6129"/>
    <w:rsid w:val="036FE257"/>
    <w:rsid w:val="060C28E4"/>
    <w:rsid w:val="06BD3846"/>
    <w:rsid w:val="070E2316"/>
    <w:rsid w:val="0A0FFED4"/>
    <w:rsid w:val="0A6CCFF0"/>
    <w:rsid w:val="0AAE354B"/>
    <w:rsid w:val="0E889624"/>
    <w:rsid w:val="1072766B"/>
    <w:rsid w:val="11710781"/>
    <w:rsid w:val="11C44D4A"/>
    <w:rsid w:val="125E0255"/>
    <w:rsid w:val="14018626"/>
    <w:rsid w:val="147FAFF2"/>
    <w:rsid w:val="15004ECE"/>
    <w:rsid w:val="152EB025"/>
    <w:rsid w:val="162A5809"/>
    <w:rsid w:val="16627BDC"/>
    <w:rsid w:val="18AF495D"/>
    <w:rsid w:val="19C5CECD"/>
    <w:rsid w:val="1A94ED49"/>
    <w:rsid w:val="1B2AC57C"/>
    <w:rsid w:val="1B68048C"/>
    <w:rsid w:val="1C8D6522"/>
    <w:rsid w:val="1CC63CF8"/>
    <w:rsid w:val="1F8EAE71"/>
    <w:rsid w:val="2012333D"/>
    <w:rsid w:val="205F8EF8"/>
    <w:rsid w:val="20B21648"/>
    <w:rsid w:val="22274D0C"/>
    <w:rsid w:val="2281A566"/>
    <w:rsid w:val="23754CD1"/>
    <w:rsid w:val="24220DFA"/>
    <w:rsid w:val="2581E353"/>
    <w:rsid w:val="278318BA"/>
    <w:rsid w:val="27E22EC7"/>
    <w:rsid w:val="27E3844C"/>
    <w:rsid w:val="285D45CA"/>
    <w:rsid w:val="28835C64"/>
    <w:rsid w:val="2887F882"/>
    <w:rsid w:val="2A91235B"/>
    <w:rsid w:val="2AC724A6"/>
    <w:rsid w:val="2B9ED982"/>
    <w:rsid w:val="2BD9D1D6"/>
    <w:rsid w:val="2D752C68"/>
    <w:rsid w:val="2F55D225"/>
    <w:rsid w:val="2F8F267D"/>
    <w:rsid w:val="2FC2E34C"/>
    <w:rsid w:val="30DD7145"/>
    <w:rsid w:val="311FE0E5"/>
    <w:rsid w:val="3197387E"/>
    <w:rsid w:val="32C736A3"/>
    <w:rsid w:val="34A1980F"/>
    <w:rsid w:val="3570085D"/>
    <w:rsid w:val="361DEC24"/>
    <w:rsid w:val="364FCC8F"/>
    <w:rsid w:val="37208F76"/>
    <w:rsid w:val="37CCF4EB"/>
    <w:rsid w:val="38300984"/>
    <w:rsid w:val="38DDB125"/>
    <w:rsid w:val="393DF5CC"/>
    <w:rsid w:val="39A97833"/>
    <w:rsid w:val="39DD1CF0"/>
    <w:rsid w:val="3AC54FCD"/>
    <w:rsid w:val="3BC7DF08"/>
    <w:rsid w:val="3BF1A1A5"/>
    <w:rsid w:val="3C792CF4"/>
    <w:rsid w:val="3D294EE9"/>
    <w:rsid w:val="3F0B804F"/>
    <w:rsid w:val="3FB7A690"/>
    <w:rsid w:val="4102092D"/>
    <w:rsid w:val="41EB4B1F"/>
    <w:rsid w:val="4202C267"/>
    <w:rsid w:val="425DDF77"/>
    <w:rsid w:val="42A02C3B"/>
    <w:rsid w:val="43B66D66"/>
    <w:rsid w:val="440DBF2C"/>
    <w:rsid w:val="45064235"/>
    <w:rsid w:val="4574ED48"/>
    <w:rsid w:val="4675D91B"/>
    <w:rsid w:val="4786E647"/>
    <w:rsid w:val="47BF8E96"/>
    <w:rsid w:val="49CA433F"/>
    <w:rsid w:val="4BEF94D5"/>
    <w:rsid w:val="4C3EDA6D"/>
    <w:rsid w:val="4D3002CB"/>
    <w:rsid w:val="4D857F0A"/>
    <w:rsid w:val="4DD2A6CE"/>
    <w:rsid w:val="4E569968"/>
    <w:rsid w:val="4E5D0B6C"/>
    <w:rsid w:val="4F330F79"/>
    <w:rsid w:val="4F47473E"/>
    <w:rsid w:val="51EEDF6F"/>
    <w:rsid w:val="54164D61"/>
    <w:rsid w:val="5563B889"/>
    <w:rsid w:val="571F1040"/>
    <w:rsid w:val="589E2D6A"/>
    <w:rsid w:val="59042EDA"/>
    <w:rsid w:val="59D642B2"/>
    <w:rsid w:val="59FCE550"/>
    <w:rsid w:val="5A44E3BE"/>
    <w:rsid w:val="5BF51B2C"/>
    <w:rsid w:val="5F39722A"/>
    <w:rsid w:val="5FA677C5"/>
    <w:rsid w:val="60E9DF01"/>
    <w:rsid w:val="61610920"/>
    <w:rsid w:val="64677D51"/>
    <w:rsid w:val="64FBFB6F"/>
    <w:rsid w:val="65EDE577"/>
    <w:rsid w:val="663AD32C"/>
    <w:rsid w:val="664635A4"/>
    <w:rsid w:val="66AED458"/>
    <w:rsid w:val="6790D6A6"/>
    <w:rsid w:val="67FF77E1"/>
    <w:rsid w:val="687E2EED"/>
    <w:rsid w:val="69E71B21"/>
    <w:rsid w:val="6AC763B7"/>
    <w:rsid w:val="6B587606"/>
    <w:rsid w:val="6DB0CC3F"/>
    <w:rsid w:val="6EC960FD"/>
    <w:rsid w:val="6ED778D2"/>
    <w:rsid w:val="6F811EC3"/>
    <w:rsid w:val="6FD1C6D3"/>
    <w:rsid w:val="7026B0C4"/>
    <w:rsid w:val="704944E6"/>
    <w:rsid w:val="7204B239"/>
    <w:rsid w:val="7249A163"/>
    <w:rsid w:val="727D14E9"/>
    <w:rsid w:val="728BEE34"/>
    <w:rsid w:val="72A409FB"/>
    <w:rsid w:val="78C5B57B"/>
    <w:rsid w:val="7AF7D500"/>
    <w:rsid w:val="7BB4D313"/>
    <w:rsid w:val="7BE36A5C"/>
    <w:rsid w:val="7C4739D5"/>
    <w:rsid w:val="7C4B76DD"/>
    <w:rsid w:val="7DC1BB48"/>
    <w:rsid w:val="7DF66823"/>
    <w:rsid w:val="7EBC2478"/>
    <w:rsid w:val="7ECB65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7F0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6BD3846"/>
    <w:pPr>
      <w:spacing w:line="360" w:lineRule="auto"/>
      <w:jc w:val="both"/>
      <w:outlineLvl w:val="0"/>
    </w:pPr>
    <w:rPr>
      <w:b/>
      <w:bCs/>
      <w:color w:val="000000" w:themeColor="text1"/>
      <w:sz w:val="22"/>
      <w:szCs w:val="22"/>
      <w:lang w:val="en-US"/>
    </w:rPr>
  </w:style>
  <w:style w:type="paragraph" w:styleId="Heading2">
    <w:name w:val="heading 2"/>
    <w:basedOn w:val="Normal"/>
    <w:next w:val="Normal"/>
    <w:link w:val="Heading2Char"/>
    <w:uiPriority w:val="9"/>
    <w:semiHidden/>
    <w:unhideWhenUsed/>
    <w:qFormat/>
    <w:rsid w:val="00DC3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BEF"/>
    <w:rPr>
      <w:b/>
      <w:bCs/>
      <w:color w:val="000000" w:themeColor="text1"/>
      <w:sz w:val="22"/>
      <w:szCs w:val="22"/>
      <w:lang w:val="en-US"/>
    </w:rPr>
  </w:style>
  <w:style w:type="character" w:customStyle="1" w:styleId="Heading2Char">
    <w:name w:val="Heading 2 Char"/>
    <w:basedOn w:val="DefaultParagraphFont"/>
    <w:link w:val="Heading2"/>
    <w:uiPriority w:val="9"/>
    <w:semiHidden/>
    <w:rsid w:val="00DC3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BEF"/>
    <w:rPr>
      <w:rFonts w:eastAsiaTheme="majorEastAsia" w:cstheme="majorBidi"/>
      <w:color w:val="272727" w:themeColor="text1" w:themeTint="D8"/>
    </w:rPr>
  </w:style>
  <w:style w:type="paragraph" w:styleId="Title">
    <w:name w:val="Title"/>
    <w:basedOn w:val="Normal"/>
    <w:next w:val="Normal"/>
    <w:link w:val="TitleChar"/>
    <w:uiPriority w:val="10"/>
    <w:qFormat/>
    <w:rsid w:val="00DC3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BEF"/>
    <w:pPr>
      <w:spacing w:before="160"/>
      <w:jc w:val="center"/>
    </w:pPr>
    <w:rPr>
      <w:i/>
      <w:iCs/>
      <w:color w:val="404040" w:themeColor="text1" w:themeTint="BF"/>
    </w:rPr>
  </w:style>
  <w:style w:type="character" w:customStyle="1" w:styleId="QuoteChar">
    <w:name w:val="Quote Char"/>
    <w:basedOn w:val="DefaultParagraphFont"/>
    <w:link w:val="Quote"/>
    <w:uiPriority w:val="29"/>
    <w:rsid w:val="00DC3BEF"/>
    <w:rPr>
      <w:i/>
      <w:iCs/>
      <w:color w:val="404040" w:themeColor="text1" w:themeTint="BF"/>
    </w:rPr>
  </w:style>
  <w:style w:type="paragraph" w:styleId="ListParagraph">
    <w:name w:val="List Paragraph"/>
    <w:basedOn w:val="Normal"/>
    <w:uiPriority w:val="34"/>
    <w:qFormat/>
    <w:rsid w:val="00DC3BEF"/>
    <w:pPr>
      <w:ind w:left="720"/>
      <w:contextualSpacing/>
    </w:pPr>
  </w:style>
  <w:style w:type="character" w:styleId="IntenseEmphasis">
    <w:name w:val="Intense Emphasis"/>
    <w:basedOn w:val="DefaultParagraphFont"/>
    <w:uiPriority w:val="21"/>
    <w:qFormat/>
    <w:rsid w:val="00DC3BEF"/>
    <w:rPr>
      <w:i/>
      <w:iCs/>
      <w:color w:val="0F4761" w:themeColor="accent1" w:themeShade="BF"/>
    </w:rPr>
  </w:style>
  <w:style w:type="paragraph" w:styleId="IntenseQuote">
    <w:name w:val="Intense Quote"/>
    <w:basedOn w:val="Normal"/>
    <w:next w:val="Normal"/>
    <w:link w:val="IntenseQuoteChar"/>
    <w:uiPriority w:val="30"/>
    <w:qFormat/>
    <w:rsid w:val="00DC3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BEF"/>
    <w:rPr>
      <w:i/>
      <w:iCs/>
      <w:color w:val="0F4761" w:themeColor="accent1" w:themeShade="BF"/>
    </w:rPr>
  </w:style>
  <w:style w:type="character" w:styleId="IntenseReference">
    <w:name w:val="Intense Reference"/>
    <w:basedOn w:val="DefaultParagraphFont"/>
    <w:uiPriority w:val="32"/>
    <w:qFormat/>
    <w:rsid w:val="00DC3BEF"/>
    <w:rPr>
      <w:b/>
      <w:bCs/>
      <w:smallCaps/>
      <w:color w:val="0F4761" w:themeColor="accent1" w:themeShade="BF"/>
      <w:spacing w:val="5"/>
    </w:rPr>
  </w:style>
  <w:style w:type="paragraph" w:styleId="Header">
    <w:name w:val="header"/>
    <w:basedOn w:val="Normal"/>
    <w:link w:val="HeaderChar"/>
    <w:uiPriority w:val="99"/>
    <w:unhideWhenUsed/>
    <w:rsid w:val="007A2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92B"/>
  </w:style>
  <w:style w:type="paragraph" w:styleId="Footer">
    <w:name w:val="footer"/>
    <w:basedOn w:val="Normal"/>
    <w:link w:val="FooterChar"/>
    <w:uiPriority w:val="99"/>
    <w:unhideWhenUsed/>
    <w:rsid w:val="007A2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92B"/>
  </w:style>
  <w:style w:type="character" w:styleId="Hyperlink">
    <w:name w:val="Hyperlink"/>
    <w:basedOn w:val="DefaultParagraphFont"/>
    <w:uiPriority w:val="99"/>
    <w:unhideWhenUsed/>
    <w:rsid w:val="007A292B"/>
    <w:rPr>
      <w:color w:val="467886"/>
      <w:u w:val="single"/>
    </w:rPr>
  </w:style>
  <w:style w:type="paragraph" w:styleId="TOC1">
    <w:name w:val="toc 1"/>
    <w:basedOn w:val="Normal"/>
    <w:next w:val="Normal"/>
    <w:uiPriority w:val="39"/>
    <w:unhideWhenUsed/>
    <w:rsid w:val="00501DF9"/>
    <w:pPr>
      <w:spacing w:after="100"/>
    </w:pPr>
  </w:style>
  <w:style w:type="character" w:styleId="CommentReference">
    <w:name w:val="annotation reference"/>
    <w:basedOn w:val="DefaultParagraphFont"/>
    <w:uiPriority w:val="99"/>
    <w:semiHidden/>
    <w:unhideWhenUsed/>
    <w:rsid w:val="00600F77"/>
    <w:rPr>
      <w:sz w:val="16"/>
      <w:szCs w:val="16"/>
    </w:rPr>
  </w:style>
  <w:style w:type="paragraph" w:styleId="CommentText">
    <w:name w:val="annotation text"/>
    <w:basedOn w:val="Normal"/>
    <w:link w:val="CommentTextChar"/>
    <w:uiPriority w:val="99"/>
    <w:unhideWhenUsed/>
    <w:rsid w:val="00600F77"/>
    <w:pPr>
      <w:spacing w:line="240" w:lineRule="auto"/>
    </w:pPr>
    <w:rPr>
      <w:sz w:val="20"/>
      <w:szCs w:val="20"/>
    </w:rPr>
  </w:style>
  <w:style w:type="character" w:customStyle="1" w:styleId="CommentTextChar">
    <w:name w:val="Comment Text Char"/>
    <w:basedOn w:val="DefaultParagraphFont"/>
    <w:link w:val="CommentText"/>
    <w:uiPriority w:val="99"/>
    <w:rsid w:val="00600F77"/>
    <w:rPr>
      <w:sz w:val="20"/>
      <w:szCs w:val="20"/>
    </w:rPr>
  </w:style>
  <w:style w:type="paragraph" w:styleId="CommentSubject">
    <w:name w:val="annotation subject"/>
    <w:basedOn w:val="CommentText"/>
    <w:next w:val="CommentText"/>
    <w:link w:val="CommentSubjectChar"/>
    <w:uiPriority w:val="99"/>
    <w:semiHidden/>
    <w:unhideWhenUsed/>
    <w:rsid w:val="00600F77"/>
    <w:rPr>
      <w:b/>
      <w:bCs/>
    </w:rPr>
  </w:style>
  <w:style w:type="character" w:customStyle="1" w:styleId="CommentSubjectChar">
    <w:name w:val="Comment Subject Char"/>
    <w:basedOn w:val="CommentTextChar"/>
    <w:link w:val="CommentSubject"/>
    <w:uiPriority w:val="99"/>
    <w:semiHidden/>
    <w:rsid w:val="00600F7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646375">
      <w:bodyDiv w:val="1"/>
      <w:marLeft w:val="0"/>
      <w:marRight w:val="0"/>
      <w:marTop w:val="0"/>
      <w:marBottom w:val="0"/>
      <w:divBdr>
        <w:top w:val="none" w:sz="0" w:space="0" w:color="auto"/>
        <w:left w:val="none" w:sz="0" w:space="0" w:color="auto"/>
        <w:bottom w:val="none" w:sz="0" w:space="0" w:color="auto"/>
        <w:right w:val="none" w:sz="0" w:space="0" w:color="auto"/>
      </w:divBdr>
    </w:div>
    <w:div w:id="328410738">
      <w:bodyDiv w:val="1"/>
      <w:marLeft w:val="0"/>
      <w:marRight w:val="0"/>
      <w:marTop w:val="0"/>
      <w:marBottom w:val="0"/>
      <w:divBdr>
        <w:top w:val="none" w:sz="0" w:space="0" w:color="auto"/>
        <w:left w:val="none" w:sz="0" w:space="0" w:color="auto"/>
        <w:bottom w:val="none" w:sz="0" w:space="0" w:color="auto"/>
        <w:right w:val="none" w:sz="0" w:space="0" w:color="auto"/>
      </w:divBdr>
    </w:div>
    <w:div w:id="739139854">
      <w:bodyDiv w:val="1"/>
      <w:marLeft w:val="0"/>
      <w:marRight w:val="0"/>
      <w:marTop w:val="0"/>
      <w:marBottom w:val="0"/>
      <w:divBdr>
        <w:top w:val="none" w:sz="0" w:space="0" w:color="auto"/>
        <w:left w:val="none" w:sz="0" w:space="0" w:color="auto"/>
        <w:bottom w:val="none" w:sz="0" w:space="0" w:color="auto"/>
        <w:right w:val="none" w:sz="0" w:space="0" w:color="auto"/>
      </w:divBdr>
    </w:div>
    <w:div w:id="1639653009">
      <w:bodyDiv w:val="1"/>
      <w:marLeft w:val="0"/>
      <w:marRight w:val="0"/>
      <w:marTop w:val="0"/>
      <w:marBottom w:val="0"/>
      <w:divBdr>
        <w:top w:val="none" w:sz="0" w:space="0" w:color="auto"/>
        <w:left w:val="none" w:sz="0" w:space="0" w:color="auto"/>
        <w:bottom w:val="none" w:sz="0" w:space="0" w:color="auto"/>
        <w:right w:val="none" w:sz="0" w:space="0" w:color="auto"/>
      </w:divBdr>
    </w:div>
    <w:div w:id="182511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nup.12391" TargetMode="External"/><Relationship Id="rId18" Type="http://schemas.openxmlformats.org/officeDocument/2006/relationships/hyperlink" Target="https://www.cqc.org.uk/guidance-regulation/providers/assessment/assessment-framework" TargetMode="External"/><Relationship Id="rId26" Type="http://schemas.openxmlformats.org/officeDocument/2006/relationships/hyperlink" Target="https://www.tandfonline.com/doi/abs/10.1080/0309877X.2021.2023732" TargetMode="External"/><Relationship Id="rId39" Type="http://schemas.openxmlformats.org/officeDocument/2006/relationships/hyperlink" Target="https://pmc.ncbi.nlm.nih.gov/articles/PMC8231480/" TargetMode="External"/><Relationship Id="rId21" Type="http://schemas.openxmlformats.org/officeDocument/2006/relationships/hyperlink" Target="https://risetpress.com/index.php/ijmars/article/download/674/594/3821?utm_source=chatgpt.com" TargetMode="External"/><Relationship Id="rId34" Type="http://schemas.openxmlformats.org/officeDocument/2006/relationships/hyperlink" Target="https://assets.publishing.service.gov.uk/media/5f6cc6138fa8f541f6763295/Mental-capacity-act-code-of-practice.pdf?utm_source=chatgpt.com" TargetMode="External"/><Relationship Id="rId42" Type="http://schemas.openxmlformats.org/officeDocument/2006/relationships/hyperlink" Target="https://link.springer.com/article/10.1186/s12939-024-02216-1"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14/23/section/6" TargetMode="External"/><Relationship Id="rId29" Type="http://schemas.openxmlformats.org/officeDocument/2006/relationships/hyperlink" Target="https://doi.org/10.4236/ojn.2021.11906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www.hcpc-uk.org/standards/standards-of-conduct-performance-and-ethics/?utm_source=chatgpt.com" TargetMode="External"/><Relationship Id="rId32" Type="http://schemas.openxmlformats.org/officeDocument/2006/relationships/hyperlink" Target="https://bmjopen.bmj.com/content/14/7/e085673.abstract" TargetMode="External"/><Relationship Id="rId37" Type="http://schemas.openxmlformats.org/officeDocument/2006/relationships/hyperlink" Target="https://www.nice.org.uk/guidance/cg138/resources/2021-surveillance-of-patient-experience-in-adult-nhs-services-nice-guideline-cg138-pdf-11926783529413?utm_source=chatgpt.com" TargetMode="External"/><Relationship Id="rId40" Type="http://schemas.openxmlformats.org/officeDocument/2006/relationships/hyperlink" Target="https://onlinelibrary.wiley.com/doi/abs/10.1111/hex.12640"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id/ukpga/2014/23?utm_source=chatgpt.com" TargetMode="External"/><Relationship Id="rId23" Type="http://schemas.openxmlformats.org/officeDocument/2006/relationships/hyperlink" Target="https://assets.publishing.service.gov.uk/media/6363d911e90e0705a8c35457/health-and-care-act-2022-summary-and-additional-measures-impact-assessment.pdf?utm_source=chatgpt.com" TargetMode="External"/><Relationship Id="rId28" Type="http://schemas.openxmlformats.org/officeDocument/2006/relationships/hyperlink" Target="https://www.ajol.info/index.php/hsa/article/view/286514" TargetMode="External"/><Relationship Id="rId36" Type="http://schemas.openxmlformats.org/officeDocument/2006/relationships/hyperlink" Target="https://www.nice.org.uk/guidance/ng159" TargetMode="External"/><Relationship Id="rId10" Type="http://schemas.openxmlformats.org/officeDocument/2006/relationships/footer" Target="footer2.xml"/><Relationship Id="rId19" Type="http://schemas.openxmlformats.org/officeDocument/2006/relationships/hyperlink" Target="https://www.sciencedirect.com/science/article/pii/S2514664524010865" TargetMode="External"/><Relationship Id="rId31" Type="http://schemas.openxmlformats.org/officeDocument/2006/relationships/hyperlink" Target="https://link.springer.com/article/10.1007/s40271-020-00446-3" TargetMode="External"/><Relationship Id="rId44" Type="http://schemas.openxmlformats.org/officeDocument/2006/relationships/hyperlink" Target="https://karger.com/mpp/article-abstract/30/1/17/20481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tandfonline.com/doi/full/10.1080/15265161.2019.1665402" TargetMode="External"/><Relationship Id="rId22" Type="http://schemas.openxmlformats.org/officeDocument/2006/relationships/hyperlink" Target="https://www.tandfonline.com/doi/abs/10.1080/10401334.2018.1456928" TargetMode="External"/><Relationship Id="rId27" Type="http://schemas.openxmlformats.org/officeDocument/2006/relationships/hyperlink" Target="https://www.tandfonline.com/doi/abs/10.1080/14623943.2010.506260" TargetMode="External"/><Relationship Id="rId30" Type="http://schemas.openxmlformats.org/officeDocument/2006/relationships/hyperlink" Target="https://www.mdpi.com/2673-8392/5/1/29" TargetMode="External"/><Relationship Id="rId35" Type="http://schemas.openxmlformats.org/officeDocument/2006/relationships/hyperlink" Target="https://www.hee.nhs.uk/sites/default/files/documents/Enhance%20Handbook.pdf?utm_source=chatgpt.com" TargetMode="External"/><Relationship Id="rId43" Type="http://schemas.openxmlformats.org/officeDocument/2006/relationships/hyperlink" Target="https://www.health.org.uk/sites/default/files/PersonCentredCareMadeSimple.pdf" TargetMode="External"/><Relationship Id="rId8"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yperlink" Target="https://www.kingsfund.org.uk/insight-and-analysis/long-reads/nhs-long-term-plan-explained?utm_source=chatgpt.com" TargetMode="External"/><Relationship Id="rId25" Type="http://schemas.openxmlformats.org/officeDocument/2006/relationships/hyperlink" Target="https://journals.plos.org/plosone/article?id=10.1371/journal.pone.0259815" TargetMode="External"/><Relationship Id="rId33" Type="http://schemas.openxmlformats.org/officeDocument/2006/relationships/hyperlink" Target="https://www.mdpi.com/2039-4403/15/2/59" TargetMode="External"/><Relationship Id="rId38" Type="http://schemas.openxmlformats.org/officeDocument/2006/relationships/hyperlink" Target="https://link.springer.com/article/10.1186/s12910-022-00806-8" TargetMode="External"/><Relationship Id="rId46" Type="http://schemas.openxmlformats.org/officeDocument/2006/relationships/theme" Target="theme/theme1.xml"/><Relationship Id="rId20" Type="http://schemas.openxmlformats.org/officeDocument/2006/relationships/hyperlink" Target="https://link.springer.com/article/10.1186/s12875-024-02537-8" TargetMode="External"/><Relationship Id="rId41" Type="http://schemas.openxmlformats.org/officeDocument/2006/relationships/hyperlink" Target="https://pmc.ncbi.nlm.nih.gov/articles/PMC4684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4212</Words>
  <Characters>24012</Characters>
  <Application>Microsoft Office Word</Application>
  <DocSecurity>0</DocSecurity>
  <Lines>200</Lines>
  <Paragraphs>56</Paragraphs>
  <ScaleCrop>false</ScaleCrop>
  <Company/>
  <LinksUpToDate>false</LinksUpToDate>
  <CharactersWithSpaces>28168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2025-10-21T10:55:00Z</dcterms:created>
  <dcterms:modified xsi:type="dcterms:W3CDTF">2025-10-21T10:57:00Z</dcterms:modified>
</cp:coreProperties>
</file>