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B5EC3" w14:textId="6911DB38" w:rsidR="00D00CFF" w:rsidRPr="008778AA" w:rsidRDefault="000D410D" w:rsidP="008778AA">
      <w:pPr>
        <w:pStyle w:val="Title"/>
        <w:spacing w:line="360" w:lineRule="auto"/>
        <w:jc w:val="center"/>
        <w:rPr>
          <w:rFonts w:ascii="Times New Roman" w:hAnsi="Times New Roman" w:cs="Times New Roman"/>
          <w:b/>
          <w:bCs/>
        </w:rPr>
      </w:pPr>
      <w:r w:rsidRPr="008778AA">
        <w:rPr>
          <w:rFonts w:ascii="Times New Roman" w:hAnsi="Times New Roman" w:cs="Times New Roman"/>
          <w:b/>
          <w:bCs/>
        </w:rPr>
        <w:t>CFO Financial Evaluation and Investment Appraisal of InterContinental Hotels Group PLC</w:t>
      </w:r>
    </w:p>
    <w:p w14:paraId="03DBE5C7" w14:textId="77777777" w:rsidR="00B34136" w:rsidRPr="008778AA" w:rsidRDefault="00B34136"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54531C25" wp14:editId="1B3E364B">
            <wp:extent cx="5943600" cy="3978275"/>
            <wp:effectExtent l="0" t="0" r="0" b="3175"/>
            <wp:docPr id="1961242238" name="Picture 3" descr="Getting started | IHG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ing started | IHG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78275"/>
                    </a:xfrm>
                    <a:prstGeom prst="rect">
                      <a:avLst/>
                    </a:prstGeom>
                    <a:noFill/>
                    <a:ln>
                      <a:noFill/>
                    </a:ln>
                  </pic:spPr>
                </pic:pic>
              </a:graphicData>
            </a:graphic>
          </wp:inline>
        </w:drawing>
      </w:r>
    </w:p>
    <w:p w14:paraId="135E7E5F" w14:textId="024D5808" w:rsidR="00AF2BDF" w:rsidRPr="00AF2BDF" w:rsidRDefault="00B34136" w:rsidP="00AF2BDF">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Pr="008778AA">
        <w:rPr>
          <w:rFonts w:ascii="Times New Roman" w:hAnsi="Times New Roman" w:cs="Times New Roman"/>
          <w:noProof/>
        </w:rPr>
        <w:t>1</w:t>
      </w:r>
      <w:r w:rsidRPr="008778AA">
        <w:rPr>
          <w:rFonts w:ascii="Times New Roman" w:hAnsi="Times New Roman" w:cs="Times New Roman"/>
        </w:rPr>
        <w:fldChar w:fldCharType="end"/>
      </w:r>
      <w:r w:rsidRPr="008778AA">
        <w:rPr>
          <w:rFonts w:ascii="Times New Roman" w:hAnsi="Times New Roman" w:cs="Times New Roman"/>
        </w:rPr>
        <w:t xml:space="preserve">- </w:t>
      </w:r>
      <w:r w:rsidR="009C7F74" w:rsidRPr="009C7F74">
        <w:t>(IHG, 2026)</w:t>
      </w:r>
      <w:bookmarkStart w:id="0" w:name="_Toc233392945"/>
    </w:p>
    <w:p w14:paraId="6CE90560" w14:textId="77777777" w:rsidR="00AF2BDF" w:rsidRDefault="00AF2BDF" w:rsidP="00AF2BDF"/>
    <w:p w14:paraId="3258FE99" w14:textId="77777777" w:rsidR="00AF2BDF" w:rsidRPr="00AF2BDF" w:rsidRDefault="00AF2BDF" w:rsidP="00AF2BDF">
      <w:pPr>
        <w:sectPr w:rsidR="00AF2BDF" w:rsidRPr="00AF2BDF" w:rsidSect="00AF2BD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b/>
        </w:rPr>
        <w:id w:val="-662701905"/>
        <w:docPartObj>
          <w:docPartGallery w:val="Table of Contents"/>
          <w:docPartUnique/>
        </w:docPartObj>
      </w:sdtPr>
      <w:sdtEndPr>
        <w:rPr>
          <w:b w:val="0"/>
          <w:bCs/>
          <w:noProof/>
        </w:rPr>
      </w:sdtEndPr>
      <w:sdtContent>
        <w:p w14:paraId="41CCC71E" w14:textId="2D3F30D0" w:rsidR="00AF2BDF" w:rsidRPr="003F3DB9" w:rsidRDefault="00AF2BDF" w:rsidP="003F3DB9">
          <w:pPr>
            <w:pStyle w:val="NoSpacing"/>
            <w:rPr>
              <w:b/>
              <w:bCs/>
            </w:rPr>
          </w:pPr>
          <w:r w:rsidRPr="003F3DB9">
            <w:rPr>
              <w:b/>
              <w:bCs/>
            </w:rPr>
            <w:t>Table of Contents</w:t>
          </w:r>
        </w:p>
        <w:p w14:paraId="28D7401D" w14:textId="6F59FB60" w:rsidR="003F3DB9" w:rsidRDefault="00AF2BDF">
          <w:pPr>
            <w:pStyle w:val="TOC1"/>
            <w:rPr>
              <w:rFonts w:asciiTheme="minorHAnsi" w:eastAsiaTheme="minorEastAsia" w:hAnsiTheme="minorHAnsi" w:cstheme="minorBidi"/>
              <w:b w:val="0"/>
              <w:bCs w:val="0"/>
            </w:rPr>
          </w:pPr>
          <w:r w:rsidRPr="00AF2BDF">
            <w:fldChar w:fldCharType="begin"/>
          </w:r>
          <w:r w:rsidRPr="00AF2BDF">
            <w:instrText xml:space="preserve"> TOC \o "1-3" \h \z \u </w:instrText>
          </w:r>
          <w:r w:rsidRPr="00AF2BDF">
            <w:fldChar w:fldCharType="separate"/>
          </w:r>
          <w:hyperlink w:anchor="_Toc233884791" w:history="1">
            <w:r w:rsidR="003F3DB9" w:rsidRPr="00BC4162">
              <w:rPr>
                <w:rStyle w:val="Hyperlink"/>
              </w:rPr>
              <w:t>1.</w:t>
            </w:r>
            <w:r w:rsidR="003F3DB9">
              <w:rPr>
                <w:rFonts w:asciiTheme="minorHAnsi" w:eastAsiaTheme="minorEastAsia" w:hAnsiTheme="minorHAnsi" w:cstheme="minorBidi"/>
                <w:b w:val="0"/>
                <w:bCs w:val="0"/>
              </w:rPr>
              <w:tab/>
            </w:r>
            <w:r w:rsidR="003F3DB9" w:rsidRPr="00BC4162">
              <w:rPr>
                <w:rStyle w:val="Hyperlink"/>
              </w:rPr>
              <w:t>Introduction</w:t>
            </w:r>
            <w:r w:rsidR="003F3DB9">
              <w:rPr>
                <w:webHidden/>
              </w:rPr>
              <w:tab/>
            </w:r>
            <w:r w:rsidR="003F3DB9">
              <w:rPr>
                <w:webHidden/>
              </w:rPr>
              <w:fldChar w:fldCharType="begin"/>
            </w:r>
            <w:r w:rsidR="003F3DB9">
              <w:rPr>
                <w:webHidden/>
              </w:rPr>
              <w:instrText xml:space="preserve"> PAGEREF _Toc233884791 \h </w:instrText>
            </w:r>
            <w:r w:rsidR="003F3DB9">
              <w:rPr>
                <w:webHidden/>
              </w:rPr>
            </w:r>
            <w:r w:rsidR="003F3DB9">
              <w:rPr>
                <w:webHidden/>
              </w:rPr>
              <w:fldChar w:fldCharType="separate"/>
            </w:r>
            <w:r w:rsidR="003F3DB9">
              <w:rPr>
                <w:webHidden/>
              </w:rPr>
              <w:t>1</w:t>
            </w:r>
            <w:r w:rsidR="003F3DB9">
              <w:rPr>
                <w:webHidden/>
              </w:rPr>
              <w:fldChar w:fldCharType="end"/>
            </w:r>
          </w:hyperlink>
        </w:p>
        <w:p w14:paraId="64C35D18" w14:textId="24D244A4" w:rsidR="003F3DB9" w:rsidRDefault="003F3DB9">
          <w:pPr>
            <w:pStyle w:val="TOC1"/>
            <w:rPr>
              <w:rFonts w:asciiTheme="minorHAnsi" w:eastAsiaTheme="minorEastAsia" w:hAnsiTheme="minorHAnsi" w:cstheme="minorBidi"/>
              <w:b w:val="0"/>
              <w:bCs w:val="0"/>
            </w:rPr>
          </w:pPr>
          <w:hyperlink w:anchor="_Toc233884792" w:history="1">
            <w:r w:rsidRPr="00BC4162">
              <w:rPr>
                <w:rStyle w:val="Hyperlink"/>
              </w:rPr>
              <w:t>2.</w:t>
            </w:r>
            <w:r>
              <w:rPr>
                <w:rFonts w:asciiTheme="minorHAnsi" w:eastAsiaTheme="minorEastAsia" w:hAnsiTheme="minorHAnsi" w:cstheme="minorBidi"/>
                <w:b w:val="0"/>
                <w:bCs w:val="0"/>
              </w:rPr>
              <w:tab/>
            </w:r>
            <w:r w:rsidRPr="00BC4162">
              <w:rPr>
                <w:rStyle w:val="Hyperlink"/>
              </w:rPr>
              <w:t>Financial Health Check</w:t>
            </w:r>
            <w:r>
              <w:rPr>
                <w:webHidden/>
              </w:rPr>
              <w:tab/>
            </w:r>
            <w:r>
              <w:rPr>
                <w:webHidden/>
              </w:rPr>
              <w:fldChar w:fldCharType="begin"/>
            </w:r>
            <w:r>
              <w:rPr>
                <w:webHidden/>
              </w:rPr>
              <w:instrText xml:space="preserve"> PAGEREF _Toc233884792 \h </w:instrText>
            </w:r>
            <w:r>
              <w:rPr>
                <w:webHidden/>
              </w:rPr>
            </w:r>
            <w:r>
              <w:rPr>
                <w:webHidden/>
              </w:rPr>
              <w:fldChar w:fldCharType="separate"/>
            </w:r>
            <w:r>
              <w:rPr>
                <w:webHidden/>
              </w:rPr>
              <w:t>1</w:t>
            </w:r>
            <w:r>
              <w:rPr>
                <w:webHidden/>
              </w:rPr>
              <w:fldChar w:fldCharType="end"/>
            </w:r>
          </w:hyperlink>
        </w:p>
        <w:p w14:paraId="35D74347" w14:textId="61B136C8" w:rsidR="003F3DB9" w:rsidRDefault="003F3DB9">
          <w:pPr>
            <w:pStyle w:val="TOC2"/>
            <w:tabs>
              <w:tab w:val="right" w:leader="dot" w:pos="9350"/>
            </w:tabs>
            <w:rPr>
              <w:rFonts w:eastAsiaTheme="minorEastAsia"/>
              <w:noProof/>
            </w:rPr>
          </w:pPr>
          <w:hyperlink w:anchor="_Toc233884793" w:history="1">
            <w:r w:rsidRPr="00BC4162">
              <w:rPr>
                <w:rStyle w:val="Hyperlink"/>
                <w:noProof/>
              </w:rPr>
              <w:t>Company context and business model</w:t>
            </w:r>
            <w:r>
              <w:rPr>
                <w:noProof/>
                <w:webHidden/>
              </w:rPr>
              <w:tab/>
            </w:r>
            <w:r>
              <w:rPr>
                <w:noProof/>
                <w:webHidden/>
              </w:rPr>
              <w:fldChar w:fldCharType="begin"/>
            </w:r>
            <w:r>
              <w:rPr>
                <w:noProof/>
                <w:webHidden/>
              </w:rPr>
              <w:instrText xml:space="preserve"> PAGEREF _Toc233884793 \h </w:instrText>
            </w:r>
            <w:r>
              <w:rPr>
                <w:noProof/>
                <w:webHidden/>
              </w:rPr>
            </w:r>
            <w:r>
              <w:rPr>
                <w:noProof/>
                <w:webHidden/>
              </w:rPr>
              <w:fldChar w:fldCharType="separate"/>
            </w:r>
            <w:r>
              <w:rPr>
                <w:noProof/>
                <w:webHidden/>
              </w:rPr>
              <w:t>1</w:t>
            </w:r>
            <w:r>
              <w:rPr>
                <w:noProof/>
                <w:webHidden/>
              </w:rPr>
              <w:fldChar w:fldCharType="end"/>
            </w:r>
          </w:hyperlink>
        </w:p>
        <w:p w14:paraId="1E3CC14E" w14:textId="2AD5478A" w:rsidR="003F3DB9" w:rsidRDefault="003F3DB9">
          <w:pPr>
            <w:pStyle w:val="TOC2"/>
            <w:tabs>
              <w:tab w:val="right" w:leader="dot" w:pos="9350"/>
            </w:tabs>
            <w:rPr>
              <w:rFonts w:eastAsiaTheme="minorEastAsia"/>
              <w:noProof/>
            </w:rPr>
          </w:pPr>
          <w:hyperlink w:anchor="_Toc233884794" w:history="1">
            <w:r w:rsidRPr="00BC4162">
              <w:rPr>
                <w:rStyle w:val="Hyperlink"/>
                <w:noProof/>
              </w:rPr>
              <w:t>Five-year financial statement trend analysis</w:t>
            </w:r>
            <w:r>
              <w:rPr>
                <w:noProof/>
                <w:webHidden/>
              </w:rPr>
              <w:tab/>
            </w:r>
            <w:r>
              <w:rPr>
                <w:noProof/>
                <w:webHidden/>
              </w:rPr>
              <w:fldChar w:fldCharType="begin"/>
            </w:r>
            <w:r>
              <w:rPr>
                <w:noProof/>
                <w:webHidden/>
              </w:rPr>
              <w:instrText xml:space="preserve"> PAGEREF _Toc233884794 \h </w:instrText>
            </w:r>
            <w:r>
              <w:rPr>
                <w:noProof/>
                <w:webHidden/>
              </w:rPr>
            </w:r>
            <w:r>
              <w:rPr>
                <w:noProof/>
                <w:webHidden/>
              </w:rPr>
              <w:fldChar w:fldCharType="separate"/>
            </w:r>
            <w:r>
              <w:rPr>
                <w:noProof/>
                <w:webHidden/>
              </w:rPr>
              <w:t>2</w:t>
            </w:r>
            <w:r>
              <w:rPr>
                <w:noProof/>
                <w:webHidden/>
              </w:rPr>
              <w:fldChar w:fldCharType="end"/>
            </w:r>
          </w:hyperlink>
        </w:p>
        <w:p w14:paraId="1BD07DE4" w14:textId="7D89ABCF" w:rsidR="003F3DB9" w:rsidRDefault="003F3DB9">
          <w:pPr>
            <w:pStyle w:val="TOC2"/>
            <w:tabs>
              <w:tab w:val="right" w:leader="dot" w:pos="9350"/>
            </w:tabs>
            <w:rPr>
              <w:rFonts w:eastAsiaTheme="minorEastAsia"/>
              <w:noProof/>
            </w:rPr>
          </w:pPr>
          <w:hyperlink w:anchor="_Toc233884795" w:history="1">
            <w:r w:rsidRPr="00BC4162">
              <w:rPr>
                <w:rStyle w:val="Hyperlink"/>
                <w:noProof/>
              </w:rPr>
              <w:t>Profitability ratio analysis</w:t>
            </w:r>
            <w:r>
              <w:rPr>
                <w:noProof/>
                <w:webHidden/>
              </w:rPr>
              <w:tab/>
            </w:r>
            <w:r>
              <w:rPr>
                <w:noProof/>
                <w:webHidden/>
              </w:rPr>
              <w:fldChar w:fldCharType="begin"/>
            </w:r>
            <w:r>
              <w:rPr>
                <w:noProof/>
                <w:webHidden/>
              </w:rPr>
              <w:instrText xml:space="preserve"> PAGEREF _Toc233884795 \h </w:instrText>
            </w:r>
            <w:r>
              <w:rPr>
                <w:noProof/>
                <w:webHidden/>
              </w:rPr>
            </w:r>
            <w:r>
              <w:rPr>
                <w:noProof/>
                <w:webHidden/>
              </w:rPr>
              <w:fldChar w:fldCharType="separate"/>
            </w:r>
            <w:r>
              <w:rPr>
                <w:noProof/>
                <w:webHidden/>
              </w:rPr>
              <w:t>3</w:t>
            </w:r>
            <w:r>
              <w:rPr>
                <w:noProof/>
                <w:webHidden/>
              </w:rPr>
              <w:fldChar w:fldCharType="end"/>
            </w:r>
          </w:hyperlink>
        </w:p>
        <w:p w14:paraId="287A6248" w14:textId="4DF1A0C9" w:rsidR="003F3DB9" w:rsidRDefault="003F3DB9">
          <w:pPr>
            <w:pStyle w:val="TOC2"/>
            <w:tabs>
              <w:tab w:val="right" w:leader="dot" w:pos="9350"/>
            </w:tabs>
            <w:rPr>
              <w:rFonts w:eastAsiaTheme="minorEastAsia"/>
              <w:noProof/>
            </w:rPr>
          </w:pPr>
          <w:hyperlink w:anchor="_Toc233884796" w:history="1">
            <w:r w:rsidRPr="00BC4162">
              <w:rPr>
                <w:rStyle w:val="Hyperlink"/>
                <w:noProof/>
              </w:rPr>
              <w:t>Liquidity ratio analysis and industry benchmark comparison</w:t>
            </w:r>
            <w:r>
              <w:rPr>
                <w:noProof/>
                <w:webHidden/>
              </w:rPr>
              <w:tab/>
            </w:r>
            <w:r>
              <w:rPr>
                <w:noProof/>
                <w:webHidden/>
              </w:rPr>
              <w:fldChar w:fldCharType="begin"/>
            </w:r>
            <w:r>
              <w:rPr>
                <w:noProof/>
                <w:webHidden/>
              </w:rPr>
              <w:instrText xml:space="preserve"> PAGEREF _Toc233884796 \h </w:instrText>
            </w:r>
            <w:r>
              <w:rPr>
                <w:noProof/>
                <w:webHidden/>
              </w:rPr>
            </w:r>
            <w:r>
              <w:rPr>
                <w:noProof/>
                <w:webHidden/>
              </w:rPr>
              <w:fldChar w:fldCharType="separate"/>
            </w:r>
            <w:r>
              <w:rPr>
                <w:noProof/>
                <w:webHidden/>
              </w:rPr>
              <w:t>3</w:t>
            </w:r>
            <w:r>
              <w:rPr>
                <w:noProof/>
                <w:webHidden/>
              </w:rPr>
              <w:fldChar w:fldCharType="end"/>
            </w:r>
          </w:hyperlink>
        </w:p>
        <w:p w14:paraId="7A191E72" w14:textId="51259972" w:rsidR="003F3DB9" w:rsidRDefault="003F3DB9">
          <w:pPr>
            <w:pStyle w:val="TOC2"/>
            <w:tabs>
              <w:tab w:val="right" w:leader="dot" w:pos="9350"/>
            </w:tabs>
            <w:rPr>
              <w:rFonts w:eastAsiaTheme="minorEastAsia"/>
              <w:noProof/>
            </w:rPr>
          </w:pPr>
          <w:hyperlink w:anchor="_Toc233884797" w:history="1">
            <w:r w:rsidRPr="00BC4162">
              <w:rPr>
                <w:rStyle w:val="Hyperlink"/>
                <w:noProof/>
              </w:rPr>
              <w:t>Efficiency ratio analysis</w:t>
            </w:r>
            <w:r>
              <w:rPr>
                <w:noProof/>
                <w:webHidden/>
              </w:rPr>
              <w:tab/>
            </w:r>
            <w:r>
              <w:rPr>
                <w:noProof/>
                <w:webHidden/>
              </w:rPr>
              <w:fldChar w:fldCharType="begin"/>
            </w:r>
            <w:r>
              <w:rPr>
                <w:noProof/>
                <w:webHidden/>
              </w:rPr>
              <w:instrText xml:space="preserve"> PAGEREF _Toc233884797 \h </w:instrText>
            </w:r>
            <w:r>
              <w:rPr>
                <w:noProof/>
                <w:webHidden/>
              </w:rPr>
            </w:r>
            <w:r>
              <w:rPr>
                <w:noProof/>
                <w:webHidden/>
              </w:rPr>
              <w:fldChar w:fldCharType="separate"/>
            </w:r>
            <w:r>
              <w:rPr>
                <w:noProof/>
                <w:webHidden/>
              </w:rPr>
              <w:t>4</w:t>
            </w:r>
            <w:r>
              <w:rPr>
                <w:noProof/>
                <w:webHidden/>
              </w:rPr>
              <w:fldChar w:fldCharType="end"/>
            </w:r>
          </w:hyperlink>
        </w:p>
        <w:p w14:paraId="30B207C2" w14:textId="072F54AD" w:rsidR="003F3DB9" w:rsidRDefault="003F3DB9">
          <w:pPr>
            <w:pStyle w:val="TOC2"/>
            <w:tabs>
              <w:tab w:val="right" w:leader="dot" w:pos="9350"/>
            </w:tabs>
            <w:rPr>
              <w:rFonts w:eastAsiaTheme="minorEastAsia"/>
              <w:noProof/>
            </w:rPr>
          </w:pPr>
          <w:hyperlink w:anchor="_Toc233884798" w:history="1">
            <w:r w:rsidRPr="00BC4162">
              <w:rPr>
                <w:rStyle w:val="Hyperlink"/>
                <w:noProof/>
              </w:rPr>
              <w:t>Gearing and solvency ratio analysis</w:t>
            </w:r>
            <w:r>
              <w:rPr>
                <w:noProof/>
                <w:webHidden/>
              </w:rPr>
              <w:tab/>
            </w:r>
            <w:r>
              <w:rPr>
                <w:noProof/>
                <w:webHidden/>
              </w:rPr>
              <w:fldChar w:fldCharType="begin"/>
            </w:r>
            <w:r>
              <w:rPr>
                <w:noProof/>
                <w:webHidden/>
              </w:rPr>
              <w:instrText xml:space="preserve"> PAGEREF _Toc233884798 \h </w:instrText>
            </w:r>
            <w:r>
              <w:rPr>
                <w:noProof/>
                <w:webHidden/>
              </w:rPr>
            </w:r>
            <w:r>
              <w:rPr>
                <w:noProof/>
                <w:webHidden/>
              </w:rPr>
              <w:fldChar w:fldCharType="separate"/>
            </w:r>
            <w:r>
              <w:rPr>
                <w:noProof/>
                <w:webHidden/>
              </w:rPr>
              <w:t>5</w:t>
            </w:r>
            <w:r>
              <w:rPr>
                <w:noProof/>
                <w:webHidden/>
              </w:rPr>
              <w:fldChar w:fldCharType="end"/>
            </w:r>
          </w:hyperlink>
        </w:p>
        <w:p w14:paraId="38E05932" w14:textId="7430FFC8" w:rsidR="003F3DB9" w:rsidRDefault="003F3DB9">
          <w:pPr>
            <w:pStyle w:val="TOC2"/>
            <w:tabs>
              <w:tab w:val="right" w:leader="dot" w:pos="9350"/>
            </w:tabs>
            <w:rPr>
              <w:rFonts w:eastAsiaTheme="minorEastAsia"/>
              <w:noProof/>
            </w:rPr>
          </w:pPr>
          <w:hyperlink w:anchor="_Toc233884799" w:history="1">
            <w:r w:rsidRPr="00BC4162">
              <w:rPr>
                <w:rStyle w:val="Hyperlink"/>
                <w:noProof/>
              </w:rPr>
              <w:t>Investment and shareholder ratio analysis</w:t>
            </w:r>
            <w:r>
              <w:rPr>
                <w:noProof/>
                <w:webHidden/>
              </w:rPr>
              <w:tab/>
            </w:r>
            <w:r>
              <w:rPr>
                <w:noProof/>
                <w:webHidden/>
              </w:rPr>
              <w:fldChar w:fldCharType="begin"/>
            </w:r>
            <w:r>
              <w:rPr>
                <w:noProof/>
                <w:webHidden/>
              </w:rPr>
              <w:instrText xml:space="preserve"> PAGEREF _Toc233884799 \h </w:instrText>
            </w:r>
            <w:r>
              <w:rPr>
                <w:noProof/>
                <w:webHidden/>
              </w:rPr>
            </w:r>
            <w:r>
              <w:rPr>
                <w:noProof/>
                <w:webHidden/>
              </w:rPr>
              <w:fldChar w:fldCharType="separate"/>
            </w:r>
            <w:r>
              <w:rPr>
                <w:noProof/>
                <w:webHidden/>
              </w:rPr>
              <w:t>5</w:t>
            </w:r>
            <w:r>
              <w:rPr>
                <w:noProof/>
                <w:webHidden/>
              </w:rPr>
              <w:fldChar w:fldCharType="end"/>
            </w:r>
          </w:hyperlink>
        </w:p>
        <w:p w14:paraId="11CAA417" w14:textId="7E13A99B" w:rsidR="003F3DB9" w:rsidRDefault="003F3DB9">
          <w:pPr>
            <w:pStyle w:val="TOC2"/>
            <w:tabs>
              <w:tab w:val="right" w:leader="dot" w:pos="9350"/>
            </w:tabs>
            <w:rPr>
              <w:rFonts w:eastAsiaTheme="minorEastAsia"/>
              <w:noProof/>
            </w:rPr>
          </w:pPr>
          <w:hyperlink w:anchor="_Toc233884800" w:history="1">
            <w:r w:rsidRPr="00BC4162">
              <w:rPr>
                <w:rStyle w:val="Hyperlink"/>
                <w:noProof/>
              </w:rPr>
              <w:t>Cash flow analysis, strengths and threats</w:t>
            </w:r>
            <w:r>
              <w:rPr>
                <w:noProof/>
                <w:webHidden/>
              </w:rPr>
              <w:tab/>
            </w:r>
            <w:r>
              <w:rPr>
                <w:noProof/>
                <w:webHidden/>
              </w:rPr>
              <w:fldChar w:fldCharType="begin"/>
            </w:r>
            <w:r>
              <w:rPr>
                <w:noProof/>
                <w:webHidden/>
              </w:rPr>
              <w:instrText xml:space="preserve"> PAGEREF _Toc233884800 \h </w:instrText>
            </w:r>
            <w:r>
              <w:rPr>
                <w:noProof/>
                <w:webHidden/>
              </w:rPr>
            </w:r>
            <w:r>
              <w:rPr>
                <w:noProof/>
                <w:webHidden/>
              </w:rPr>
              <w:fldChar w:fldCharType="separate"/>
            </w:r>
            <w:r>
              <w:rPr>
                <w:noProof/>
                <w:webHidden/>
              </w:rPr>
              <w:t>6</w:t>
            </w:r>
            <w:r>
              <w:rPr>
                <w:noProof/>
                <w:webHidden/>
              </w:rPr>
              <w:fldChar w:fldCharType="end"/>
            </w:r>
          </w:hyperlink>
        </w:p>
        <w:p w14:paraId="2605C06D" w14:textId="6E626A32" w:rsidR="003F3DB9" w:rsidRDefault="003F3DB9">
          <w:pPr>
            <w:pStyle w:val="TOC1"/>
            <w:rPr>
              <w:rFonts w:asciiTheme="minorHAnsi" w:eastAsiaTheme="minorEastAsia" w:hAnsiTheme="minorHAnsi" w:cstheme="minorBidi"/>
              <w:b w:val="0"/>
              <w:bCs w:val="0"/>
            </w:rPr>
          </w:pPr>
          <w:hyperlink w:anchor="_Toc233884801" w:history="1">
            <w:r w:rsidRPr="00BC4162">
              <w:rPr>
                <w:rStyle w:val="Hyperlink"/>
              </w:rPr>
              <w:t>3.</w:t>
            </w:r>
            <w:r>
              <w:rPr>
                <w:rFonts w:asciiTheme="minorHAnsi" w:eastAsiaTheme="minorEastAsia" w:hAnsiTheme="minorHAnsi" w:cstheme="minorBidi"/>
                <w:b w:val="0"/>
                <w:bCs w:val="0"/>
              </w:rPr>
              <w:tab/>
            </w:r>
            <w:r w:rsidRPr="00BC4162">
              <w:rPr>
                <w:rStyle w:val="Hyperlink"/>
              </w:rPr>
              <w:t>Working Capital Management Analysis</w:t>
            </w:r>
            <w:r>
              <w:rPr>
                <w:webHidden/>
              </w:rPr>
              <w:tab/>
            </w:r>
            <w:r>
              <w:rPr>
                <w:webHidden/>
              </w:rPr>
              <w:fldChar w:fldCharType="begin"/>
            </w:r>
            <w:r>
              <w:rPr>
                <w:webHidden/>
              </w:rPr>
              <w:instrText xml:space="preserve"> PAGEREF _Toc233884801 \h </w:instrText>
            </w:r>
            <w:r>
              <w:rPr>
                <w:webHidden/>
              </w:rPr>
            </w:r>
            <w:r>
              <w:rPr>
                <w:webHidden/>
              </w:rPr>
              <w:fldChar w:fldCharType="separate"/>
            </w:r>
            <w:r>
              <w:rPr>
                <w:webHidden/>
              </w:rPr>
              <w:t>7</w:t>
            </w:r>
            <w:r>
              <w:rPr>
                <w:webHidden/>
              </w:rPr>
              <w:fldChar w:fldCharType="end"/>
            </w:r>
          </w:hyperlink>
        </w:p>
        <w:p w14:paraId="45B3E6AC" w14:textId="648E9611" w:rsidR="003F3DB9" w:rsidRDefault="003F3DB9">
          <w:pPr>
            <w:pStyle w:val="TOC2"/>
            <w:tabs>
              <w:tab w:val="right" w:leader="dot" w:pos="9350"/>
            </w:tabs>
            <w:rPr>
              <w:rFonts w:eastAsiaTheme="minorEastAsia"/>
              <w:noProof/>
            </w:rPr>
          </w:pPr>
          <w:hyperlink w:anchor="_Toc233884802" w:history="1">
            <w:r w:rsidRPr="00BC4162">
              <w:rPr>
                <w:rStyle w:val="Hyperlink"/>
                <w:noProof/>
              </w:rPr>
              <w:t>Cash operating cycle assessment</w:t>
            </w:r>
            <w:r>
              <w:rPr>
                <w:noProof/>
                <w:webHidden/>
              </w:rPr>
              <w:tab/>
            </w:r>
            <w:r>
              <w:rPr>
                <w:noProof/>
                <w:webHidden/>
              </w:rPr>
              <w:fldChar w:fldCharType="begin"/>
            </w:r>
            <w:r>
              <w:rPr>
                <w:noProof/>
                <w:webHidden/>
              </w:rPr>
              <w:instrText xml:space="preserve"> PAGEREF _Toc233884802 \h </w:instrText>
            </w:r>
            <w:r>
              <w:rPr>
                <w:noProof/>
                <w:webHidden/>
              </w:rPr>
            </w:r>
            <w:r>
              <w:rPr>
                <w:noProof/>
                <w:webHidden/>
              </w:rPr>
              <w:fldChar w:fldCharType="separate"/>
            </w:r>
            <w:r>
              <w:rPr>
                <w:noProof/>
                <w:webHidden/>
              </w:rPr>
              <w:t>7</w:t>
            </w:r>
            <w:r>
              <w:rPr>
                <w:noProof/>
                <w:webHidden/>
              </w:rPr>
              <w:fldChar w:fldCharType="end"/>
            </w:r>
          </w:hyperlink>
        </w:p>
        <w:p w14:paraId="21A51C7E" w14:textId="5BD45B1D" w:rsidR="003F3DB9" w:rsidRDefault="003F3DB9">
          <w:pPr>
            <w:pStyle w:val="TOC2"/>
            <w:tabs>
              <w:tab w:val="right" w:leader="dot" w:pos="9350"/>
            </w:tabs>
            <w:rPr>
              <w:rFonts w:eastAsiaTheme="minorEastAsia"/>
              <w:noProof/>
            </w:rPr>
          </w:pPr>
          <w:hyperlink w:anchor="_Toc233884803" w:history="1">
            <w:r w:rsidRPr="00BC4162">
              <w:rPr>
                <w:rStyle w:val="Hyperlink"/>
                <w:noProof/>
              </w:rPr>
              <w:t>Working capital reforms to improve liquidity</w:t>
            </w:r>
            <w:r>
              <w:rPr>
                <w:noProof/>
                <w:webHidden/>
              </w:rPr>
              <w:tab/>
            </w:r>
            <w:r>
              <w:rPr>
                <w:noProof/>
                <w:webHidden/>
              </w:rPr>
              <w:fldChar w:fldCharType="begin"/>
            </w:r>
            <w:r>
              <w:rPr>
                <w:noProof/>
                <w:webHidden/>
              </w:rPr>
              <w:instrText xml:space="preserve"> PAGEREF _Toc233884803 \h </w:instrText>
            </w:r>
            <w:r>
              <w:rPr>
                <w:noProof/>
                <w:webHidden/>
              </w:rPr>
            </w:r>
            <w:r>
              <w:rPr>
                <w:noProof/>
                <w:webHidden/>
              </w:rPr>
              <w:fldChar w:fldCharType="separate"/>
            </w:r>
            <w:r>
              <w:rPr>
                <w:noProof/>
                <w:webHidden/>
              </w:rPr>
              <w:t>8</w:t>
            </w:r>
            <w:r>
              <w:rPr>
                <w:noProof/>
                <w:webHidden/>
              </w:rPr>
              <w:fldChar w:fldCharType="end"/>
            </w:r>
          </w:hyperlink>
        </w:p>
        <w:p w14:paraId="5642D69A" w14:textId="477985F7" w:rsidR="003F3DB9" w:rsidRDefault="003F3DB9">
          <w:pPr>
            <w:pStyle w:val="TOC2"/>
            <w:tabs>
              <w:tab w:val="right" w:leader="dot" w:pos="9350"/>
            </w:tabs>
            <w:rPr>
              <w:rFonts w:eastAsiaTheme="minorEastAsia"/>
              <w:noProof/>
            </w:rPr>
          </w:pPr>
          <w:hyperlink w:anchor="_Toc233884804" w:history="1">
            <w:r w:rsidRPr="00BC4162">
              <w:rPr>
                <w:rStyle w:val="Hyperlink"/>
                <w:noProof/>
              </w:rPr>
              <w:t>Short-term versus long-term financing options</w:t>
            </w:r>
            <w:r>
              <w:rPr>
                <w:noProof/>
                <w:webHidden/>
              </w:rPr>
              <w:tab/>
            </w:r>
            <w:r>
              <w:rPr>
                <w:noProof/>
                <w:webHidden/>
              </w:rPr>
              <w:fldChar w:fldCharType="begin"/>
            </w:r>
            <w:r>
              <w:rPr>
                <w:noProof/>
                <w:webHidden/>
              </w:rPr>
              <w:instrText xml:space="preserve"> PAGEREF _Toc233884804 \h </w:instrText>
            </w:r>
            <w:r>
              <w:rPr>
                <w:noProof/>
                <w:webHidden/>
              </w:rPr>
            </w:r>
            <w:r>
              <w:rPr>
                <w:noProof/>
                <w:webHidden/>
              </w:rPr>
              <w:fldChar w:fldCharType="separate"/>
            </w:r>
            <w:r>
              <w:rPr>
                <w:noProof/>
                <w:webHidden/>
              </w:rPr>
              <w:t>9</w:t>
            </w:r>
            <w:r>
              <w:rPr>
                <w:noProof/>
                <w:webHidden/>
              </w:rPr>
              <w:fldChar w:fldCharType="end"/>
            </w:r>
          </w:hyperlink>
        </w:p>
        <w:p w14:paraId="5D2FC110" w14:textId="7271F6AD" w:rsidR="003F3DB9" w:rsidRDefault="003F3DB9">
          <w:pPr>
            <w:pStyle w:val="TOC1"/>
            <w:rPr>
              <w:rFonts w:asciiTheme="minorHAnsi" w:eastAsiaTheme="minorEastAsia" w:hAnsiTheme="minorHAnsi" w:cstheme="minorBidi"/>
              <w:b w:val="0"/>
              <w:bCs w:val="0"/>
            </w:rPr>
          </w:pPr>
          <w:hyperlink w:anchor="_Toc233884805" w:history="1">
            <w:r w:rsidRPr="00BC4162">
              <w:rPr>
                <w:rStyle w:val="Hyperlink"/>
              </w:rPr>
              <w:t>4.</w:t>
            </w:r>
            <w:r>
              <w:rPr>
                <w:rFonts w:asciiTheme="minorHAnsi" w:eastAsiaTheme="minorEastAsia" w:hAnsiTheme="minorHAnsi" w:cstheme="minorBidi"/>
                <w:b w:val="0"/>
                <w:bCs w:val="0"/>
              </w:rPr>
              <w:tab/>
            </w:r>
            <w:r w:rsidRPr="00BC4162">
              <w:rPr>
                <w:rStyle w:val="Hyperlink"/>
              </w:rPr>
              <w:t>Strategic Financial Restructuring Plan</w:t>
            </w:r>
            <w:r>
              <w:rPr>
                <w:webHidden/>
              </w:rPr>
              <w:tab/>
            </w:r>
            <w:r>
              <w:rPr>
                <w:webHidden/>
              </w:rPr>
              <w:fldChar w:fldCharType="begin"/>
            </w:r>
            <w:r>
              <w:rPr>
                <w:webHidden/>
              </w:rPr>
              <w:instrText xml:space="preserve"> PAGEREF _Toc233884805 \h </w:instrText>
            </w:r>
            <w:r>
              <w:rPr>
                <w:webHidden/>
              </w:rPr>
            </w:r>
            <w:r>
              <w:rPr>
                <w:webHidden/>
              </w:rPr>
              <w:fldChar w:fldCharType="separate"/>
            </w:r>
            <w:r>
              <w:rPr>
                <w:webHidden/>
              </w:rPr>
              <w:t>9</w:t>
            </w:r>
            <w:r>
              <w:rPr>
                <w:webHidden/>
              </w:rPr>
              <w:fldChar w:fldCharType="end"/>
            </w:r>
          </w:hyperlink>
        </w:p>
        <w:p w14:paraId="0C0E6AF7" w14:textId="451D5EA1" w:rsidR="003F3DB9" w:rsidRDefault="003F3DB9">
          <w:pPr>
            <w:pStyle w:val="TOC2"/>
            <w:tabs>
              <w:tab w:val="right" w:leader="dot" w:pos="9350"/>
            </w:tabs>
            <w:rPr>
              <w:rFonts w:eastAsiaTheme="minorEastAsia"/>
              <w:noProof/>
            </w:rPr>
          </w:pPr>
          <w:hyperlink w:anchor="_Toc233884806" w:history="1">
            <w:r w:rsidRPr="00BC4162">
              <w:rPr>
                <w:rStyle w:val="Hyperlink"/>
                <w:noProof/>
              </w:rPr>
              <w:t>Core financial problems requiring CFO attention</w:t>
            </w:r>
            <w:r>
              <w:rPr>
                <w:noProof/>
                <w:webHidden/>
              </w:rPr>
              <w:tab/>
            </w:r>
            <w:r>
              <w:rPr>
                <w:noProof/>
                <w:webHidden/>
              </w:rPr>
              <w:fldChar w:fldCharType="begin"/>
            </w:r>
            <w:r>
              <w:rPr>
                <w:noProof/>
                <w:webHidden/>
              </w:rPr>
              <w:instrText xml:space="preserve"> PAGEREF _Toc233884806 \h </w:instrText>
            </w:r>
            <w:r>
              <w:rPr>
                <w:noProof/>
                <w:webHidden/>
              </w:rPr>
            </w:r>
            <w:r>
              <w:rPr>
                <w:noProof/>
                <w:webHidden/>
              </w:rPr>
              <w:fldChar w:fldCharType="separate"/>
            </w:r>
            <w:r>
              <w:rPr>
                <w:noProof/>
                <w:webHidden/>
              </w:rPr>
              <w:t>9</w:t>
            </w:r>
            <w:r>
              <w:rPr>
                <w:noProof/>
                <w:webHidden/>
              </w:rPr>
              <w:fldChar w:fldCharType="end"/>
            </w:r>
          </w:hyperlink>
        </w:p>
        <w:p w14:paraId="202A4BA4" w14:textId="07897A2B" w:rsidR="003F3DB9" w:rsidRDefault="003F3DB9">
          <w:pPr>
            <w:pStyle w:val="TOC2"/>
            <w:tabs>
              <w:tab w:val="right" w:leader="dot" w:pos="9350"/>
            </w:tabs>
            <w:rPr>
              <w:rFonts w:eastAsiaTheme="minorEastAsia"/>
              <w:noProof/>
            </w:rPr>
          </w:pPr>
          <w:hyperlink w:anchor="_Toc233884807" w:history="1">
            <w:r w:rsidRPr="00BC4162">
              <w:rPr>
                <w:rStyle w:val="Hyperlink"/>
                <w:noProof/>
              </w:rPr>
              <w:t>Recommended restructuring options</w:t>
            </w:r>
            <w:r>
              <w:rPr>
                <w:noProof/>
                <w:webHidden/>
              </w:rPr>
              <w:tab/>
            </w:r>
            <w:r>
              <w:rPr>
                <w:noProof/>
                <w:webHidden/>
              </w:rPr>
              <w:fldChar w:fldCharType="begin"/>
            </w:r>
            <w:r>
              <w:rPr>
                <w:noProof/>
                <w:webHidden/>
              </w:rPr>
              <w:instrText xml:space="preserve"> PAGEREF _Toc233884807 \h </w:instrText>
            </w:r>
            <w:r>
              <w:rPr>
                <w:noProof/>
                <w:webHidden/>
              </w:rPr>
            </w:r>
            <w:r>
              <w:rPr>
                <w:noProof/>
                <w:webHidden/>
              </w:rPr>
              <w:fldChar w:fldCharType="separate"/>
            </w:r>
            <w:r>
              <w:rPr>
                <w:noProof/>
                <w:webHidden/>
              </w:rPr>
              <w:t>10</w:t>
            </w:r>
            <w:r>
              <w:rPr>
                <w:noProof/>
                <w:webHidden/>
              </w:rPr>
              <w:fldChar w:fldCharType="end"/>
            </w:r>
          </w:hyperlink>
        </w:p>
        <w:p w14:paraId="11A4981D" w14:textId="380FF10F" w:rsidR="003F3DB9" w:rsidRDefault="003F3DB9">
          <w:pPr>
            <w:pStyle w:val="TOC2"/>
            <w:tabs>
              <w:tab w:val="right" w:leader="dot" w:pos="9350"/>
            </w:tabs>
            <w:rPr>
              <w:rFonts w:eastAsiaTheme="minorEastAsia"/>
              <w:noProof/>
            </w:rPr>
          </w:pPr>
          <w:hyperlink w:anchor="_Toc233884808" w:history="1">
            <w:r w:rsidRPr="00BC4162">
              <w:rPr>
                <w:rStyle w:val="Hyperlink"/>
                <w:noProof/>
              </w:rPr>
              <w:t>Impact on shareholder value, debt structure and operational flexibility</w:t>
            </w:r>
            <w:r>
              <w:rPr>
                <w:noProof/>
                <w:webHidden/>
              </w:rPr>
              <w:tab/>
            </w:r>
            <w:r>
              <w:rPr>
                <w:noProof/>
                <w:webHidden/>
              </w:rPr>
              <w:fldChar w:fldCharType="begin"/>
            </w:r>
            <w:r>
              <w:rPr>
                <w:noProof/>
                <w:webHidden/>
              </w:rPr>
              <w:instrText xml:space="preserve"> PAGEREF _Toc233884808 \h </w:instrText>
            </w:r>
            <w:r>
              <w:rPr>
                <w:noProof/>
                <w:webHidden/>
              </w:rPr>
            </w:r>
            <w:r>
              <w:rPr>
                <w:noProof/>
                <w:webHidden/>
              </w:rPr>
              <w:fldChar w:fldCharType="separate"/>
            </w:r>
            <w:r>
              <w:rPr>
                <w:noProof/>
                <w:webHidden/>
              </w:rPr>
              <w:t>11</w:t>
            </w:r>
            <w:r>
              <w:rPr>
                <w:noProof/>
                <w:webHidden/>
              </w:rPr>
              <w:fldChar w:fldCharType="end"/>
            </w:r>
          </w:hyperlink>
        </w:p>
        <w:p w14:paraId="726C5996" w14:textId="423D3EC6" w:rsidR="003F3DB9" w:rsidRDefault="003F3DB9">
          <w:pPr>
            <w:pStyle w:val="TOC2"/>
            <w:tabs>
              <w:tab w:val="right" w:leader="dot" w:pos="9350"/>
            </w:tabs>
            <w:rPr>
              <w:rFonts w:eastAsiaTheme="minorEastAsia"/>
              <w:noProof/>
            </w:rPr>
          </w:pPr>
          <w:hyperlink w:anchor="_Toc233884809" w:history="1">
            <w:r w:rsidRPr="00BC4162">
              <w:rPr>
                <w:rStyle w:val="Hyperlink"/>
                <w:noProof/>
              </w:rPr>
              <w:t>International and ethical considerations</w:t>
            </w:r>
            <w:r>
              <w:rPr>
                <w:noProof/>
                <w:webHidden/>
              </w:rPr>
              <w:tab/>
            </w:r>
            <w:r>
              <w:rPr>
                <w:noProof/>
                <w:webHidden/>
              </w:rPr>
              <w:fldChar w:fldCharType="begin"/>
            </w:r>
            <w:r>
              <w:rPr>
                <w:noProof/>
                <w:webHidden/>
              </w:rPr>
              <w:instrText xml:space="preserve"> PAGEREF _Toc233884809 \h </w:instrText>
            </w:r>
            <w:r>
              <w:rPr>
                <w:noProof/>
                <w:webHidden/>
              </w:rPr>
            </w:r>
            <w:r>
              <w:rPr>
                <w:noProof/>
                <w:webHidden/>
              </w:rPr>
              <w:fldChar w:fldCharType="separate"/>
            </w:r>
            <w:r>
              <w:rPr>
                <w:noProof/>
                <w:webHidden/>
              </w:rPr>
              <w:t>11</w:t>
            </w:r>
            <w:r>
              <w:rPr>
                <w:noProof/>
                <w:webHidden/>
              </w:rPr>
              <w:fldChar w:fldCharType="end"/>
            </w:r>
          </w:hyperlink>
        </w:p>
        <w:p w14:paraId="41B5D384" w14:textId="467DDBFC" w:rsidR="003F3DB9" w:rsidRDefault="003F3DB9">
          <w:pPr>
            <w:pStyle w:val="TOC1"/>
            <w:rPr>
              <w:rFonts w:asciiTheme="minorHAnsi" w:eastAsiaTheme="minorEastAsia" w:hAnsiTheme="minorHAnsi" w:cstheme="minorBidi"/>
              <w:b w:val="0"/>
              <w:bCs w:val="0"/>
            </w:rPr>
          </w:pPr>
          <w:hyperlink w:anchor="_Toc233884810" w:history="1">
            <w:r w:rsidRPr="00BC4162">
              <w:rPr>
                <w:rStyle w:val="Hyperlink"/>
              </w:rPr>
              <w:t>5.</w:t>
            </w:r>
            <w:r>
              <w:rPr>
                <w:rFonts w:asciiTheme="minorHAnsi" w:eastAsiaTheme="minorEastAsia" w:hAnsiTheme="minorHAnsi" w:cstheme="minorBidi"/>
                <w:b w:val="0"/>
                <w:bCs w:val="0"/>
              </w:rPr>
              <w:tab/>
            </w:r>
            <w:r w:rsidRPr="00BC4162">
              <w:rPr>
                <w:rStyle w:val="Hyperlink"/>
              </w:rPr>
              <w:t>Investment Appraisal and Capital Budgeting</w:t>
            </w:r>
            <w:r>
              <w:rPr>
                <w:webHidden/>
              </w:rPr>
              <w:tab/>
            </w:r>
            <w:r>
              <w:rPr>
                <w:webHidden/>
              </w:rPr>
              <w:fldChar w:fldCharType="begin"/>
            </w:r>
            <w:r>
              <w:rPr>
                <w:webHidden/>
              </w:rPr>
              <w:instrText xml:space="preserve"> PAGEREF _Toc233884810 \h </w:instrText>
            </w:r>
            <w:r>
              <w:rPr>
                <w:webHidden/>
              </w:rPr>
            </w:r>
            <w:r>
              <w:rPr>
                <w:webHidden/>
              </w:rPr>
              <w:fldChar w:fldCharType="separate"/>
            </w:r>
            <w:r>
              <w:rPr>
                <w:webHidden/>
              </w:rPr>
              <w:t>11</w:t>
            </w:r>
            <w:r>
              <w:rPr>
                <w:webHidden/>
              </w:rPr>
              <w:fldChar w:fldCharType="end"/>
            </w:r>
          </w:hyperlink>
        </w:p>
        <w:p w14:paraId="77804AE3" w14:textId="2957F79C" w:rsidR="003F3DB9" w:rsidRDefault="003F3DB9">
          <w:pPr>
            <w:pStyle w:val="TOC2"/>
            <w:tabs>
              <w:tab w:val="right" w:leader="dot" w:pos="9350"/>
            </w:tabs>
            <w:rPr>
              <w:rFonts w:eastAsiaTheme="minorEastAsia"/>
              <w:noProof/>
            </w:rPr>
          </w:pPr>
          <w:hyperlink w:anchor="_Toc233884811" w:history="1">
            <w:r w:rsidRPr="00BC4162">
              <w:rPr>
                <w:rStyle w:val="Hyperlink"/>
                <w:noProof/>
              </w:rPr>
              <w:t>Appraisal assumptions and decision criteria</w:t>
            </w:r>
            <w:r>
              <w:rPr>
                <w:noProof/>
                <w:webHidden/>
              </w:rPr>
              <w:tab/>
            </w:r>
            <w:r>
              <w:rPr>
                <w:noProof/>
                <w:webHidden/>
              </w:rPr>
              <w:fldChar w:fldCharType="begin"/>
            </w:r>
            <w:r>
              <w:rPr>
                <w:noProof/>
                <w:webHidden/>
              </w:rPr>
              <w:instrText xml:space="preserve"> PAGEREF _Toc233884811 \h </w:instrText>
            </w:r>
            <w:r>
              <w:rPr>
                <w:noProof/>
                <w:webHidden/>
              </w:rPr>
            </w:r>
            <w:r>
              <w:rPr>
                <w:noProof/>
                <w:webHidden/>
              </w:rPr>
              <w:fldChar w:fldCharType="separate"/>
            </w:r>
            <w:r>
              <w:rPr>
                <w:noProof/>
                <w:webHidden/>
              </w:rPr>
              <w:t>11</w:t>
            </w:r>
            <w:r>
              <w:rPr>
                <w:noProof/>
                <w:webHidden/>
              </w:rPr>
              <w:fldChar w:fldCharType="end"/>
            </w:r>
          </w:hyperlink>
        </w:p>
        <w:p w14:paraId="0FC5E1CD" w14:textId="084E9465" w:rsidR="003F3DB9" w:rsidRDefault="003F3DB9">
          <w:pPr>
            <w:pStyle w:val="TOC2"/>
            <w:tabs>
              <w:tab w:val="right" w:leader="dot" w:pos="9350"/>
            </w:tabs>
            <w:rPr>
              <w:rFonts w:eastAsiaTheme="minorEastAsia"/>
              <w:noProof/>
            </w:rPr>
          </w:pPr>
          <w:hyperlink w:anchor="_Toc233884812" w:history="1">
            <w:r w:rsidRPr="00BC4162">
              <w:rPr>
                <w:rStyle w:val="Hyperlink"/>
                <w:noProof/>
              </w:rPr>
              <w:t>Project A appraisal</w:t>
            </w:r>
            <w:r>
              <w:rPr>
                <w:noProof/>
                <w:webHidden/>
              </w:rPr>
              <w:tab/>
            </w:r>
            <w:r>
              <w:rPr>
                <w:noProof/>
                <w:webHidden/>
              </w:rPr>
              <w:fldChar w:fldCharType="begin"/>
            </w:r>
            <w:r>
              <w:rPr>
                <w:noProof/>
                <w:webHidden/>
              </w:rPr>
              <w:instrText xml:space="preserve"> PAGEREF _Toc233884812 \h </w:instrText>
            </w:r>
            <w:r>
              <w:rPr>
                <w:noProof/>
                <w:webHidden/>
              </w:rPr>
            </w:r>
            <w:r>
              <w:rPr>
                <w:noProof/>
                <w:webHidden/>
              </w:rPr>
              <w:fldChar w:fldCharType="separate"/>
            </w:r>
            <w:r>
              <w:rPr>
                <w:noProof/>
                <w:webHidden/>
              </w:rPr>
              <w:t>12</w:t>
            </w:r>
            <w:r>
              <w:rPr>
                <w:noProof/>
                <w:webHidden/>
              </w:rPr>
              <w:fldChar w:fldCharType="end"/>
            </w:r>
          </w:hyperlink>
        </w:p>
        <w:p w14:paraId="3574285A" w14:textId="0B770EF6" w:rsidR="003F3DB9" w:rsidRDefault="003F3DB9">
          <w:pPr>
            <w:pStyle w:val="TOC2"/>
            <w:tabs>
              <w:tab w:val="right" w:leader="dot" w:pos="9350"/>
            </w:tabs>
            <w:rPr>
              <w:rFonts w:eastAsiaTheme="minorEastAsia"/>
              <w:noProof/>
            </w:rPr>
          </w:pPr>
          <w:hyperlink w:anchor="_Toc233884813" w:history="1">
            <w:r w:rsidRPr="00BC4162">
              <w:rPr>
                <w:rStyle w:val="Hyperlink"/>
                <w:noProof/>
              </w:rPr>
              <w:t>Project B appraisal</w:t>
            </w:r>
            <w:r>
              <w:rPr>
                <w:noProof/>
                <w:webHidden/>
              </w:rPr>
              <w:tab/>
            </w:r>
            <w:r>
              <w:rPr>
                <w:noProof/>
                <w:webHidden/>
              </w:rPr>
              <w:fldChar w:fldCharType="begin"/>
            </w:r>
            <w:r>
              <w:rPr>
                <w:noProof/>
                <w:webHidden/>
              </w:rPr>
              <w:instrText xml:space="preserve"> PAGEREF _Toc233884813 \h </w:instrText>
            </w:r>
            <w:r>
              <w:rPr>
                <w:noProof/>
                <w:webHidden/>
              </w:rPr>
            </w:r>
            <w:r>
              <w:rPr>
                <w:noProof/>
                <w:webHidden/>
              </w:rPr>
              <w:fldChar w:fldCharType="separate"/>
            </w:r>
            <w:r>
              <w:rPr>
                <w:noProof/>
                <w:webHidden/>
              </w:rPr>
              <w:t>12</w:t>
            </w:r>
            <w:r>
              <w:rPr>
                <w:noProof/>
                <w:webHidden/>
              </w:rPr>
              <w:fldChar w:fldCharType="end"/>
            </w:r>
          </w:hyperlink>
        </w:p>
        <w:p w14:paraId="443CC4FC" w14:textId="2DC93061" w:rsidR="003F3DB9" w:rsidRDefault="003F3DB9">
          <w:pPr>
            <w:pStyle w:val="TOC2"/>
            <w:tabs>
              <w:tab w:val="right" w:leader="dot" w:pos="9350"/>
            </w:tabs>
            <w:rPr>
              <w:rFonts w:eastAsiaTheme="minorEastAsia"/>
              <w:noProof/>
            </w:rPr>
          </w:pPr>
          <w:hyperlink w:anchor="_Toc233884814" w:history="1">
            <w:r w:rsidRPr="00BC4162">
              <w:rPr>
                <w:rStyle w:val="Hyperlink"/>
                <w:noProof/>
              </w:rPr>
              <w:t>Project C appraisal</w:t>
            </w:r>
            <w:r>
              <w:rPr>
                <w:noProof/>
                <w:webHidden/>
              </w:rPr>
              <w:tab/>
            </w:r>
            <w:r>
              <w:rPr>
                <w:noProof/>
                <w:webHidden/>
              </w:rPr>
              <w:fldChar w:fldCharType="begin"/>
            </w:r>
            <w:r>
              <w:rPr>
                <w:noProof/>
                <w:webHidden/>
              </w:rPr>
              <w:instrText xml:space="preserve"> PAGEREF _Toc233884814 \h </w:instrText>
            </w:r>
            <w:r>
              <w:rPr>
                <w:noProof/>
                <w:webHidden/>
              </w:rPr>
            </w:r>
            <w:r>
              <w:rPr>
                <w:noProof/>
                <w:webHidden/>
              </w:rPr>
              <w:fldChar w:fldCharType="separate"/>
            </w:r>
            <w:r>
              <w:rPr>
                <w:noProof/>
                <w:webHidden/>
              </w:rPr>
              <w:t>13</w:t>
            </w:r>
            <w:r>
              <w:rPr>
                <w:noProof/>
                <w:webHidden/>
              </w:rPr>
              <w:fldChar w:fldCharType="end"/>
            </w:r>
          </w:hyperlink>
        </w:p>
        <w:p w14:paraId="6A5DCB8A" w14:textId="4B24F119" w:rsidR="003F3DB9" w:rsidRDefault="003F3DB9">
          <w:pPr>
            <w:pStyle w:val="TOC2"/>
            <w:tabs>
              <w:tab w:val="right" w:leader="dot" w:pos="9350"/>
            </w:tabs>
            <w:rPr>
              <w:rFonts w:eastAsiaTheme="minorEastAsia"/>
              <w:noProof/>
            </w:rPr>
          </w:pPr>
          <w:hyperlink w:anchor="_Toc233884815" w:history="1">
            <w:r w:rsidRPr="00BC4162">
              <w:rPr>
                <w:rStyle w:val="Hyperlink"/>
                <w:noProof/>
              </w:rPr>
              <w:t>Comparison and recommended single project</w:t>
            </w:r>
            <w:r>
              <w:rPr>
                <w:noProof/>
                <w:webHidden/>
              </w:rPr>
              <w:tab/>
            </w:r>
            <w:r>
              <w:rPr>
                <w:noProof/>
                <w:webHidden/>
              </w:rPr>
              <w:fldChar w:fldCharType="begin"/>
            </w:r>
            <w:r>
              <w:rPr>
                <w:noProof/>
                <w:webHidden/>
              </w:rPr>
              <w:instrText xml:space="preserve"> PAGEREF _Toc233884815 \h </w:instrText>
            </w:r>
            <w:r>
              <w:rPr>
                <w:noProof/>
                <w:webHidden/>
              </w:rPr>
            </w:r>
            <w:r>
              <w:rPr>
                <w:noProof/>
                <w:webHidden/>
              </w:rPr>
              <w:fldChar w:fldCharType="separate"/>
            </w:r>
            <w:r>
              <w:rPr>
                <w:noProof/>
                <w:webHidden/>
              </w:rPr>
              <w:t>13</w:t>
            </w:r>
            <w:r>
              <w:rPr>
                <w:noProof/>
                <w:webHidden/>
              </w:rPr>
              <w:fldChar w:fldCharType="end"/>
            </w:r>
          </w:hyperlink>
        </w:p>
        <w:p w14:paraId="2B565EBA" w14:textId="7E67815D" w:rsidR="003F3DB9" w:rsidRDefault="003F3DB9">
          <w:pPr>
            <w:pStyle w:val="TOC2"/>
            <w:tabs>
              <w:tab w:val="right" w:leader="dot" w:pos="9350"/>
            </w:tabs>
            <w:rPr>
              <w:rFonts w:eastAsiaTheme="minorEastAsia"/>
              <w:noProof/>
            </w:rPr>
          </w:pPr>
          <w:hyperlink w:anchor="_Toc233884816" w:history="1">
            <w:r w:rsidRPr="00BC4162">
              <w:rPr>
                <w:rStyle w:val="Hyperlink"/>
                <w:noProof/>
              </w:rPr>
              <w:t>Non-financial risk assessment</w:t>
            </w:r>
            <w:r>
              <w:rPr>
                <w:noProof/>
                <w:webHidden/>
              </w:rPr>
              <w:tab/>
            </w:r>
            <w:r>
              <w:rPr>
                <w:noProof/>
                <w:webHidden/>
              </w:rPr>
              <w:fldChar w:fldCharType="begin"/>
            </w:r>
            <w:r>
              <w:rPr>
                <w:noProof/>
                <w:webHidden/>
              </w:rPr>
              <w:instrText xml:space="preserve"> PAGEREF _Toc233884816 \h </w:instrText>
            </w:r>
            <w:r>
              <w:rPr>
                <w:noProof/>
                <w:webHidden/>
              </w:rPr>
            </w:r>
            <w:r>
              <w:rPr>
                <w:noProof/>
                <w:webHidden/>
              </w:rPr>
              <w:fldChar w:fldCharType="separate"/>
            </w:r>
            <w:r>
              <w:rPr>
                <w:noProof/>
                <w:webHidden/>
              </w:rPr>
              <w:t>14</w:t>
            </w:r>
            <w:r>
              <w:rPr>
                <w:noProof/>
                <w:webHidden/>
              </w:rPr>
              <w:fldChar w:fldCharType="end"/>
            </w:r>
          </w:hyperlink>
        </w:p>
        <w:p w14:paraId="2B7CC722" w14:textId="5D2789F2" w:rsidR="003F3DB9" w:rsidRDefault="003F3DB9">
          <w:pPr>
            <w:pStyle w:val="TOC2"/>
            <w:tabs>
              <w:tab w:val="right" w:leader="dot" w:pos="9350"/>
            </w:tabs>
            <w:rPr>
              <w:rFonts w:eastAsiaTheme="minorEastAsia"/>
              <w:noProof/>
            </w:rPr>
          </w:pPr>
          <w:hyperlink w:anchor="_Toc233884817" w:history="1">
            <w:r w:rsidRPr="00BC4162">
              <w:rPr>
                <w:rStyle w:val="Hyperlink"/>
                <w:bCs/>
                <w:noProof/>
              </w:rPr>
              <w:t>Capital rationing decision under the £100 million limit</w:t>
            </w:r>
            <w:r>
              <w:rPr>
                <w:noProof/>
                <w:webHidden/>
              </w:rPr>
              <w:tab/>
            </w:r>
            <w:r>
              <w:rPr>
                <w:noProof/>
                <w:webHidden/>
              </w:rPr>
              <w:fldChar w:fldCharType="begin"/>
            </w:r>
            <w:r>
              <w:rPr>
                <w:noProof/>
                <w:webHidden/>
              </w:rPr>
              <w:instrText xml:space="preserve"> PAGEREF _Toc233884817 \h </w:instrText>
            </w:r>
            <w:r>
              <w:rPr>
                <w:noProof/>
                <w:webHidden/>
              </w:rPr>
            </w:r>
            <w:r>
              <w:rPr>
                <w:noProof/>
                <w:webHidden/>
              </w:rPr>
              <w:fldChar w:fldCharType="separate"/>
            </w:r>
            <w:r>
              <w:rPr>
                <w:noProof/>
                <w:webHidden/>
              </w:rPr>
              <w:t>15</w:t>
            </w:r>
            <w:r>
              <w:rPr>
                <w:noProof/>
                <w:webHidden/>
              </w:rPr>
              <w:fldChar w:fldCharType="end"/>
            </w:r>
          </w:hyperlink>
        </w:p>
        <w:p w14:paraId="6CF03AB7" w14:textId="55FF83ED" w:rsidR="003F3DB9" w:rsidRDefault="003F3DB9">
          <w:pPr>
            <w:pStyle w:val="TOC1"/>
            <w:rPr>
              <w:rFonts w:asciiTheme="minorHAnsi" w:eastAsiaTheme="minorEastAsia" w:hAnsiTheme="minorHAnsi" w:cstheme="minorBidi"/>
              <w:b w:val="0"/>
              <w:bCs w:val="0"/>
            </w:rPr>
          </w:pPr>
          <w:hyperlink w:anchor="_Toc233884818" w:history="1">
            <w:r w:rsidRPr="00BC4162">
              <w:rPr>
                <w:rStyle w:val="Hyperlink"/>
              </w:rPr>
              <w:t>6.</w:t>
            </w:r>
            <w:r>
              <w:rPr>
                <w:rFonts w:asciiTheme="minorHAnsi" w:eastAsiaTheme="minorEastAsia" w:hAnsiTheme="minorHAnsi" w:cstheme="minorBidi"/>
                <w:b w:val="0"/>
                <w:bCs w:val="0"/>
              </w:rPr>
              <w:tab/>
            </w:r>
            <w:r w:rsidRPr="00BC4162">
              <w:rPr>
                <w:rStyle w:val="Hyperlink"/>
              </w:rPr>
              <w:t>Critical Reflection on AI Usage</w:t>
            </w:r>
            <w:r>
              <w:rPr>
                <w:webHidden/>
              </w:rPr>
              <w:tab/>
            </w:r>
            <w:r>
              <w:rPr>
                <w:webHidden/>
              </w:rPr>
              <w:fldChar w:fldCharType="begin"/>
            </w:r>
            <w:r>
              <w:rPr>
                <w:webHidden/>
              </w:rPr>
              <w:instrText xml:space="preserve"> PAGEREF _Toc233884818 \h </w:instrText>
            </w:r>
            <w:r>
              <w:rPr>
                <w:webHidden/>
              </w:rPr>
            </w:r>
            <w:r>
              <w:rPr>
                <w:webHidden/>
              </w:rPr>
              <w:fldChar w:fldCharType="separate"/>
            </w:r>
            <w:r>
              <w:rPr>
                <w:webHidden/>
              </w:rPr>
              <w:t>15</w:t>
            </w:r>
            <w:r>
              <w:rPr>
                <w:webHidden/>
              </w:rPr>
              <w:fldChar w:fldCharType="end"/>
            </w:r>
          </w:hyperlink>
        </w:p>
        <w:p w14:paraId="570976BD" w14:textId="0F6412AF" w:rsidR="003F3DB9" w:rsidRDefault="003F3DB9">
          <w:pPr>
            <w:pStyle w:val="TOC2"/>
            <w:tabs>
              <w:tab w:val="right" w:leader="dot" w:pos="9350"/>
            </w:tabs>
            <w:rPr>
              <w:rFonts w:eastAsiaTheme="minorEastAsia"/>
              <w:noProof/>
            </w:rPr>
          </w:pPr>
          <w:hyperlink w:anchor="_Toc233884819" w:history="1">
            <w:r w:rsidRPr="00BC4162">
              <w:rPr>
                <w:rStyle w:val="Hyperlink"/>
                <w:noProof/>
              </w:rPr>
              <w:t>Tool disclosure</w:t>
            </w:r>
            <w:r>
              <w:rPr>
                <w:noProof/>
                <w:webHidden/>
              </w:rPr>
              <w:tab/>
            </w:r>
            <w:r>
              <w:rPr>
                <w:noProof/>
                <w:webHidden/>
              </w:rPr>
              <w:fldChar w:fldCharType="begin"/>
            </w:r>
            <w:r>
              <w:rPr>
                <w:noProof/>
                <w:webHidden/>
              </w:rPr>
              <w:instrText xml:space="preserve"> PAGEREF _Toc233884819 \h </w:instrText>
            </w:r>
            <w:r>
              <w:rPr>
                <w:noProof/>
                <w:webHidden/>
              </w:rPr>
            </w:r>
            <w:r>
              <w:rPr>
                <w:noProof/>
                <w:webHidden/>
              </w:rPr>
              <w:fldChar w:fldCharType="separate"/>
            </w:r>
            <w:r>
              <w:rPr>
                <w:noProof/>
                <w:webHidden/>
              </w:rPr>
              <w:t>15</w:t>
            </w:r>
            <w:r>
              <w:rPr>
                <w:noProof/>
                <w:webHidden/>
              </w:rPr>
              <w:fldChar w:fldCharType="end"/>
            </w:r>
          </w:hyperlink>
        </w:p>
        <w:p w14:paraId="211D1F08" w14:textId="23376B2A" w:rsidR="003F3DB9" w:rsidRDefault="003F3DB9">
          <w:pPr>
            <w:pStyle w:val="TOC2"/>
            <w:tabs>
              <w:tab w:val="right" w:leader="dot" w:pos="9350"/>
            </w:tabs>
            <w:rPr>
              <w:rFonts w:eastAsiaTheme="minorEastAsia"/>
              <w:noProof/>
            </w:rPr>
          </w:pPr>
          <w:hyperlink w:anchor="_Toc233884820" w:history="1">
            <w:r w:rsidRPr="00BC4162">
              <w:rPr>
                <w:rStyle w:val="Hyperlink"/>
                <w:noProof/>
              </w:rPr>
              <w:t>Critical evaluation and verification of AI output</w:t>
            </w:r>
            <w:r>
              <w:rPr>
                <w:noProof/>
                <w:webHidden/>
              </w:rPr>
              <w:tab/>
            </w:r>
            <w:r>
              <w:rPr>
                <w:noProof/>
                <w:webHidden/>
              </w:rPr>
              <w:fldChar w:fldCharType="begin"/>
            </w:r>
            <w:r>
              <w:rPr>
                <w:noProof/>
                <w:webHidden/>
              </w:rPr>
              <w:instrText xml:space="preserve"> PAGEREF _Toc233884820 \h </w:instrText>
            </w:r>
            <w:r>
              <w:rPr>
                <w:noProof/>
                <w:webHidden/>
              </w:rPr>
            </w:r>
            <w:r>
              <w:rPr>
                <w:noProof/>
                <w:webHidden/>
              </w:rPr>
              <w:fldChar w:fldCharType="separate"/>
            </w:r>
            <w:r>
              <w:rPr>
                <w:noProof/>
                <w:webHidden/>
              </w:rPr>
              <w:t>16</w:t>
            </w:r>
            <w:r>
              <w:rPr>
                <w:noProof/>
                <w:webHidden/>
              </w:rPr>
              <w:fldChar w:fldCharType="end"/>
            </w:r>
          </w:hyperlink>
        </w:p>
        <w:p w14:paraId="753C3EBC" w14:textId="2CA93467" w:rsidR="003F3DB9" w:rsidRDefault="003F3DB9">
          <w:pPr>
            <w:pStyle w:val="TOC2"/>
            <w:tabs>
              <w:tab w:val="right" w:leader="dot" w:pos="9350"/>
            </w:tabs>
            <w:rPr>
              <w:rFonts w:eastAsiaTheme="minorEastAsia"/>
              <w:noProof/>
            </w:rPr>
          </w:pPr>
          <w:hyperlink w:anchor="_Toc233884821" w:history="1">
            <w:r w:rsidRPr="00BC4162">
              <w:rPr>
                <w:rStyle w:val="Hyperlink"/>
                <w:noProof/>
              </w:rPr>
              <w:t>Contribution analysis</w:t>
            </w:r>
            <w:r>
              <w:rPr>
                <w:noProof/>
                <w:webHidden/>
              </w:rPr>
              <w:tab/>
            </w:r>
            <w:r>
              <w:rPr>
                <w:noProof/>
                <w:webHidden/>
              </w:rPr>
              <w:fldChar w:fldCharType="begin"/>
            </w:r>
            <w:r>
              <w:rPr>
                <w:noProof/>
                <w:webHidden/>
              </w:rPr>
              <w:instrText xml:space="preserve"> PAGEREF _Toc233884821 \h </w:instrText>
            </w:r>
            <w:r>
              <w:rPr>
                <w:noProof/>
                <w:webHidden/>
              </w:rPr>
            </w:r>
            <w:r>
              <w:rPr>
                <w:noProof/>
                <w:webHidden/>
              </w:rPr>
              <w:fldChar w:fldCharType="separate"/>
            </w:r>
            <w:r>
              <w:rPr>
                <w:noProof/>
                <w:webHidden/>
              </w:rPr>
              <w:t>16</w:t>
            </w:r>
            <w:r>
              <w:rPr>
                <w:noProof/>
                <w:webHidden/>
              </w:rPr>
              <w:fldChar w:fldCharType="end"/>
            </w:r>
          </w:hyperlink>
        </w:p>
        <w:p w14:paraId="233FA16B" w14:textId="6F5CEF8D" w:rsidR="003F3DB9" w:rsidRDefault="003F3DB9">
          <w:pPr>
            <w:pStyle w:val="TOC2"/>
            <w:tabs>
              <w:tab w:val="right" w:leader="dot" w:pos="9350"/>
            </w:tabs>
            <w:rPr>
              <w:rFonts w:eastAsiaTheme="minorEastAsia"/>
              <w:noProof/>
            </w:rPr>
          </w:pPr>
          <w:hyperlink w:anchor="_Toc233884822" w:history="1">
            <w:r w:rsidRPr="00BC4162">
              <w:rPr>
                <w:rStyle w:val="Hyperlink"/>
                <w:noProof/>
              </w:rPr>
              <w:t>Ethical and professional reflection</w:t>
            </w:r>
            <w:r>
              <w:rPr>
                <w:noProof/>
                <w:webHidden/>
              </w:rPr>
              <w:tab/>
            </w:r>
            <w:r>
              <w:rPr>
                <w:noProof/>
                <w:webHidden/>
              </w:rPr>
              <w:fldChar w:fldCharType="begin"/>
            </w:r>
            <w:r>
              <w:rPr>
                <w:noProof/>
                <w:webHidden/>
              </w:rPr>
              <w:instrText xml:space="preserve"> PAGEREF _Toc233884822 \h </w:instrText>
            </w:r>
            <w:r>
              <w:rPr>
                <w:noProof/>
                <w:webHidden/>
              </w:rPr>
            </w:r>
            <w:r>
              <w:rPr>
                <w:noProof/>
                <w:webHidden/>
              </w:rPr>
              <w:fldChar w:fldCharType="separate"/>
            </w:r>
            <w:r>
              <w:rPr>
                <w:noProof/>
                <w:webHidden/>
              </w:rPr>
              <w:t>16</w:t>
            </w:r>
            <w:r>
              <w:rPr>
                <w:noProof/>
                <w:webHidden/>
              </w:rPr>
              <w:fldChar w:fldCharType="end"/>
            </w:r>
          </w:hyperlink>
        </w:p>
        <w:p w14:paraId="5B2047BB" w14:textId="63585C6A" w:rsidR="003F3DB9" w:rsidRDefault="003F3DB9">
          <w:pPr>
            <w:pStyle w:val="TOC1"/>
            <w:rPr>
              <w:rFonts w:asciiTheme="minorHAnsi" w:eastAsiaTheme="minorEastAsia" w:hAnsiTheme="minorHAnsi" w:cstheme="minorBidi"/>
              <w:b w:val="0"/>
              <w:bCs w:val="0"/>
            </w:rPr>
          </w:pPr>
          <w:hyperlink w:anchor="_Toc233884823" w:history="1">
            <w:r w:rsidRPr="00BC4162">
              <w:rPr>
                <w:rStyle w:val="Hyperlink"/>
              </w:rPr>
              <w:t>7.</w:t>
            </w:r>
            <w:r>
              <w:rPr>
                <w:rFonts w:asciiTheme="minorHAnsi" w:eastAsiaTheme="minorEastAsia" w:hAnsiTheme="minorHAnsi" w:cstheme="minorBidi"/>
                <w:b w:val="0"/>
                <w:bCs w:val="0"/>
              </w:rPr>
              <w:tab/>
            </w:r>
            <w:r w:rsidRPr="00BC4162">
              <w:rPr>
                <w:rStyle w:val="Hyperlink"/>
              </w:rPr>
              <w:t>Conclusion</w:t>
            </w:r>
            <w:r>
              <w:rPr>
                <w:webHidden/>
              </w:rPr>
              <w:tab/>
            </w:r>
            <w:r>
              <w:rPr>
                <w:webHidden/>
              </w:rPr>
              <w:fldChar w:fldCharType="begin"/>
            </w:r>
            <w:r>
              <w:rPr>
                <w:webHidden/>
              </w:rPr>
              <w:instrText xml:space="preserve"> PAGEREF _Toc233884823 \h </w:instrText>
            </w:r>
            <w:r>
              <w:rPr>
                <w:webHidden/>
              </w:rPr>
            </w:r>
            <w:r>
              <w:rPr>
                <w:webHidden/>
              </w:rPr>
              <w:fldChar w:fldCharType="separate"/>
            </w:r>
            <w:r>
              <w:rPr>
                <w:webHidden/>
              </w:rPr>
              <w:t>17</w:t>
            </w:r>
            <w:r>
              <w:rPr>
                <w:webHidden/>
              </w:rPr>
              <w:fldChar w:fldCharType="end"/>
            </w:r>
          </w:hyperlink>
        </w:p>
        <w:p w14:paraId="006CC42D" w14:textId="1AC138DB" w:rsidR="003F3DB9" w:rsidRDefault="003F3DB9">
          <w:pPr>
            <w:pStyle w:val="TOC1"/>
            <w:rPr>
              <w:rFonts w:asciiTheme="minorHAnsi" w:eastAsiaTheme="minorEastAsia" w:hAnsiTheme="minorHAnsi" w:cstheme="minorBidi"/>
              <w:b w:val="0"/>
              <w:bCs w:val="0"/>
            </w:rPr>
          </w:pPr>
          <w:hyperlink w:anchor="_Toc233884824" w:history="1">
            <w:r w:rsidRPr="00BC4162">
              <w:rPr>
                <w:rStyle w:val="Hyperlink"/>
              </w:rPr>
              <w:t>8.</w:t>
            </w:r>
            <w:r>
              <w:rPr>
                <w:rFonts w:asciiTheme="minorHAnsi" w:eastAsiaTheme="minorEastAsia" w:hAnsiTheme="minorHAnsi" w:cstheme="minorBidi"/>
                <w:b w:val="0"/>
                <w:bCs w:val="0"/>
              </w:rPr>
              <w:tab/>
            </w:r>
            <w:r w:rsidRPr="00BC4162">
              <w:rPr>
                <w:rStyle w:val="Hyperlink"/>
              </w:rPr>
              <w:t>Referennces</w:t>
            </w:r>
            <w:r>
              <w:rPr>
                <w:webHidden/>
              </w:rPr>
              <w:tab/>
            </w:r>
            <w:r>
              <w:rPr>
                <w:webHidden/>
              </w:rPr>
              <w:fldChar w:fldCharType="begin"/>
            </w:r>
            <w:r>
              <w:rPr>
                <w:webHidden/>
              </w:rPr>
              <w:instrText xml:space="preserve"> PAGEREF _Toc233884824 \h </w:instrText>
            </w:r>
            <w:r>
              <w:rPr>
                <w:webHidden/>
              </w:rPr>
            </w:r>
            <w:r>
              <w:rPr>
                <w:webHidden/>
              </w:rPr>
              <w:fldChar w:fldCharType="separate"/>
            </w:r>
            <w:r>
              <w:rPr>
                <w:webHidden/>
              </w:rPr>
              <w:t>17</w:t>
            </w:r>
            <w:r>
              <w:rPr>
                <w:webHidden/>
              </w:rPr>
              <w:fldChar w:fldCharType="end"/>
            </w:r>
          </w:hyperlink>
        </w:p>
        <w:p w14:paraId="67AEB3C2" w14:textId="30C0A1A3" w:rsidR="003F3DB9" w:rsidRDefault="003F3DB9">
          <w:pPr>
            <w:pStyle w:val="TOC1"/>
            <w:rPr>
              <w:rFonts w:asciiTheme="minorHAnsi" w:eastAsiaTheme="minorEastAsia" w:hAnsiTheme="minorHAnsi" w:cstheme="minorBidi"/>
              <w:b w:val="0"/>
              <w:bCs w:val="0"/>
            </w:rPr>
          </w:pPr>
          <w:hyperlink w:anchor="_Toc233884825" w:history="1">
            <w:r w:rsidRPr="00BC4162">
              <w:rPr>
                <w:rStyle w:val="Hyperlink"/>
              </w:rPr>
              <w:t>9.</w:t>
            </w:r>
            <w:r>
              <w:rPr>
                <w:rFonts w:asciiTheme="minorHAnsi" w:eastAsiaTheme="minorEastAsia" w:hAnsiTheme="minorHAnsi" w:cstheme="minorBidi"/>
                <w:b w:val="0"/>
                <w:bCs w:val="0"/>
              </w:rPr>
              <w:tab/>
            </w:r>
            <w:r w:rsidRPr="00BC4162">
              <w:rPr>
                <w:rStyle w:val="Hyperlink"/>
              </w:rPr>
              <w:t>Appendices:</w:t>
            </w:r>
            <w:r>
              <w:rPr>
                <w:webHidden/>
              </w:rPr>
              <w:tab/>
            </w:r>
            <w:r>
              <w:rPr>
                <w:webHidden/>
              </w:rPr>
              <w:fldChar w:fldCharType="begin"/>
            </w:r>
            <w:r>
              <w:rPr>
                <w:webHidden/>
              </w:rPr>
              <w:instrText xml:space="preserve"> PAGEREF _Toc233884825 \h </w:instrText>
            </w:r>
            <w:r>
              <w:rPr>
                <w:webHidden/>
              </w:rPr>
            </w:r>
            <w:r>
              <w:rPr>
                <w:webHidden/>
              </w:rPr>
              <w:fldChar w:fldCharType="separate"/>
            </w:r>
            <w:r>
              <w:rPr>
                <w:webHidden/>
              </w:rPr>
              <w:t>21</w:t>
            </w:r>
            <w:r>
              <w:rPr>
                <w:webHidden/>
              </w:rPr>
              <w:fldChar w:fldCharType="end"/>
            </w:r>
          </w:hyperlink>
        </w:p>
        <w:p w14:paraId="67FFA4A2" w14:textId="34330946" w:rsidR="00AF2BDF" w:rsidRDefault="00AF2BDF" w:rsidP="00AF2BDF">
          <w:pPr>
            <w:spacing w:line="360" w:lineRule="auto"/>
            <w:jc w:val="both"/>
          </w:pPr>
          <w:r w:rsidRPr="00AF2BDF">
            <w:rPr>
              <w:rFonts w:ascii="Times New Roman" w:hAnsi="Times New Roman" w:cs="Times New Roman"/>
              <w:b/>
              <w:bCs/>
              <w:noProof/>
            </w:rPr>
            <w:fldChar w:fldCharType="end"/>
          </w:r>
        </w:p>
      </w:sdtContent>
    </w:sdt>
    <w:p w14:paraId="1B2C0482" w14:textId="77777777" w:rsidR="00AF2BDF" w:rsidRPr="00AF2BDF" w:rsidRDefault="00AF2BDF" w:rsidP="00AF2BDF">
      <w:pPr>
        <w:pStyle w:val="Heading1"/>
        <w:ind w:left="720"/>
        <w:sectPr w:rsidR="00AF2BDF" w:rsidRPr="00AF2BDF" w:rsidSect="00AF2BDF">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82CCCFE" w14:textId="3534C96D" w:rsidR="007B781F" w:rsidRPr="008778AA" w:rsidRDefault="007B781F" w:rsidP="00AF2BDF">
      <w:pPr>
        <w:pStyle w:val="Heading1"/>
        <w:numPr>
          <w:ilvl w:val="0"/>
          <w:numId w:val="9"/>
        </w:numPr>
      </w:pPr>
      <w:bookmarkStart w:id="1" w:name="_Toc233884791"/>
      <w:bookmarkStart w:id="2" w:name="_Hlk233630513"/>
      <w:r w:rsidRPr="008778AA">
        <w:lastRenderedPageBreak/>
        <w:t>Introduction</w:t>
      </w:r>
      <w:bookmarkEnd w:id="0"/>
      <w:bookmarkEnd w:id="1"/>
    </w:p>
    <w:p w14:paraId="053DF62F" w14:textId="037F3B01" w:rsidR="00892988"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 xml:space="preserve">This report provides a financial review of the performance, resilience and future capital allocation priorities of InterContinental Hotels Group PLC (IHG). IHG </w:t>
      </w:r>
      <w:r w:rsidR="005B748B" w:rsidRPr="005B748B">
        <w:rPr>
          <w:rFonts w:ascii="Times New Roman" w:hAnsi="Times New Roman" w:cs="Times New Roman"/>
        </w:rPr>
        <w:t>is one of the world's largest hospitality groups with a wide range of hotel brands in various market segments. IHG's 20 hotel brands, more than 6,900 open hotels in more than 100 countries and nearly 2,300 hotels in development</w:t>
      </w:r>
      <w:r w:rsidRPr="008778AA">
        <w:rPr>
          <w:rFonts w:ascii="Times New Roman" w:hAnsi="Times New Roman" w:cs="Times New Roman"/>
        </w:rPr>
        <w:t xml:space="preserve">, showcased its global scale and ongoing growth potential. It also has a business model that is primarily asset light, generating most of its value through third-party hotel ownership and management. </w:t>
      </w:r>
    </w:p>
    <w:p w14:paraId="351A09BE" w14:textId="794112D3" w:rsidR="00892988" w:rsidRPr="00AF2BDF" w:rsidRDefault="00892988" w:rsidP="00AF2BDF">
      <w:pPr>
        <w:spacing w:line="360" w:lineRule="auto"/>
        <w:jc w:val="both"/>
        <w:rPr>
          <w:rFonts w:ascii="Times New Roman" w:hAnsi="Times New Roman" w:cs="Times New Roman"/>
        </w:rPr>
      </w:pPr>
      <w:r w:rsidRPr="00AF2BDF">
        <w:rPr>
          <w:rFonts w:ascii="Times New Roman" w:hAnsi="Times New Roman" w:cs="Times New Roman"/>
        </w:rPr>
        <w:t>This report aims to assess IHG's financial standing for the past five full financial years, 2021–</w:t>
      </w:r>
      <w:proofErr w:type="gramStart"/>
      <w:r w:rsidRPr="00AF2BDF">
        <w:rPr>
          <w:rFonts w:ascii="Times New Roman" w:hAnsi="Times New Roman" w:cs="Times New Roman"/>
        </w:rPr>
        <w:t>2025, and</w:t>
      </w:r>
      <w:proofErr w:type="gramEnd"/>
      <w:r w:rsidRPr="00AF2BDF">
        <w:rPr>
          <w:rFonts w:ascii="Times New Roman" w:hAnsi="Times New Roman" w:cs="Times New Roman"/>
        </w:rPr>
        <w:t xml:space="preserve"> determine areas of critical financial concern at CFO level. The analysis considers financial statement trends, </w:t>
      </w:r>
      <w:r w:rsidR="005B748B" w:rsidRPr="005B748B">
        <w:rPr>
          <w:rFonts w:ascii="Times New Roman" w:hAnsi="Times New Roman" w:cs="Times New Roman"/>
        </w:rPr>
        <w:t xml:space="preserve">The ratios which are used to measure the profitability, liquidity, efficiency, gearing, investment and cash-flow are all used. It also compares the efficiency of working capital management, financing choice for short term and long term, financial restructuring options and future investments </w:t>
      </w:r>
      <w:proofErr w:type="gramStart"/>
      <w:r w:rsidR="005B748B" w:rsidRPr="005B748B">
        <w:rPr>
          <w:rFonts w:ascii="Times New Roman" w:hAnsi="Times New Roman" w:cs="Times New Roman"/>
        </w:rPr>
        <w:t>on the basis of</w:t>
      </w:r>
      <w:proofErr w:type="gramEnd"/>
      <w:r w:rsidR="005B748B" w:rsidRPr="005B748B">
        <w:rPr>
          <w:rFonts w:ascii="Times New Roman" w:hAnsi="Times New Roman" w:cs="Times New Roman"/>
        </w:rPr>
        <w:t xml:space="preserve"> payback period, accounting rate of return, net present value, profitability index</w:t>
      </w:r>
      <w:r w:rsidR="005B748B">
        <w:rPr>
          <w:rFonts w:ascii="Times New Roman" w:hAnsi="Times New Roman" w:cs="Times New Roman"/>
        </w:rPr>
        <w:t xml:space="preserve"> </w:t>
      </w:r>
      <w:r w:rsidRPr="00AF2BDF">
        <w:rPr>
          <w:rFonts w:ascii="Times New Roman" w:hAnsi="Times New Roman" w:cs="Times New Roman"/>
        </w:rPr>
        <w:t>and IRR.</w:t>
      </w:r>
    </w:p>
    <w:p w14:paraId="1B6FA7FD" w14:textId="42F49F5B"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 xml:space="preserve">In terms of methodology, the report encompasses audited annual reports, ratio analysis and capital budgeting. While these are beneficial for performance comparison and investment decisions, they don't provide a full understanding of value. Accounting classifications and historical reporting time influence ratio analysis, and cash flows, discount rates and risk influence investment appraisal. </w:t>
      </w:r>
      <w:r w:rsidR="007B781F" w:rsidRPr="008778AA">
        <w:rPr>
          <w:rFonts w:ascii="Times New Roman" w:hAnsi="Times New Roman" w:cs="Times New Roman"/>
        </w:rPr>
        <w:t xml:space="preserve"> </w:t>
      </w:r>
    </w:p>
    <w:p w14:paraId="23B9641F" w14:textId="51118483" w:rsidR="007B781F" w:rsidRPr="008778AA" w:rsidRDefault="007B781F" w:rsidP="00AF2BDF">
      <w:pPr>
        <w:pStyle w:val="Heading1"/>
        <w:numPr>
          <w:ilvl w:val="0"/>
          <w:numId w:val="9"/>
        </w:numPr>
      </w:pPr>
      <w:bookmarkStart w:id="3" w:name="_Toc233392946"/>
      <w:bookmarkStart w:id="4" w:name="_Toc233884792"/>
      <w:r w:rsidRPr="008778AA">
        <w:t>Financial Health Check</w:t>
      </w:r>
      <w:bookmarkEnd w:id="3"/>
      <w:bookmarkEnd w:id="4"/>
    </w:p>
    <w:p w14:paraId="1A42BECC" w14:textId="648F8CF4" w:rsidR="007B781F" w:rsidRPr="008778AA" w:rsidRDefault="007B781F" w:rsidP="00AF2BDF">
      <w:pPr>
        <w:pStyle w:val="Heading2"/>
      </w:pPr>
      <w:bookmarkStart w:id="5" w:name="_Toc233392947"/>
      <w:bookmarkStart w:id="6" w:name="_Toc233884793"/>
      <w:r w:rsidRPr="008778AA">
        <w:t xml:space="preserve">Company </w:t>
      </w:r>
      <w:r w:rsidRPr="00AF2BDF">
        <w:t>context</w:t>
      </w:r>
      <w:r w:rsidRPr="008778AA">
        <w:t xml:space="preserve"> and business model</w:t>
      </w:r>
      <w:bookmarkEnd w:id="5"/>
      <w:bookmarkEnd w:id="6"/>
    </w:p>
    <w:p w14:paraId="0D9E612B" w14:textId="13689224"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IHG is an international hospitality company with a financial model that is asset-light and fee-based. By the end of 2025, the Group operated 20 hotel brands, more than 6,900 open hotels in over 100 countries and almost 2,300 hotels in its development pipeline</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{"citationItems":[{"id":"ITEM-1","itemData":{"author":[{"dropping-particle":"","family":"InterContinental Hotels","given":"","non-dropping-particle":"","parse-names":false,"suffix":""}],"id":"ITEM-1","issued":{"date-parts":[["2026"]]},"title":"Developing a new hotel or converting an existing property can be a complex process, but IHG helps you take care of every detail","type":"article-journal"},"uris":["http://www.mendeley.com/documents/?uuid=b22fb6ab-ba3b-4a65-9ff7-80cc86da4d61"]}],"mendeley":{"formattedCitation":"(InterContinental Hotels, 2026)","plainTextFormattedCitation":"(InterContinental Hotels, 2026)","previouslyFormattedCitation":"(InterContinental Hotels, 2026)"},"properties":{"noteIndex":0},"schema":"https://github.com/citation-style-language/schema/raw/master/csl-citation.json"}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(InterContinental Hotels, 2026)</w:t>
      </w:r>
      <w:r w:rsidR="00A45502" w:rsidRPr="008778AA">
        <w:rPr>
          <w:rFonts w:ascii="Times New Roman" w:hAnsi="Times New Roman" w:cs="Times New Roman"/>
        </w:rPr>
        <w:fldChar w:fldCharType="end"/>
      </w:r>
      <w:r w:rsidRPr="008778AA">
        <w:rPr>
          <w:rFonts w:ascii="Times New Roman" w:hAnsi="Times New Roman" w:cs="Times New Roman"/>
        </w:rPr>
        <w:t xml:space="preserve">. Instead of owning </w:t>
      </w:r>
      <w:proofErr w:type="gramStart"/>
      <w:r w:rsidRPr="008778AA">
        <w:rPr>
          <w:rFonts w:ascii="Times New Roman" w:hAnsi="Times New Roman" w:cs="Times New Roman"/>
        </w:rPr>
        <w:t>the majority of</w:t>
      </w:r>
      <w:proofErr w:type="gramEnd"/>
      <w:r w:rsidRPr="008778AA">
        <w:rPr>
          <w:rFonts w:ascii="Times New Roman" w:hAnsi="Times New Roman" w:cs="Times New Roman"/>
        </w:rPr>
        <w:t xml:space="preserve"> hotels, the Group’s main business is to own and manage hotels for third parties, allowing it to concentrate on fee revenue, fee margin, and scalable brand growth at minimal capital investment. Its relatively small owned and leased estate makes </w:t>
      </w:r>
      <w:r w:rsidRPr="008778AA">
        <w:rPr>
          <w:rFonts w:ascii="Times New Roman" w:hAnsi="Times New Roman" w:cs="Times New Roman"/>
        </w:rPr>
        <w:lastRenderedPageBreak/>
        <w:t>profitability and efficiency ratios more about the strength of the brand, owner demand, the digital booking system, penetration of loyalty and pipeline expansion. IHG One Rewards, digital channels and revenue-management technology, therefore, are intrinsic financial assets, even if not necessarily seen as balance-sheet assets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{"citationItems":[{"id":"ITEM-1","itemData":{"author":[{"dropping-particle":"Al","family":"Ameri","given":"Mariam Hamad","non-dropping-particle":"","parse-names":false,"suffix":""},{"dropping-particle":"Al","family":"Katheeri","given":"Wejdan","non-dropping-particle":"","parse-names":false,"suffix":""},{"dropping-particle":"Al","family":"Ali","given":"Amna Essa","non-dropping-particle":"","parse-names":false,"suffix":""},{"dropping-particle":"","family":"Alameemi","given":"Meera","non-dropping-particle":"","parse-names":false,"suffix":""}],"id":"ITEM-1","issued":{"date-parts":[["2021"]]},"title":"Financial Analysis of InterContinental Hotels Group","type":"article-journal"},"uris":["http://www.mendeley.com/documents/?uuid=40843c35-48b9-488a-b31b-9ba38b548c29"]}],"mendeley":{"formattedCitation":"(Ameri &lt;i&gt;et al.&lt;/i&gt;, 2021)","plainTextFormattedCitation":"(Ameri et al., 2021)","previouslyFormattedCitation":"(Ameri &lt;i&gt;et al.&lt;/i&gt;, 2021)"},"properties":{"noteIndex":0},"schema":"https://github.com/citation-style-language/schema/raw/master/csl-citation.json"}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 xml:space="preserve">(Ameri </w:t>
      </w:r>
      <w:r w:rsidR="00A45502" w:rsidRPr="008778AA">
        <w:rPr>
          <w:rFonts w:ascii="Times New Roman" w:hAnsi="Times New Roman" w:cs="Times New Roman"/>
          <w:i/>
          <w:noProof/>
        </w:rPr>
        <w:t>et al.</w:t>
      </w:r>
      <w:r w:rsidR="00A45502" w:rsidRPr="008778AA">
        <w:rPr>
          <w:rFonts w:ascii="Times New Roman" w:hAnsi="Times New Roman" w:cs="Times New Roman"/>
          <w:noProof/>
        </w:rPr>
        <w:t>, 2021)</w:t>
      </w:r>
      <w:r w:rsidR="00A45502" w:rsidRPr="008778AA">
        <w:rPr>
          <w:rFonts w:ascii="Times New Roman" w:hAnsi="Times New Roman" w:cs="Times New Roman"/>
        </w:rPr>
        <w:fldChar w:fldCharType="end"/>
      </w:r>
      <w:r w:rsidRPr="008778AA">
        <w:rPr>
          <w:rFonts w:ascii="Times New Roman" w:hAnsi="Times New Roman" w:cs="Times New Roman"/>
        </w:rPr>
        <w:t>.</w:t>
      </w:r>
    </w:p>
    <w:p w14:paraId="54ECB34B" w14:textId="022B7C20" w:rsidR="007B781F" w:rsidRPr="008778AA" w:rsidRDefault="007B781F" w:rsidP="00AF2BDF">
      <w:pPr>
        <w:pStyle w:val="Heading2"/>
      </w:pPr>
      <w:bookmarkStart w:id="7" w:name="_Toc233392948"/>
      <w:bookmarkStart w:id="8" w:name="_Toc233884794"/>
      <w:r w:rsidRPr="008778AA">
        <w:t xml:space="preserve">Five-year financial statement </w:t>
      </w:r>
      <w:r w:rsidRPr="00AF2BDF">
        <w:t>trend</w:t>
      </w:r>
      <w:r w:rsidRPr="008778AA">
        <w:t xml:space="preserve"> analysis</w:t>
      </w:r>
      <w:bookmarkEnd w:id="7"/>
      <w:bookmarkEnd w:id="8"/>
    </w:p>
    <w:p w14:paraId="17A73219" w14:textId="618A1028"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The five-year financial statements from IHG indicate a clear sign of recovery from the pandemic followed by a more mature growth period. Total revenue increased from $2,907 million in 2021 to $3,892 million in 2022, $4,624 million in 2023, $4,923 million in 2024 and $5,189 million in 2025. This growth is driven by the recovery of travel demand, growth in IHG's system and through franchise, management and System Fund revenue</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{"citationItems":[{"id":"ITEM-1","itemData":{"author":[{"dropping-particle":"","family":"IHG","given":"","non-dropping-particle":"","parse-names":false,"suffix":""}],"id":"ITEM-1","issued":{"date-parts":[["2026"]]},"title":"nterContinental Hotels Group PLC Full Year Results to 31 December 2025","type":"article-journal"},"uris":["http://www.mendeley.com/documents/?uuid=84d7132a-7a04-4adf-8ef5-78193c1dbd75"]}],"mendeley":{"formattedCitation":"(IHG, 2026)","plainTextFormattedCitation":"(IHG, 2026)","previouslyFormattedCitation":"(IHG, 2026)"},"properties":{"noteIndex":0},"schema":"https://github.com/citation-style-language/schema/raw/master/csl-citation.json"}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(IHG, 2026)</w:t>
      </w:r>
      <w:r w:rsidR="00A45502" w:rsidRPr="008778AA">
        <w:rPr>
          <w:rFonts w:ascii="Times New Roman" w:hAnsi="Times New Roman" w:cs="Times New Roman"/>
        </w:rPr>
        <w:fldChar w:fldCharType="end"/>
      </w:r>
      <w:r w:rsidRPr="008778AA">
        <w:rPr>
          <w:rFonts w:ascii="Times New Roman" w:hAnsi="Times New Roman" w:cs="Times New Roman"/>
        </w:rPr>
        <w:t xml:space="preserve">. The operating profit also grew materially, from $494 million in 2021 to $628 million in 2022, to $1,066 million in 2023. The operating profit in 2024 decreased to </w:t>
      </w:r>
      <w:proofErr w:type="gramStart"/>
      <w:r w:rsidRPr="008778AA">
        <w:rPr>
          <w:rFonts w:ascii="Times New Roman" w:hAnsi="Times New Roman" w:cs="Times New Roman"/>
        </w:rPr>
        <w:t>$1,041 million, but</w:t>
      </w:r>
      <w:proofErr w:type="gramEnd"/>
      <w:r w:rsidRPr="008778AA">
        <w:rPr>
          <w:rFonts w:ascii="Times New Roman" w:hAnsi="Times New Roman" w:cs="Times New Roman"/>
        </w:rPr>
        <w:t xml:space="preserve"> bounced back substantially to $1,198 million in 2025. </w:t>
      </w:r>
      <w:proofErr w:type="gramStart"/>
      <w:r w:rsidRPr="008778AA">
        <w:rPr>
          <w:rFonts w:ascii="Times New Roman" w:hAnsi="Times New Roman" w:cs="Times New Roman"/>
        </w:rPr>
        <w:t>Profit</w:t>
      </w:r>
      <w:proofErr w:type="gramEnd"/>
      <w:r w:rsidRPr="008778AA">
        <w:rPr>
          <w:rFonts w:ascii="Times New Roman" w:hAnsi="Times New Roman" w:cs="Times New Roman"/>
        </w:rPr>
        <w:t xml:space="preserve"> before tax rose from $361 million in 2021 to $1,074 million in 2025 and profit for the year grew from $265 million to $759 million over the same period.</w:t>
      </w:r>
    </w:p>
    <w:p w14:paraId="2E7FBBD2" w14:textId="0E19B0D5" w:rsidR="0016378B" w:rsidRPr="008778AA" w:rsidRDefault="000A14F3"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0AA1A4BD" wp14:editId="76399377">
            <wp:extent cx="5305426" cy="3424238"/>
            <wp:effectExtent l="0" t="0" r="9525" b="5080"/>
            <wp:docPr id="163403919" name="Chart 1">
              <a:extLst xmlns:a="http://schemas.openxmlformats.org/drawingml/2006/main">
                <a:ext uri="{FF2B5EF4-FFF2-40B4-BE49-F238E27FC236}">
                  <a16:creationId xmlns:a16="http://schemas.microsoft.com/office/drawing/2014/main" id="{C8045007-9940-DD5E-DBF1-1AE9D348C9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BEA6CB" w14:textId="67BE6D36" w:rsidR="00B82405" w:rsidRPr="008778AA" w:rsidRDefault="0016378B" w:rsidP="008778AA">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00B34136" w:rsidRPr="008778AA">
        <w:rPr>
          <w:rFonts w:ascii="Times New Roman" w:hAnsi="Times New Roman" w:cs="Times New Roman"/>
          <w:noProof/>
        </w:rPr>
        <w:t>2</w:t>
      </w:r>
      <w:r w:rsidRPr="008778AA">
        <w:rPr>
          <w:rFonts w:ascii="Times New Roman" w:hAnsi="Times New Roman" w:cs="Times New Roman"/>
        </w:rPr>
        <w:fldChar w:fldCharType="end"/>
      </w:r>
      <w:r w:rsidRPr="008778AA">
        <w:rPr>
          <w:rFonts w:ascii="Times New Roman" w:hAnsi="Times New Roman" w:cs="Times New Roman"/>
        </w:rPr>
        <w:t>- IHG five-year financial performance summary, 2021–2025</w:t>
      </w:r>
    </w:p>
    <w:p w14:paraId="04399824" w14:textId="0FA7D13F"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lastRenderedPageBreak/>
        <w:t>Net liabilities were also unusual on the balance sheet, as IHG continued to report them throughout the period, with the balance reaching $2,736 million in 2025. This isn't necessarily a bad sign as IHG's asset-light model demands less capital in owned property than traditional hotel companies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ISBN":"978-86-7912-876-8","author":[{"dropping-particle":"","family":"Mizdraković","given":"Vule","non-dropping-particle":"","parse-names":false,"suffix":""},{"dropping-particle":"","family":"Radojević","given":"Tijana","non-dropping-particle":"","parse-names":false,"suffix":""},{"dropping-particle":"","family":"Milojković","given":"Danka","non-dropping-particle":"","parse-names":false,"suffix":""},{"dropping-particle":"","family":"Kljajić","given":"Maja","non-dropping-particle":"","parse-names":false,"suffix":""},{"dropping-particle":"","family":"Hadrović Zekić","given":"Blaženka","non-dropping-particle":"","parse-names":false,"suffix":""}],"container-title":"Tourism for People, Planet and Prosperity - What Needs to Happen by 2030? Book of Proceedings","id":"ITEM-1","issued":{"date-parts":[["2025","12"]]},"page":"23-28","publisher":"Singidunum University","publisher-place":"Belgrade, Serbia","title":"Asset-heavy or asset-light? Financial performance implications in the luxury hotel industry","type":"paper-conference"},"uris":["http://www.mendeley.com/documents/?uuid=123d55c8-e4ee-40cd-bdc5-2d72cd07f86d"]}],"mendeley":{"formattedCitation":"(Mizdraković &lt;i&gt;et al.&lt;/i&gt;, 2025)","plainTextFormattedCitation":"(Mizdraković et al., 2025)","previouslyFormattedCitation":"(Mizdraković &lt;i&gt;et al.&lt;/i&gt;, 2025)"},"properties":{"noteIndex":0},"schema":"https://github.com/citation-style-language/schema/raw/master/csl-citation.json"}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 xml:space="preserve">(Mizdraković </w:t>
      </w:r>
      <w:r w:rsidR="00A45502" w:rsidRPr="008778AA">
        <w:rPr>
          <w:rFonts w:ascii="Times New Roman" w:hAnsi="Times New Roman" w:cs="Times New Roman"/>
          <w:i/>
          <w:noProof/>
        </w:rPr>
        <w:t>et al.</w:t>
      </w:r>
      <w:r w:rsidR="00A45502" w:rsidRPr="008778AA">
        <w:rPr>
          <w:rFonts w:ascii="Times New Roman" w:hAnsi="Times New Roman" w:cs="Times New Roman"/>
          <w:noProof/>
        </w:rPr>
        <w:t>, 2025)</w:t>
      </w:r>
      <w:r w:rsidR="00A45502" w:rsidRPr="008778AA">
        <w:rPr>
          <w:rFonts w:ascii="Times New Roman" w:hAnsi="Times New Roman" w:cs="Times New Roman"/>
        </w:rPr>
        <w:fldChar w:fldCharType="end"/>
      </w:r>
      <w:r w:rsidRPr="008778AA">
        <w:rPr>
          <w:rFonts w:ascii="Times New Roman" w:hAnsi="Times New Roman" w:cs="Times New Roman"/>
        </w:rPr>
        <w:t xml:space="preserve">. But it does </w:t>
      </w:r>
      <w:proofErr w:type="gramStart"/>
      <w:r w:rsidRPr="008778AA">
        <w:rPr>
          <w:rFonts w:ascii="Times New Roman" w:hAnsi="Times New Roman" w:cs="Times New Roman"/>
        </w:rPr>
        <w:t>makes</w:t>
      </w:r>
      <w:proofErr w:type="gramEnd"/>
      <w:r w:rsidRPr="008778AA">
        <w:rPr>
          <w:rFonts w:ascii="Times New Roman" w:hAnsi="Times New Roman" w:cs="Times New Roman"/>
        </w:rPr>
        <w:t xml:space="preserve"> the discipline of cash generation and covenants more important. Operating cash flow was also positive over the period and strengthened from $636m in 2021 to $898m in 2025, which enabled the payment of ordinary dividends and significant buybacks. </w:t>
      </w:r>
      <w:r w:rsidR="00A80675" w:rsidRPr="00A80675">
        <w:rPr>
          <w:rFonts w:ascii="Times New Roman" w:hAnsi="Times New Roman" w:cs="Times New Roman"/>
        </w:rPr>
        <w:t>So it's a positive trend from a CFO perspective, but there is a balance to be struck among distributions to shareholders, investments in debt, technology and cyclical hospitality risks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{"citationItems":[{"id":"ITEM-1","itemData":{"author":[{"dropping-particle":"","family":"Gupta","given":"Nidhi","non-dropping-particle":"","parse-names":false,"suffix":""}],"id":"ITEM-1","issued":{"date-parts":[["2024"]]},"title":"Beyond the Balance Sheet: The Strategic Role of Today’s CFO","type":"article-journal"},"uris":["http://www.mendeley.com/documents/?uuid=3622d788-d406-4e92-8072-ba3c5b73e969"]}],"mendeley":{"formattedCitation":"(Gupta, 2024)","plainTextFormattedCitation":"(Gupta, 2024)","previouslyFormattedCitation":"(Gupta, 2024)"},"properties":{"noteIndex":0},"schema":"https://github.com/citation-style-language/schema/raw/master/csl-citation.json"}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(Gupta, 2024)</w:t>
      </w:r>
      <w:r w:rsidR="00A45502" w:rsidRPr="008778AA">
        <w:rPr>
          <w:rFonts w:ascii="Times New Roman" w:hAnsi="Times New Roman" w:cs="Times New Roman"/>
        </w:rPr>
        <w:fldChar w:fldCharType="end"/>
      </w:r>
      <w:r w:rsidRPr="008778AA">
        <w:rPr>
          <w:rFonts w:ascii="Times New Roman" w:hAnsi="Times New Roman" w:cs="Times New Roman"/>
        </w:rPr>
        <w:t>.</w:t>
      </w:r>
    </w:p>
    <w:p w14:paraId="7911B707" w14:textId="218B4388" w:rsidR="007B781F" w:rsidRPr="008778AA" w:rsidRDefault="007B781F" w:rsidP="00AF2BDF">
      <w:pPr>
        <w:pStyle w:val="Heading2"/>
      </w:pPr>
      <w:bookmarkStart w:id="9" w:name="_Toc233392949"/>
      <w:bookmarkStart w:id="10" w:name="_Toc233884795"/>
      <w:r w:rsidRPr="00AF2BDF">
        <w:t>Profitability</w:t>
      </w:r>
      <w:r w:rsidRPr="008778AA">
        <w:t xml:space="preserve"> ratio analysis</w:t>
      </w:r>
      <w:bookmarkEnd w:id="9"/>
      <w:bookmarkEnd w:id="10"/>
    </w:p>
    <w:p w14:paraId="1BD06723" w14:textId="0DEAB5FB" w:rsidR="00892988"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The profitability ratios used were the standard ratios: operating profit margin, net profit margin, ROA and ROCE</w:t>
      </w:r>
      <w:r w:rsidR="005B748B" w:rsidRPr="005B748B">
        <w:rPr>
          <w:rFonts w:ascii="Times New Roman" w:hAnsi="Times New Roman" w:cs="Times New Roman"/>
        </w:rPr>
        <w:t>. On this basis, IHG’s operating profit margin moved from 17.0% in 2021 to 16.1% in 2022, before strengthening to 23.1% in 2023. It then softened to 21.1% in 2024, before recovering to 23.1% in 2025</w:t>
      </w:r>
      <w:r w:rsidRPr="008778AA">
        <w:rPr>
          <w:rFonts w:ascii="Times New Roman" w:hAnsi="Times New Roman" w:cs="Times New Roman"/>
        </w:rPr>
        <w:t xml:space="preserve"> Net profit margin </w:t>
      </w:r>
      <w:proofErr w:type="gramStart"/>
      <w:r w:rsidRPr="008778AA">
        <w:rPr>
          <w:rFonts w:ascii="Times New Roman" w:hAnsi="Times New Roman" w:cs="Times New Roman"/>
        </w:rPr>
        <w:t>followed</w:t>
      </w:r>
      <w:proofErr w:type="gramEnd"/>
      <w:r w:rsidRPr="008778AA">
        <w:rPr>
          <w:rFonts w:ascii="Times New Roman" w:hAnsi="Times New Roman" w:cs="Times New Roman"/>
        </w:rPr>
        <w:t xml:space="preserve"> a similar direction, rising from 9.1% in 2021 to 16.2% in 2023, before falling to 12.8% in 2024 and improving again to 14.6% in 2025. This suggests that IHG's profit recovery was not just revenue driven, but also benefited by operating leverage, fee expansion and cost control and discipline</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{"citationItems":[{"id":"ITEM-1","itemData":{"ISSN":"2470-4393","abstract":"This report examines the impact of COVID-19 on hotel industries and their management adaptations through the example of an IHG brand hotel. By presenting and analyzing the hotel’s data of 2020, a trend of noticeable decrease in booking and room revenue can be found. This report also illustrates the hotel’s service improvement program, which is used to counter such decrease in its revenues.","author":[{"dropping-particle":"","family":"Zhao","given":"Yilin","non-dropping-particle":"","parse-names":false,"suffix":""}],"container-title":"Research in Economics and Management","id":"ITEM-1","issue":"4","issued":{"date-parts":[["2020","11","20"]]},"page":"p164","title":"Report on Hotel Revenue and IHG’s Improvement Plan during COVID-19","type":"article-journal","volume":"5"},"uris":["http://www.mendeley.com/documents/?uuid=e5e788f8-675d-45c0-8d79-e8f7c51fd0d8"]}],"mendeley":{"formattedCitation":"(Zhao, 2020)","plainTextFormattedCitation":"(Zhao, 2020)","previouslyFormattedCitation":"(Zhao, 2020)"},"properties":{"noteIndex":0},"schema":"https://github.com/citation-style-language/schema/raw/master/csl-citation.json"}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(Zhao, 2020)</w:t>
      </w:r>
      <w:r w:rsidR="00A45502" w:rsidRPr="008778AA">
        <w:rPr>
          <w:rFonts w:ascii="Times New Roman" w:hAnsi="Times New Roman" w:cs="Times New Roman"/>
        </w:rPr>
        <w:fldChar w:fldCharType="end"/>
      </w:r>
      <w:r w:rsidRPr="008778AA">
        <w:rPr>
          <w:rFonts w:ascii="Times New Roman" w:hAnsi="Times New Roman" w:cs="Times New Roman"/>
        </w:rPr>
        <w:t>.</w:t>
      </w:r>
    </w:p>
    <w:p w14:paraId="2E88B94F" w14:textId="4263D5F5"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 xml:space="preserve">ROA improved from 5.4% in 2021 to 15.0% in 2025, while ROCE increased from 16.0% to 36.9%. These </w:t>
      </w:r>
      <w:proofErr w:type="gramStart"/>
      <w:r w:rsidRPr="008778AA">
        <w:rPr>
          <w:rFonts w:ascii="Times New Roman" w:hAnsi="Times New Roman" w:cs="Times New Roman"/>
        </w:rPr>
        <w:t>capital based</w:t>
      </w:r>
      <w:proofErr w:type="gramEnd"/>
      <w:r w:rsidRPr="008778AA">
        <w:rPr>
          <w:rFonts w:ascii="Times New Roman" w:hAnsi="Times New Roman" w:cs="Times New Roman"/>
        </w:rPr>
        <w:t xml:space="preserve"> ratios should be used with caution, however, as IHG's asset light business model and the fact that they are facing negative equity may make the returns look unusual. Basic EPS increased from 145.4 cents in 2021 to 443.8 cents in 2023, declined to 389.6 cents in 2024, and rose again in 2025. Notwithstanding, profitability is solid, and sustainability will rely on ongoing RevPAR growth and owner demand, cost control, and disciplined reinvestment as opposed to simply enhancing EPS through buybacks</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A45502" w:rsidRPr="008778AA">
        <w:rPr>
          <w:rFonts w:ascii="Times New Roman" w:hAnsi="Times New Roman" w:cs="Times New Roman"/>
        </w:rPr>
        <w:instrText>ADDIN CSL_CITATION {"citationItems":[{"id":"ITEM-1","itemData":{"ISSN":"22916822","abstract":"This study aimed to clarify the relationship between profitability, investment opportunities, and sustainable profits for industrial companies listed on the Amman Stock Exchange. The population consisted of all 53 industrial companies on the Exchange in 2022. Financial data was obtained for the period 2018-2022, including metrics on investment opportunities and profitability. Using statistical analysis like regression testing, we assessed the data to test hypotheses and reveal insights. Existing research presents mixed findings; some studies suggest a positive link between investment chances and financial performance and profit durability, while others make the opposite claim. Our results contribute uniquely to this ongoing debate by providing statistical evidence that investment opportunities have a robust, positive impact on profit sustainability. Additionally, profitability strongly influences both investment opportunity indicators and profit sustainability for these industrial companies. These conclusions assist stakeholders in justifying financial acquisitions and allocating capital to potential investments. The findings also aid in shaping short and long-term investment approaches aligned with company goals and policies. This can increase value creation for shareholders by enhancing profitability and sustaining profits over time. In summary, by quantitatively demonstrating the interconnected nature of profitability, investment opportunities and durable profits, this study equips decision makers to make informed strategic choices that promote growth and sustainability. The analysis methods and results add valuable insights to academic and practical understanding of these relationships within Jordan's industrial sector.","author":[{"dropping-particle":"","family":"Alshehadeh","given":"Abdul Razzak","non-dropping-particle":"","parse-names":false,"suffix":""},{"dropping-particle":"","family":"Elrefae","given":"Ghaleb Awad","non-dropping-particle":"","parse-names":false,"suffix":""},{"dropping-particle":"El","family":"Qirem","given":"Ihab Ali","non-dropping-particle":"","parse-names":false,"suffix":""},{"dropping-particle":"","family":"Hatamleh","given":"Habes Mohammad","non-dropping-particle":"","parse-names":false,"suffix":""},{"dropping-particle":"","family":"AlKhawaja","given":"Haneen","non-dropping-particle":"","parse-names":false,"suffix":""}],"container-title":"Uncertain Supply Chain Management","id":"ITEM-1","issue":"2","issued":{"date-parts":[["2024"]]},"page":"871-882","title":"Impact of profitability on investment opportunities and its effect on profit sustainability","type":"article-journal","volume":"12"},"uris":["http://www.mendeley.com/documents/?uuid=f46c69a9-3fbc-41b8-8447-c74e33f19c4c"]}],"mendeley":{"formattedCitation":"(Alshehadeh &lt;i&gt;et al.&lt;/i&gt;, 2024)","plainTextFormattedCitation":"(Alshehadeh et al., 2024)","previouslyFormattedCitation":"(Alshehadeh &lt;i&gt;et al.&lt;/i&gt;, 2024)"},"properties":{"noteIndex":0},"schema":"https://github.com/citation-style-language/schema/raw/master/csl-citation.json"}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 xml:space="preserve">(Alshehadeh </w:t>
      </w:r>
      <w:r w:rsidR="00A45502" w:rsidRPr="008778AA">
        <w:rPr>
          <w:rFonts w:ascii="Times New Roman" w:hAnsi="Times New Roman" w:cs="Times New Roman"/>
          <w:i/>
          <w:noProof/>
        </w:rPr>
        <w:t>et al.</w:t>
      </w:r>
      <w:r w:rsidR="00A45502" w:rsidRPr="008778AA">
        <w:rPr>
          <w:rFonts w:ascii="Times New Roman" w:hAnsi="Times New Roman" w:cs="Times New Roman"/>
          <w:noProof/>
        </w:rPr>
        <w:t>, 2024)</w:t>
      </w:r>
      <w:r w:rsidR="00A45502" w:rsidRPr="008778AA">
        <w:rPr>
          <w:rFonts w:ascii="Times New Roman" w:hAnsi="Times New Roman" w:cs="Times New Roman"/>
        </w:rPr>
        <w:fldChar w:fldCharType="end"/>
      </w:r>
      <w:r w:rsidRPr="008778AA">
        <w:rPr>
          <w:rFonts w:ascii="Times New Roman" w:hAnsi="Times New Roman" w:cs="Times New Roman"/>
        </w:rPr>
        <w:t>.</w:t>
      </w:r>
    </w:p>
    <w:p w14:paraId="6C04080C" w14:textId="196F07F3" w:rsidR="007B781F" w:rsidRPr="008778AA" w:rsidRDefault="007B781F" w:rsidP="00AF2BDF">
      <w:pPr>
        <w:pStyle w:val="Heading2"/>
      </w:pPr>
      <w:bookmarkStart w:id="11" w:name="_Toc233392950"/>
      <w:bookmarkStart w:id="12" w:name="_Toc233884796"/>
      <w:r w:rsidRPr="008778AA">
        <w:t>Liquidity ratio analysis and industry benchmark comparison</w:t>
      </w:r>
      <w:bookmarkEnd w:id="11"/>
      <w:bookmarkEnd w:id="12"/>
    </w:p>
    <w:p w14:paraId="1F52D5D5" w14:textId="7CF8BBBE" w:rsidR="00B82405"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 xml:space="preserve">Four ratios were used for the assessment of the liquidity: current ratio, quick ratio, cash ratio and the ratio of operating cash flow to current ratio. IHG’s current ratio declined from 1.27 in 2021 to 1.09 in 2022, before falling below 1.00 in 2023, 2024 and 2025. The quick ratio had a similar trend </w:t>
      </w:r>
      <w:proofErr w:type="gramStart"/>
      <w:r w:rsidRPr="008778AA">
        <w:rPr>
          <w:rFonts w:ascii="Times New Roman" w:hAnsi="Times New Roman" w:cs="Times New Roman"/>
        </w:rPr>
        <w:t>as</w:t>
      </w:r>
      <w:proofErr w:type="gramEnd"/>
      <w:r w:rsidRPr="008778AA">
        <w:rPr>
          <w:rFonts w:ascii="Times New Roman" w:hAnsi="Times New Roman" w:cs="Times New Roman"/>
        </w:rPr>
        <w:t xml:space="preserve"> the current ratio, as inventories are insignificant in IHG's business. The ratio for 2025 is a current </w:t>
      </w:r>
      <w:r w:rsidRPr="008778AA">
        <w:rPr>
          <w:rFonts w:ascii="Times New Roman" w:hAnsi="Times New Roman" w:cs="Times New Roman"/>
        </w:rPr>
        <w:lastRenderedPageBreak/>
        <w:t>ratio of 0.98 and quick ratio of 0.97, meaning that current liabilities slightly surpassed current assets.</w:t>
      </w:r>
    </w:p>
    <w:p w14:paraId="5AAFF8C6" w14:textId="77777777" w:rsidR="000A14F3" w:rsidRPr="008778AA" w:rsidRDefault="000A14F3"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4798E861" wp14:editId="373D6221">
            <wp:extent cx="5291138" cy="3081338"/>
            <wp:effectExtent l="0" t="0" r="5080" b="5080"/>
            <wp:docPr id="1286544" name="Chart 1">
              <a:extLst xmlns:a="http://schemas.openxmlformats.org/drawingml/2006/main">
                <a:ext uri="{FF2B5EF4-FFF2-40B4-BE49-F238E27FC236}">
                  <a16:creationId xmlns:a16="http://schemas.microsoft.com/office/drawing/2014/main" id="{31B03F68-6896-6FED-3C8D-CAE249A38B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E63985" w14:textId="0BF514BD" w:rsidR="000A14F3" w:rsidRPr="008778AA" w:rsidRDefault="000A14F3" w:rsidP="008778AA">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00B34136" w:rsidRPr="008778AA">
        <w:rPr>
          <w:rFonts w:ascii="Times New Roman" w:hAnsi="Times New Roman" w:cs="Times New Roman"/>
          <w:noProof/>
        </w:rPr>
        <w:t>3</w:t>
      </w:r>
      <w:r w:rsidRPr="008778AA">
        <w:rPr>
          <w:rFonts w:ascii="Times New Roman" w:hAnsi="Times New Roman" w:cs="Times New Roman"/>
        </w:rPr>
        <w:fldChar w:fldCharType="end"/>
      </w:r>
      <w:r w:rsidRPr="008778AA">
        <w:rPr>
          <w:rFonts w:ascii="Times New Roman" w:hAnsi="Times New Roman" w:cs="Times New Roman"/>
        </w:rPr>
        <w:t>- Liquidity ratio trend, 2021–2025</w:t>
      </w:r>
    </w:p>
    <w:p w14:paraId="62D70A51" w14:textId="6E810130" w:rsidR="007B781F" w:rsidRPr="008778AA" w:rsidRDefault="00892988" w:rsidP="008778AA">
      <w:pPr>
        <w:spacing w:line="360" w:lineRule="auto"/>
        <w:jc w:val="both"/>
        <w:rPr>
          <w:rFonts w:ascii="Times New Roman" w:hAnsi="Times New Roman" w:cs="Times New Roman"/>
        </w:rPr>
      </w:pPr>
      <w:r w:rsidRPr="008778AA">
        <w:rPr>
          <w:rFonts w:ascii="Times New Roman" w:hAnsi="Times New Roman" w:cs="Times New Roman"/>
        </w:rPr>
        <w:t>This is not to be taken as a mechanical sign of weak liquidity, however. IHG's cash ratio was comparatively robust at 0.54 in 2025, and operating cash flow ratio rose to 0.43, indicating that its operating cash generation is adequately supporting its short-term obligations. IHG currently has a higher ratio than the external hospitality peers, which average around 0.75–0.76, but a lower quick ratio than the wider travel and leisure industry median of about 1.13. However, given the downward trend from 2021, there is less short-term headroom and so protecting liquidity from interest costs, inflation, geopolitical uncertainly, and ongoing technology and ESG investment requirements should be done actively</w:t>
      </w:r>
      <w:r w:rsidR="00A45502" w:rsidRPr="008778AA">
        <w:rPr>
          <w:rFonts w:ascii="Times New Roman" w:hAnsi="Times New Roman" w:cs="Times New Roman"/>
        </w:rPr>
        <w:t xml:space="preserve"> </w:t>
      </w:r>
      <w:r w:rsidR="00A45502"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{"citationItems":[{"id":"ITEM-1","itemData":{"ISSN":"2754-1169","abstract":"In recent years, ESG (Environmental, Social, and Governance) investment has significantly integrated into investment strategies worldwide. The concept of ESG investing is not merely a fleeting trend but rather an essential tool for investors looking towards sustainable and responsible investment practices. With the evolution and adoption of ESG investments in the global market, a thorough examination of ESG investment practices reveals valuable insights. Nowadays, in economic landscape, the emphasis on ESG factors in investment decisions continues to grow, underscoring the importance of responsible investing practices in fostering long-term value creation and societal impact. This study offers noteworthy recommendations regarding ESG investment standards, aiming to drive improved ESG performance within enterprises. By adhering to robust ESG criteria, organizations can access enhanced financial prospects, paving the way for them to garner increased social recognition. Besides, this paper also put forward countermeasures and suggestions for China's ESG to improve China's ESG information disclosure system and the awareness of ESG.","author":[{"dropping-particle":"","family":"Yan","given":"Yunqi","non-dropping-particle":"","parse-names":false,"suffix":""}],"container-title":"Advances in Economics, Management and Political Sciences","id":"ITEM-1","issue":"1","issued":{"date-parts":[["2024","10","25"]]},"page":"14-22","title":"The Impact of ESG Standards and Investment : Global Trends and Practices","type":"article-journal","volume":"121"},"uris":["http://www.mendeley.com/documents/?uuid=af761fc8-bf0e-4ac0-a41d-f08fa4246be6"]}],"mendeley":{"formattedCitation":"(Yan, 2024)","plainTextFormattedCitation":"(Yan, 2024)","previouslyFormattedCitation":"(Yan, 2024)"},"properties":{"noteIndex":0},"schema":"https://github.com/citation-style-language/schema/raw/master/csl-citation.json"}</w:instrText>
      </w:r>
      <w:r w:rsidR="00A45502" w:rsidRPr="008778AA">
        <w:rPr>
          <w:rFonts w:ascii="Times New Roman" w:hAnsi="Times New Roman" w:cs="Times New Roman"/>
        </w:rPr>
        <w:fldChar w:fldCharType="separate"/>
      </w:r>
      <w:r w:rsidR="00A45502" w:rsidRPr="008778AA">
        <w:rPr>
          <w:rFonts w:ascii="Times New Roman" w:hAnsi="Times New Roman" w:cs="Times New Roman"/>
          <w:noProof/>
        </w:rPr>
        <w:t>(Yan, 2024)</w:t>
      </w:r>
      <w:r w:rsidR="00A45502" w:rsidRPr="008778AA">
        <w:rPr>
          <w:rFonts w:ascii="Times New Roman" w:hAnsi="Times New Roman" w:cs="Times New Roman"/>
        </w:rPr>
        <w:fldChar w:fldCharType="end"/>
      </w:r>
      <w:r w:rsidRPr="008778AA">
        <w:rPr>
          <w:rFonts w:ascii="Times New Roman" w:hAnsi="Times New Roman" w:cs="Times New Roman"/>
        </w:rPr>
        <w:t>.</w:t>
      </w:r>
    </w:p>
    <w:p w14:paraId="4D5F9342" w14:textId="6ACDF758" w:rsidR="007B781F" w:rsidRPr="008778AA" w:rsidRDefault="007B781F" w:rsidP="00AF2BDF">
      <w:pPr>
        <w:pStyle w:val="Heading2"/>
      </w:pPr>
      <w:bookmarkStart w:id="13" w:name="_Toc233392951"/>
      <w:bookmarkStart w:id="14" w:name="_Toc233884797"/>
      <w:r w:rsidRPr="008778AA">
        <w:t>Efficiency ratio analysis</w:t>
      </w:r>
      <w:bookmarkEnd w:id="13"/>
      <w:bookmarkEnd w:id="14"/>
    </w:p>
    <w:p w14:paraId="02482E43" w14:textId="2D665254"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Receivables days, payables days, asset turnover and working capital turnover were used to measure efficiency. Average Trade and Other Receivables were divided by the total revenue multiplied by 365 to arrive at receivables days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{"citationItems":[{"id":"ITEM-1","itemData":{"author":[{"dropping-particle":"","family":"Ljunggren","given":"Petter","non-dropping-particle":"","parse-names":false,"suffix":""}],"id":"ITEM-1","issued":{"date-parts":[["2025"]]},"title":"Accounts Receivable","type":"article-journal"},"uris":["http://www.mendeley.com/documents/?uuid=c52db637-df70-43fe-8ba7-366ab38ba826"]}],"mendeley":{"formattedCitation":"(Ljunggren, 2025)","plainTextFormattedCitation":"(Ljunggren, 2025)","previouslyFormattedCitation":"(Ljunggren, 2025)"},"properties":{"noteIndex":0},"schema":"https://github.com/citation-style-language/schema/raw/master/csl-citation.json"}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(Ljunggren, 2025)</w:t>
      </w:r>
      <w:r w:rsidR="0029177B" w:rsidRPr="008778AA">
        <w:rPr>
          <w:rFonts w:ascii="Times New Roman" w:hAnsi="Times New Roman" w:cs="Times New Roman"/>
        </w:rPr>
        <w:fldChar w:fldCharType="end"/>
      </w:r>
      <w:r w:rsidRPr="008778AA">
        <w:rPr>
          <w:rFonts w:ascii="Times New Roman" w:hAnsi="Times New Roman" w:cs="Times New Roman"/>
        </w:rPr>
        <w:t>. Based on this, IHG has moved from around 68 days in 2021 to 57 days in 2025, indicating better revenue generation as trading activities are now in a more normal phase post-pandemic. The ratio of asset turnover rose from close to 0.60 times in 2021 to 1.03 times in 2025.</w:t>
      </w:r>
    </w:p>
    <w:p w14:paraId="3834F891" w14:textId="44562542" w:rsidR="00344C61" w:rsidRPr="008778AA" w:rsidRDefault="00344C61" w:rsidP="008778AA">
      <w:pPr>
        <w:spacing w:line="360" w:lineRule="auto"/>
        <w:jc w:val="both"/>
        <w:rPr>
          <w:rFonts w:ascii="Times New Roman" w:hAnsi="Times New Roman" w:cs="Times New Roman"/>
        </w:rPr>
      </w:pPr>
      <w:r w:rsidRPr="008778AA">
        <w:rPr>
          <w:rFonts w:ascii="Times New Roman" w:hAnsi="Times New Roman" w:cs="Times New Roman"/>
        </w:rPr>
        <w:lastRenderedPageBreak/>
        <w:t>Ratio of asset turnover= Total revenue/Average total assets</w:t>
      </w:r>
    </w:p>
    <w:p w14:paraId="4F19B714" w14:textId="143EA980" w:rsidR="007B781F"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The number of days taken to payables was brought down from around 66 days to 47 days using average trade and other payables to revenue. This could suggest increased settlement discipline, however this should be viewed with caution, as the flows of IHG are supplier- and owner-related, which makes them more complicated than a traditional inventory company. Working capital turnover is of little value since the net working capital is around or below zero</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{"citationItems":[{"id":"ITEM-1","itemData":{"ISSN":"24546186","abstract":"This study aims to introduce another perspective to better understand working capital turnover ratio – a financial ratio that has been widely used in assessing working capital efficiency of a company. Using a true experimental and a simulation design method like simple business transactions, we find that this formula gives different figures. Management, therefore, may need to aware that the working capital turnover might be beneficial for analysts, but it may be not for financial managers. It provides different meaning as well as its relevancy for money management.","author":[{"dropping-particle":"","family":"Kabu","given":"Enos","non-dropping-particle":"","parse-names":false,"suffix":""},{"dropping-particle":"","family":"Y. Sahetapy Engle","given":"Stella","non-dropping-particle":"","parse-names":false,"suffix":""},{"dropping-particle":"","family":"C.B. Manteiro","given":"Maria","non-dropping-particle":"","parse-names":false,"suffix":""},{"dropping-particle":"","family":"Sakke Tira","given":"Deviarbi","non-dropping-particle":"","parse-names":false,"suffix":""}],"container-title":"International Journal of Research and Innovation in Social Science","id":"ITEM-1","issue":"IV","issued":{"date-parts":[["2024"]]},"page":"2042-2045","title":"Working Capital Turnover Ratio: A Managerial Perspective","type":"article-journal","volume":"VIII"},"uris":["http://www.mendeley.com/documents/?uuid=c9bca8a2-91c2-4983-9f52-a95be9c1c9f7"]}],"mendeley":{"formattedCitation":"(Kabu &lt;i&gt;et al.&lt;/i&gt;, 2024)","plainTextFormattedCitation":"(Kabu et al., 2024)","previouslyFormattedCitation":"(Kabu &lt;i&gt;et al.&lt;/i&gt;, 2024)"},"properties":{"noteIndex":0},"schema":"https://github.com/citation-style-language/schema/raw/master/csl-citation.json"}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 xml:space="preserve">(Kabu </w:t>
      </w:r>
      <w:r w:rsidR="0029177B" w:rsidRPr="008778AA">
        <w:rPr>
          <w:rFonts w:ascii="Times New Roman" w:hAnsi="Times New Roman" w:cs="Times New Roman"/>
          <w:i/>
          <w:noProof/>
        </w:rPr>
        <w:t>et al.</w:t>
      </w:r>
      <w:r w:rsidR="0029177B" w:rsidRPr="008778AA">
        <w:rPr>
          <w:rFonts w:ascii="Times New Roman" w:hAnsi="Times New Roman" w:cs="Times New Roman"/>
          <w:noProof/>
        </w:rPr>
        <w:t>, 2024)</w:t>
      </w:r>
      <w:r w:rsidR="0029177B" w:rsidRPr="008778AA">
        <w:rPr>
          <w:rFonts w:ascii="Times New Roman" w:hAnsi="Times New Roman" w:cs="Times New Roman"/>
        </w:rPr>
        <w:fldChar w:fldCharType="end"/>
      </w:r>
      <w:r w:rsidRPr="008778AA">
        <w:rPr>
          <w:rFonts w:ascii="Times New Roman" w:hAnsi="Times New Roman" w:cs="Times New Roman"/>
        </w:rPr>
        <w:t xml:space="preserve">. The franchise system, </w:t>
      </w:r>
      <w:proofErr w:type="spellStart"/>
      <w:r w:rsidRPr="008778AA">
        <w:rPr>
          <w:rFonts w:ascii="Times New Roman" w:hAnsi="Times New Roman" w:cs="Times New Roman"/>
        </w:rPr>
        <w:t>centralised</w:t>
      </w:r>
      <w:proofErr w:type="spellEnd"/>
      <w:r w:rsidRPr="008778AA">
        <w:rPr>
          <w:rFonts w:ascii="Times New Roman" w:hAnsi="Times New Roman" w:cs="Times New Roman"/>
        </w:rPr>
        <w:t xml:space="preserve"> systems, IHG's loyalty </w:t>
      </w:r>
      <w:proofErr w:type="spellStart"/>
      <w:r w:rsidRPr="008778AA">
        <w:rPr>
          <w:rFonts w:ascii="Times New Roman" w:hAnsi="Times New Roman" w:cs="Times New Roman"/>
        </w:rPr>
        <w:t>programme</w:t>
      </w:r>
      <w:proofErr w:type="spellEnd"/>
      <w:r w:rsidRPr="008778AA">
        <w:rPr>
          <w:rFonts w:ascii="Times New Roman" w:hAnsi="Times New Roman" w:cs="Times New Roman"/>
        </w:rPr>
        <w:t xml:space="preserve"> and digital channels, such as the 81% enterprise contribution achieved in 2024, all bolster efficiency.</w:t>
      </w:r>
    </w:p>
    <w:p w14:paraId="53C95F13" w14:textId="14CB7471" w:rsidR="007B781F" w:rsidRPr="008778AA" w:rsidRDefault="007B781F" w:rsidP="00AF2BDF">
      <w:pPr>
        <w:pStyle w:val="Heading2"/>
      </w:pPr>
      <w:bookmarkStart w:id="15" w:name="_Toc233392952"/>
      <w:bookmarkStart w:id="16" w:name="_Toc233884798"/>
      <w:r w:rsidRPr="00AF2BDF">
        <w:t>Gearing</w:t>
      </w:r>
      <w:r w:rsidRPr="008778AA">
        <w:t xml:space="preserve"> and solvency ratio analysis</w:t>
      </w:r>
      <w:bookmarkEnd w:id="15"/>
      <w:bookmarkEnd w:id="16"/>
    </w:p>
    <w:p w14:paraId="03019C0A" w14:textId="77777777"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Gearing was evaluated based on the debt to equity, debt to assets, interest cover and net debt. Solvency is better evaluated using debt-to-assets, net debt and covenant headroom as there was negative equity for the Group in 2021-2025, making debt-to-equity an irrelevant measurement for IHG. Using loans and other borrowings divided by total assets, IHG’s debt-to-assets ratio moved from approximately 60.3% in 2021 to 56.8% in 2022, then rose to 65.8% in 2023, 68.9% in 2024 and 78.6% in 2025. </w:t>
      </w:r>
    </w:p>
    <w:p w14:paraId="1B8174F0" w14:textId="1A028901" w:rsidR="007B781F"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Interest cover was 3.36 times in 2021 but rose to 11.71 times in 2023 before falling back to 5.13 times in </w:t>
      </w:r>
      <w:proofErr w:type="gramStart"/>
      <w:r w:rsidRPr="008778AA">
        <w:rPr>
          <w:rFonts w:ascii="Times New Roman" w:hAnsi="Times New Roman" w:cs="Times New Roman"/>
        </w:rPr>
        <w:t>2024, and</w:t>
      </w:r>
      <w:proofErr w:type="gramEnd"/>
      <w:r w:rsidRPr="008778AA">
        <w:rPr>
          <w:rFonts w:ascii="Times New Roman" w:hAnsi="Times New Roman" w:cs="Times New Roman"/>
        </w:rPr>
        <w:t xml:space="preserve"> improving to 5.93 times in 2025. IHG's covenants were easily met on a leverage basis, with the 2024 ratio at 2.35 compared to the maximum of 4.0, and interest cover at 9.72 against a minimum of 3.5. Net debt increased from $2,272 million in 2023 to $2,782 million in 2024 and $3,333 million in 2025. The solvency situation is reasonable, but as debt rises, so should buybacks and dividends as long as they do not deplete capital for reinvestment in technology, brand-building and ESG resiliency</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{"citationItems":[{"id":"ITEM-1","itemData":{"author":[{"dropping-particle":"","family":"Ajike","given":"Precious","non-dropping-particle":"","parse-names":false,"suffix":""}],"id":"ITEM-1","issued":{"date-parts":[["2025"]]},"title":"Assessing the Impact of Debt Ratio Variability on Corporate Solvency, Credit Risk Exposure, and Investment Decision- Making Efficiency","type":"article-journal"},"uris":["http://www.mendeley.com/documents/?uuid=2b500206-b14f-4063-ac78-3a38a87102f5"]}],"mendeley":{"formattedCitation":"(Ajike, 2025)","plainTextFormattedCitation":"(Ajike, 2025)","previouslyFormattedCitation":"(Ajike, 2025)"},"properties":{"noteIndex":0},"schema":"https://github.com/citation-style-language/schema/raw/master/csl-citation.json"}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(Ajike, 2025)</w:t>
      </w:r>
      <w:r w:rsidR="0029177B" w:rsidRPr="008778AA">
        <w:rPr>
          <w:rFonts w:ascii="Times New Roman" w:hAnsi="Times New Roman" w:cs="Times New Roman"/>
        </w:rPr>
        <w:fldChar w:fldCharType="end"/>
      </w:r>
      <w:r w:rsidRPr="008778AA">
        <w:rPr>
          <w:rFonts w:ascii="Times New Roman" w:hAnsi="Times New Roman" w:cs="Times New Roman"/>
        </w:rPr>
        <w:t>.</w:t>
      </w:r>
    </w:p>
    <w:p w14:paraId="4DF4449E" w14:textId="786A6659" w:rsidR="00011E8A" w:rsidRPr="008778AA" w:rsidRDefault="00011E8A" w:rsidP="00AF2BDF">
      <w:pPr>
        <w:pStyle w:val="Heading2"/>
      </w:pPr>
      <w:bookmarkStart w:id="17" w:name="_Toc233392953"/>
      <w:bookmarkStart w:id="18" w:name="_Toc233884799"/>
      <w:r w:rsidRPr="008778AA">
        <w:t>Investment and shareholder ratio analysis</w:t>
      </w:r>
      <w:bookmarkEnd w:id="17"/>
      <w:bookmarkEnd w:id="18"/>
    </w:p>
    <w:p w14:paraId="2EF93C37" w14:textId="7A50E7ED" w:rsidR="00011E8A"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The investment performance was evaluated by means of simple EPS, dividend per share, dividend cover and share buyback activity. Basic EPS is defined as profit after tax, excluding preference dividend, attributable to the ordinary shareholders divided by the weighted average number of ordinary shares outstanding and dividend cover is defined as basic EPS divided by total dividend per share</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{"citationItems":[{"id":"ITEM-1","itemData":{"author":[{"dropping-particle":"","family":"Kelly","given":"Gerard","non-dropping-particle":"","parse-names":false,"suffix":""}],"id":"ITEM-1","issued":{"date-parts":[["2020"]]},"title":"Earnings Per Share (Basic EPS)","type":"article-journal"},"uris":["http://www.mendeley.com/documents/?uuid=96b5ec8c-634b-440c-b154-ff5786c3fc58"]}],"mendeley":{"formattedCitation":"(Kelly, 2020)","plainTextFormattedCitation":"(Kelly, 2020)","previouslyFormattedCitation":"(Kelly, 2020)"},"properties":{"noteIndex":0},"schema":"https://github.com/citation-style-language/schema/raw/master/csl-citation.json"}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(Kelly, 2020)</w:t>
      </w:r>
      <w:r w:rsidR="0029177B" w:rsidRPr="008778AA">
        <w:rPr>
          <w:rFonts w:ascii="Times New Roman" w:hAnsi="Times New Roman" w:cs="Times New Roman"/>
        </w:rPr>
        <w:fldChar w:fldCharType="end"/>
      </w:r>
      <w:r w:rsidRPr="008778AA">
        <w:rPr>
          <w:rFonts w:ascii="Times New Roman" w:hAnsi="Times New Roman" w:cs="Times New Roman"/>
        </w:rPr>
        <w:t xml:space="preserve">. IHG’s EPS increased from 145.4 cents in 2021 to 207.2 cents in 2022 and 443.8 cents in 2023, before declining to 389.6 cents in 2024 and rising to 490.9 cents in 2025. </w:t>
      </w:r>
      <w:r w:rsidRPr="008778AA">
        <w:rPr>
          <w:rFonts w:ascii="Times New Roman" w:hAnsi="Times New Roman" w:cs="Times New Roman"/>
        </w:rPr>
        <w:lastRenderedPageBreak/>
        <w:t xml:space="preserve">Dividend per share also increased consistently, from 85.9 cents proposed for 2021 to 184.5 cents for 2025, giving dividend cover of approximately 1.7 times in 2021, 1.5 times in 2022, 2.9 times in 2023, 2.3 times in 2024 and 2.7 times in 2025. Shareholder distributions were bolstered by $500 million, $750 million, $800 million and $900 million of buybacks in 2022–25. </w:t>
      </w:r>
    </w:p>
    <w:p w14:paraId="68AD9D5E" w14:textId="17D5B7C9" w:rsidR="00011E8A" w:rsidRPr="008778AA" w:rsidRDefault="00011E8A" w:rsidP="00AF2BDF">
      <w:pPr>
        <w:pStyle w:val="Heading2"/>
      </w:pPr>
      <w:bookmarkStart w:id="19" w:name="_Toc233392954"/>
      <w:bookmarkStart w:id="20" w:name="_Toc233884800"/>
      <w:r w:rsidRPr="008778AA">
        <w:t xml:space="preserve">Cash </w:t>
      </w:r>
      <w:r w:rsidRPr="00AF2BDF">
        <w:t>flow</w:t>
      </w:r>
      <w:r w:rsidRPr="008778AA">
        <w:t xml:space="preserve"> analysis, strengths and threats</w:t>
      </w:r>
      <w:bookmarkEnd w:id="19"/>
      <w:bookmarkEnd w:id="20"/>
    </w:p>
    <w:p w14:paraId="677B117D" w14:textId="6FF940C0" w:rsidR="00011E8A"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Operating cash flow margin, cash conversion, cash free flow margin and operating cash flow to debt were used to evaluate cash-flow performance. Operating cash flow margin, calculated as net cash from operating activities divided by total revenue, was 21.9% in 2021, 16.6% in 2022, 19.3% in 2023, 14.7% in 2024 and 17.3% in 2025. The ratio of cash conversion (net cash from operating activities/operating profit) was positive, but it was lower for 2025 at 75.0% compared with 2021 at 128.7%. This is not a sign of cash weakness, but rather it reflects the increasing absorption of higher profit by cash flows arising from tax and interest, working capital and investments.</w:t>
      </w:r>
    </w:p>
    <w:p w14:paraId="37E760FF" w14:textId="77777777" w:rsidR="000A14F3" w:rsidRPr="008778AA" w:rsidRDefault="000A14F3" w:rsidP="008778AA">
      <w:pPr>
        <w:keepNext/>
        <w:spacing w:line="360" w:lineRule="auto"/>
        <w:jc w:val="center"/>
        <w:rPr>
          <w:rFonts w:ascii="Times New Roman" w:hAnsi="Times New Roman" w:cs="Times New Roman"/>
        </w:rPr>
      </w:pPr>
      <w:r w:rsidRPr="008778AA">
        <w:rPr>
          <w:rFonts w:ascii="Times New Roman" w:hAnsi="Times New Roman" w:cs="Times New Roman"/>
          <w:noProof/>
        </w:rPr>
        <w:drawing>
          <wp:inline distT="0" distB="0" distL="0" distR="0" wp14:anchorId="71640327" wp14:editId="24D9DD04">
            <wp:extent cx="5291138" cy="3119438"/>
            <wp:effectExtent l="0" t="0" r="5080" b="5080"/>
            <wp:docPr id="436633095" name="Chart 1">
              <a:extLst xmlns:a="http://schemas.openxmlformats.org/drawingml/2006/main">
                <a:ext uri="{FF2B5EF4-FFF2-40B4-BE49-F238E27FC236}">
                  <a16:creationId xmlns:a16="http://schemas.microsoft.com/office/drawing/2014/main" id="{60D1CC75-805D-553F-C05C-EFD3C6929A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52A685" w14:textId="709AA5DB" w:rsidR="000A14F3" w:rsidRPr="008778AA" w:rsidRDefault="000A14F3" w:rsidP="008778AA">
      <w:pPr>
        <w:pStyle w:val="Caption"/>
        <w:spacing w:line="360" w:lineRule="auto"/>
        <w:jc w:val="center"/>
        <w:rPr>
          <w:rFonts w:ascii="Times New Roman" w:hAnsi="Times New Roman" w:cs="Times New Roman"/>
        </w:rPr>
      </w:pPr>
      <w:r w:rsidRPr="008778AA">
        <w:rPr>
          <w:rFonts w:ascii="Times New Roman" w:hAnsi="Times New Roman" w:cs="Times New Roman"/>
        </w:rPr>
        <w:t xml:space="preserve">Figure </w:t>
      </w:r>
      <w:r w:rsidRPr="008778AA">
        <w:rPr>
          <w:rFonts w:ascii="Times New Roman" w:hAnsi="Times New Roman" w:cs="Times New Roman"/>
        </w:rPr>
        <w:fldChar w:fldCharType="begin"/>
      </w:r>
      <w:r w:rsidRPr="008778AA">
        <w:rPr>
          <w:rFonts w:ascii="Times New Roman" w:hAnsi="Times New Roman" w:cs="Times New Roman"/>
        </w:rPr>
        <w:instrText xml:space="preserve"> SEQ Figure \* ARABIC </w:instrText>
      </w:r>
      <w:r w:rsidRPr="008778AA">
        <w:rPr>
          <w:rFonts w:ascii="Times New Roman" w:hAnsi="Times New Roman" w:cs="Times New Roman"/>
        </w:rPr>
        <w:fldChar w:fldCharType="separate"/>
      </w:r>
      <w:r w:rsidR="00B34136" w:rsidRPr="008778AA">
        <w:rPr>
          <w:rFonts w:ascii="Times New Roman" w:hAnsi="Times New Roman" w:cs="Times New Roman"/>
          <w:noProof/>
        </w:rPr>
        <w:t>4</w:t>
      </w:r>
      <w:r w:rsidRPr="008778AA">
        <w:rPr>
          <w:rFonts w:ascii="Times New Roman" w:hAnsi="Times New Roman" w:cs="Times New Roman"/>
        </w:rPr>
        <w:fldChar w:fldCharType="end"/>
      </w:r>
      <w:r w:rsidRPr="008778AA">
        <w:rPr>
          <w:rFonts w:ascii="Times New Roman" w:hAnsi="Times New Roman" w:cs="Times New Roman"/>
        </w:rPr>
        <w:t>- Operating cash flow and adjusted free cash flow trend, 2021–2025</w:t>
      </w:r>
    </w:p>
    <w:p w14:paraId="2828D90D" w14:textId="77777777"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IHG's free cash flow is also proving to be resilient. On the latest re-presented basis, it moved from $615 million in 2021 to $589 million in 2022, $837 million in 2023, $655 million in 2024 and $893 million in 2025. </w:t>
      </w:r>
      <w:proofErr w:type="gramStart"/>
      <w:r w:rsidRPr="008778AA">
        <w:rPr>
          <w:rFonts w:ascii="Times New Roman" w:hAnsi="Times New Roman" w:cs="Times New Roman"/>
        </w:rPr>
        <w:t>This is confirming</w:t>
      </w:r>
      <w:proofErr w:type="gramEnd"/>
      <w:r w:rsidRPr="008778AA">
        <w:rPr>
          <w:rFonts w:ascii="Times New Roman" w:hAnsi="Times New Roman" w:cs="Times New Roman"/>
        </w:rPr>
        <w:t xml:space="preserve"> that IHG is still very </w:t>
      </w:r>
      <w:proofErr w:type="gramStart"/>
      <w:r w:rsidRPr="008778AA">
        <w:rPr>
          <w:rFonts w:ascii="Times New Roman" w:hAnsi="Times New Roman" w:cs="Times New Roman"/>
        </w:rPr>
        <w:t>much</w:t>
      </w:r>
      <w:proofErr w:type="gramEnd"/>
      <w:r w:rsidRPr="008778AA">
        <w:rPr>
          <w:rFonts w:ascii="Times New Roman" w:hAnsi="Times New Roman" w:cs="Times New Roman"/>
        </w:rPr>
        <w:t xml:space="preserve"> cash generative, but there is </w:t>
      </w:r>
      <w:r w:rsidRPr="008778AA">
        <w:rPr>
          <w:rFonts w:ascii="Times New Roman" w:hAnsi="Times New Roman" w:cs="Times New Roman"/>
        </w:rPr>
        <w:lastRenderedPageBreak/>
        <w:t xml:space="preserve">a bit of sensitivity here related to System Fund movements as well as contract acquisition cost, tax and interest payments for the </w:t>
      </w:r>
      <w:proofErr w:type="gramStart"/>
      <w:r w:rsidRPr="008778AA">
        <w:rPr>
          <w:rFonts w:ascii="Times New Roman" w:hAnsi="Times New Roman" w:cs="Times New Roman"/>
        </w:rPr>
        <w:t>year of</w:t>
      </w:r>
      <w:proofErr w:type="gramEnd"/>
      <w:r w:rsidRPr="008778AA">
        <w:rPr>
          <w:rFonts w:ascii="Times New Roman" w:hAnsi="Times New Roman" w:cs="Times New Roman"/>
        </w:rPr>
        <w:t xml:space="preserve"> 2024.</w:t>
      </w:r>
    </w:p>
    <w:p w14:paraId="70E916C3" w14:textId="19F3840B" w:rsidR="00011E8A" w:rsidRPr="008778AA" w:rsidRDefault="009C63C4" w:rsidP="008778AA">
      <w:pPr>
        <w:pStyle w:val="NoSpacing"/>
        <w:spacing w:line="360" w:lineRule="auto"/>
        <w:jc w:val="both"/>
        <w:rPr>
          <w:rFonts w:ascii="Times New Roman" w:hAnsi="Times New Roman" w:cs="Times New Roman"/>
        </w:rPr>
      </w:pPr>
      <w:r w:rsidRPr="008778AA">
        <w:rPr>
          <w:rFonts w:ascii="Times New Roman" w:hAnsi="Times New Roman" w:cs="Times New Roman"/>
        </w:rPr>
        <w:t>Overall, IHG's financial strength is robust: with a scale-driven model and being asset-light, IHG's growth and digital distribution and positive cash generation provide resilience</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{"citationItems":[{"id":"ITEM-1","itemData":{"author":[{"dropping-particle":"","family":"IHG","given":"","non-dropping-particle":"","parse-names":false,"suffix":""}],"id":"ITEM-1","issued":{"date-parts":[["2021"]]},"title":"On a journey towards a better future","type":"article-journal"},"uris":["http://www.mendeley.com/documents/?uuid=585b1e86-65ea-4699-ac12-eeb28787d583"]}],"mendeley":{"formattedCitation":"(IHG, 2021)","plainTextFormattedCitation":"(IHG, 2021)","previouslyFormattedCitation":"(IHG, 2021)"},"properties":{"noteIndex":0},"schema":"https://github.com/citation-style-language/schema/raw/master/csl-citation.json"}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(IHG, 2021)</w:t>
      </w:r>
      <w:r w:rsidR="0029177B" w:rsidRPr="008778AA">
        <w:rPr>
          <w:rFonts w:ascii="Times New Roman" w:hAnsi="Times New Roman" w:cs="Times New Roman"/>
        </w:rPr>
        <w:fldChar w:fldCharType="end"/>
      </w:r>
      <w:r w:rsidRPr="008778AA">
        <w:rPr>
          <w:rFonts w:ascii="Times New Roman" w:hAnsi="Times New Roman" w:cs="Times New Roman"/>
        </w:rPr>
        <w:t xml:space="preserve">. But the primary risks </w:t>
      </w:r>
      <w:proofErr w:type="gramStart"/>
      <w:r w:rsidRPr="008778AA">
        <w:rPr>
          <w:rFonts w:ascii="Times New Roman" w:hAnsi="Times New Roman" w:cs="Times New Roman"/>
        </w:rPr>
        <w:t>include:</w:t>
      </w:r>
      <w:proofErr w:type="gramEnd"/>
      <w:r w:rsidRPr="008778AA">
        <w:rPr>
          <w:rFonts w:ascii="Times New Roman" w:hAnsi="Times New Roman" w:cs="Times New Roman"/>
        </w:rPr>
        <w:t xml:space="preserve"> debt escalation, interest rates, foreign exchange risk, pressure of owner financing, geopolitical risks, cyber and data dangers, climate duties, inflation and fierce rivalry for guest loyalty. </w:t>
      </w:r>
      <w:r w:rsidR="00011E8A" w:rsidRPr="008778AA">
        <w:rPr>
          <w:rFonts w:ascii="Times New Roman" w:hAnsi="Times New Roman" w:cs="Times New Roman"/>
        </w:rPr>
        <w:t xml:space="preserve"> </w:t>
      </w:r>
    </w:p>
    <w:p w14:paraId="602BC6E3" w14:textId="6B8BE150" w:rsidR="00011E8A" w:rsidRPr="008778AA" w:rsidRDefault="00011E8A" w:rsidP="00622A00">
      <w:pPr>
        <w:pStyle w:val="Heading1"/>
        <w:numPr>
          <w:ilvl w:val="0"/>
          <w:numId w:val="9"/>
        </w:numPr>
      </w:pPr>
      <w:bookmarkStart w:id="21" w:name="_Toc233392955"/>
      <w:bookmarkStart w:id="22" w:name="_Toc233884801"/>
      <w:r w:rsidRPr="008778AA">
        <w:t>Working Capital Management Analysis</w:t>
      </w:r>
      <w:bookmarkEnd w:id="21"/>
      <w:bookmarkEnd w:id="22"/>
    </w:p>
    <w:p w14:paraId="0A79DB25" w14:textId="74DBD3A5" w:rsidR="00011E8A" w:rsidRPr="008778AA" w:rsidRDefault="00011E8A" w:rsidP="00AF2BDF">
      <w:pPr>
        <w:pStyle w:val="Heading2"/>
      </w:pPr>
      <w:bookmarkStart w:id="23" w:name="_Toc233392956"/>
      <w:bookmarkStart w:id="24" w:name="_Toc233884802"/>
      <w:r w:rsidRPr="008778AA">
        <w:t xml:space="preserve">Cash </w:t>
      </w:r>
      <w:r w:rsidRPr="00AF2BDF">
        <w:t>operating</w:t>
      </w:r>
      <w:r w:rsidRPr="008778AA">
        <w:t xml:space="preserve"> cycle assessment</w:t>
      </w:r>
      <w:bookmarkEnd w:id="23"/>
      <w:bookmarkEnd w:id="24"/>
    </w:p>
    <w:p w14:paraId="4F896DD1" w14:textId="194A59C7" w:rsidR="00182BC3"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IHG's cash operating cycle was evaluated as the receivables days plus inventory days minus the payables days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{"citationItems":[{"id":"ITEM-1","itemData":{"author":[{"dropping-particle":"","family":"Schmidt","given":"Jeff","non-dropping-particle":"","parse-names":false,"suffix":""}],"id":"ITEM-1","issued":{"date-parts":[["2019"]]},"title":"Working Capital Cycle","type":"article-journal"},"uris":["http://www.mendeley.com/documents/?uuid=91c5ac39-1b9d-44b3-bdf8-35d4fac93541"]}],"mendeley":{"formattedCitation":"(Schmidt, 2019)","plainTextFormattedCitation":"(Schmidt, 2019)","previouslyFormattedCitation":"(Schmidt, 2019)"},"properties":{"noteIndex":0},"schema":"https://github.com/citation-style-language/schema/raw/master/csl-citation.json"}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(Schmidt, 2019)</w:t>
      </w:r>
      <w:r w:rsidR="0029177B" w:rsidRPr="008778AA">
        <w:rPr>
          <w:rFonts w:ascii="Times New Roman" w:hAnsi="Times New Roman" w:cs="Times New Roman"/>
        </w:rPr>
        <w:fldChar w:fldCharType="end"/>
      </w:r>
      <w:r w:rsidRPr="008778AA">
        <w:rPr>
          <w:rFonts w:ascii="Times New Roman" w:hAnsi="Times New Roman" w:cs="Times New Roman"/>
        </w:rPr>
        <w:t xml:space="preserve">. </w:t>
      </w:r>
      <w:r w:rsidR="005B748B" w:rsidRPr="005B748B">
        <w:rPr>
          <w:rFonts w:ascii="Times New Roman" w:hAnsi="Times New Roman" w:cs="Times New Roman"/>
        </w:rPr>
        <w:t>Receivables days defined as average trade and other receivables/ Revenue × 365, average inventories / Revenue × 365, and average trade and other payables / Revenue × 365, respectively</w:t>
      </w:r>
      <w:r w:rsidR="005B748B">
        <w:rPr>
          <w:rFonts w:ascii="Times New Roman" w:hAnsi="Times New Roman" w:cs="Times New Roman"/>
        </w:rPr>
        <w:t xml:space="preserve"> </w:t>
      </w:r>
      <w:r w:rsidRPr="008778AA">
        <w:rPr>
          <w:rFonts w:ascii="Times New Roman" w:hAnsi="Times New Roman" w:cs="Times New Roman"/>
        </w:rPr>
        <w:t xml:space="preserve">365, respectively. </w:t>
      </w:r>
      <w:proofErr w:type="gramStart"/>
      <w:r w:rsidRPr="008778AA">
        <w:rPr>
          <w:rFonts w:ascii="Times New Roman" w:hAnsi="Times New Roman" w:cs="Times New Roman"/>
        </w:rPr>
        <w:t>It's</w:t>
      </w:r>
      <w:proofErr w:type="gramEnd"/>
      <w:r w:rsidRPr="008778AA">
        <w:rPr>
          <w:rFonts w:ascii="Times New Roman" w:hAnsi="Times New Roman" w:cs="Times New Roman"/>
        </w:rPr>
        <w:t xml:space="preserve"> primary working capital is represented by the franchise fees, management fees, reimbursable revenues, owner payments, supplier accruals, deferred revenue and </w:t>
      </w:r>
      <w:proofErr w:type="spellStart"/>
      <w:r w:rsidRPr="008778AA">
        <w:rPr>
          <w:rFonts w:ascii="Times New Roman" w:hAnsi="Times New Roman" w:cs="Times New Roman"/>
        </w:rPr>
        <w:t>centralised</w:t>
      </w:r>
      <w:proofErr w:type="spellEnd"/>
      <w:r w:rsidRPr="008778AA">
        <w:rPr>
          <w:rFonts w:ascii="Times New Roman" w:hAnsi="Times New Roman" w:cs="Times New Roman"/>
        </w:rPr>
        <w:t xml:space="preserve"> corporate costs, not physical inventory.</w:t>
      </w:r>
    </w:p>
    <w:p w14:paraId="4E9FA949" w14:textId="71C0BD58" w:rsidR="0016378B" w:rsidRPr="008778AA" w:rsidRDefault="0016378B" w:rsidP="008778AA">
      <w:pPr>
        <w:pStyle w:val="Caption"/>
        <w:keepNext/>
        <w:spacing w:line="360" w:lineRule="auto"/>
        <w:jc w:val="center"/>
        <w:rPr>
          <w:rFonts w:ascii="Times New Roman" w:hAnsi="Times New Roman" w:cs="Times New Roman"/>
        </w:rPr>
      </w:pPr>
      <w:r w:rsidRPr="008778AA">
        <w:rPr>
          <w:rFonts w:ascii="Times New Roman" w:hAnsi="Times New Roman" w:cs="Times New Roman"/>
        </w:rPr>
        <w:t xml:space="preserve">Table </w:t>
      </w:r>
      <w:r w:rsidRPr="008778AA">
        <w:rPr>
          <w:rFonts w:ascii="Times New Roman" w:hAnsi="Times New Roman" w:cs="Times New Roman"/>
        </w:rPr>
        <w:fldChar w:fldCharType="begin"/>
      </w:r>
      <w:r w:rsidRPr="008778AA">
        <w:rPr>
          <w:rFonts w:ascii="Times New Roman" w:hAnsi="Times New Roman" w:cs="Times New Roman"/>
        </w:rPr>
        <w:instrText xml:space="preserve"> SEQ Table \* ARABIC </w:instrText>
      </w:r>
      <w:r w:rsidRPr="008778AA">
        <w:rPr>
          <w:rFonts w:ascii="Times New Roman" w:hAnsi="Times New Roman" w:cs="Times New Roman"/>
        </w:rPr>
        <w:fldChar w:fldCharType="separate"/>
      </w:r>
      <w:r w:rsidRPr="008778AA">
        <w:rPr>
          <w:rFonts w:ascii="Times New Roman" w:hAnsi="Times New Roman" w:cs="Times New Roman"/>
          <w:noProof/>
        </w:rPr>
        <w:t>1</w:t>
      </w:r>
      <w:r w:rsidRPr="008778AA">
        <w:rPr>
          <w:rFonts w:ascii="Times New Roman" w:hAnsi="Times New Roman" w:cs="Times New Roman"/>
        </w:rPr>
        <w:fldChar w:fldCharType="end"/>
      </w:r>
      <w:r w:rsidRPr="008778AA">
        <w:rPr>
          <w:rFonts w:ascii="Times New Roman" w:hAnsi="Times New Roman" w:cs="Times New Roman"/>
        </w:rPr>
        <w:t>- IHG cash operating cycle, 2021–2025</w:t>
      </w:r>
    </w:p>
    <w:tbl>
      <w:tblPr>
        <w:tblStyle w:val="TableGrid"/>
        <w:tblW w:w="9202" w:type="dxa"/>
        <w:tblLook w:val="04A0" w:firstRow="1" w:lastRow="0" w:firstColumn="1" w:lastColumn="0" w:noHBand="0" w:noVBand="1"/>
      </w:tblPr>
      <w:tblGrid>
        <w:gridCol w:w="762"/>
        <w:gridCol w:w="2130"/>
        <w:gridCol w:w="1926"/>
        <w:gridCol w:w="1808"/>
        <w:gridCol w:w="2576"/>
      </w:tblGrid>
      <w:tr w:rsidR="00182BC3" w:rsidRPr="008778AA" w14:paraId="75C3B53B" w14:textId="77777777" w:rsidTr="00A5335F">
        <w:trPr>
          <w:trHeight w:val="739"/>
        </w:trPr>
        <w:tc>
          <w:tcPr>
            <w:tcW w:w="0" w:type="auto"/>
            <w:hideMark/>
          </w:tcPr>
          <w:p w14:paraId="6646D8D6"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Year</w:t>
            </w:r>
          </w:p>
        </w:tc>
        <w:tc>
          <w:tcPr>
            <w:tcW w:w="0" w:type="auto"/>
            <w:hideMark/>
          </w:tcPr>
          <w:p w14:paraId="46F988BF"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Receivables days</w:t>
            </w:r>
          </w:p>
        </w:tc>
        <w:tc>
          <w:tcPr>
            <w:tcW w:w="0" w:type="auto"/>
            <w:hideMark/>
          </w:tcPr>
          <w:p w14:paraId="6DFFDCA7"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Inventory days</w:t>
            </w:r>
          </w:p>
        </w:tc>
        <w:tc>
          <w:tcPr>
            <w:tcW w:w="0" w:type="auto"/>
            <w:hideMark/>
          </w:tcPr>
          <w:p w14:paraId="0BC0E7A2"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Payables days</w:t>
            </w:r>
          </w:p>
        </w:tc>
        <w:tc>
          <w:tcPr>
            <w:tcW w:w="0" w:type="auto"/>
            <w:hideMark/>
          </w:tcPr>
          <w:p w14:paraId="0282FA29" w14:textId="77777777" w:rsidR="00182BC3" w:rsidRPr="008778AA" w:rsidRDefault="00182BC3"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Cash operating cycle</w:t>
            </w:r>
          </w:p>
        </w:tc>
      </w:tr>
      <w:tr w:rsidR="00182BC3" w:rsidRPr="008778AA" w14:paraId="0AA64868" w14:textId="77777777" w:rsidTr="00A5335F">
        <w:trPr>
          <w:trHeight w:val="751"/>
        </w:trPr>
        <w:tc>
          <w:tcPr>
            <w:tcW w:w="0" w:type="auto"/>
            <w:hideMark/>
          </w:tcPr>
          <w:p w14:paraId="700C9D6E"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2021</w:t>
            </w:r>
          </w:p>
        </w:tc>
        <w:tc>
          <w:tcPr>
            <w:tcW w:w="0" w:type="auto"/>
            <w:hideMark/>
          </w:tcPr>
          <w:p w14:paraId="2F00859D"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68.3</w:t>
            </w:r>
          </w:p>
        </w:tc>
        <w:tc>
          <w:tcPr>
            <w:tcW w:w="0" w:type="auto"/>
            <w:hideMark/>
          </w:tcPr>
          <w:p w14:paraId="4212AD3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0.6</w:t>
            </w:r>
          </w:p>
        </w:tc>
        <w:tc>
          <w:tcPr>
            <w:tcW w:w="0" w:type="auto"/>
            <w:hideMark/>
          </w:tcPr>
          <w:p w14:paraId="618C7810"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65.6</w:t>
            </w:r>
          </w:p>
        </w:tc>
        <w:tc>
          <w:tcPr>
            <w:tcW w:w="0" w:type="auto"/>
            <w:hideMark/>
          </w:tcPr>
          <w:p w14:paraId="64E6F087"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3.3 days</w:t>
            </w:r>
          </w:p>
        </w:tc>
      </w:tr>
      <w:tr w:rsidR="00182BC3" w:rsidRPr="008778AA" w14:paraId="49F875CA" w14:textId="77777777" w:rsidTr="00A5335F">
        <w:trPr>
          <w:trHeight w:val="739"/>
        </w:trPr>
        <w:tc>
          <w:tcPr>
            <w:tcW w:w="0" w:type="auto"/>
            <w:hideMark/>
          </w:tcPr>
          <w:p w14:paraId="28347DB2"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2022</w:t>
            </w:r>
          </w:p>
        </w:tc>
        <w:tc>
          <w:tcPr>
            <w:tcW w:w="0" w:type="auto"/>
            <w:hideMark/>
          </w:tcPr>
          <w:p w14:paraId="00C6ED2F"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57.2</w:t>
            </w:r>
          </w:p>
        </w:tc>
        <w:tc>
          <w:tcPr>
            <w:tcW w:w="0" w:type="auto"/>
            <w:hideMark/>
          </w:tcPr>
          <w:p w14:paraId="6A85DD8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0.4</w:t>
            </w:r>
          </w:p>
        </w:tc>
        <w:tc>
          <w:tcPr>
            <w:tcW w:w="0" w:type="auto"/>
            <w:hideMark/>
          </w:tcPr>
          <w:p w14:paraId="2C91038D"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59.8</w:t>
            </w:r>
          </w:p>
        </w:tc>
        <w:tc>
          <w:tcPr>
            <w:tcW w:w="0" w:type="auto"/>
            <w:hideMark/>
          </w:tcPr>
          <w:p w14:paraId="5242064C"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-2.3 days</w:t>
            </w:r>
          </w:p>
        </w:tc>
      </w:tr>
      <w:tr w:rsidR="00182BC3" w:rsidRPr="008778AA" w14:paraId="0C518BCB" w14:textId="77777777" w:rsidTr="00A5335F">
        <w:trPr>
          <w:trHeight w:val="739"/>
        </w:trPr>
        <w:tc>
          <w:tcPr>
            <w:tcW w:w="0" w:type="auto"/>
            <w:hideMark/>
          </w:tcPr>
          <w:p w14:paraId="5BCB9A9A"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2023</w:t>
            </w:r>
          </w:p>
        </w:tc>
        <w:tc>
          <w:tcPr>
            <w:tcW w:w="0" w:type="auto"/>
            <w:hideMark/>
          </w:tcPr>
          <w:p w14:paraId="2CF6E614"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54.7</w:t>
            </w:r>
          </w:p>
        </w:tc>
        <w:tc>
          <w:tcPr>
            <w:tcW w:w="0" w:type="auto"/>
            <w:hideMark/>
          </w:tcPr>
          <w:p w14:paraId="16E568D5"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0.4</w:t>
            </w:r>
          </w:p>
        </w:tc>
        <w:tc>
          <w:tcPr>
            <w:tcW w:w="0" w:type="auto"/>
            <w:hideMark/>
          </w:tcPr>
          <w:p w14:paraId="79F36581"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55.6</w:t>
            </w:r>
          </w:p>
        </w:tc>
        <w:tc>
          <w:tcPr>
            <w:tcW w:w="0" w:type="auto"/>
            <w:hideMark/>
          </w:tcPr>
          <w:p w14:paraId="0989F390"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-0.5 days</w:t>
            </w:r>
          </w:p>
        </w:tc>
      </w:tr>
      <w:tr w:rsidR="00182BC3" w:rsidRPr="008778AA" w14:paraId="0F84F3AB" w14:textId="77777777" w:rsidTr="00A5335F">
        <w:trPr>
          <w:trHeight w:val="751"/>
        </w:trPr>
        <w:tc>
          <w:tcPr>
            <w:tcW w:w="0" w:type="auto"/>
            <w:hideMark/>
          </w:tcPr>
          <w:p w14:paraId="2F6CB23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2024</w:t>
            </w:r>
          </w:p>
        </w:tc>
        <w:tc>
          <w:tcPr>
            <w:tcW w:w="0" w:type="auto"/>
            <w:hideMark/>
          </w:tcPr>
          <w:p w14:paraId="77FE3FD9"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56.5</w:t>
            </w:r>
          </w:p>
        </w:tc>
        <w:tc>
          <w:tcPr>
            <w:tcW w:w="0" w:type="auto"/>
            <w:hideMark/>
          </w:tcPr>
          <w:p w14:paraId="6FE44D6F"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0.3</w:t>
            </w:r>
          </w:p>
        </w:tc>
        <w:tc>
          <w:tcPr>
            <w:tcW w:w="0" w:type="auto"/>
            <w:hideMark/>
          </w:tcPr>
          <w:p w14:paraId="247B80DB"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50.5</w:t>
            </w:r>
          </w:p>
        </w:tc>
        <w:tc>
          <w:tcPr>
            <w:tcW w:w="0" w:type="auto"/>
            <w:hideMark/>
          </w:tcPr>
          <w:p w14:paraId="310B09D5"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6.4 days</w:t>
            </w:r>
          </w:p>
        </w:tc>
      </w:tr>
      <w:tr w:rsidR="00182BC3" w:rsidRPr="008778AA" w14:paraId="7FD09938" w14:textId="77777777" w:rsidTr="00A5335F">
        <w:trPr>
          <w:trHeight w:val="739"/>
        </w:trPr>
        <w:tc>
          <w:tcPr>
            <w:tcW w:w="0" w:type="auto"/>
            <w:hideMark/>
          </w:tcPr>
          <w:p w14:paraId="7A849EF0"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2025</w:t>
            </w:r>
          </w:p>
        </w:tc>
        <w:tc>
          <w:tcPr>
            <w:tcW w:w="0" w:type="auto"/>
            <w:hideMark/>
          </w:tcPr>
          <w:p w14:paraId="4CD269C1"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56.9</w:t>
            </w:r>
          </w:p>
        </w:tc>
        <w:tc>
          <w:tcPr>
            <w:tcW w:w="0" w:type="auto"/>
            <w:hideMark/>
          </w:tcPr>
          <w:p w14:paraId="3F2FE1A9"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0.3</w:t>
            </w:r>
          </w:p>
        </w:tc>
        <w:tc>
          <w:tcPr>
            <w:tcW w:w="0" w:type="auto"/>
            <w:hideMark/>
          </w:tcPr>
          <w:p w14:paraId="2AF0F45A"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46.6</w:t>
            </w:r>
          </w:p>
        </w:tc>
        <w:tc>
          <w:tcPr>
            <w:tcW w:w="0" w:type="auto"/>
            <w:hideMark/>
          </w:tcPr>
          <w:p w14:paraId="78DAE002" w14:textId="77777777" w:rsidR="00182BC3" w:rsidRPr="008778AA" w:rsidRDefault="00182BC3" w:rsidP="008778AA">
            <w:pPr>
              <w:spacing w:after="160" w:line="360" w:lineRule="auto"/>
              <w:jc w:val="center"/>
              <w:rPr>
                <w:rFonts w:ascii="Times New Roman" w:hAnsi="Times New Roman" w:cs="Times New Roman"/>
              </w:rPr>
            </w:pPr>
            <w:r w:rsidRPr="008778AA">
              <w:rPr>
                <w:rFonts w:ascii="Times New Roman" w:hAnsi="Times New Roman" w:cs="Times New Roman"/>
              </w:rPr>
              <w:t>10.6 days</w:t>
            </w:r>
          </w:p>
        </w:tc>
      </w:tr>
    </w:tbl>
    <w:p w14:paraId="39F37278" w14:textId="6D1066FD" w:rsidR="00011E8A"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lastRenderedPageBreak/>
        <w:t>The results indicate that IHG's cash operating cycle is brief and reflects its asset-light and fee-based business model. Inventory days don't matter because IHG is not a traditional inventory holding business. Thus, the primary working capital problem is not the control of inventories but the timing of franchise, management and owner settlements, reimbursable revenues, supplier payments and deferred revenue</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{"citationItems":[{"id":"ITEM-1","itemData":{"ISSN":"24546186","abstract":"Businesses must manage their working capital well since it affects their resilience and profitability. Liquidity and profitability must be balanced. Sustaining sufficient operating capital guarantees operational stability and on-time payment of debts. Shortening the cash conversion cycle and increasing efficiency maximizes cash flow. This approach provides advantageous lending terms and increases credibility with stakeholders. Conversely, poor working capital management can lead to cash flow issues, increased costs, and missed opportunities. Overtrading brought on by low liquidity might jeopardize financial stability. To secure a business’s long-term success in the face of changeable market conditions, regular assessments and adaptable plans are essential. Thus, this study focuses on the effects of poor working capital management resulting to business failure.","author":[{"dropping-particle":"","family":"Alade","given":"Tesleem Adelodun","non-dropping-particle":"","parse-names":false,"suffix":""}],"container-title":"International Journal of Research and Innovation in Social Science","id":"ITEM-1","issue":"I","issued":{"date-parts":[["2024"]]},"page":"1120-1124","title":"Poor Working Capital Management Remain Major Cause of Business Failure","type":"article-journal","volume":"VIII"},"uris":["http://www.mendeley.com/documents/?uuid=19224ac0-9434-4326-9eed-1d5d1e62042c"]}],"mendeley":{"formattedCitation":"(Alade, 2024)","plainTextFormattedCitation":"(Alade, 2024)","previouslyFormattedCitation":"(Alade, 2024)"},"properties":{"noteIndex":0},"schema":"https://github.com/citation-style-language/schema/raw/master/csl-citation.json"}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(Alade, 2024)</w:t>
      </w:r>
      <w:r w:rsidR="0029177B" w:rsidRPr="008778AA">
        <w:rPr>
          <w:rFonts w:ascii="Times New Roman" w:hAnsi="Times New Roman" w:cs="Times New Roman"/>
        </w:rPr>
        <w:fldChar w:fldCharType="end"/>
      </w:r>
      <w:r w:rsidRPr="008778AA">
        <w:rPr>
          <w:rFonts w:ascii="Times New Roman" w:hAnsi="Times New Roman" w:cs="Times New Roman"/>
        </w:rPr>
        <w:t xml:space="preserve">. The negative cycle in 2022 and 2023 is a positive working capital timing that is followed by the decrease to 10.6 days in 2025, which means that the short-term cash efficiency will have declined. </w:t>
      </w:r>
      <w:r w:rsidR="00182BC3" w:rsidRPr="008778AA">
        <w:rPr>
          <w:rFonts w:ascii="Times New Roman" w:hAnsi="Times New Roman" w:cs="Times New Roman"/>
        </w:rPr>
        <w:t xml:space="preserve"> </w:t>
      </w:r>
    </w:p>
    <w:p w14:paraId="4B7B3159" w14:textId="0B0D38B0" w:rsidR="00011E8A" w:rsidRPr="008778AA" w:rsidRDefault="00011E8A" w:rsidP="00AF2BDF">
      <w:pPr>
        <w:pStyle w:val="Heading2"/>
      </w:pPr>
      <w:bookmarkStart w:id="25" w:name="_Toc233392957"/>
      <w:bookmarkStart w:id="26" w:name="_Toc233884803"/>
      <w:r w:rsidRPr="008778AA">
        <w:t xml:space="preserve">Working capital reforms to improve </w:t>
      </w:r>
      <w:r w:rsidRPr="00AF2BDF">
        <w:t>liquidity</w:t>
      </w:r>
      <w:bookmarkEnd w:id="25"/>
      <w:bookmarkEnd w:id="26"/>
    </w:p>
    <w:p w14:paraId="44B29887" w14:textId="60B56424"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The first reform </w:t>
      </w:r>
      <w:proofErr w:type="gramStart"/>
      <w:r w:rsidRPr="008778AA">
        <w:rPr>
          <w:rFonts w:ascii="Times New Roman" w:hAnsi="Times New Roman" w:cs="Times New Roman"/>
        </w:rPr>
        <w:t>has to</w:t>
      </w:r>
      <w:proofErr w:type="gramEnd"/>
      <w:r w:rsidRPr="008778AA">
        <w:rPr>
          <w:rFonts w:ascii="Times New Roman" w:hAnsi="Times New Roman" w:cs="Times New Roman"/>
        </w:rPr>
        <w:t xml:space="preserve"> be on the governance of receivables. IHG should classify receivables by region, owner type, brand/age profile and implement more stringent escalation policies for delinquent amounts. This is especially critical as IHG's model involves third party owners and franchisees paying timely fees. The CFO function should enhance the risk scoring and tie credit terms to owner payment history, market risk and currency volatility, as credit checks are already a part of IHG's process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{"citationItems":[{"id":"ITEM-1","itemData":{"author":[{"dropping-particle":"","family":"IHG","given":"","non-dropping-particle":"","parse-names":false,"suffix":""}],"id":"ITEM-1","issued":{"date-parts":[["2024"]]},"title":"Chief Financial Officer’s review","type":"article-journal"},"uris":["http://www.mendeley.com/documents/?uuid=59c5af91-6820-4a7a-8b3d-491aae417eb4"]}],"mendeley":{"formattedCitation":"(IHG, 2024a)","plainTextFormattedCitation":"(IHG, 2024a)","previouslyFormattedCitation":"(IHG, 2024a)"},"properties":{"noteIndex":0},"schema":"https://github.com/citation-style-language/schema/raw/master/csl-citation.json"}</w:instrText>
      </w:r>
      <w:r w:rsidR="0029177B" w:rsidRPr="008778AA">
        <w:rPr>
          <w:rFonts w:ascii="Times New Roman" w:hAnsi="Times New Roman" w:cs="Times New Roman"/>
        </w:rPr>
        <w:fldChar w:fldCharType="separate"/>
      </w:r>
      <w:r w:rsidR="00D77976" w:rsidRPr="008778AA">
        <w:rPr>
          <w:rFonts w:ascii="Times New Roman" w:hAnsi="Times New Roman" w:cs="Times New Roman"/>
          <w:noProof/>
        </w:rPr>
        <w:t>(IHG, 2024a)</w:t>
      </w:r>
      <w:r w:rsidR="0029177B" w:rsidRPr="008778AA">
        <w:rPr>
          <w:rFonts w:ascii="Times New Roman" w:hAnsi="Times New Roman" w:cs="Times New Roman"/>
        </w:rPr>
        <w:fldChar w:fldCharType="end"/>
      </w:r>
      <w:r w:rsidRPr="008778AA">
        <w:rPr>
          <w:rFonts w:ascii="Times New Roman" w:hAnsi="Times New Roman" w:cs="Times New Roman"/>
        </w:rPr>
        <w:t>.</w:t>
      </w:r>
    </w:p>
    <w:p w14:paraId="12923A9A" w14:textId="41D4EAF0"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Second, IHG needs to speed up the automated billing and digital settlement. It already relies on a managed channel, reservation system, loyalty platforms and digital distribution to a great degree for its commercial engine. The same should apply to working capital, with the ability to incorporate </w:t>
      </w:r>
      <w:proofErr w:type="gramStart"/>
      <w:r w:rsidRPr="008778AA">
        <w:rPr>
          <w:rFonts w:ascii="Times New Roman" w:hAnsi="Times New Roman" w:cs="Times New Roman"/>
        </w:rPr>
        <w:t>invoicing</w:t>
      </w:r>
      <w:proofErr w:type="gramEnd"/>
      <w:r w:rsidRPr="008778AA">
        <w:rPr>
          <w:rFonts w:ascii="Times New Roman" w:hAnsi="Times New Roman" w:cs="Times New Roman"/>
        </w:rPr>
        <w:t xml:space="preserve">, fee calculation, owner statements and payment reminders into a more automated treasury dashboard. </w:t>
      </w:r>
    </w:p>
    <w:p w14:paraId="0EDEEB55" w14:textId="2B845B40"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Thirdly, IHG need to enhance the rolling cash-flow </w:t>
      </w:r>
      <w:proofErr w:type="gramStart"/>
      <w:r w:rsidRPr="008778AA">
        <w:rPr>
          <w:rFonts w:ascii="Times New Roman" w:hAnsi="Times New Roman" w:cs="Times New Roman"/>
        </w:rPr>
        <w:t>forecasting</w:t>
      </w:r>
      <w:proofErr w:type="gramEnd"/>
      <w:r w:rsidRPr="008778AA">
        <w:rPr>
          <w:rFonts w:ascii="Times New Roman" w:hAnsi="Times New Roman" w:cs="Times New Roman"/>
        </w:rPr>
        <w:t>. Regional forecasts should be created and stress tested against the RevPAR weakness, late owner payments, currency fluctuations, wage inflation and higher interest expenses</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29177B" w:rsidRPr="008778AA">
        <w:rPr>
          <w:rFonts w:ascii="Times New Roman" w:hAnsi="Times New Roman" w:cs="Times New Roman"/>
        </w:rPr>
        <w:instrText>ADDIN CSL_CITATION {"citationItems":[{"id":"ITEM-1","itemData":{"author":[{"dropping-particle":"","family":"Mahmoud","given":"Ahmed Ragab","non-dropping-particle":"","parse-names":false,"suffix":""}],"id":"ITEM-1","issued":{"date-parts":[["2025"]]},"title":"Exchange Rate Fluctuations and Their Effect on National Economies","type":"article-journal"},"uris":["http://www.mendeley.com/documents/?uuid=07172524-4566-4a91-a37d-e395af6312e7"]}],"mendeley":{"formattedCitation":"(Mahmoud, 2025)","plainTextFormattedCitation":"(Mahmoud, 2025)","previouslyFormattedCitation":"(Mahmoud, 2025)"},"properties":{"noteIndex":0},"schema":"https://github.com/citation-style-language/schema/raw/master/csl-citation.json"}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(Mahmoud, 2025)</w:t>
      </w:r>
      <w:r w:rsidR="0029177B" w:rsidRPr="008778AA">
        <w:rPr>
          <w:rFonts w:ascii="Times New Roman" w:hAnsi="Times New Roman" w:cs="Times New Roman"/>
        </w:rPr>
        <w:fldChar w:fldCharType="end"/>
      </w:r>
      <w:r w:rsidRPr="008778AA">
        <w:rPr>
          <w:rFonts w:ascii="Times New Roman" w:hAnsi="Times New Roman" w:cs="Times New Roman"/>
        </w:rPr>
        <w:t>. This would enable the Group to maintain liquidity reserves in markets vulnerable to geopolitical or regulatory risk without holding an excess of cash.</w:t>
      </w:r>
    </w:p>
    <w:p w14:paraId="18F6D700" w14:textId="77777777" w:rsidR="009C63C4" w:rsidRPr="008778AA" w:rsidRDefault="009C63C4" w:rsidP="008778AA">
      <w:pPr>
        <w:spacing w:line="360" w:lineRule="auto"/>
        <w:jc w:val="both"/>
        <w:rPr>
          <w:rFonts w:ascii="Times New Roman" w:hAnsi="Times New Roman" w:cs="Times New Roman"/>
        </w:rPr>
      </w:pPr>
      <w:r w:rsidRPr="008778AA">
        <w:rPr>
          <w:rFonts w:ascii="Times New Roman" w:hAnsi="Times New Roman" w:cs="Times New Roman"/>
        </w:rPr>
        <w:t xml:space="preserve">Fourth, </w:t>
      </w:r>
      <w:proofErr w:type="spellStart"/>
      <w:r w:rsidRPr="008778AA">
        <w:rPr>
          <w:rFonts w:ascii="Times New Roman" w:hAnsi="Times New Roman" w:cs="Times New Roman"/>
        </w:rPr>
        <w:t>centralised</w:t>
      </w:r>
      <w:proofErr w:type="spellEnd"/>
      <w:r w:rsidRPr="008778AA">
        <w:rPr>
          <w:rFonts w:ascii="Times New Roman" w:hAnsi="Times New Roman" w:cs="Times New Roman"/>
        </w:rPr>
        <w:t xml:space="preserve"> treasury and cash pooling are important tools to keep. By pooling cash, the excess cash in some subsidiaries can be used to offset short-term overdrafts in the others, thereby increasing interest efficiency and the ability to control daily cash flow. </w:t>
      </w:r>
    </w:p>
    <w:p w14:paraId="6264105B" w14:textId="38EC9E9A" w:rsidR="00011E8A" w:rsidRPr="008778AA" w:rsidRDefault="009C63C4" w:rsidP="008778AA">
      <w:pPr>
        <w:spacing w:line="360" w:lineRule="auto"/>
        <w:jc w:val="both"/>
        <w:rPr>
          <w:rFonts w:ascii="Times New Roman" w:hAnsi="Times New Roman" w:cs="Times New Roman"/>
        </w:rPr>
      </w:pPr>
      <w:proofErr w:type="gramStart"/>
      <w:r w:rsidRPr="008778AA">
        <w:rPr>
          <w:rFonts w:ascii="Times New Roman" w:hAnsi="Times New Roman" w:cs="Times New Roman"/>
        </w:rPr>
        <w:t>Last but not least</w:t>
      </w:r>
      <w:proofErr w:type="gramEnd"/>
      <w:r w:rsidRPr="008778AA">
        <w:rPr>
          <w:rFonts w:ascii="Times New Roman" w:hAnsi="Times New Roman" w:cs="Times New Roman"/>
        </w:rPr>
        <w:t xml:space="preserve">, IHG must not boost liquidity with heavy supplier payment </w:t>
      </w:r>
      <w:proofErr w:type="gramStart"/>
      <w:r w:rsidRPr="008778AA">
        <w:rPr>
          <w:rFonts w:ascii="Times New Roman" w:hAnsi="Times New Roman" w:cs="Times New Roman"/>
        </w:rPr>
        <w:t>delay</w:t>
      </w:r>
      <w:proofErr w:type="gramEnd"/>
      <w:r w:rsidRPr="008778AA">
        <w:rPr>
          <w:rFonts w:ascii="Times New Roman" w:hAnsi="Times New Roman" w:cs="Times New Roman"/>
        </w:rPr>
        <w:t xml:space="preserve">. Payables extension can affect resilience of suppliers, hotel services and ESG credibility, but can help boost </w:t>
      </w:r>
      <w:r w:rsidRPr="008778AA">
        <w:rPr>
          <w:rFonts w:ascii="Times New Roman" w:hAnsi="Times New Roman" w:cs="Times New Roman"/>
        </w:rPr>
        <w:lastRenderedPageBreak/>
        <w:t>ratios in the short run</w:t>
      </w:r>
      <w:r w:rsidR="0029177B" w:rsidRPr="008778AA">
        <w:rPr>
          <w:rFonts w:ascii="Times New Roman" w:hAnsi="Times New Roman" w:cs="Times New Roman"/>
        </w:rPr>
        <w:t xml:space="preserve"> </w:t>
      </w:r>
      <w:r w:rsidR="0029177B"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02784319","author":[{"dropping-particle":"","family":"He","given":"Yueying","non-dropping-particle":"","parse-names":false,"suffix":""},{"dropping-particle":"","family":"Qi","given":"Rui","non-dropping-particle":"","parse-names":false,"suffix":""},{"dropping-particle":"","family":"So","given":"Kevin Kam Fung","non-dropping-particle":"","parse-names":false,"suffix":""},{"dropping-particle":"","family":"Li","given":"Yangen","non-dropping-particle":"","parse-names":false,"suffix":""}],"container-title":"International Journal of Hospitality Management","id":"ITEM-1","issued":{"date-parts":[["2024","9"]]},"page":"103866","title":"Which ESG dimensions matter in the hotel industry? Evidence from the cost of debt","type":"article-journal","volume":"122"},"uris":["http://www.mendeley.com/documents/?uuid=f9dd449c-491f-4f11-be86-19c727005112"]}],"mendeley":{"formattedCitation":"(He &lt;i&gt;et al.&lt;/i&gt;, 2024)","plainTextFormattedCitation":"(He et al., 2024)","previouslyFormattedCitation":"(He &lt;i&gt;et al.&lt;/i&gt;, 2024)"},"properties":{"noteIndex":0},"schema":"https://github.com/citation-style-language/schema/raw/master/csl-citation.json"}</w:instrText>
      </w:r>
      <w:r w:rsidR="0029177B" w:rsidRPr="008778AA">
        <w:rPr>
          <w:rFonts w:ascii="Times New Roman" w:hAnsi="Times New Roman" w:cs="Times New Roman"/>
        </w:rPr>
        <w:fldChar w:fldCharType="separate"/>
      </w:r>
      <w:r w:rsidR="0029177B" w:rsidRPr="008778AA">
        <w:rPr>
          <w:rFonts w:ascii="Times New Roman" w:hAnsi="Times New Roman" w:cs="Times New Roman"/>
          <w:noProof/>
        </w:rPr>
        <w:t xml:space="preserve">(He </w:t>
      </w:r>
      <w:r w:rsidR="0029177B" w:rsidRPr="008778AA">
        <w:rPr>
          <w:rFonts w:ascii="Times New Roman" w:hAnsi="Times New Roman" w:cs="Times New Roman"/>
          <w:i/>
          <w:noProof/>
        </w:rPr>
        <w:t>et al.</w:t>
      </w:r>
      <w:r w:rsidR="0029177B" w:rsidRPr="008778AA">
        <w:rPr>
          <w:rFonts w:ascii="Times New Roman" w:hAnsi="Times New Roman" w:cs="Times New Roman"/>
          <w:noProof/>
        </w:rPr>
        <w:t>, 2024)</w:t>
      </w:r>
      <w:r w:rsidR="0029177B" w:rsidRPr="008778AA">
        <w:rPr>
          <w:rFonts w:ascii="Times New Roman" w:hAnsi="Times New Roman" w:cs="Times New Roman"/>
        </w:rPr>
        <w:fldChar w:fldCharType="end"/>
      </w:r>
      <w:r w:rsidRPr="008778AA">
        <w:rPr>
          <w:rFonts w:ascii="Times New Roman" w:hAnsi="Times New Roman" w:cs="Times New Roman"/>
        </w:rPr>
        <w:t>. Therefore, the recommended position for CFOs is disciplined, but ethical, working capital management: collect whenever contractually necessary, pay suppliers appropriately, adopt technology to enhance accuracy and maintain liquidity without passing undue risks of financial stress to weaker stakeholders.</w:t>
      </w:r>
    </w:p>
    <w:p w14:paraId="33D44D0C" w14:textId="125D1905" w:rsidR="00011E8A" w:rsidRPr="008778AA" w:rsidRDefault="00011E8A" w:rsidP="00AF2BDF">
      <w:pPr>
        <w:pStyle w:val="Heading2"/>
      </w:pPr>
      <w:bookmarkStart w:id="27" w:name="_Toc233392958"/>
      <w:bookmarkStart w:id="28" w:name="_Toc233884804"/>
      <w:r w:rsidRPr="008778AA">
        <w:t>Short-</w:t>
      </w:r>
      <w:r w:rsidRPr="00AF2BDF">
        <w:t>term</w:t>
      </w:r>
      <w:r w:rsidRPr="008778AA">
        <w:t xml:space="preserve"> versus long-term financing options</w:t>
      </w:r>
      <w:bookmarkEnd w:id="27"/>
      <w:bookmarkEnd w:id="28"/>
    </w:p>
    <w:p w14:paraId="0A8FBB63" w14:textId="77777777" w:rsidR="005B748B" w:rsidRPr="005B748B" w:rsidRDefault="009C63C4" w:rsidP="005B748B">
      <w:pPr>
        <w:spacing w:line="360" w:lineRule="auto"/>
        <w:jc w:val="both"/>
        <w:rPr>
          <w:rFonts w:ascii="Times New Roman" w:hAnsi="Times New Roman" w:cs="Times New Roman"/>
        </w:rPr>
      </w:pPr>
      <w:r w:rsidRPr="008778AA">
        <w:rPr>
          <w:rFonts w:ascii="Times New Roman" w:hAnsi="Times New Roman" w:cs="Times New Roman"/>
        </w:rPr>
        <w:t xml:space="preserve">Only use short-term financing for liquidity flexibility not structural financing. The revolving credit facility offered by IHG </w:t>
      </w:r>
      <w:proofErr w:type="gramStart"/>
      <w:r w:rsidRPr="008778AA">
        <w:rPr>
          <w:rFonts w:ascii="Times New Roman" w:hAnsi="Times New Roman" w:cs="Times New Roman"/>
        </w:rPr>
        <w:t>fits</w:t>
      </w:r>
      <w:proofErr w:type="gramEnd"/>
      <w:r w:rsidRPr="008778AA">
        <w:rPr>
          <w:rFonts w:ascii="Times New Roman" w:hAnsi="Times New Roman" w:cs="Times New Roman"/>
        </w:rPr>
        <w:t xml:space="preserve"> this need because it offers committed liquidity to support temporary cash requirements, seasonality and unexpected shocks. In 2025, IHG signed a fresh $1.5 billion revolving credit facility, which was to expire in 2030, but not drawn at year end. This provides the Group with good contingency capability. </w:t>
      </w:r>
      <w:r w:rsidR="005B748B" w:rsidRPr="005B748B">
        <w:rPr>
          <w:rFonts w:ascii="Times New Roman" w:hAnsi="Times New Roman" w:cs="Times New Roman"/>
        </w:rPr>
        <w:t xml:space="preserve">Other short-term alternatives include overdrafts, trade credit and commercial </w:t>
      </w:r>
      <w:proofErr w:type="gramStart"/>
      <w:r w:rsidR="005B748B" w:rsidRPr="005B748B">
        <w:rPr>
          <w:rFonts w:ascii="Times New Roman" w:hAnsi="Times New Roman" w:cs="Times New Roman"/>
        </w:rPr>
        <w:t>paper</w:t>
      </w:r>
      <w:proofErr w:type="gramEnd"/>
      <w:r w:rsidR="005B748B" w:rsidRPr="005B748B">
        <w:rPr>
          <w:rFonts w:ascii="Times New Roman" w:hAnsi="Times New Roman" w:cs="Times New Roman"/>
        </w:rPr>
        <w:t xml:space="preserve"> which are best used with caution as they may also be costly in market declines </w:t>
      </w:r>
      <w:proofErr w:type="gramStart"/>
      <w:r w:rsidR="005B748B" w:rsidRPr="005B748B">
        <w:rPr>
          <w:rFonts w:ascii="Times New Roman" w:hAnsi="Times New Roman" w:cs="Times New Roman"/>
        </w:rPr>
        <w:t>and also</w:t>
      </w:r>
      <w:proofErr w:type="gramEnd"/>
      <w:r w:rsidR="005B748B" w:rsidRPr="005B748B">
        <w:rPr>
          <w:rFonts w:ascii="Times New Roman" w:hAnsi="Times New Roman" w:cs="Times New Roman"/>
        </w:rPr>
        <w:t xml:space="preserve"> add the refinancing risk.</w:t>
      </w:r>
    </w:p>
    <w:p w14:paraId="65910C92" w14:textId="09668333" w:rsidR="00011E8A" w:rsidRPr="008778AA" w:rsidRDefault="005B748B" w:rsidP="005B748B">
      <w:pPr>
        <w:spacing w:line="360" w:lineRule="auto"/>
        <w:jc w:val="both"/>
        <w:rPr>
          <w:rFonts w:ascii="Times New Roman" w:hAnsi="Times New Roman" w:cs="Times New Roman"/>
        </w:rPr>
      </w:pPr>
      <w:r w:rsidRPr="005B748B">
        <w:rPr>
          <w:rFonts w:ascii="Times New Roman" w:hAnsi="Times New Roman" w:cs="Times New Roman"/>
        </w:rPr>
        <w:t>Strategic investment, acquisition, technology transformation &amp; capital requirements related to ESG should be financed for the long-term</w:t>
      </w:r>
      <w:r>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22148450","author":[{"dropping-particle":"","family":"Yu","given":"Zhichao","non-dropping-particle":"","parse-names":false,"suffix":""},{"dropping-particle":"","family":"Farooq","given":"Umar","non-dropping-particle":"","parse-names":false,"suffix":""},{"dropping-particle":"","family":"Alam","given":"Mohammad Mahtab","non-dropping-particle":"","parse-names":false,"suffix":""},{"dropping-particle":"","family":"Dai","given":"Jiapeng","non-dropping-particle":"","parse-names":false,"suffix":""}],"container-title":"Borsa Istanbul Review","id":"ITEM-1","issue":"3","issued":{"date-parts":[["2024","5"]]},"page":"520-529","title":"How does environmental, social, and governance (ESG) performance determine investment mix? New empirical evidence from BRICS","type":"article-journal","volume":"24"},"uris":["http://www.mendeley.com/documents/?uuid=3e047797-426d-40d8-bbb1-c58d93d6d00b"]}],"mendeley":{"formattedCitation":"(Yu &lt;i&gt;et al.&lt;/i&gt;, 2024)","plainTextFormattedCitation":"(Yu et al., 2024)","previouslyFormattedCitation":"(Yu &lt;i&gt;et al.&lt;/i&gt;, 2024)"},"properties":{"noteIndex":0},"schema":"https://github.com/citation-style-language/schema/raw/master/csl-citation.json"}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 xml:space="preserve">(Yu </w:t>
      </w:r>
      <w:r w:rsidR="00D77976" w:rsidRPr="008778AA">
        <w:rPr>
          <w:rFonts w:ascii="Times New Roman" w:hAnsi="Times New Roman" w:cs="Times New Roman"/>
          <w:i/>
          <w:noProof/>
        </w:rPr>
        <w:t>et al.</w:t>
      </w:r>
      <w:r w:rsidR="00D77976" w:rsidRPr="008778AA">
        <w:rPr>
          <w:rFonts w:ascii="Times New Roman" w:hAnsi="Times New Roman" w:cs="Times New Roman"/>
          <w:noProof/>
        </w:rPr>
        <w:t>, 2024)</w:t>
      </w:r>
      <w:r w:rsidR="00D77976" w:rsidRPr="008778AA">
        <w:rPr>
          <w:rFonts w:ascii="Times New Roman" w:hAnsi="Times New Roman" w:cs="Times New Roman"/>
        </w:rPr>
        <w:fldChar w:fldCharType="end"/>
      </w:r>
      <w:r w:rsidR="009C63C4" w:rsidRPr="008778AA">
        <w:rPr>
          <w:rFonts w:ascii="Times New Roman" w:hAnsi="Times New Roman" w:cs="Times New Roman"/>
        </w:rPr>
        <w:t xml:space="preserve">. </w:t>
      </w:r>
      <w:r w:rsidRPr="005B748B">
        <w:rPr>
          <w:rFonts w:ascii="Times New Roman" w:hAnsi="Times New Roman" w:cs="Times New Roman"/>
        </w:rPr>
        <w:t xml:space="preserve">IHG already have bond financing in sterling and euro markets and maturities are staggered over the coming years. There </w:t>
      </w:r>
      <w:proofErr w:type="gramStart"/>
      <w:r w:rsidRPr="005B748B">
        <w:rPr>
          <w:rFonts w:ascii="Times New Roman" w:hAnsi="Times New Roman" w:cs="Times New Roman"/>
        </w:rPr>
        <w:t>is</w:t>
      </w:r>
      <w:proofErr w:type="gramEnd"/>
      <w:r w:rsidRPr="005B748B">
        <w:rPr>
          <w:rFonts w:ascii="Times New Roman" w:hAnsi="Times New Roman" w:cs="Times New Roman"/>
        </w:rPr>
        <w:t xml:space="preserve"> some time and security with bonds, but the more borrowing that occurs, and the higher the interest expense, the more debt that needs to be associated with projects that increase fee income and cash generation in the future. Where this is not the case, other options without as much risk are retained earnings and selective asset disposals, which do not add leverage, but are equity and hybrid finance for larger strategic opportunities or balance sheet protection</w:t>
      </w:r>
      <w:r w:rsidR="009C63C4" w:rsidRPr="008778AA">
        <w:rPr>
          <w:rFonts w:ascii="Times New Roman" w:hAnsi="Times New Roman" w:cs="Times New Roman"/>
        </w:rPr>
        <w:t>.</w:t>
      </w:r>
    </w:p>
    <w:p w14:paraId="3E4965F6" w14:textId="130133BB" w:rsidR="00011E8A" w:rsidRPr="008778AA" w:rsidRDefault="00011E8A" w:rsidP="00622A00">
      <w:pPr>
        <w:pStyle w:val="Heading1"/>
        <w:numPr>
          <w:ilvl w:val="0"/>
          <w:numId w:val="9"/>
        </w:numPr>
      </w:pPr>
      <w:bookmarkStart w:id="29" w:name="_Toc233392959"/>
      <w:bookmarkStart w:id="30" w:name="_Toc233884805"/>
      <w:r w:rsidRPr="008778AA">
        <w:t>Strategic Financial Restructuring Plan</w:t>
      </w:r>
      <w:bookmarkEnd w:id="29"/>
      <w:bookmarkEnd w:id="30"/>
    </w:p>
    <w:p w14:paraId="20D968CF" w14:textId="1D6762D3" w:rsidR="00011E8A" w:rsidRPr="008778AA" w:rsidRDefault="00011E8A" w:rsidP="00AF2BDF">
      <w:pPr>
        <w:pStyle w:val="Heading2"/>
      </w:pPr>
      <w:bookmarkStart w:id="31" w:name="_Toc233392960"/>
      <w:bookmarkStart w:id="32" w:name="_Toc233884806"/>
      <w:r w:rsidRPr="008778AA">
        <w:t xml:space="preserve">Core </w:t>
      </w:r>
      <w:r w:rsidRPr="00AF2BDF">
        <w:t>financial</w:t>
      </w:r>
      <w:r w:rsidRPr="008778AA">
        <w:t xml:space="preserve"> problems requiring CFO attention</w:t>
      </w:r>
      <w:bookmarkEnd w:id="31"/>
      <w:bookmarkEnd w:id="32"/>
    </w:p>
    <w:p w14:paraId="4F9689E4" w14:textId="7C9AB8A8" w:rsidR="00011E8A" w:rsidRPr="008778AA" w:rsidRDefault="005B748B" w:rsidP="008778AA">
      <w:pPr>
        <w:spacing w:line="360" w:lineRule="auto"/>
        <w:jc w:val="both"/>
        <w:rPr>
          <w:rFonts w:ascii="Times New Roman" w:hAnsi="Times New Roman" w:cs="Times New Roman"/>
        </w:rPr>
      </w:pPr>
      <w:r w:rsidRPr="005B748B">
        <w:rPr>
          <w:rFonts w:ascii="Times New Roman" w:hAnsi="Times New Roman" w:cs="Times New Roman"/>
        </w:rPr>
        <w:t xml:space="preserve">IHG is not in crisis and is recovering, making profit and generating good cash. The Group, however, is subject to financial and strategic pressures, which if not managed through proactive restructuring plans, may limit future ability to be flexible. The first one is Capital Allocation. IHG distributed over $1.1 billion to its shareholders in 2025 via dividends and repurchases, and over $3.3 billion </w:t>
      </w:r>
      <w:proofErr w:type="gramStart"/>
      <w:r w:rsidRPr="005B748B">
        <w:rPr>
          <w:rFonts w:ascii="Times New Roman" w:hAnsi="Times New Roman" w:cs="Times New Roman"/>
        </w:rPr>
        <w:t>during</w:t>
      </w:r>
      <w:proofErr w:type="gramEnd"/>
      <w:r w:rsidRPr="005B748B">
        <w:rPr>
          <w:rFonts w:ascii="Times New Roman" w:hAnsi="Times New Roman" w:cs="Times New Roman"/>
        </w:rPr>
        <w:t xml:space="preserve"> three years ending 2025. This certainly fosters trust amongst investors but also takes them away from investing in technology, cyber security, loyalty, brand building and ESG </w:t>
      </w:r>
      <w:r w:rsidRPr="005B748B">
        <w:rPr>
          <w:rFonts w:ascii="Times New Roman" w:hAnsi="Times New Roman" w:cs="Times New Roman"/>
        </w:rPr>
        <w:lastRenderedPageBreak/>
        <w:t>compliance</w:t>
      </w:r>
      <w:r>
        <w:rPr>
          <w:rFonts w:ascii="Times New Roman" w:hAnsi="Times New Roman" w:cs="Times New Roman"/>
        </w:rPr>
        <w:t xml:space="preserve"> </w:t>
      </w:r>
      <w:proofErr w:type="spellStart"/>
      <w:r w:rsidR="00A5335F" w:rsidRPr="008778AA">
        <w:rPr>
          <w:rFonts w:ascii="Times New Roman" w:hAnsi="Times New Roman" w:cs="Times New Roman"/>
        </w:rPr>
        <w:t>mitments</w:t>
      </w:r>
      <w:proofErr w:type="spellEnd"/>
      <w:r w:rsidR="00A5335F" w:rsidRPr="008778AA">
        <w:rPr>
          <w:rFonts w:ascii="Times New Roman" w:hAnsi="Times New Roman" w:cs="Times New Roman"/>
        </w:rPr>
        <w:t>. The second one is the exposure to debt. Net debt has risen while covenant headroom has remained generous, but with rates rising, discipline is key when refinancing</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Achleitner","given":"Ann-Kristin","non-dropping-particle":"","parse-names":false,"suffix":""},{"dropping-particle":"","family":"Braun","given":"Reiner","non-dropping-particle":"","parse-names":false,"suffix":""},{"dropping-particle":"","family":"Hinterramskogler","given":"Bastian","non-dropping-particle":"","parse-names":false,"suffix":""},{"dropping-particle":"","family":"Tappeiner","given":"Florian","non-dropping-particle":"","parse-names":false,"suffix":""}],"id":"ITEM-1","issued":{"date-parts":[["2010"]]},"title":"Structure and Determinants of Financial Covenants in Leveraged Buyouts","type":"article-journal"},"uris":["http://www.mendeley.com/documents/?uuid=983cb8f3-0628-4e01-9f0e-91cb90b81837"]}],"mendeley":{"formattedCitation":"(Achleitner &lt;i&gt;et al.&lt;/i&gt;, 2010)","plainTextFormattedCitation":"(Achleitner et al., 2010)","previouslyFormattedCitation":"(Achleitner &lt;i&gt;et al.&lt;/i&gt;, 2010)"},"properties":{"noteIndex":0},"schema":"https://github.com/citation-style-language/schema/raw/master/csl-citation.json"}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 xml:space="preserve">(Achleitner </w:t>
      </w:r>
      <w:r w:rsidR="00D77976" w:rsidRPr="008778AA">
        <w:rPr>
          <w:rFonts w:ascii="Times New Roman" w:hAnsi="Times New Roman" w:cs="Times New Roman"/>
          <w:i/>
          <w:noProof/>
        </w:rPr>
        <w:t>et al.</w:t>
      </w:r>
      <w:r w:rsidR="00D77976" w:rsidRPr="008778AA">
        <w:rPr>
          <w:rFonts w:ascii="Times New Roman" w:hAnsi="Times New Roman" w:cs="Times New Roman"/>
          <w:noProof/>
        </w:rPr>
        <w:t>, 2010)</w:t>
      </w:r>
      <w:r w:rsidR="00D77976" w:rsidRPr="008778AA">
        <w:rPr>
          <w:rFonts w:ascii="Times New Roman" w:hAnsi="Times New Roman" w:cs="Times New Roman"/>
        </w:rPr>
        <w:fldChar w:fldCharType="end"/>
      </w:r>
      <w:r w:rsidR="00A5335F" w:rsidRPr="008778AA">
        <w:rPr>
          <w:rFonts w:ascii="Times New Roman" w:hAnsi="Times New Roman" w:cs="Times New Roman"/>
        </w:rPr>
        <w:t xml:space="preserve">. Third, IHG is subject to currency fluctuations, inflation, geopolitical instability and stress from owner financing at a global level. </w:t>
      </w:r>
      <w:r w:rsidR="00011E8A" w:rsidRPr="008778AA">
        <w:rPr>
          <w:rFonts w:ascii="Times New Roman" w:hAnsi="Times New Roman" w:cs="Times New Roman"/>
        </w:rPr>
        <w:t xml:space="preserve"> </w:t>
      </w:r>
    </w:p>
    <w:p w14:paraId="5D34CE9C" w14:textId="66E45698" w:rsidR="00011E8A" w:rsidRPr="008778AA" w:rsidRDefault="00011E8A" w:rsidP="00AF2BDF">
      <w:pPr>
        <w:pStyle w:val="Heading2"/>
      </w:pPr>
      <w:bookmarkStart w:id="33" w:name="_Toc233392961"/>
      <w:bookmarkStart w:id="34" w:name="_Toc233884807"/>
      <w:r w:rsidRPr="008778AA">
        <w:t xml:space="preserve">Recommended restructuring </w:t>
      </w:r>
      <w:r w:rsidRPr="00AF2BDF">
        <w:t>options</w:t>
      </w:r>
      <w:bookmarkEnd w:id="33"/>
      <w:bookmarkEnd w:id="34"/>
    </w:p>
    <w:p w14:paraId="33E0C1A3" w14:textId="66B40E13" w:rsidR="00A5335F" w:rsidRPr="008778AA" w:rsidRDefault="00A5335F" w:rsidP="008778AA">
      <w:pPr>
        <w:spacing w:line="360" w:lineRule="auto"/>
        <w:jc w:val="both"/>
        <w:rPr>
          <w:rFonts w:ascii="Times New Roman" w:hAnsi="Times New Roman" w:cs="Times New Roman"/>
        </w:rPr>
      </w:pPr>
      <w:r w:rsidRPr="008778AA">
        <w:rPr>
          <w:rFonts w:ascii="Times New Roman" w:hAnsi="Times New Roman" w:cs="Times New Roman"/>
        </w:rPr>
        <w:t>Selective divestiture and additional asset-light reinforcement is the first choice. IHG should maintain a strategy to sell non-core or lower margin owned and leased assets where strategic control is not fundamental</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02784319","author":[{"dropping-particle":"","family":"Lussi","given":"Sonja","non-dropping-particle":"","parse-names":false,"suffix":""},{"dropping-particle":"","family":"Masset","given":"Philippe","non-dropping-particle":"","parse-names":false,"suffix":""},{"dropping-particle":"","family":"Weisskopf","given":"Jean-Philippe","non-dropping-particle":"","parse-names":false,"suffix":""},{"dropping-particle":"","family":"Blal","given":"Inès","non-dropping-particle":"","parse-names":false,"suffix":""}],"container-title":"International Journal of Hospitality Management","id":"ITEM-1","issued":{"date-parts":[["2023","2"]]},"page":"103391","title":"Cross-dimensional measures of asset lightness and fee orientation in lodging groups","type":"article-journal","volume":"109"},"uris":["http://www.mendeley.com/documents/?uuid=75301c7d-fcdf-4261-8225-4d5c7eb15a5f"]}],"mendeley":{"formattedCitation":"(Lussi &lt;i&gt;et al.&lt;/i&gt;, 2023)","plainTextFormattedCitation":"(Lussi et al., 2023)","previouslyFormattedCitation":"(Lussi &lt;i&gt;et al.&lt;/i&gt;, 2023)"},"properties":{"noteIndex":0},"schema":"https://github.com/citation-style-language/schema/raw/master/csl-citation.json"}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 xml:space="preserve">(Lussi </w:t>
      </w:r>
      <w:r w:rsidR="00D77976" w:rsidRPr="008778AA">
        <w:rPr>
          <w:rFonts w:ascii="Times New Roman" w:hAnsi="Times New Roman" w:cs="Times New Roman"/>
          <w:i/>
          <w:noProof/>
        </w:rPr>
        <w:t>et al.</w:t>
      </w:r>
      <w:r w:rsidR="00D77976" w:rsidRPr="008778AA">
        <w:rPr>
          <w:rFonts w:ascii="Times New Roman" w:hAnsi="Times New Roman" w:cs="Times New Roman"/>
          <w:noProof/>
        </w:rPr>
        <w:t>, 2023)</w:t>
      </w:r>
      <w:r w:rsidR="00D77976" w:rsidRPr="008778AA">
        <w:rPr>
          <w:rFonts w:ascii="Times New Roman" w:hAnsi="Times New Roman" w:cs="Times New Roman"/>
        </w:rPr>
        <w:fldChar w:fldCharType="end"/>
      </w:r>
      <w:r w:rsidRPr="008778AA">
        <w:rPr>
          <w:rFonts w:ascii="Times New Roman" w:hAnsi="Times New Roman" w:cs="Times New Roman"/>
        </w:rPr>
        <w:t xml:space="preserve">. This is not the same as losing ownership completely as certain investments can be used to develop a brand in prime locations. Investments, however, should be seen as recyclable investments: </w:t>
      </w:r>
      <w:proofErr w:type="gramStart"/>
      <w:r w:rsidRPr="008778AA">
        <w:rPr>
          <w:rFonts w:ascii="Times New Roman" w:hAnsi="Times New Roman" w:cs="Times New Roman"/>
        </w:rPr>
        <w:t>put to use</w:t>
      </w:r>
      <w:proofErr w:type="gramEnd"/>
      <w:r w:rsidRPr="008778AA">
        <w:rPr>
          <w:rFonts w:ascii="Times New Roman" w:hAnsi="Times New Roman" w:cs="Times New Roman"/>
        </w:rPr>
        <w:t xml:space="preserve"> to promote brand presence, to be divested when the brand platform can be extended through franchise or management contracts. This would enable the protection of returns on capital and </w:t>
      </w:r>
      <w:proofErr w:type="spellStart"/>
      <w:r w:rsidRPr="008778AA">
        <w:rPr>
          <w:rFonts w:ascii="Times New Roman" w:hAnsi="Times New Roman" w:cs="Times New Roman"/>
        </w:rPr>
        <w:t>minimise</w:t>
      </w:r>
      <w:proofErr w:type="spellEnd"/>
      <w:r w:rsidRPr="008778AA">
        <w:rPr>
          <w:rFonts w:ascii="Times New Roman" w:hAnsi="Times New Roman" w:cs="Times New Roman"/>
        </w:rPr>
        <w:t xml:space="preserve"> balance-sheet intensity.</w:t>
      </w:r>
    </w:p>
    <w:p w14:paraId="50715092" w14:textId="4B251747" w:rsidR="00A5335F" w:rsidRPr="008778AA" w:rsidRDefault="00A5335F" w:rsidP="008778AA">
      <w:pPr>
        <w:spacing w:line="360" w:lineRule="auto"/>
        <w:jc w:val="both"/>
        <w:rPr>
          <w:rFonts w:ascii="Times New Roman" w:hAnsi="Times New Roman" w:cs="Times New Roman"/>
        </w:rPr>
      </w:pPr>
      <w:r w:rsidRPr="008778AA">
        <w:rPr>
          <w:rFonts w:ascii="Times New Roman" w:hAnsi="Times New Roman" w:cs="Times New Roman"/>
        </w:rPr>
        <w:t>Debt refinancing and maturity restructuring are the second choice. The CFO priority is to maintain the investment grade credit quality, the maturity profile and eliminate excessive concentration of refinancing in the bond market</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24058440","author":[{"dropping-particle":"","family":"Huo","given":"Yan","non-dropping-particle":"","parse-names":false,"suffix":""},{"dropping-particle":"","family":"Gong","given":"Bangming","non-dropping-particle":"","parse-names":false,"suffix":""}],"container-title":"Heliyon","id":"ITEM-1","issue":"12","issued":{"date-parts":[["2022","12"]]},"page":"e11884","title":"Credit rating in dynamic response to the nature of firms and the business model of rating agencies: evidence from the Chinese bond market","type":"article-journal","volume":"8"},"uris":["http://www.mendeley.com/documents/?uuid=bcb86b21-31d1-4d90-9559-49a22c693485"]}],"mendeley":{"formattedCitation":"(Huo and Gong, 2022)","plainTextFormattedCitation":"(Huo and Gong, 2022)","previouslyFormattedCitation":"(Huo and Gong, 2022)"},"properties":{"noteIndex":0},"schema":"https://github.com/citation-style-language/schema/raw/master/csl-citation.json"}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(Huo and Gong, 2022)</w:t>
      </w:r>
      <w:r w:rsidR="00D77976" w:rsidRPr="008778AA">
        <w:rPr>
          <w:rFonts w:ascii="Times New Roman" w:hAnsi="Times New Roman" w:cs="Times New Roman"/>
        </w:rPr>
        <w:fldChar w:fldCharType="end"/>
      </w:r>
      <w:r w:rsidRPr="008778AA">
        <w:rPr>
          <w:rFonts w:ascii="Times New Roman" w:hAnsi="Times New Roman" w:cs="Times New Roman"/>
        </w:rPr>
        <w:t>. It is advisable to keep the Group's revolving credit facility as a liquidity backstop and not as a regular funding source. If market conditions are favorable, refinancing should aim to have a longer maturity, fixed rates and matching the currency to minimize interest rate and exchange rate risk.</w:t>
      </w:r>
    </w:p>
    <w:p w14:paraId="343F3A07" w14:textId="77777777" w:rsidR="00CE5697" w:rsidRDefault="00A5335F" w:rsidP="005B748B">
      <w:pPr>
        <w:spacing w:line="360" w:lineRule="auto"/>
        <w:jc w:val="both"/>
        <w:rPr>
          <w:rFonts w:ascii="Times New Roman" w:hAnsi="Times New Roman" w:cs="Times New Roman"/>
        </w:rPr>
      </w:pPr>
      <w:r w:rsidRPr="008778AA">
        <w:rPr>
          <w:rFonts w:ascii="Times New Roman" w:hAnsi="Times New Roman" w:cs="Times New Roman"/>
        </w:rPr>
        <w:t xml:space="preserve">Targeted partnership, acquisition and brand expansion is the third choice. IHG should avoid those that would increase capital intensity based on fee income generation and truncate the horizon. The 2025 acquisition of Ruby, which brought the brand count to 20, is an example of brand-led growth which broadened market coverage but </w:t>
      </w:r>
      <w:proofErr w:type="gramStart"/>
      <w:r w:rsidRPr="008778AA">
        <w:rPr>
          <w:rFonts w:ascii="Times New Roman" w:hAnsi="Times New Roman" w:cs="Times New Roman"/>
        </w:rPr>
        <w:t>not</w:t>
      </w:r>
      <w:proofErr w:type="gramEnd"/>
      <w:r w:rsidRPr="008778AA">
        <w:rPr>
          <w:rFonts w:ascii="Times New Roman" w:hAnsi="Times New Roman" w:cs="Times New Roman"/>
        </w:rPr>
        <w:t xml:space="preserve"> necessarily made the Group an asset-heavy operator. </w:t>
      </w:r>
      <w:proofErr w:type="gramStart"/>
      <w:r w:rsidR="00CE5697" w:rsidRPr="00CE5697">
        <w:rPr>
          <w:rFonts w:ascii="Times New Roman" w:hAnsi="Times New Roman" w:cs="Times New Roman"/>
        </w:rPr>
        <w:t>All of</w:t>
      </w:r>
      <w:proofErr w:type="gramEnd"/>
      <w:r w:rsidR="00CE5697" w:rsidRPr="00CE5697">
        <w:rPr>
          <w:rFonts w:ascii="Times New Roman" w:hAnsi="Times New Roman" w:cs="Times New Roman"/>
        </w:rPr>
        <w:t xml:space="preserve"> these tests are worth considering </w:t>
      </w:r>
      <w:proofErr w:type="gramStart"/>
      <w:r w:rsidR="00CE5697" w:rsidRPr="00CE5697">
        <w:rPr>
          <w:rFonts w:ascii="Times New Roman" w:hAnsi="Times New Roman" w:cs="Times New Roman"/>
        </w:rPr>
        <w:t>in regards to</w:t>
      </w:r>
      <w:proofErr w:type="gramEnd"/>
      <w:r w:rsidR="00CE5697" w:rsidRPr="00CE5697">
        <w:rPr>
          <w:rFonts w:ascii="Times New Roman" w:hAnsi="Times New Roman" w:cs="Times New Roman"/>
        </w:rPr>
        <w:t xml:space="preserve"> future deals: The incremental fee potential, loyalty contribution, owner demand, digital integration, ESG compatibility and payback discipline.</w:t>
      </w:r>
    </w:p>
    <w:p w14:paraId="3DE846A8" w14:textId="13C3ACA2" w:rsidR="00011E8A" w:rsidRPr="008778AA" w:rsidRDefault="00CE5697" w:rsidP="005B748B">
      <w:pPr>
        <w:spacing w:line="360" w:lineRule="auto"/>
        <w:jc w:val="both"/>
        <w:rPr>
          <w:rFonts w:ascii="Times New Roman" w:hAnsi="Times New Roman" w:cs="Times New Roman"/>
        </w:rPr>
      </w:pPr>
      <w:r w:rsidRPr="00CE5697">
        <w:rPr>
          <w:rFonts w:ascii="Times New Roman" w:hAnsi="Times New Roman" w:cs="Times New Roman"/>
        </w:rPr>
        <w:t>It is selective restructuring, so it's not a radical restructuring.</w:t>
      </w:r>
      <w:r w:rsidR="005B748B" w:rsidRPr="005B748B">
        <w:rPr>
          <w:rFonts w:ascii="Times New Roman" w:hAnsi="Times New Roman" w:cs="Times New Roman"/>
        </w:rPr>
        <w:t xml:space="preserve"> IHG needs to continue to operate an asset-light business, leverage assets with lower-yielding returns, sensibly refinance its debt load and only pursue brand and technology-based expansion when it can support its recurring fee stream</w:t>
      </w:r>
      <w:r w:rsidR="005B748B">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{"citationItems":[{"id":"ITEM-1","itemData":{"author":[{"dropping-particle":"","family":"IHG","given":"","non-dropping-particle":"","parse-names":false,"suffix":""}],"id":"ITEM-1","issued":{"date-parts":[["2024"]]},"title":"Our business model","type":"article-journal"},"uris":["http://www.mendeley.com/documents/?uuid=92a46e5c-7b3a-4562-ae14-a4ce82dce7c2"]}],"mendeley":{"formattedCitation":"(IHG, 2024b)","plainTextFormattedCitation":"(IHG, 2024b)","previouslyFormattedCitation":"(IHG, 2024b)"},"properties":{"noteIndex":0},"schema":"https://github.com/citation-style-language/schema/raw/master/csl-citation.json"}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(IHG, 2024b)</w:t>
      </w:r>
      <w:r w:rsidR="00D77976" w:rsidRPr="008778AA">
        <w:rPr>
          <w:rFonts w:ascii="Times New Roman" w:hAnsi="Times New Roman" w:cs="Times New Roman"/>
        </w:rPr>
        <w:fldChar w:fldCharType="end"/>
      </w:r>
      <w:r w:rsidR="00A5335F" w:rsidRPr="008778AA">
        <w:rPr>
          <w:rFonts w:ascii="Times New Roman" w:hAnsi="Times New Roman" w:cs="Times New Roman"/>
        </w:rPr>
        <w:t>.</w:t>
      </w:r>
    </w:p>
    <w:p w14:paraId="12EB7C37" w14:textId="09AACD51" w:rsidR="00011E8A" w:rsidRPr="008778AA" w:rsidRDefault="00011E8A" w:rsidP="00AF2BDF">
      <w:pPr>
        <w:pStyle w:val="Heading2"/>
      </w:pPr>
      <w:bookmarkStart w:id="35" w:name="_Toc233392962"/>
      <w:bookmarkStart w:id="36" w:name="_Toc233884808"/>
      <w:r w:rsidRPr="008778AA">
        <w:lastRenderedPageBreak/>
        <w:t xml:space="preserve">Impact on </w:t>
      </w:r>
      <w:r w:rsidRPr="00AF2BDF">
        <w:t>shareholder</w:t>
      </w:r>
      <w:r w:rsidRPr="008778AA">
        <w:t xml:space="preserve"> value, debt structure and operational flexibility</w:t>
      </w:r>
      <w:bookmarkEnd w:id="35"/>
      <w:bookmarkEnd w:id="36"/>
    </w:p>
    <w:p w14:paraId="4B3F3560" w14:textId="0C7AEF5D" w:rsidR="00A5335F" w:rsidRPr="008778AA" w:rsidRDefault="005B748B" w:rsidP="008778AA">
      <w:pPr>
        <w:pStyle w:val="NoSpacing"/>
        <w:spacing w:line="360" w:lineRule="auto"/>
        <w:jc w:val="both"/>
        <w:rPr>
          <w:rFonts w:ascii="Times New Roman" w:hAnsi="Times New Roman" w:cs="Times New Roman"/>
        </w:rPr>
      </w:pPr>
      <w:r w:rsidRPr="005B748B">
        <w:rPr>
          <w:rFonts w:ascii="Times New Roman" w:hAnsi="Times New Roman" w:cs="Times New Roman"/>
        </w:rPr>
        <w:t>The plan should increase the quality and sustainability of returns, rather than foremost financial engineering, and enhance the value of the shareholders</w:t>
      </w:r>
      <w:r>
        <w:rPr>
          <w:rFonts w:ascii="Times New Roman" w:hAnsi="Times New Roman" w:cs="Times New Roman"/>
        </w:rPr>
        <w:t xml:space="preserve"> </w:t>
      </w:r>
      <w:r w:rsidR="00A5335F" w:rsidRPr="008778AA">
        <w:rPr>
          <w:rFonts w:ascii="Times New Roman" w:hAnsi="Times New Roman" w:cs="Times New Roman"/>
        </w:rPr>
        <w:t>Consolidation of assets and divesting can enhance return on capital and free cash for greater-value purposes. Debt refinance can help lower refinancing risk, stabilize interest cover and safeguard IHG's credit profile</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{"citationItems":[{"id":"ITEM-1","itemData":{"author":[{"dropping-particle":"","family":"Liew","given":"Christopher","non-dropping-particle":"","parse-names":false,"suffix":""}],"id":"ITEM-1","issued":{"date-parts":[["2025"]]},"title":"Christopher Liew: Thinking of refinancing your debt? The benefits, drawbacks, and credit impact","type":"article-journal"},"uris":["http://www.mendeley.com/documents/?uuid=37b923f8-64ba-42f8-afd8-0c2b6bc8d4ce"]}],"mendeley":{"formattedCitation":"(Liew, 2025)","plainTextFormattedCitation":"(Liew, 2025)","previouslyFormattedCitation":"(Liew, 2025)"},"properties":{"noteIndex":0},"schema":"https://github.com/citation-style-language/schema/raw/master/csl-citation.json"}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(Liew, 2025)</w:t>
      </w:r>
      <w:r w:rsidR="00D77976" w:rsidRPr="008778AA">
        <w:rPr>
          <w:rFonts w:ascii="Times New Roman" w:hAnsi="Times New Roman" w:cs="Times New Roman"/>
        </w:rPr>
        <w:fldChar w:fldCharType="end"/>
      </w:r>
      <w:r w:rsidR="00A5335F" w:rsidRPr="008778AA">
        <w:rPr>
          <w:rFonts w:ascii="Times New Roman" w:hAnsi="Times New Roman" w:cs="Times New Roman"/>
        </w:rPr>
        <w:t>. Specific brand and digital investments can boost future RevPAR, loyalty penetration and fee margins.</w:t>
      </w:r>
    </w:p>
    <w:p w14:paraId="4A517C40" w14:textId="16C6E012" w:rsidR="00011E8A" w:rsidRPr="008778AA" w:rsidRDefault="00A5335F" w:rsidP="008778AA">
      <w:pPr>
        <w:spacing w:line="360" w:lineRule="auto"/>
        <w:jc w:val="both"/>
        <w:rPr>
          <w:rFonts w:ascii="Times New Roman" w:hAnsi="Times New Roman" w:cs="Times New Roman"/>
        </w:rPr>
      </w:pPr>
      <w:proofErr w:type="gramStart"/>
      <w:r w:rsidRPr="008778AA">
        <w:rPr>
          <w:rFonts w:ascii="Times New Roman" w:hAnsi="Times New Roman" w:cs="Times New Roman"/>
        </w:rPr>
        <w:t>But,</w:t>
      </w:r>
      <w:proofErr w:type="gramEnd"/>
      <w:r w:rsidRPr="008778AA">
        <w:rPr>
          <w:rFonts w:ascii="Times New Roman" w:hAnsi="Times New Roman" w:cs="Times New Roman"/>
        </w:rPr>
        <w:t xml:space="preserve"> the returns on shares must be more disciplined. Buybacks can generate EPS growth by decreasing the number of shares </w:t>
      </w:r>
      <w:proofErr w:type="gramStart"/>
      <w:r w:rsidRPr="008778AA">
        <w:rPr>
          <w:rFonts w:ascii="Times New Roman" w:hAnsi="Times New Roman" w:cs="Times New Roman"/>
        </w:rPr>
        <w:t>outstanding, and</w:t>
      </w:r>
      <w:proofErr w:type="gramEnd"/>
      <w:r w:rsidRPr="008778AA">
        <w:rPr>
          <w:rFonts w:ascii="Times New Roman" w:hAnsi="Times New Roman" w:cs="Times New Roman"/>
        </w:rPr>
        <w:t xml:space="preserve"> can be used when cash is generated that is not needed for reinvestment. But over-buybacks may lessen the flexibility in case of economic slowdowns or IHG </w:t>
      </w:r>
      <w:proofErr w:type="gramStart"/>
      <w:r w:rsidRPr="008778AA">
        <w:rPr>
          <w:rFonts w:ascii="Times New Roman" w:hAnsi="Times New Roman" w:cs="Times New Roman"/>
        </w:rPr>
        <w:t>has to</w:t>
      </w:r>
      <w:proofErr w:type="gramEnd"/>
      <w:r w:rsidRPr="008778AA">
        <w:rPr>
          <w:rFonts w:ascii="Times New Roman" w:hAnsi="Times New Roman" w:cs="Times New Roman"/>
        </w:rPr>
        <w:t xml:space="preserve"> speed up its investment in cybersecurity, AI governance, property-management systems, loyalty platforms, </w:t>
      </w:r>
      <w:proofErr w:type="spellStart"/>
      <w:r w:rsidRPr="008778AA">
        <w:rPr>
          <w:rFonts w:ascii="Times New Roman" w:hAnsi="Times New Roman" w:cs="Times New Roman"/>
        </w:rPr>
        <w:t>decarbonisation</w:t>
      </w:r>
      <w:proofErr w:type="spellEnd"/>
      <w:r w:rsidRPr="008778AA">
        <w:rPr>
          <w:rFonts w:ascii="Times New Roman" w:hAnsi="Times New Roman" w:cs="Times New Roman"/>
        </w:rPr>
        <w:t xml:space="preserve"> and brand standards. The CFO recommendation thus is to only approve buybacks with leverage, liquidity, investment pipeline and risk consideration. Dividends are to continue to be progressive and sustainable and surplus cash is to be invested first in strategic resilience and value accretive growth</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{"citationItems":[{"id":"ITEM-1","itemData":{"ISSN":"2310-8770","abstract":"Many industries in Indonesia do not share profits in the form of dividends with investors, which affects the value of the company. This condition really determines the investor's decision to invest in the future as a reaction to the company's dividend policy. The study is aimed at analyzing the dividend policy in relation to investor behaviour and its impact on the value of a firm with financial stability as a moderate variable. This study uses 360 IDX-listed businesses from 2018 to 2022 for properties. Smart PLS was used to test the model. The study shows that the dividend policy affects the value of the company, but does not affect the behaviour of investors. However, financial stability has a negative impact on the dividend policy and the value of the company. In addition, financial stability cannot mitigate the relationship between the dividend policy and the value of the firm; Conversely, economic resilience can mitigate investor behavior and affect a firm's value. The article emphasizes that managers who develop dividend policy, that managers who develop dividend policy should pay attention to the behaviour of investors, as this can be a positive signal for the future value of the company.","author":[{"dropping-particle":"","family":"Murtadho","given":"Muis","non-dropping-particle":"","parse-names":false,"suffix":""},{"dropping-particle":"","family":"Ratnawati","given":"Tri","non-dropping-particle":"","parse-names":false,"suffix":""},{"dropping-particle":"","family":"Pristiana","given":"Ulfi","non-dropping-particle":"","parse-names":false,"suffix":""}],"container-title":"Financial and credit activity problems of theory and practice","id":"ITEM-1","issue":"59","issued":{"date-parts":[["2024","12","31"]]},"page":"283-292","title":"DIVIDEND POLICY TO IMPROVE FIRM VALUE, FINANCIAL SUSTAINABILITY MODERATING VARIABLE","type":"article-journal","volume":"6"},"uris":["http://www.mendeley.com/documents/?uuid=48fc5119-95ed-4f8a-8c8d-ee35a8b77e16"]}],"mendeley":{"formattedCitation":"(Murtadho, Ratnawati and Pristiana, 2024)","plainTextFormattedCitation":"(Murtadho, Ratnawati and Pristiana, 2024)","previouslyFormattedCitation":"(Murtadho, Ratnawati and Pristiana, 2024)"},"properties":{"noteIndex":0},"schema":"https://github.com/citation-style-language/schema/raw/master/csl-citation.json"}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(Murtadho, Ratnawati and Pristiana, 2024)</w:t>
      </w:r>
      <w:r w:rsidR="00D77976" w:rsidRPr="008778AA">
        <w:rPr>
          <w:rFonts w:ascii="Times New Roman" w:hAnsi="Times New Roman" w:cs="Times New Roman"/>
        </w:rPr>
        <w:fldChar w:fldCharType="end"/>
      </w:r>
      <w:r w:rsidRPr="008778AA">
        <w:rPr>
          <w:rFonts w:ascii="Times New Roman" w:hAnsi="Times New Roman" w:cs="Times New Roman"/>
        </w:rPr>
        <w:t>.</w:t>
      </w:r>
    </w:p>
    <w:p w14:paraId="33186FE7" w14:textId="6972842A" w:rsidR="00011E8A" w:rsidRPr="008778AA" w:rsidRDefault="00011E8A" w:rsidP="00AF2BDF">
      <w:pPr>
        <w:pStyle w:val="Heading2"/>
      </w:pPr>
      <w:bookmarkStart w:id="37" w:name="_Toc233392963"/>
      <w:bookmarkStart w:id="38" w:name="_Toc233884809"/>
      <w:r w:rsidRPr="008778AA">
        <w:t>International and ethical considerations</w:t>
      </w:r>
      <w:bookmarkEnd w:id="37"/>
      <w:bookmarkEnd w:id="38"/>
    </w:p>
    <w:p w14:paraId="4B89C3CA" w14:textId="292EAB1C" w:rsidR="00011E8A" w:rsidRPr="008778AA" w:rsidRDefault="00A5335F" w:rsidP="008778AA">
      <w:pPr>
        <w:spacing w:line="360" w:lineRule="auto"/>
        <w:jc w:val="both"/>
        <w:rPr>
          <w:rFonts w:ascii="Times New Roman" w:hAnsi="Times New Roman" w:cs="Times New Roman"/>
        </w:rPr>
      </w:pPr>
      <w:r w:rsidRPr="008778AA">
        <w:rPr>
          <w:rFonts w:ascii="Times New Roman" w:hAnsi="Times New Roman" w:cs="Times New Roman"/>
        </w:rPr>
        <w:t>Debt should be matched with cash-flow currencies wherever possible and treasury policy should aim to eliminate speculative currency risk</w:t>
      </w:r>
      <w:r w:rsidR="00D77976" w:rsidRPr="008778AA">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{"citationItems":[{"id":"ITEM-1","itemData":{"ISSN":"1985-2517","author":[{"dropping-particle":"","family":"Kamau","given":"Philip","non-dropping-particle":"","parse-names":false,"suffix":""},{"dropping-particle":"","family":"Inanga","given":"Eno L.","non-dropping-particle":"","parse-names":false,"suffix":""},{"dropping-particle":"","family":"Rwegasira","given":"Kami","non-dropping-particle":"","parse-names":false,"suffix":""}],"container-title":"Journal of Financial Reporting and Accounting","id":"ITEM-1","issue":"1","issued":{"date-parts":[["2015","7","6"]]},"page":"91-118","title":"Currency risk impact on the financial performance of multilateral banks","type":"article-journal","volume":"13"},"uris":["http://www.mendeley.com/documents/?uuid=666851fb-a035-4bb4-a1ee-3b446c31c59d"]}],"mendeley":{"formattedCitation":"(Kamau, Inanga and Rwegasira, 2015)","plainTextFormattedCitation":"(Kamau, Inanga and Rwegasira, 2015)","previouslyFormattedCitation":"(Kamau, Inanga and Rwegasira, 2015)"},"properties":{"noteIndex":0},"schema":"https://github.com/citation-style-language/schema/raw/master/csl-citation.json"}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(Kamau, Inanga and Rwegasira, 2015)</w:t>
      </w:r>
      <w:r w:rsidR="00D77976" w:rsidRPr="008778AA">
        <w:rPr>
          <w:rFonts w:ascii="Times New Roman" w:hAnsi="Times New Roman" w:cs="Times New Roman"/>
        </w:rPr>
        <w:fldChar w:fldCharType="end"/>
      </w:r>
      <w:r w:rsidRPr="008778AA">
        <w:rPr>
          <w:rFonts w:ascii="Times New Roman" w:hAnsi="Times New Roman" w:cs="Times New Roman"/>
        </w:rPr>
        <w:t xml:space="preserve">. There also needs to be an ethical restructuring of the food service sector, and that means responsible franchising, where owners are not forced to pay for brand or ESG upgrades that may not be financially viable for the business or lead to a realistic implementation timeline. Payment discipline shouldn't be a form of unfair payment delay. </w:t>
      </w:r>
    </w:p>
    <w:p w14:paraId="0B0CBE6B" w14:textId="154E77C6" w:rsidR="00011E8A" w:rsidRPr="008778AA" w:rsidRDefault="00011E8A" w:rsidP="00622A00">
      <w:pPr>
        <w:pStyle w:val="Heading1"/>
        <w:numPr>
          <w:ilvl w:val="0"/>
          <w:numId w:val="9"/>
        </w:numPr>
      </w:pPr>
      <w:bookmarkStart w:id="39" w:name="_Toc233392964"/>
      <w:bookmarkStart w:id="40" w:name="_Toc233884810"/>
      <w:r w:rsidRPr="008778AA">
        <w:t>Investment Appraisal and Capital Budgeting</w:t>
      </w:r>
      <w:bookmarkEnd w:id="39"/>
      <w:bookmarkEnd w:id="40"/>
    </w:p>
    <w:p w14:paraId="02F1D0F6" w14:textId="5DD6E20C" w:rsidR="00011E8A" w:rsidRPr="008778AA" w:rsidRDefault="00011E8A" w:rsidP="00AF2BDF">
      <w:pPr>
        <w:pStyle w:val="Heading2"/>
      </w:pPr>
      <w:bookmarkStart w:id="41" w:name="_Toc233392965"/>
      <w:bookmarkStart w:id="42" w:name="_Toc233884811"/>
      <w:r w:rsidRPr="008778AA">
        <w:t xml:space="preserve">Appraisal </w:t>
      </w:r>
      <w:r w:rsidRPr="00AF2BDF">
        <w:t>assumptions</w:t>
      </w:r>
      <w:r w:rsidRPr="008778AA">
        <w:t xml:space="preserve"> and decision criteria</w:t>
      </w:r>
      <w:bookmarkEnd w:id="41"/>
      <w:bookmarkEnd w:id="42"/>
    </w:p>
    <w:p w14:paraId="59480F6B" w14:textId="77777777" w:rsidR="005B748B" w:rsidRPr="005B748B" w:rsidRDefault="00011E8A" w:rsidP="005B748B">
      <w:pPr>
        <w:spacing w:line="360" w:lineRule="auto"/>
        <w:jc w:val="both"/>
        <w:rPr>
          <w:rFonts w:ascii="Times New Roman" w:hAnsi="Times New Roman" w:cs="Times New Roman"/>
        </w:rPr>
      </w:pPr>
      <w:r w:rsidRPr="008778AA">
        <w:rPr>
          <w:rFonts w:ascii="Times New Roman" w:hAnsi="Times New Roman" w:cs="Times New Roman"/>
        </w:rPr>
        <w:t>The investment appraisal assesses three proposed projects, each requiring an initial outlay of £50 million and generating net cash inflows over five years. The appraisal uses an 8% discount rate and assumes straight-line depreciation to zero, giving annual depreciation of £10 million per project</w:t>
      </w:r>
      <w:r w:rsidR="005B748B" w:rsidRPr="005B748B">
        <w:rPr>
          <w:rFonts w:ascii="Times New Roman" w:hAnsi="Times New Roman" w:cs="Times New Roman"/>
        </w:rPr>
        <w:t>. Under capital rationing IHG can invest in only two of the three projects as the maximum investment is £100 million.</w:t>
      </w:r>
    </w:p>
    <w:p w14:paraId="5F2B826F" w14:textId="406DFA45" w:rsidR="00011E8A" w:rsidRPr="008778AA" w:rsidRDefault="005B748B" w:rsidP="005B748B">
      <w:pPr>
        <w:spacing w:line="360" w:lineRule="auto"/>
        <w:jc w:val="both"/>
        <w:rPr>
          <w:rFonts w:ascii="Times New Roman" w:hAnsi="Times New Roman" w:cs="Times New Roman"/>
        </w:rPr>
      </w:pPr>
      <w:r w:rsidRPr="005B748B">
        <w:rPr>
          <w:rFonts w:ascii="Times New Roman" w:hAnsi="Times New Roman" w:cs="Times New Roman"/>
        </w:rPr>
        <w:lastRenderedPageBreak/>
        <w:t>There are five decision criteria used. Average annual accounting profit = Accounting rate of return (A.R.R.) x Average investment, Average investment = Average annual accounting profit / Accounting rate of return (A.R.R.)</w:t>
      </w:r>
      <w:r>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{"citationItems":[{"id":"ITEM-1","itemData":{"author":[{"dropping-particle":"","family":"Ungvarsky","given":"Janine","non-dropping-particle":"","parse-names":false,"suffix":""}],"id":"ITEM-1","issued":{"date-parts":[["2023"]]},"title":"Payback period","type":"article-journal"},"uris":["http://www.mendeley.com/documents/?uuid=a2f26604-f901-4ced-a15d-0497880a14af"]}],"mendeley":{"formattedCitation":"(Ungvarsky, 2023)","plainTextFormattedCitation":"(Ungvarsky, 2023)","previouslyFormattedCitation":"(Ungvarsky, 2023)"},"properties":{"noteIndex":0},"schema":"https://github.com/citation-style-language/schema/raw/master/csl-citation.json"}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(Ungvarsky, 2023)</w:t>
      </w:r>
      <w:r w:rsidR="00D77976" w:rsidRPr="008778AA">
        <w:rPr>
          <w:rFonts w:ascii="Times New Roman" w:hAnsi="Times New Roman" w:cs="Times New Roman"/>
        </w:rPr>
        <w:fldChar w:fldCharType="end"/>
      </w:r>
      <w:r w:rsidR="00011E8A" w:rsidRPr="008778AA">
        <w:rPr>
          <w:rFonts w:ascii="Times New Roman" w:hAnsi="Times New Roman" w:cs="Times New Roman"/>
        </w:rPr>
        <w:t xml:space="preserve">. </w:t>
      </w:r>
      <w:r w:rsidRPr="005B748B">
        <w:rPr>
          <w:rFonts w:ascii="Times New Roman" w:hAnsi="Times New Roman" w:cs="Times New Roman"/>
        </w:rPr>
        <w:t>NPV adjusts future cash flows to determine shareholder value creation. Profitability Index is the value per £1 invested and Internal Rate of Return is the discount rate where NPV is zero</w:t>
      </w:r>
      <w:r>
        <w:rPr>
          <w:rFonts w:ascii="Times New Roman" w:hAnsi="Times New Roman" w:cs="Times New Roman"/>
        </w:rPr>
        <w:t>.</w:t>
      </w:r>
    </w:p>
    <w:p w14:paraId="3657AE59" w14:textId="205607A0" w:rsidR="00011E8A" w:rsidRPr="008778AA" w:rsidRDefault="00011E8A" w:rsidP="00AF2BDF">
      <w:pPr>
        <w:pStyle w:val="Heading2"/>
      </w:pPr>
      <w:bookmarkStart w:id="43" w:name="_Toc233392966"/>
      <w:bookmarkStart w:id="44" w:name="_Toc233884812"/>
      <w:r w:rsidRPr="008778AA">
        <w:t xml:space="preserve">Project A </w:t>
      </w:r>
      <w:r w:rsidRPr="00AF2BDF">
        <w:t>appraisal</w:t>
      </w:r>
      <w:bookmarkEnd w:id="43"/>
      <w:bookmarkEnd w:id="44"/>
    </w:p>
    <w:p w14:paraId="600C979F" w14:textId="77777777" w:rsidR="005B748B" w:rsidRPr="005B748B" w:rsidRDefault="005B748B" w:rsidP="005B748B">
      <w:pPr>
        <w:spacing w:line="360" w:lineRule="auto"/>
        <w:jc w:val="both"/>
        <w:rPr>
          <w:rFonts w:ascii="Times New Roman" w:hAnsi="Times New Roman" w:cs="Times New Roman"/>
        </w:rPr>
      </w:pPr>
      <w:r w:rsidRPr="005B748B">
        <w:rPr>
          <w:rFonts w:ascii="Times New Roman" w:hAnsi="Times New Roman" w:cs="Times New Roman"/>
        </w:rPr>
        <w:t xml:space="preserve">The total undiscounted cash inflows for Project A are £54 million over five years, with a £50 million initial investment. In the early and middle years, cash-flow is positive with cash inflows of £10m, £12m and £14m in years one, two and three, but becomes less positive in year four at £10m and year five at £8m. The Payback period is 4.5 years, which means that the investment is only paid back </w:t>
      </w:r>
      <w:proofErr w:type="gramStart"/>
      <w:r w:rsidRPr="005B748B">
        <w:rPr>
          <w:rFonts w:ascii="Times New Roman" w:hAnsi="Times New Roman" w:cs="Times New Roman"/>
        </w:rPr>
        <w:t>half way</w:t>
      </w:r>
      <w:proofErr w:type="gramEnd"/>
      <w:r w:rsidRPr="005B748B">
        <w:rPr>
          <w:rFonts w:ascii="Times New Roman" w:hAnsi="Times New Roman" w:cs="Times New Roman"/>
        </w:rPr>
        <w:t xml:space="preserve"> through the last year. </w:t>
      </w:r>
    </w:p>
    <w:p w14:paraId="0D8628DC" w14:textId="47710E65" w:rsidR="00011E8A" w:rsidRPr="008778AA" w:rsidRDefault="005B748B" w:rsidP="005B748B">
      <w:pPr>
        <w:spacing w:line="360" w:lineRule="auto"/>
        <w:jc w:val="both"/>
        <w:rPr>
          <w:rFonts w:ascii="Times New Roman" w:hAnsi="Times New Roman" w:cs="Times New Roman"/>
        </w:rPr>
      </w:pPr>
      <w:r w:rsidRPr="005B748B">
        <w:rPr>
          <w:rFonts w:ascii="Times New Roman" w:hAnsi="Times New Roman" w:cs="Times New Roman"/>
        </w:rPr>
        <w:t>The Accounting Profit is £10 million per year, using straight line depreciation method, then the average annual accounting profit of £0.8 million, and the Accounting Rate of Return is 3.2% based on the average investment of £25 million. The present value of the inflows of Project A at 8% discount rate is around £43.46 million, giving a N.P.V. of - £6.54 million and a Profitability Index of 0.87. The Internal Rate of Return (IRR) is about 2.7%, which is less than the target 8% return. Thus, Project A is not financially appealing based on value creation criteria although the project has positive nominal cash inflows</w:t>
      </w:r>
      <w:r w:rsidR="00011E8A" w:rsidRPr="008778AA">
        <w:rPr>
          <w:rFonts w:ascii="Times New Roman" w:hAnsi="Times New Roman" w:cs="Times New Roman"/>
        </w:rPr>
        <w:t>.</w:t>
      </w:r>
    </w:p>
    <w:p w14:paraId="5DEDD5C8" w14:textId="5D4D1CA8" w:rsidR="000D410D" w:rsidRPr="008778AA" w:rsidRDefault="000D410D" w:rsidP="00AF2BDF">
      <w:pPr>
        <w:pStyle w:val="Heading2"/>
      </w:pPr>
      <w:bookmarkStart w:id="45" w:name="_Toc233392967"/>
      <w:bookmarkStart w:id="46" w:name="_Toc233884813"/>
      <w:r w:rsidRPr="008778AA">
        <w:t>Project B appraisal</w:t>
      </w:r>
      <w:bookmarkEnd w:id="45"/>
      <w:bookmarkEnd w:id="46"/>
    </w:p>
    <w:p w14:paraId="16C5B19B" w14:textId="77777777" w:rsidR="00E66DDB" w:rsidRPr="00E66DDB" w:rsidRDefault="00E66DDB" w:rsidP="00E66DDB">
      <w:pPr>
        <w:spacing w:line="360" w:lineRule="auto"/>
        <w:jc w:val="both"/>
        <w:rPr>
          <w:rFonts w:ascii="Times New Roman" w:hAnsi="Times New Roman" w:cs="Times New Roman"/>
        </w:rPr>
      </w:pPr>
      <w:r w:rsidRPr="00E66DDB">
        <w:rPr>
          <w:rFonts w:ascii="Times New Roman" w:hAnsi="Times New Roman" w:cs="Times New Roman"/>
        </w:rPr>
        <w:t>The initial investment for Project B is £50 million, and the net cash inflows from the project are a constant £11 million for 5 years. This leads to £55</w:t>
      </w:r>
      <w:proofErr w:type="gramStart"/>
      <w:r w:rsidRPr="00E66DDB">
        <w:rPr>
          <w:rFonts w:ascii="Times New Roman" w:hAnsi="Times New Roman" w:cs="Times New Roman"/>
        </w:rPr>
        <w:t>m of</w:t>
      </w:r>
      <w:proofErr w:type="gramEnd"/>
      <w:r w:rsidRPr="00E66DDB">
        <w:rPr>
          <w:rFonts w:ascii="Times New Roman" w:hAnsi="Times New Roman" w:cs="Times New Roman"/>
        </w:rPr>
        <w:t xml:space="preserve"> undiscounted cash inflows. The Payback period is the time taken for £50 million to be recovered from the £11 million per year inflow, which is 4.55 years. The cash flows are known but the payback is long as the annual inflow is only slightly higher than annual depreciation.</w:t>
      </w:r>
    </w:p>
    <w:p w14:paraId="1835E586" w14:textId="33E5B92E" w:rsidR="000D410D" w:rsidRPr="008778AA" w:rsidRDefault="00E66DDB" w:rsidP="00342F87">
      <w:r w:rsidRPr="00E66DDB">
        <w:t xml:space="preserve">The straight-line depreciation is £10 million a year, so there is an annual accounting profit of £1 million, and an average annual accounting profit of £1 million. The Accounting rate of return is 4.0% based on an average investment of £25 million. The present value of these 5 equal inflows is about £43.92 million and the NPV and Profitability Index at 8% discount rate are -£6.08 million and 0.88 respectively. The IRR is about 3.3% less than the required IRR of 8%. Hence, </w:t>
      </w:r>
      <w:r w:rsidRPr="00E66DDB">
        <w:lastRenderedPageBreak/>
        <w:t>project B isn't financially desirable because it doesn't provide enough discounted value for the investment, but it is operationally predictable</w:t>
      </w:r>
      <w:r w:rsidR="000D410D" w:rsidRPr="008778AA">
        <w:t>.</w:t>
      </w:r>
    </w:p>
    <w:p w14:paraId="048D4427" w14:textId="727A2FA2" w:rsidR="000D410D" w:rsidRPr="008778AA" w:rsidRDefault="000D410D" w:rsidP="00AF2BDF">
      <w:pPr>
        <w:pStyle w:val="Heading2"/>
      </w:pPr>
      <w:bookmarkStart w:id="47" w:name="_Toc233392968"/>
      <w:bookmarkStart w:id="48" w:name="_Toc233884814"/>
      <w:r w:rsidRPr="008778AA">
        <w:t>Project C appraisal</w:t>
      </w:r>
      <w:bookmarkEnd w:id="47"/>
      <w:bookmarkEnd w:id="48"/>
    </w:p>
    <w:p w14:paraId="20FA9EB0" w14:textId="77777777" w:rsidR="00E66DDB" w:rsidRPr="00E66DDB" w:rsidRDefault="00E66DDB" w:rsidP="00E66DDB">
      <w:pPr>
        <w:spacing w:line="360" w:lineRule="auto"/>
        <w:jc w:val="both"/>
        <w:rPr>
          <w:rFonts w:ascii="Times New Roman" w:hAnsi="Times New Roman" w:cs="Times New Roman"/>
        </w:rPr>
      </w:pPr>
      <w:r w:rsidRPr="00E66DDB">
        <w:rPr>
          <w:rFonts w:ascii="Times New Roman" w:hAnsi="Times New Roman" w:cs="Times New Roman"/>
        </w:rPr>
        <w:t xml:space="preserve">Project C has a </w:t>
      </w:r>
      <w:proofErr w:type="gramStart"/>
      <w:r w:rsidRPr="00E66DDB">
        <w:rPr>
          <w:rFonts w:ascii="Times New Roman" w:hAnsi="Times New Roman" w:cs="Times New Roman"/>
        </w:rPr>
        <w:t>cash-flow</w:t>
      </w:r>
      <w:proofErr w:type="gramEnd"/>
      <w:r w:rsidRPr="00E66DDB">
        <w:rPr>
          <w:rFonts w:ascii="Times New Roman" w:hAnsi="Times New Roman" w:cs="Times New Roman"/>
        </w:rPr>
        <w:t xml:space="preserve"> that is different to that of project B, requiring the same initial investment of £50 million. It produces £5m in year one, £10m in year two, £20m in year three, £25m in year 4 and £5m in year 5. The highest of the three projects is total undiscounted inflows of £65 million. Payback period is calculated after £35 million has been recovered by the end of year three, which leaves £15 million in year four to be recovered, which is £25 million inflow / £15 million outflow = 1.67 years or £15 million is recovered after 1.67 years, or approximately 3.6 years. This is quicker than Projects A and B.</w:t>
      </w:r>
    </w:p>
    <w:p w14:paraId="498606ED" w14:textId="1494F1C6" w:rsidR="000D410D" w:rsidRPr="008778AA" w:rsidRDefault="00E66DDB" w:rsidP="00E66DDB">
      <w:pPr>
        <w:spacing w:line="360" w:lineRule="auto"/>
        <w:jc w:val="both"/>
        <w:rPr>
          <w:rFonts w:ascii="Times New Roman" w:hAnsi="Times New Roman" w:cs="Times New Roman"/>
        </w:rPr>
      </w:pPr>
      <w:r w:rsidRPr="00E66DDB">
        <w:rPr>
          <w:rFonts w:ascii="Times New Roman" w:hAnsi="Times New Roman" w:cs="Times New Roman"/>
        </w:rPr>
        <w:t xml:space="preserve">If the accounting profit is zero, £10 million per year and the depreciation is zero, the average accounting profit over 5 years is £3 million. The Accounting Rate of Return (ARR) is 12.0% when based on the average investment which is £25 million. With </w:t>
      </w:r>
      <w:proofErr w:type="gramStart"/>
      <w:r w:rsidRPr="00E66DDB">
        <w:rPr>
          <w:rFonts w:ascii="Times New Roman" w:hAnsi="Times New Roman" w:cs="Times New Roman"/>
        </w:rPr>
        <w:t>a</w:t>
      </w:r>
      <w:proofErr w:type="gramEnd"/>
      <w:r w:rsidRPr="00E66DDB">
        <w:rPr>
          <w:rFonts w:ascii="Times New Roman" w:hAnsi="Times New Roman" w:cs="Times New Roman"/>
        </w:rPr>
        <w:t xml:space="preserve"> 8% discount rate the present value of inflows is around £50.86 million, the NPV is £0.86 </w:t>
      </w:r>
      <w:proofErr w:type="gramStart"/>
      <w:r w:rsidRPr="00E66DDB">
        <w:rPr>
          <w:rFonts w:ascii="Times New Roman" w:hAnsi="Times New Roman" w:cs="Times New Roman"/>
        </w:rPr>
        <w:t>million</w:t>
      </w:r>
      <w:proofErr w:type="gramEnd"/>
      <w:r w:rsidRPr="00E66DDB">
        <w:rPr>
          <w:rFonts w:ascii="Times New Roman" w:hAnsi="Times New Roman" w:cs="Times New Roman"/>
        </w:rPr>
        <w:t xml:space="preserve"> and the Profitability Index is 1.02. </w:t>
      </w:r>
      <w:proofErr w:type="gramStart"/>
      <w:r w:rsidRPr="00E66DDB">
        <w:rPr>
          <w:rFonts w:ascii="Times New Roman" w:hAnsi="Times New Roman" w:cs="Times New Roman"/>
        </w:rPr>
        <w:t>Thus</w:t>
      </w:r>
      <w:proofErr w:type="gramEnd"/>
      <w:r w:rsidRPr="00E66DDB">
        <w:rPr>
          <w:rFonts w:ascii="Times New Roman" w:hAnsi="Times New Roman" w:cs="Times New Roman"/>
        </w:rPr>
        <w:t xml:space="preserve"> project C is the only project that has positive discounted values, but with back-loaded cash flows, there is a timing and execution risk</w:t>
      </w:r>
      <w:r w:rsidR="000D410D" w:rsidRPr="008778AA">
        <w:rPr>
          <w:rFonts w:ascii="Times New Roman" w:hAnsi="Times New Roman" w:cs="Times New Roman"/>
        </w:rPr>
        <w:t>.</w:t>
      </w:r>
    </w:p>
    <w:p w14:paraId="66A78D1C" w14:textId="545D0F27" w:rsidR="000D410D" w:rsidRPr="008778AA" w:rsidRDefault="000D410D" w:rsidP="00AF2BDF">
      <w:pPr>
        <w:pStyle w:val="Heading2"/>
      </w:pPr>
      <w:bookmarkStart w:id="49" w:name="_Toc233392969"/>
      <w:bookmarkStart w:id="50" w:name="_Toc233884815"/>
      <w:r w:rsidRPr="00AF2BDF">
        <w:t>Comparison</w:t>
      </w:r>
      <w:r w:rsidRPr="008778AA">
        <w:t xml:space="preserve"> and recommended single project</w:t>
      </w:r>
      <w:bookmarkEnd w:id="49"/>
      <w:bookmarkEnd w:id="50"/>
    </w:p>
    <w:p w14:paraId="76780BE7" w14:textId="0E31AA2D" w:rsidR="00B82405" w:rsidRPr="008778AA" w:rsidRDefault="00E66DDB" w:rsidP="008778AA">
      <w:pPr>
        <w:spacing w:line="360" w:lineRule="auto"/>
        <w:jc w:val="both"/>
        <w:rPr>
          <w:rFonts w:ascii="Times New Roman" w:hAnsi="Times New Roman" w:cs="Times New Roman"/>
        </w:rPr>
      </w:pPr>
      <w:r w:rsidRPr="00E66DDB">
        <w:rPr>
          <w:rFonts w:ascii="Times New Roman" w:hAnsi="Times New Roman" w:cs="Times New Roman"/>
        </w:rPr>
        <w:t xml:space="preserve">The outcome of the appraisals indicated that Project C is the best individual investment. Project A has a Payback Period of 4.5 years, an ARR of 3.2%, </w:t>
      </w:r>
      <w:proofErr w:type="gramStart"/>
      <w:r w:rsidRPr="00E66DDB">
        <w:rPr>
          <w:rFonts w:ascii="Times New Roman" w:hAnsi="Times New Roman" w:cs="Times New Roman"/>
        </w:rPr>
        <w:t>a NPV</w:t>
      </w:r>
      <w:proofErr w:type="gramEnd"/>
      <w:r w:rsidRPr="00E66DDB">
        <w:rPr>
          <w:rFonts w:ascii="Times New Roman" w:hAnsi="Times New Roman" w:cs="Times New Roman"/>
        </w:rPr>
        <w:t xml:space="preserve"> of -£6.54 million and a PI of 0.87 and IRR of approximately 2.7%. Project B is a little better but still weak with a Payback Period of 4.55 years, ARR of 4.0%, NPV of -£6.08 million, PI of 0.88 and IRR of about 3.3%. Both projects have a negative NPV and return of less than 8% required rate</w:t>
      </w:r>
      <w:r w:rsidR="000D410D" w:rsidRPr="008778AA">
        <w:rPr>
          <w:rFonts w:ascii="Times New Roman" w:hAnsi="Times New Roman" w:cs="Times New Roman"/>
        </w:rPr>
        <w:t xml:space="preserve">. </w:t>
      </w:r>
    </w:p>
    <w:p w14:paraId="1362EA78" w14:textId="3001606F" w:rsidR="0016378B" w:rsidRPr="008778AA" w:rsidRDefault="0016378B" w:rsidP="008778AA">
      <w:pPr>
        <w:pStyle w:val="Caption"/>
        <w:keepNext/>
        <w:spacing w:line="360" w:lineRule="auto"/>
        <w:jc w:val="center"/>
        <w:rPr>
          <w:rFonts w:ascii="Times New Roman" w:hAnsi="Times New Roman" w:cs="Times New Roman"/>
        </w:rPr>
      </w:pPr>
      <w:r w:rsidRPr="008778AA">
        <w:rPr>
          <w:rFonts w:ascii="Times New Roman" w:hAnsi="Times New Roman" w:cs="Times New Roman"/>
        </w:rPr>
        <w:t xml:space="preserve">Table </w:t>
      </w:r>
      <w:r w:rsidRPr="008778AA">
        <w:rPr>
          <w:rFonts w:ascii="Times New Roman" w:hAnsi="Times New Roman" w:cs="Times New Roman"/>
        </w:rPr>
        <w:fldChar w:fldCharType="begin"/>
      </w:r>
      <w:r w:rsidRPr="008778AA">
        <w:rPr>
          <w:rFonts w:ascii="Times New Roman" w:hAnsi="Times New Roman" w:cs="Times New Roman"/>
        </w:rPr>
        <w:instrText xml:space="preserve"> SEQ Table \* ARABIC </w:instrText>
      </w:r>
      <w:r w:rsidRPr="008778AA">
        <w:rPr>
          <w:rFonts w:ascii="Times New Roman" w:hAnsi="Times New Roman" w:cs="Times New Roman"/>
        </w:rPr>
        <w:fldChar w:fldCharType="separate"/>
      </w:r>
      <w:r w:rsidRPr="008778AA">
        <w:rPr>
          <w:rFonts w:ascii="Times New Roman" w:hAnsi="Times New Roman" w:cs="Times New Roman"/>
          <w:noProof/>
        </w:rPr>
        <w:t>2</w:t>
      </w:r>
      <w:r w:rsidRPr="008778AA">
        <w:rPr>
          <w:rFonts w:ascii="Times New Roman" w:hAnsi="Times New Roman" w:cs="Times New Roman"/>
        </w:rPr>
        <w:fldChar w:fldCharType="end"/>
      </w:r>
      <w:r w:rsidRPr="008778AA">
        <w:rPr>
          <w:rFonts w:ascii="Times New Roman" w:hAnsi="Times New Roman" w:cs="Times New Roman"/>
        </w:rPr>
        <w:t>- Investment appraisal summary for Projects A, B and C</w:t>
      </w:r>
    </w:p>
    <w:tbl>
      <w:tblPr>
        <w:tblStyle w:val="TableGrid"/>
        <w:tblW w:w="8786" w:type="dxa"/>
        <w:tblLook w:val="04A0" w:firstRow="1" w:lastRow="0" w:firstColumn="1" w:lastColumn="0" w:noHBand="0" w:noVBand="1"/>
      </w:tblPr>
      <w:tblGrid>
        <w:gridCol w:w="4529"/>
        <w:gridCol w:w="1419"/>
        <w:gridCol w:w="1419"/>
        <w:gridCol w:w="1419"/>
      </w:tblGrid>
      <w:tr w:rsidR="00B82405" w:rsidRPr="008778AA" w14:paraId="1BDD188D" w14:textId="77777777" w:rsidTr="00A5335F">
        <w:trPr>
          <w:trHeight w:val="741"/>
        </w:trPr>
        <w:tc>
          <w:tcPr>
            <w:tcW w:w="0" w:type="auto"/>
            <w:hideMark/>
          </w:tcPr>
          <w:p w14:paraId="766DA1D6"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Appraisal method</w:t>
            </w:r>
          </w:p>
        </w:tc>
        <w:tc>
          <w:tcPr>
            <w:tcW w:w="0" w:type="auto"/>
            <w:hideMark/>
          </w:tcPr>
          <w:p w14:paraId="66E697EF"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Project A</w:t>
            </w:r>
          </w:p>
        </w:tc>
        <w:tc>
          <w:tcPr>
            <w:tcW w:w="0" w:type="auto"/>
            <w:hideMark/>
          </w:tcPr>
          <w:p w14:paraId="375F9C25"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Project B</w:t>
            </w:r>
          </w:p>
        </w:tc>
        <w:tc>
          <w:tcPr>
            <w:tcW w:w="0" w:type="auto"/>
            <w:hideMark/>
          </w:tcPr>
          <w:p w14:paraId="69F5F5A1" w14:textId="77777777" w:rsidR="00B82405" w:rsidRPr="008778AA" w:rsidRDefault="00B82405" w:rsidP="008778AA">
            <w:pPr>
              <w:spacing w:after="160" w:line="360" w:lineRule="auto"/>
              <w:jc w:val="center"/>
              <w:rPr>
                <w:rFonts w:ascii="Times New Roman" w:hAnsi="Times New Roman" w:cs="Times New Roman"/>
                <w:b/>
                <w:bCs/>
              </w:rPr>
            </w:pPr>
            <w:r w:rsidRPr="008778AA">
              <w:rPr>
                <w:rFonts w:ascii="Times New Roman" w:hAnsi="Times New Roman" w:cs="Times New Roman"/>
                <w:b/>
                <w:bCs/>
              </w:rPr>
              <w:t>Project C</w:t>
            </w:r>
          </w:p>
        </w:tc>
      </w:tr>
      <w:tr w:rsidR="00B82405" w:rsidRPr="008778AA" w14:paraId="64645649" w14:textId="77777777" w:rsidTr="00A5335F">
        <w:trPr>
          <w:trHeight w:val="753"/>
        </w:trPr>
        <w:tc>
          <w:tcPr>
            <w:tcW w:w="0" w:type="auto"/>
            <w:hideMark/>
          </w:tcPr>
          <w:p w14:paraId="0C03A4C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Initial investment (£m)</w:t>
            </w:r>
          </w:p>
        </w:tc>
        <w:tc>
          <w:tcPr>
            <w:tcW w:w="0" w:type="auto"/>
            <w:hideMark/>
          </w:tcPr>
          <w:p w14:paraId="02D4373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50.00</w:t>
            </w:r>
          </w:p>
        </w:tc>
        <w:tc>
          <w:tcPr>
            <w:tcW w:w="0" w:type="auto"/>
            <w:hideMark/>
          </w:tcPr>
          <w:p w14:paraId="2255F352"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50.00</w:t>
            </w:r>
          </w:p>
        </w:tc>
        <w:tc>
          <w:tcPr>
            <w:tcW w:w="0" w:type="auto"/>
            <w:hideMark/>
          </w:tcPr>
          <w:p w14:paraId="56646430"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50.00</w:t>
            </w:r>
          </w:p>
        </w:tc>
      </w:tr>
      <w:tr w:rsidR="00B82405" w:rsidRPr="008778AA" w14:paraId="4BD95ADA" w14:textId="77777777" w:rsidTr="00A5335F">
        <w:trPr>
          <w:trHeight w:val="741"/>
        </w:trPr>
        <w:tc>
          <w:tcPr>
            <w:tcW w:w="0" w:type="auto"/>
            <w:hideMark/>
          </w:tcPr>
          <w:p w14:paraId="784F07FB"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Total undiscounted cash inflows (£m)</w:t>
            </w:r>
          </w:p>
        </w:tc>
        <w:tc>
          <w:tcPr>
            <w:tcW w:w="0" w:type="auto"/>
            <w:hideMark/>
          </w:tcPr>
          <w:p w14:paraId="0AF223B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54.00</w:t>
            </w:r>
          </w:p>
        </w:tc>
        <w:tc>
          <w:tcPr>
            <w:tcW w:w="0" w:type="auto"/>
            <w:hideMark/>
          </w:tcPr>
          <w:p w14:paraId="0651F7BC"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55.00</w:t>
            </w:r>
          </w:p>
        </w:tc>
        <w:tc>
          <w:tcPr>
            <w:tcW w:w="0" w:type="auto"/>
            <w:hideMark/>
          </w:tcPr>
          <w:p w14:paraId="11999442"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65.00</w:t>
            </w:r>
          </w:p>
        </w:tc>
      </w:tr>
      <w:tr w:rsidR="00B82405" w:rsidRPr="008778AA" w14:paraId="7CAB2208" w14:textId="77777777" w:rsidTr="00A5335F">
        <w:trPr>
          <w:trHeight w:val="741"/>
        </w:trPr>
        <w:tc>
          <w:tcPr>
            <w:tcW w:w="0" w:type="auto"/>
            <w:hideMark/>
          </w:tcPr>
          <w:p w14:paraId="6C7F43D8"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lastRenderedPageBreak/>
              <w:t>Payback Period</w:t>
            </w:r>
          </w:p>
        </w:tc>
        <w:tc>
          <w:tcPr>
            <w:tcW w:w="0" w:type="auto"/>
            <w:hideMark/>
          </w:tcPr>
          <w:p w14:paraId="695AAFD3"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4.50 years</w:t>
            </w:r>
          </w:p>
        </w:tc>
        <w:tc>
          <w:tcPr>
            <w:tcW w:w="0" w:type="auto"/>
            <w:hideMark/>
          </w:tcPr>
          <w:p w14:paraId="5718235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4.55 years</w:t>
            </w:r>
          </w:p>
        </w:tc>
        <w:tc>
          <w:tcPr>
            <w:tcW w:w="0" w:type="auto"/>
            <w:hideMark/>
          </w:tcPr>
          <w:p w14:paraId="540FC952"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3.60 years</w:t>
            </w:r>
          </w:p>
        </w:tc>
      </w:tr>
      <w:tr w:rsidR="00B82405" w:rsidRPr="008778AA" w14:paraId="1B866EB2" w14:textId="77777777" w:rsidTr="00A5335F">
        <w:trPr>
          <w:trHeight w:val="753"/>
        </w:trPr>
        <w:tc>
          <w:tcPr>
            <w:tcW w:w="0" w:type="auto"/>
            <w:hideMark/>
          </w:tcPr>
          <w:p w14:paraId="4C45858A"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Accounting Rate of Return (ARR)</w:t>
            </w:r>
          </w:p>
        </w:tc>
        <w:tc>
          <w:tcPr>
            <w:tcW w:w="0" w:type="auto"/>
            <w:hideMark/>
          </w:tcPr>
          <w:p w14:paraId="2220EA0F"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3.20%</w:t>
            </w:r>
          </w:p>
        </w:tc>
        <w:tc>
          <w:tcPr>
            <w:tcW w:w="0" w:type="auto"/>
            <w:hideMark/>
          </w:tcPr>
          <w:p w14:paraId="63BFFCA4"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4.00%</w:t>
            </w:r>
          </w:p>
        </w:tc>
        <w:tc>
          <w:tcPr>
            <w:tcW w:w="0" w:type="auto"/>
            <w:hideMark/>
          </w:tcPr>
          <w:p w14:paraId="574C0C73"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12.00%</w:t>
            </w:r>
          </w:p>
        </w:tc>
      </w:tr>
      <w:tr w:rsidR="00B82405" w:rsidRPr="008778AA" w14:paraId="6412FAED" w14:textId="77777777" w:rsidTr="00A5335F">
        <w:trPr>
          <w:trHeight w:val="741"/>
        </w:trPr>
        <w:tc>
          <w:tcPr>
            <w:tcW w:w="0" w:type="auto"/>
            <w:hideMark/>
          </w:tcPr>
          <w:p w14:paraId="0F51711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Present value of cash inflows (£m)</w:t>
            </w:r>
          </w:p>
        </w:tc>
        <w:tc>
          <w:tcPr>
            <w:tcW w:w="0" w:type="auto"/>
            <w:hideMark/>
          </w:tcPr>
          <w:p w14:paraId="426D4631"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43.46</w:t>
            </w:r>
          </w:p>
        </w:tc>
        <w:tc>
          <w:tcPr>
            <w:tcW w:w="0" w:type="auto"/>
            <w:hideMark/>
          </w:tcPr>
          <w:p w14:paraId="752AABC6"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43.92</w:t>
            </w:r>
          </w:p>
        </w:tc>
        <w:tc>
          <w:tcPr>
            <w:tcW w:w="0" w:type="auto"/>
            <w:hideMark/>
          </w:tcPr>
          <w:p w14:paraId="010CD34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50.86</w:t>
            </w:r>
          </w:p>
        </w:tc>
      </w:tr>
      <w:tr w:rsidR="00B82405" w:rsidRPr="008778AA" w14:paraId="2C3A3E6D" w14:textId="77777777" w:rsidTr="00A5335F">
        <w:trPr>
          <w:trHeight w:val="753"/>
        </w:trPr>
        <w:tc>
          <w:tcPr>
            <w:tcW w:w="0" w:type="auto"/>
            <w:hideMark/>
          </w:tcPr>
          <w:p w14:paraId="47313AA7"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Net Present Value (NPV) (£m)</w:t>
            </w:r>
          </w:p>
        </w:tc>
        <w:tc>
          <w:tcPr>
            <w:tcW w:w="0" w:type="auto"/>
            <w:hideMark/>
          </w:tcPr>
          <w:p w14:paraId="46A3F4D4"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(6.54)</w:t>
            </w:r>
          </w:p>
        </w:tc>
        <w:tc>
          <w:tcPr>
            <w:tcW w:w="0" w:type="auto"/>
            <w:hideMark/>
          </w:tcPr>
          <w:p w14:paraId="1AF452E4"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(6.08)</w:t>
            </w:r>
          </w:p>
        </w:tc>
        <w:tc>
          <w:tcPr>
            <w:tcW w:w="0" w:type="auto"/>
            <w:hideMark/>
          </w:tcPr>
          <w:p w14:paraId="2A1CC18E" w14:textId="77777777" w:rsidR="00B82405" w:rsidRPr="008778AA" w:rsidRDefault="00B82405" w:rsidP="008778AA">
            <w:pPr>
              <w:spacing w:after="160" w:line="360" w:lineRule="auto"/>
              <w:jc w:val="center"/>
              <w:rPr>
                <w:rFonts w:ascii="Times New Roman" w:hAnsi="Times New Roman" w:cs="Times New Roman"/>
              </w:rPr>
            </w:pPr>
            <w:r w:rsidRPr="008778AA">
              <w:rPr>
                <w:rFonts w:ascii="Times New Roman" w:hAnsi="Times New Roman" w:cs="Times New Roman"/>
              </w:rPr>
              <w:t>0.86</w:t>
            </w:r>
          </w:p>
        </w:tc>
      </w:tr>
      <w:tr w:rsidR="00B82405" w:rsidRPr="008778AA" w14:paraId="3035CBEB" w14:textId="77777777" w:rsidTr="00A5335F">
        <w:trPr>
          <w:trHeight w:val="741"/>
        </w:trPr>
        <w:tc>
          <w:tcPr>
            <w:tcW w:w="0" w:type="auto"/>
            <w:hideMark/>
          </w:tcPr>
          <w:p w14:paraId="5179AD45"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Profitability Index (PI)</w:t>
            </w:r>
          </w:p>
        </w:tc>
        <w:tc>
          <w:tcPr>
            <w:tcW w:w="0" w:type="auto"/>
            <w:hideMark/>
          </w:tcPr>
          <w:p w14:paraId="43F90975"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0.87</w:t>
            </w:r>
          </w:p>
        </w:tc>
        <w:tc>
          <w:tcPr>
            <w:tcW w:w="0" w:type="auto"/>
            <w:hideMark/>
          </w:tcPr>
          <w:p w14:paraId="43EC9BBB"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0.88</w:t>
            </w:r>
          </w:p>
        </w:tc>
        <w:tc>
          <w:tcPr>
            <w:tcW w:w="0" w:type="auto"/>
            <w:hideMark/>
          </w:tcPr>
          <w:p w14:paraId="671F20AF"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1.02</w:t>
            </w:r>
          </w:p>
        </w:tc>
      </w:tr>
      <w:tr w:rsidR="00B82405" w:rsidRPr="008778AA" w14:paraId="45805C8B" w14:textId="77777777" w:rsidTr="00A5335F">
        <w:trPr>
          <w:trHeight w:val="741"/>
        </w:trPr>
        <w:tc>
          <w:tcPr>
            <w:tcW w:w="0" w:type="auto"/>
            <w:hideMark/>
          </w:tcPr>
          <w:p w14:paraId="1ADCB0E5"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Internal Rate of Return (IRR)</w:t>
            </w:r>
          </w:p>
        </w:tc>
        <w:tc>
          <w:tcPr>
            <w:tcW w:w="0" w:type="auto"/>
            <w:hideMark/>
          </w:tcPr>
          <w:p w14:paraId="1F7AEF59"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2.72%</w:t>
            </w:r>
          </w:p>
        </w:tc>
        <w:tc>
          <w:tcPr>
            <w:tcW w:w="0" w:type="auto"/>
            <w:hideMark/>
          </w:tcPr>
          <w:p w14:paraId="4A3CFEFA"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3.26%</w:t>
            </w:r>
          </w:p>
        </w:tc>
        <w:tc>
          <w:tcPr>
            <w:tcW w:w="0" w:type="auto"/>
            <w:hideMark/>
          </w:tcPr>
          <w:p w14:paraId="210E87E7"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8.59%</w:t>
            </w:r>
          </w:p>
        </w:tc>
      </w:tr>
      <w:tr w:rsidR="00B82405" w:rsidRPr="008778AA" w14:paraId="7B83F00F" w14:textId="77777777" w:rsidTr="00A5335F">
        <w:trPr>
          <w:trHeight w:val="741"/>
        </w:trPr>
        <w:tc>
          <w:tcPr>
            <w:tcW w:w="0" w:type="auto"/>
            <w:hideMark/>
          </w:tcPr>
          <w:p w14:paraId="686B201A"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Decision</w:t>
            </w:r>
          </w:p>
        </w:tc>
        <w:tc>
          <w:tcPr>
            <w:tcW w:w="0" w:type="auto"/>
            <w:hideMark/>
          </w:tcPr>
          <w:p w14:paraId="70BB7CF4"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Reject</w:t>
            </w:r>
          </w:p>
        </w:tc>
        <w:tc>
          <w:tcPr>
            <w:tcW w:w="0" w:type="auto"/>
            <w:hideMark/>
          </w:tcPr>
          <w:p w14:paraId="63B591FA"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Reject</w:t>
            </w:r>
          </w:p>
        </w:tc>
        <w:tc>
          <w:tcPr>
            <w:tcW w:w="0" w:type="auto"/>
            <w:hideMark/>
          </w:tcPr>
          <w:p w14:paraId="47AE0F0B" w14:textId="77777777" w:rsidR="00B82405" w:rsidRPr="008778AA" w:rsidRDefault="00B82405" w:rsidP="008778AA">
            <w:pPr>
              <w:spacing w:after="160" w:line="360" w:lineRule="auto"/>
              <w:jc w:val="both"/>
              <w:rPr>
                <w:rFonts w:ascii="Times New Roman" w:hAnsi="Times New Roman" w:cs="Times New Roman"/>
              </w:rPr>
            </w:pPr>
            <w:r w:rsidRPr="008778AA">
              <w:rPr>
                <w:rFonts w:ascii="Times New Roman" w:hAnsi="Times New Roman" w:cs="Times New Roman"/>
              </w:rPr>
              <w:t>Accept</w:t>
            </w:r>
          </w:p>
        </w:tc>
      </w:tr>
    </w:tbl>
    <w:p w14:paraId="7D822649" w14:textId="77777777" w:rsidR="00E66DDB" w:rsidRPr="00E66DDB" w:rsidRDefault="000D410D" w:rsidP="00E66DDB">
      <w:pPr>
        <w:spacing w:line="360" w:lineRule="auto"/>
        <w:jc w:val="both"/>
        <w:rPr>
          <w:rFonts w:ascii="Times New Roman" w:hAnsi="Times New Roman" w:cs="Times New Roman"/>
        </w:rPr>
      </w:pPr>
      <w:r w:rsidRPr="008778AA">
        <w:rPr>
          <w:rFonts w:ascii="Times New Roman" w:hAnsi="Times New Roman" w:cs="Times New Roman"/>
        </w:rPr>
        <w:t xml:space="preserve">Project C has the best results across most criteria, with a Payback Period of 3.6 years, ARR of 12.0%, NPV of £0.86 million, PI of 1.02 and IRR of approximately 8.8%. </w:t>
      </w:r>
      <w:r w:rsidR="00E66DDB" w:rsidRPr="00E66DDB">
        <w:rPr>
          <w:rFonts w:ascii="Times New Roman" w:hAnsi="Times New Roman" w:cs="Times New Roman"/>
        </w:rPr>
        <w:t xml:space="preserve">Positive NPV implies that the project will be value </w:t>
      </w:r>
      <w:proofErr w:type="gramStart"/>
      <w:r w:rsidR="00E66DDB" w:rsidRPr="00E66DDB">
        <w:rPr>
          <w:rFonts w:ascii="Times New Roman" w:hAnsi="Times New Roman" w:cs="Times New Roman"/>
        </w:rPr>
        <w:t>adding</w:t>
      </w:r>
      <w:proofErr w:type="gramEnd"/>
      <w:r w:rsidR="00E66DDB" w:rsidRPr="00E66DDB">
        <w:rPr>
          <w:rFonts w:ascii="Times New Roman" w:hAnsi="Times New Roman" w:cs="Times New Roman"/>
        </w:rPr>
        <w:t xml:space="preserve"> after accounting for cost of capital, while the PI value &gt; 1.00 verifies the present value of inflows is higher than the original investment. In the light of a CFO, Project C, accordingly, should be recommended as the most preferable single project.</w:t>
      </w:r>
    </w:p>
    <w:p w14:paraId="220FA40D" w14:textId="39A30890" w:rsidR="000D410D" w:rsidRPr="008778AA" w:rsidRDefault="00E66DDB" w:rsidP="00E66DDB">
      <w:pPr>
        <w:spacing w:line="360" w:lineRule="auto"/>
        <w:jc w:val="both"/>
        <w:rPr>
          <w:rFonts w:ascii="Times New Roman" w:hAnsi="Times New Roman" w:cs="Times New Roman"/>
        </w:rPr>
      </w:pPr>
      <w:r w:rsidRPr="00E66DDB">
        <w:rPr>
          <w:rFonts w:ascii="Times New Roman" w:hAnsi="Times New Roman" w:cs="Times New Roman"/>
        </w:rPr>
        <w:t>It's the same recommendation that IHG's own financial profile would suggest. IHG's asset light business, positive cash flows and robust brand platform allows for a certain amount of timing risk with the project, as it will enhance the long-term profit generation of the Group</w:t>
      </w:r>
      <w:r>
        <w:rPr>
          <w:rFonts w:ascii="Times New Roman" w:hAnsi="Times New Roman" w:cs="Times New Roman"/>
        </w:rPr>
        <w:t xml:space="preserve"> </w:t>
      </w:r>
      <w:r w:rsidR="00D77976" w:rsidRPr="008778AA">
        <w:rPr>
          <w:rFonts w:ascii="Times New Roman" w:hAnsi="Times New Roman" w:cs="Times New Roman"/>
        </w:rPr>
        <w:fldChar w:fldCharType="begin" w:fldLock="1"/>
      </w:r>
      <w:r w:rsidR="00D77976" w:rsidRPr="008778AA">
        <w:rPr>
          <w:rFonts w:ascii="Times New Roman" w:hAnsi="Times New Roman" w:cs="Times New Roman"/>
        </w:rPr>
        <w:instrText>ADDIN CSL_CITATION {"citationItems":[{"id":"ITEM-1","itemData":{"author":[{"dropping-particle":"","family":"IHG","given":"","non-dropping-particle":"","parse-names":false,"suffix":""}],"id":"ITEM-1","issued":{"date-parts":[["2023"]]},"title":"True Hospitality for Good","type":"article-journal"},"uris":["http://www.mendeley.com/documents/?uuid=6e8123cf-86fb-41a8-9e81-ca9b11385f7a"]}],"mendeley":{"formattedCitation":"(IHG, 2023)","plainTextFormattedCitation":"(IHG, 2023)","previouslyFormattedCitation":"(IHG, 2023)"},"properties":{"noteIndex":0},"schema":"https://github.com/citation-style-language/schema/raw/master/csl-citation.json"}</w:instrText>
      </w:r>
      <w:r w:rsidR="00D77976" w:rsidRPr="008778AA">
        <w:rPr>
          <w:rFonts w:ascii="Times New Roman" w:hAnsi="Times New Roman" w:cs="Times New Roman"/>
        </w:rPr>
        <w:fldChar w:fldCharType="separate"/>
      </w:r>
      <w:r w:rsidR="00D77976" w:rsidRPr="008778AA">
        <w:rPr>
          <w:rFonts w:ascii="Times New Roman" w:hAnsi="Times New Roman" w:cs="Times New Roman"/>
          <w:noProof/>
        </w:rPr>
        <w:t>(IHG, 2023)</w:t>
      </w:r>
      <w:r w:rsidR="00D77976" w:rsidRPr="008778AA">
        <w:rPr>
          <w:rFonts w:ascii="Times New Roman" w:hAnsi="Times New Roman" w:cs="Times New Roman"/>
        </w:rPr>
        <w:fldChar w:fldCharType="end"/>
      </w:r>
      <w:r w:rsidR="000D410D" w:rsidRPr="008778AA">
        <w:rPr>
          <w:rFonts w:ascii="Times New Roman" w:hAnsi="Times New Roman" w:cs="Times New Roman"/>
        </w:rPr>
        <w:t xml:space="preserve">. </w:t>
      </w:r>
      <w:r w:rsidRPr="00E66DDB">
        <w:rPr>
          <w:rFonts w:ascii="Times New Roman" w:hAnsi="Times New Roman" w:cs="Times New Roman"/>
        </w:rPr>
        <w:t xml:space="preserve">The cash flow for Project C is </w:t>
      </w:r>
      <w:proofErr w:type="gramStart"/>
      <w:r w:rsidRPr="00E66DDB">
        <w:rPr>
          <w:rFonts w:ascii="Times New Roman" w:hAnsi="Times New Roman" w:cs="Times New Roman"/>
        </w:rPr>
        <w:t>back loaded</w:t>
      </w:r>
      <w:proofErr w:type="gramEnd"/>
      <w:r w:rsidRPr="00E66DDB">
        <w:rPr>
          <w:rFonts w:ascii="Times New Roman" w:hAnsi="Times New Roman" w:cs="Times New Roman"/>
        </w:rPr>
        <w:t xml:space="preserve">, however, and </w:t>
      </w:r>
      <w:proofErr w:type="gramStart"/>
      <w:r w:rsidRPr="00E66DDB">
        <w:rPr>
          <w:rFonts w:ascii="Times New Roman" w:hAnsi="Times New Roman" w:cs="Times New Roman"/>
        </w:rPr>
        <w:t>has to</w:t>
      </w:r>
      <w:proofErr w:type="gramEnd"/>
      <w:r w:rsidRPr="00E66DDB">
        <w:rPr>
          <w:rFonts w:ascii="Times New Roman" w:hAnsi="Times New Roman" w:cs="Times New Roman"/>
        </w:rPr>
        <w:t xml:space="preserve"> be tightly controlled: any delay in year 3 or 4 would rapidly consume the small NPV advantage. </w:t>
      </w:r>
      <w:proofErr w:type="gramStart"/>
      <w:r w:rsidRPr="00E66DDB">
        <w:rPr>
          <w:rFonts w:ascii="Times New Roman" w:hAnsi="Times New Roman" w:cs="Times New Roman"/>
        </w:rPr>
        <w:t>Therefore</w:t>
      </w:r>
      <w:proofErr w:type="gramEnd"/>
      <w:r w:rsidRPr="00E66DDB">
        <w:rPr>
          <w:rFonts w:ascii="Times New Roman" w:hAnsi="Times New Roman" w:cs="Times New Roman"/>
        </w:rPr>
        <w:t xml:space="preserve"> the approval should be contingent upon a strong risk management framework, milestone tracking and strategic integration with IHG's brands and owner network</w:t>
      </w:r>
      <w:r w:rsidR="000D410D" w:rsidRPr="008778AA">
        <w:rPr>
          <w:rFonts w:ascii="Times New Roman" w:hAnsi="Times New Roman" w:cs="Times New Roman"/>
        </w:rPr>
        <w:t>.</w:t>
      </w:r>
    </w:p>
    <w:p w14:paraId="79863067" w14:textId="3FDD4E4D" w:rsidR="000D410D" w:rsidRPr="008778AA" w:rsidRDefault="000D410D" w:rsidP="00AF2BDF">
      <w:pPr>
        <w:pStyle w:val="Heading2"/>
      </w:pPr>
      <w:bookmarkStart w:id="51" w:name="_Toc233392970"/>
      <w:bookmarkStart w:id="52" w:name="_Toc233884816"/>
      <w:r w:rsidRPr="008778AA">
        <w:t xml:space="preserve">Non-financial risk </w:t>
      </w:r>
      <w:r w:rsidRPr="00AF2BDF">
        <w:t>assessment</w:t>
      </w:r>
      <w:bookmarkEnd w:id="51"/>
      <w:bookmarkEnd w:id="52"/>
    </w:p>
    <w:p w14:paraId="4CE0084E" w14:textId="77777777" w:rsidR="00E66DDB" w:rsidRPr="00E66DDB" w:rsidRDefault="00E66DDB" w:rsidP="00342F87">
      <w:r w:rsidRPr="00E66DDB">
        <w:t xml:space="preserve">The final investment decision for Project C should not be made based on the appraisal outputs alone as it is the </w:t>
      </w:r>
      <w:proofErr w:type="gramStart"/>
      <w:r w:rsidRPr="00E66DDB">
        <w:t>most preferred</w:t>
      </w:r>
      <w:proofErr w:type="gramEnd"/>
      <w:r w:rsidRPr="00E66DDB">
        <w:t xml:space="preserve"> option financially. Hospitality investments are subject to non-financial risks which may have a material adverse effect on cash flows. Political and regulatory risk could </w:t>
      </w:r>
      <w:proofErr w:type="gramStart"/>
      <w:r w:rsidRPr="00E66DDB">
        <w:t>slow</w:t>
      </w:r>
      <w:proofErr w:type="gramEnd"/>
      <w:r w:rsidRPr="00E66DDB">
        <w:t xml:space="preserve"> approvals, limit ownership or lead to higher local regulatory compliance costs. Development costs may be higher due to construction inflation, </w:t>
      </w:r>
      <w:proofErr w:type="spellStart"/>
      <w:r w:rsidRPr="00E66DDB">
        <w:t>labour</w:t>
      </w:r>
      <w:proofErr w:type="spellEnd"/>
      <w:r w:rsidRPr="00E66DDB">
        <w:t xml:space="preserve"> shortages, which may </w:t>
      </w:r>
      <w:r w:rsidRPr="00E66DDB">
        <w:lastRenderedPageBreak/>
        <w:t>offset the small positive NPV</w:t>
      </w:r>
      <w:r>
        <w:t xml:space="preserve"> </w:t>
      </w:r>
      <w:r w:rsidR="00D77976" w:rsidRPr="008778AA">
        <w:fldChar w:fldCharType="begin" w:fldLock="1"/>
      </w:r>
      <w:r w:rsidR="00D77976" w:rsidRPr="008778AA">
        <w:instrText>ADDIN CSL_CITATION {"citationItems":[{"id":"ITEM-1","itemData":{"ISSN":"20904479","author":[{"dropping-particle":"","family":"Musarat","given":"Muhammad Ali","non-dropping-particle":"","parse-names":false,"suffix":""},{"dropping-particle":"","family":"Alaloul","given":"Wesam Salah","non-dropping-particle":"","parse-names":false,"suffix":""},{"dropping-particle":"","family":"Liew","given":"M.S.","non-dropping-particle":"","parse-names":false,"suffix":""}],"container-title":"Ain Shams Engineering Journal","id":"ITEM-1","issue":"1","issued":{"date-parts":[["2021","3"]]},"page":"407-414","title":"Impact of inflation rate on construction projects budget: A review","type":"article-journal","volume":"12"},"uris":["http://www.mendeley.com/documents/?uuid=af1f5a26-22be-4202-bf41-2269d373abb7"]}],"mendeley":{"formattedCitation":"(Musarat, Alaloul and Liew, 2021)","plainTextFormattedCitation":"(Musarat, Alaloul and Liew, 2021)","previouslyFormattedCitation":"(Musarat, Alaloul and Liew, 2021)"},"properties":{"noteIndex":0},"schema":"https://github.com/citation-style-language/schema/raw/master/csl-citation.json"}</w:instrText>
      </w:r>
      <w:r w:rsidR="00D77976" w:rsidRPr="008778AA">
        <w:fldChar w:fldCharType="separate"/>
      </w:r>
      <w:r w:rsidR="00D77976" w:rsidRPr="008778AA">
        <w:rPr>
          <w:noProof/>
        </w:rPr>
        <w:t>(Musarat, Alaloul and Liew, 2021)</w:t>
      </w:r>
      <w:r w:rsidR="00D77976" w:rsidRPr="008778AA">
        <w:fldChar w:fldCharType="end"/>
      </w:r>
      <w:r w:rsidR="000D410D" w:rsidRPr="008778AA">
        <w:t xml:space="preserve">. </w:t>
      </w:r>
      <w:r w:rsidRPr="00E66DDB">
        <w:t>Loyalty of the customers and fit of the brand are also essential. Even with a financial model that seems to make sense, a project may not succeed in boosting IHG One Rewards participation, owner returns or brand differentiation.</w:t>
      </w:r>
    </w:p>
    <w:p w14:paraId="767442E3" w14:textId="2165E97A" w:rsidR="000D410D" w:rsidRPr="008778AA" w:rsidRDefault="00E66DDB" w:rsidP="00342F87">
      <w:r w:rsidRPr="00E66DDB">
        <w:t xml:space="preserve">CFOs should also </w:t>
      </w:r>
      <w:proofErr w:type="gramStart"/>
      <w:r w:rsidRPr="00E66DDB">
        <w:t>be focusing</w:t>
      </w:r>
      <w:proofErr w:type="gramEnd"/>
      <w:r w:rsidRPr="00E66DDB">
        <w:t xml:space="preserve"> on ESG and reputational risks. A project that is not environmentally sound, has poor </w:t>
      </w:r>
      <w:proofErr w:type="spellStart"/>
      <w:r w:rsidRPr="00E66DDB">
        <w:t>labour</w:t>
      </w:r>
      <w:proofErr w:type="spellEnd"/>
      <w:r w:rsidRPr="00E66DDB">
        <w:t xml:space="preserve"> standards or is highly controversial in the community may have a negative impact on IHG's responsible business brand and compliance expenses in the future. A third risk is the integration of technology solutions, which will need to integrate well with IHG's reservation systems, loyalty platform and cybersecurity controls and must involve new investments</w:t>
      </w:r>
      <w:r>
        <w:t xml:space="preserve"> </w:t>
      </w:r>
      <w:r w:rsidR="00D77976" w:rsidRPr="008778AA">
        <w:fldChar w:fldCharType="begin" w:fldLock="1"/>
      </w:r>
      <w:r w:rsidR="00D77976" w:rsidRPr="008778AA">
        <w:instrText>ADDIN CSL_CITATION {"citationItems":[{"id":"ITEM-1","itemData":{"ISSN":"2821-4366","abstract":"This article critically examines the role of innovation in the hospitality sector, focusing on how hotels can enhance efficiency and customer satisfaction through digital advancements. It stresses the need for adapting to technological trends and consumer expectations. Also, it highlights the necessity for hotels to adapt to technological trends and evolving consumer expectations to maintain market relevance. The analysis highlights the integration of strategic planning, innovation management, cultural shifts, and technological adoption as key to fostering sustainable innovation. The importance of balancing traditional hospitality values with modern solutions to create competitive service offerings in the hotel industry is underscored. Key areas discussed include digital transformation in hotels, different tiers of innovation, and the challenges and strategies for implementing transformative innovations. The article concludes by emphasizing the necessity for hotels to combine operational efficiency, customer satisfaction, and game-changing innovation strategies, highlighting the potential of technologies like AI and robotics in revolutionizing the guest experience. It underscores the importance of balancing traditional hospitality values with modern technological solutions to create a unique and competitive service offering in the hotel industry.","author":[{"dropping-particle":"","family":"Giannoukou","given":"Ioanna","non-dropping-particle":"","parse-names":false,"suffix":""}],"container-title":"Technium Business and Management","id":"ITEM-1","issued":{"date-parts":[["2024","1","30"]]},"page":"24-39","title":"Revolutionizing Hospitality: Strategic Integration of Innovation Management Embracing Technological Innovation for Enhanced Customer Experiences","type":"article-journal","volume":"7"},"uris":["http://www.mendeley.com/documents/?uuid=97a1a5af-5062-43c3-9336-2e5adb11df53"]}],"mendeley":{"formattedCitation":"(Giannoukou, 2024)","plainTextFormattedCitation":"(Giannoukou, 2024)","previouslyFormattedCitation":"(Giannoukou, 2024)"},"properties":{"noteIndex":0},"schema":"https://github.com/citation-style-language/schema/raw/master/csl-citation.json"}</w:instrText>
      </w:r>
      <w:r w:rsidR="00D77976" w:rsidRPr="008778AA">
        <w:fldChar w:fldCharType="separate"/>
      </w:r>
      <w:r w:rsidR="00D77976" w:rsidRPr="008778AA">
        <w:rPr>
          <w:noProof/>
        </w:rPr>
        <w:t>(Giannoukou, 2024)</w:t>
      </w:r>
      <w:r w:rsidR="00D77976" w:rsidRPr="008778AA">
        <w:fldChar w:fldCharType="end"/>
      </w:r>
      <w:r w:rsidR="000D410D" w:rsidRPr="008778AA">
        <w:t>. Therefore, Project C should proceed only if due diligence confirms political feasibility, ESG compliance, brand alignment and operational deliverability.</w:t>
      </w:r>
    </w:p>
    <w:p w14:paraId="2F787F54" w14:textId="5F1A414A" w:rsidR="000D410D" w:rsidRPr="00E66DDB" w:rsidRDefault="000D410D" w:rsidP="00AF2BDF">
      <w:pPr>
        <w:pStyle w:val="Heading2"/>
        <w:rPr>
          <w:b w:val="0"/>
          <w:bCs/>
        </w:rPr>
      </w:pPr>
      <w:bookmarkStart w:id="53" w:name="_Toc233392971"/>
      <w:bookmarkStart w:id="54" w:name="_Toc233884817"/>
      <w:r w:rsidRPr="00E66DDB">
        <w:rPr>
          <w:bCs/>
        </w:rPr>
        <w:t>Capital rationing decision under the £100 million limit</w:t>
      </w:r>
      <w:bookmarkEnd w:id="53"/>
      <w:bookmarkEnd w:id="54"/>
    </w:p>
    <w:p w14:paraId="572A6907" w14:textId="79984EE3" w:rsidR="00E66DDB" w:rsidRPr="00E66DDB" w:rsidRDefault="00E66DDB" w:rsidP="00E66DDB">
      <w:bookmarkStart w:id="55" w:name="_Toc233392972"/>
      <w:r w:rsidRPr="00E66DDB">
        <w:t xml:space="preserve">Capital rationing is where the goal isn't to spend all the £100 million, but rather to get the most out of the £100 million. Each project is worth £50 million and IHG may choose two projects. The overall results indicate that, however, only project C contributes positively on its own. The NPVs of Projects A, B and C </w:t>
      </w:r>
      <w:proofErr w:type="gramStart"/>
      <w:r w:rsidRPr="00E66DDB">
        <w:t>are: -</w:t>
      </w:r>
      <w:proofErr w:type="gramEnd"/>
      <w:r w:rsidRPr="00E66DDB">
        <w:t xml:space="preserve">£6.54 million, -£6.08 million and £0.86 million respectively. </w:t>
      </w:r>
      <w:proofErr w:type="gramStart"/>
      <w:r w:rsidR="00A80675" w:rsidRPr="00A80675">
        <w:t>So</w:t>
      </w:r>
      <w:proofErr w:type="gramEnd"/>
      <w:r w:rsidR="00A80675" w:rsidRPr="00A80675">
        <w:t xml:space="preserve"> the value-</w:t>
      </w:r>
      <w:proofErr w:type="spellStart"/>
      <w:r w:rsidR="00A80675" w:rsidRPr="00A80675">
        <w:t>maximising</w:t>
      </w:r>
      <w:proofErr w:type="spellEnd"/>
      <w:r w:rsidR="00A80675" w:rsidRPr="00A80675">
        <w:t xml:space="preserve"> decision is to implement only Project C and leave the rest of the £50 million until we can find a project that has a positive NPV that we can do.</w:t>
      </w:r>
    </w:p>
    <w:p w14:paraId="3E0A82DF" w14:textId="68EB6DF3" w:rsidR="00E66DDB" w:rsidRPr="00E66DDB" w:rsidRDefault="00A80675" w:rsidP="00342F87">
      <w:pPr>
        <w:rPr>
          <w:rFonts w:eastAsiaTheme="majorEastAsia"/>
          <w:b/>
          <w:color w:val="2F5496" w:themeColor="accent1" w:themeShade="BF"/>
          <w:sz w:val="32"/>
          <w:szCs w:val="40"/>
        </w:rPr>
      </w:pPr>
      <w:r w:rsidRPr="00A80675">
        <w:t xml:space="preserve">If the Board would like to put in the full £100 million then the best way to destroy value is to go with either Project B or C, or both, as their NPV combined is -£5.22 million, while that for A+C is -£5.68 million, and for A+B is -£12.62 million. However, to the CFO, it would be a bad combination to take on a negative-NPV combination would be a violation of disciplined capital budgeting. Hence, the advised capital rationing choice is to accept only </w:t>
      </w:r>
      <w:proofErr w:type="gramStart"/>
      <w:r w:rsidRPr="00A80675">
        <w:t>the Project</w:t>
      </w:r>
      <w:proofErr w:type="gramEnd"/>
      <w:r w:rsidRPr="00A80675">
        <w:t xml:space="preserve"> C, which might be helped through the implementation of stringently risk control measures and maintaining financial flexibility.</w:t>
      </w:r>
    </w:p>
    <w:p w14:paraId="3F6733BC" w14:textId="74A90A1E" w:rsidR="000D410D" w:rsidRPr="00E66DDB" w:rsidRDefault="000D410D" w:rsidP="00E66DDB">
      <w:pPr>
        <w:pStyle w:val="Heading1"/>
        <w:numPr>
          <w:ilvl w:val="0"/>
          <w:numId w:val="9"/>
        </w:numPr>
      </w:pPr>
      <w:bookmarkStart w:id="56" w:name="_Toc233884818"/>
      <w:r w:rsidRPr="00E66DDB">
        <w:t>Critical Reflection on AI Usage</w:t>
      </w:r>
      <w:bookmarkEnd w:id="55"/>
      <w:bookmarkEnd w:id="56"/>
    </w:p>
    <w:p w14:paraId="753892AD" w14:textId="4C188962" w:rsidR="000D410D" w:rsidRPr="008778AA" w:rsidRDefault="000D410D" w:rsidP="00AF2BDF">
      <w:pPr>
        <w:pStyle w:val="Heading2"/>
      </w:pPr>
      <w:bookmarkStart w:id="57" w:name="_Toc233392973"/>
      <w:bookmarkStart w:id="58" w:name="_Toc233884819"/>
      <w:r w:rsidRPr="008778AA">
        <w:t xml:space="preserve">Tool </w:t>
      </w:r>
      <w:r w:rsidRPr="00AF2BDF">
        <w:t>disclosure</w:t>
      </w:r>
      <w:bookmarkEnd w:id="57"/>
      <w:bookmarkEnd w:id="58"/>
    </w:p>
    <w:p w14:paraId="3BB152C8" w14:textId="1E1460D9" w:rsidR="00E66DDB" w:rsidRDefault="00A80675" w:rsidP="00342F87">
      <w:bookmarkStart w:id="59" w:name="_Toc233392974"/>
      <w:r w:rsidRPr="00A80675">
        <w:t>This report has been enhanced using the help of Artificial Intelligence.</w:t>
      </w:r>
      <w:r>
        <w:t xml:space="preserve"> </w:t>
      </w:r>
      <w:r w:rsidR="00E66DDB" w:rsidRPr="00E66DDB">
        <w:t xml:space="preserve">The primary AI support that was provided was in structuring the report, in </w:t>
      </w:r>
      <w:proofErr w:type="spellStart"/>
      <w:r w:rsidR="00E66DDB" w:rsidRPr="00E66DDB">
        <w:t>organising</w:t>
      </w:r>
      <w:proofErr w:type="spellEnd"/>
      <w:r w:rsidR="00E66DDB" w:rsidRPr="00E66DDB">
        <w:t xml:space="preserve"> the assessment requirements into relevant sections, in helping with academic expression, checking the clarity of argument and in assisting with the design of the calculation layouts for ratios and investment appraisal. The financial findings were also given AI insights for possible ways to connect them with strategic </w:t>
      </w:r>
      <w:r w:rsidR="00E66DDB" w:rsidRPr="00E66DDB">
        <w:lastRenderedPageBreak/>
        <w:t xml:space="preserve">recommendations from the CFO. But AI was not regarded as a reliable investment tool. IHG's annual reports, audited financial statements, </w:t>
      </w:r>
      <w:proofErr w:type="gramStart"/>
      <w:r w:rsidR="00E66DDB" w:rsidRPr="00E66DDB">
        <w:t>Excel</w:t>
      </w:r>
      <w:proofErr w:type="gramEnd"/>
      <w:r w:rsidR="00E66DDB" w:rsidRPr="00E66DDB">
        <w:t xml:space="preserve"> calculations and credible academic or professional sources provided </w:t>
      </w:r>
      <w:proofErr w:type="gramStart"/>
      <w:r w:rsidR="00E66DDB" w:rsidRPr="00E66DDB">
        <w:t>the authoritative</w:t>
      </w:r>
      <w:proofErr w:type="gramEnd"/>
      <w:r w:rsidR="00E66DDB" w:rsidRPr="00E66DDB">
        <w:t xml:space="preserve"> evidence.</w:t>
      </w:r>
    </w:p>
    <w:p w14:paraId="7BE5D043" w14:textId="6EF4AD82" w:rsidR="000D410D" w:rsidRPr="008778AA" w:rsidRDefault="000D410D" w:rsidP="00AF2BDF">
      <w:pPr>
        <w:pStyle w:val="Heading2"/>
      </w:pPr>
      <w:bookmarkStart w:id="60" w:name="_Toc233884820"/>
      <w:r w:rsidRPr="008778AA">
        <w:t xml:space="preserve">Critical evaluation and </w:t>
      </w:r>
      <w:r w:rsidRPr="00AF2BDF">
        <w:t>verification</w:t>
      </w:r>
      <w:r w:rsidRPr="008778AA">
        <w:t xml:space="preserve"> of AI output</w:t>
      </w:r>
      <w:bookmarkEnd w:id="59"/>
      <w:bookmarkEnd w:id="60"/>
    </w:p>
    <w:p w14:paraId="1541426E" w14:textId="77777777" w:rsidR="00E66DDB" w:rsidRPr="00E66DDB" w:rsidRDefault="00E66DDB" w:rsidP="00342F87">
      <w:r w:rsidRPr="00E66DDB">
        <w:t>Any material created by AI was verified for inclusion. The first verification approach was to compare with IHG's annual reports and audited financial statements. Revenue, operating profit, net profit, cash flow, debt, dividends and shareholder returns were compared with the original company reports before being used in the analysis. The second approach was to recalculate in excel. Only formulas that were checked manually were rejected as output, and they were used consistently over the 5-year period. Investment appraisal calculations of the payback period, ARR, NPV, PI and IRR were also recalculated to ensure that the project recommendations were mathematically valid.</w:t>
      </w:r>
    </w:p>
    <w:p w14:paraId="7CA6DEB9" w14:textId="67604B92" w:rsidR="000D410D" w:rsidRPr="008778AA" w:rsidRDefault="00E66DDB" w:rsidP="00342F87">
      <w:r w:rsidRPr="00E66DDB">
        <w:t>Theoretical checking was another verification method used. The ratio interpretations and capital budgeting conclusions were compared to the principles of financial management. This was not a trivial point, since AI can come out with statements, even if they're false, with confidence. This helped to ensure that the risk of hallucination, especially if the AI exaggerated IHG's capabilities, was mitigated, as was the risk of overlooking the negative equity of their limitations or of assuming they could benchmark against a range of industry benchmarks with little justification</w:t>
      </w:r>
      <w:r w:rsidR="000D410D" w:rsidRPr="008778AA">
        <w:t>.</w:t>
      </w:r>
    </w:p>
    <w:p w14:paraId="28BB693A" w14:textId="24F91150" w:rsidR="000D410D" w:rsidRPr="008778AA" w:rsidRDefault="000D410D" w:rsidP="00AF2BDF">
      <w:pPr>
        <w:pStyle w:val="Heading2"/>
      </w:pPr>
      <w:bookmarkStart w:id="61" w:name="_Toc233392975"/>
      <w:bookmarkStart w:id="62" w:name="_Toc233884821"/>
      <w:r w:rsidRPr="00AF2BDF">
        <w:t>Contribution</w:t>
      </w:r>
      <w:r w:rsidRPr="008778AA">
        <w:t xml:space="preserve"> analysis</w:t>
      </w:r>
      <w:bookmarkEnd w:id="61"/>
      <w:bookmarkEnd w:id="62"/>
    </w:p>
    <w:p w14:paraId="2F32D5A9" w14:textId="77777777" w:rsidR="00E66DDB" w:rsidRPr="00E66DDB" w:rsidRDefault="00E66DDB" w:rsidP="00342F87">
      <w:r w:rsidRPr="00E66DDB">
        <w:t xml:space="preserve">The role of the AI was primarily procedural and editorial. It assisted with structuring the task brief into a report, provided section headings, helped with the writing of academic paragraphs and assisted in </w:t>
      </w:r>
      <w:proofErr w:type="spellStart"/>
      <w:r w:rsidRPr="00E66DDB">
        <w:t>organising</w:t>
      </w:r>
      <w:proofErr w:type="spellEnd"/>
      <w:r w:rsidRPr="00E66DDB">
        <w:t xml:space="preserve"> the Excel calculation requirements. </w:t>
      </w:r>
    </w:p>
    <w:p w14:paraId="50C7EABC" w14:textId="2222F89C" w:rsidR="000D410D" w:rsidRPr="008778AA" w:rsidRDefault="00E66DDB" w:rsidP="00342F87">
      <w:r w:rsidRPr="00E66DDB">
        <w:t>For my part, it was the critical evaluation of the material that I contributed. This involved determining the reliability of source data, verifying financial data, analyzing ratio trends, determining if IHG's asset-light business model altered the significance of typical ratios, and determining the final investment recommendation. The strategic synthesis and the ethical evaluation/recommendations at CFO level were also made with my own opinion, based on the evidence presented. Hence, the use of AI for communication and organization, but the final analysis would be done by the student(s)</w:t>
      </w:r>
      <w:r w:rsidR="000D410D" w:rsidRPr="008778AA">
        <w:t>.</w:t>
      </w:r>
    </w:p>
    <w:p w14:paraId="2084FEFF" w14:textId="5AA6FCB7" w:rsidR="000D410D" w:rsidRPr="008778AA" w:rsidRDefault="000D410D" w:rsidP="00AF2BDF">
      <w:pPr>
        <w:pStyle w:val="Heading2"/>
      </w:pPr>
      <w:bookmarkStart w:id="63" w:name="_Toc233392976"/>
      <w:bookmarkStart w:id="64" w:name="_Toc233884822"/>
      <w:r w:rsidRPr="008778AA">
        <w:t>Ethical and professional reflection</w:t>
      </w:r>
      <w:bookmarkEnd w:id="63"/>
      <w:bookmarkEnd w:id="64"/>
    </w:p>
    <w:p w14:paraId="48D850B1" w14:textId="673F289C" w:rsidR="000D410D" w:rsidRPr="008778AA" w:rsidRDefault="00E66DDB" w:rsidP="00342F87">
      <w:r w:rsidRPr="00E66DDB">
        <w:t xml:space="preserve">There are ethical and professional concerns associated with the application of AI in financial tasks. Transparency is crucial as it allows people using </w:t>
      </w:r>
      <w:proofErr w:type="gramStart"/>
      <w:r w:rsidRPr="00E66DDB">
        <w:t>the financial</w:t>
      </w:r>
      <w:proofErr w:type="gramEnd"/>
      <w:r w:rsidRPr="00E66DDB">
        <w:t xml:space="preserve"> analysis to understand the report was prepared with the help of AI. The confidentiality of data is also a factor: sensitive financial data should only be included in AI systems if there are relevant permissions and </w:t>
      </w:r>
      <w:r w:rsidRPr="00E66DDB">
        <w:lastRenderedPageBreak/>
        <w:t>controls</w:t>
      </w:r>
      <w:r>
        <w:t xml:space="preserve"> </w:t>
      </w:r>
      <w:r w:rsidR="00D77976" w:rsidRPr="008778AA">
        <w:fldChar w:fldCharType="begin" w:fldLock="1"/>
      </w:r>
      <w:r w:rsidR="008778AA">
        <w:instrText>ADDIN CSL_CITATION {"citationItems":[{"id":"ITEM-1","itemData":{"author":[{"dropping-particle":"","family":"Himansha","given":"Ravindu","non-dropping-particle":"","parse-names":false,"suffix":""}],"container-title":"2026","id":"ITEM-1","issued":{"date-parts":[["0"]]},"title":"Data Privacy in AI Systems: Compliance and Implementation","type":"article-journal"},"uris":["http://www.mendeley.com/documents/?uuid=70f41e32-8a75-4d49-bc16-e2826f2f5527"]}],"mendeley":{"formattedCitation":"(Himansha, no date)","plainTextFormattedCitation":"(Himansha, no date)","previouslyFormattedCitation":"(Himansha, no date)"},"properties":{"noteIndex":0},"schema":"https://github.com/citation-style-language/schema/raw/master/csl-citation.json"}</w:instrText>
      </w:r>
      <w:r w:rsidR="00D77976" w:rsidRPr="008778AA">
        <w:fldChar w:fldCharType="separate"/>
      </w:r>
      <w:r w:rsidR="00D77976" w:rsidRPr="008778AA">
        <w:rPr>
          <w:noProof/>
        </w:rPr>
        <w:t>(Himansha, no date)</w:t>
      </w:r>
      <w:r w:rsidR="00D77976" w:rsidRPr="008778AA">
        <w:fldChar w:fldCharType="end"/>
      </w:r>
      <w:r w:rsidR="000D410D" w:rsidRPr="008778AA">
        <w:t xml:space="preserve">. </w:t>
      </w:r>
      <w:r w:rsidRPr="00E66DDB">
        <w:t xml:space="preserve">This report does not include information that is not publicly available either in the company's reports or from the assignment </w:t>
      </w:r>
      <w:proofErr w:type="spellStart"/>
      <w:proofErr w:type="gramStart"/>
      <w:r w:rsidRPr="00E66DDB">
        <w:t>information.There</w:t>
      </w:r>
      <w:proofErr w:type="spellEnd"/>
      <w:proofErr w:type="gramEnd"/>
      <w:r w:rsidRPr="00E66DDB">
        <w:t xml:space="preserve"> is also a potential for over-reliance. The </w:t>
      </w:r>
      <w:proofErr w:type="gramStart"/>
      <w:r w:rsidRPr="00E66DDB">
        <w:t>outputs</w:t>
      </w:r>
      <w:proofErr w:type="gramEnd"/>
      <w:r w:rsidRPr="00E66DDB">
        <w:t xml:space="preserve"> of AI, as part of a CFO role, might affect the decision to borrow or restructure, or to invest, but </w:t>
      </w:r>
      <w:proofErr w:type="gramStart"/>
      <w:r w:rsidRPr="00E66DDB">
        <w:t>all of</w:t>
      </w:r>
      <w:proofErr w:type="gramEnd"/>
      <w:r w:rsidRPr="00E66DDB">
        <w:t xml:space="preserve"> these decisions impact shareholders, employees, owners, suppliers, and communities. </w:t>
      </w:r>
      <w:proofErr w:type="gramStart"/>
      <w:r w:rsidRPr="00E66DDB">
        <w:t>So</w:t>
      </w:r>
      <w:proofErr w:type="gramEnd"/>
      <w:r w:rsidRPr="00E66DDB">
        <w:t xml:space="preserve"> AI shouldn't be used to supersede the need for </w:t>
      </w:r>
      <w:proofErr w:type="gramStart"/>
      <w:r w:rsidRPr="00E66DDB">
        <w:t>the professional</w:t>
      </w:r>
      <w:proofErr w:type="gramEnd"/>
      <w:r w:rsidRPr="00E66DDB">
        <w:t xml:space="preserve"> </w:t>
      </w:r>
      <w:proofErr w:type="spellStart"/>
      <w:r w:rsidRPr="00E66DDB">
        <w:t>scepticism</w:t>
      </w:r>
      <w:proofErr w:type="spellEnd"/>
      <w:r w:rsidRPr="00E66DDB">
        <w:t>, audit trails or accountability of humans</w:t>
      </w:r>
      <w:r w:rsidR="000D410D" w:rsidRPr="008778AA">
        <w:t xml:space="preserve">. </w:t>
      </w:r>
    </w:p>
    <w:p w14:paraId="32DA0119" w14:textId="2797444C" w:rsidR="000D410D" w:rsidRPr="008778AA" w:rsidRDefault="000D410D" w:rsidP="00E66DDB">
      <w:pPr>
        <w:pStyle w:val="Heading1"/>
        <w:numPr>
          <w:ilvl w:val="0"/>
          <w:numId w:val="9"/>
        </w:numPr>
      </w:pPr>
      <w:bookmarkStart w:id="65" w:name="_Toc233392977"/>
      <w:bookmarkStart w:id="66" w:name="_Toc233884823"/>
      <w:r w:rsidRPr="008778AA">
        <w:t>Conclusion</w:t>
      </w:r>
      <w:bookmarkEnd w:id="65"/>
      <w:bookmarkEnd w:id="66"/>
    </w:p>
    <w:bookmarkEnd w:id="2"/>
    <w:p w14:paraId="19512410" w14:textId="77777777" w:rsidR="00E66DDB" w:rsidRPr="00E66DDB" w:rsidRDefault="00E66DDB" w:rsidP="00E66DDB">
      <w:pPr>
        <w:spacing w:line="360" w:lineRule="auto"/>
        <w:jc w:val="both"/>
        <w:rPr>
          <w:rFonts w:ascii="Times New Roman" w:hAnsi="Times New Roman" w:cs="Times New Roman"/>
        </w:rPr>
      </w:pPr>
      <w:r w:rsidRPr="00E66DDB">
        <w:rPr>
          <w:rFonts w:ascii="Times New Roman" w:hAnsi="Times New Roman" w:cs="Times New Roman"/>
        </w:rPr>
        <w:t xml:space="preserve">IHG from a CFO point of view, looks well-positioned and seems to be on the right side of things with its asset-light, fee-based and globally scalable business model. Five-year analysis reveals bounce back from post-pandemic phase, bolstered profitability, positive operating cash flows and ongoing investor confidence. </w:t>
      </w:r>
      <w:proofErr w:type="gramStart"/>
      <w:r w:rsidRPr="00E66DDB">
        <w:rPr>
          <w:rFonts w:ascii="Times New Roman" w:hAnsi="Times New Roman" w:cs="Times New Roman"/>
        </w:rPr>
        <w:t>But,</w:t>
      </w:r>
      <w:proofErr w:type="gramEnd"/>
      <w:r w:rsidRPr="00E66DDB">
        <w:rPr>
          <w:rFonts w:ascii="Times New Roman" w:hAnsi="Times New Roman" w:cs="Times New Roman"/>
        </w:rPr>
        <w:t xml:space="preserve"> resilience should not be equated with risk-free. Despite the recovery, IHG must continue to manage liquidity and debt prudently as well as balancing its investment portfolio and remain vigilant against inflation, interest rates, currency fluctuations, geopolitical risks, cyber risk and increasing ESG requirements.</w:t>
      </w:r>
    </w:p>
    <w:p w14:paraId="21E6B2E3" w14:textId="58E133CE" w:rsidR="00AF2BDF" w:rsidRDefault="00E66DDB" w:rsidP="00E66DDB">
      <w:pPr>
        <w:spacing w:line="360" w:lineRule="auto"/>
        <w:jc w:val="both"/>
        <w:rPr>
          <w:rFonts w:ascii="Times New Roman" w:hAnsi="Times New Roman" w:cs="Times New Roman"/>
        </w:rPr>
      </w:pPr>
      <w:r w:rsidRPr="00E66DDB">
        <w:rPr>
          <w:rFonts w:ascii="Times New Roman" w:hAnsi="Times New Roman" w:cs="Times New Roman"/>
        </w:rPr>
        <w:t xml:space="preserve">The preferred approach to restructure is selective, rather than radical, and involves protecting the asset-light model, recycling capital from lower-return assets, prudently refinance debt, and investing in capabilities around brand, technology, loyalty and ESG. When evaluating investment projects, Project C would be the only project that is financially feasible because it has a positive NPV and IRR greater than the 8% return on investment. With capital rationing, IHG would only invest in project C and would not invest in project B, </w:t>
      </w:r>
      <w:proofErr w:type="gramStart"/>
      <w:r w:rsidRPr="00E66DDB">
        <w:rPr>
          <w:rFonts w:ascii="Times New Roman" w:hAnsi="Times New Roman" w:cs="Times New Roman"/>
        </w:rPr>
        <w:t>as long as</w:t>
      </w:r>
      <w:proofErr w:type="gramEnd"/>
      <w:r w:rsidRPr="00E66DDB">
        <w:rPr>
          <w:rFonts w:ascii="Times New Roman" w:hAnsi="Times New Roman" w:cs="Times New Roman"/>
        </w:rPr>
        <w:t xml:space="preserve"> project B does not have a positive-NPV opportunity that comes along.</w:t>
      </w:r>
    </w:p>
    <w:p w14:paraId="0944652F" w14:textId="77777777" w:rsidR="00AF2BDF" w:rsidRDefault="00AF2BDF" w:rsidP="008778AA">
      <w:pPr>
        <w:spacing w:line="360" w:lineRule="auto"/>
        <w:jc w:val="both"/>
        <w:rPr>
          <w:rFonts w:ascii="Times New Roman" w:hAnsi="Times New Roman" w:cs="Times New Roman"/>
        </w:rPr>
      </w:pPr>
    </w:p>
    <w:p w14:paraId="7E731527" w14:textId="77777777" w:rsidR="00AF2BDF" w:rsidRDefault="00AF2BDF" w:rsidP="008778AA">
      <w:pPr>
        <w:spacing w:line="360" w:lineRule="auto"/>
        <w:jc w:val="both"/>
        <w:rPr>
          <w:rFonts w:ascii="Times New Roman" w:hAnsi="Times New Roman" w:cs="Times New Roman"/>
        </w:rPr>
      </w:pPr>
    </w:p>
    <w:p w14:paraId="24F19981" w14:textId="77777777" w:rsidR="00AF2BDF" w:rsidRDefault="00AF2BDF" w:rsidP="008778AA">
      <w:pPr>
        <w:spacing w:line="360" w:lineRule="auto"/>
        <w:jc w:val="both"/>
        <w:rPr>
          <w:rFonts w:ascii="Times New Roman" w:hAnsi="Times New Roman" w:cs="Times New Roman"/>
        </w:rPr>
      </w:pPr>
    </w:p>
    <w:p w14:paraId="3E20E02C" w14:textId="77777777" w:rsidR="00622A00" w:rsidRDefault="00622A00" w:rsidP="008778AA">
      <w:pPr>
        <w:spacing w:line="360" w:lineRule="auto"/>
        <w:jc w:val="both"/>
        <w:rPr>
          <w:rFonts w:ascii="Times New Roman" w:hAnsi="Times New Roman" w:cs="Times New Roman"/>
        </w:rPr>
      </w:pPr>
    </w:p>
    <w:p w14:paraId="42E271CA" w14:textId="77777777" w:rsidR="003F3DB9" w:rsidRDefault="003F3DB9" w:rsidP="008778AA">
      <w:pPr>
        <w:spacing w:line="360" w:lineRule="auto"/>
        <w:jc w:val="both"/>
        <w:rPr>
          <w:rFonts w:ascii="Times New Roman" w:hAnsi="Times New Roman" w:cs="Times New Roman"/>
        </w:rPr>
      </w:pPr>
    </w:p>
    <w:p w14:paraId="35361FEB" w14:textId="5B1E82AF" w:rsidR="008778AA" w:rsidRPr="00AF2BDF" w:rsidRDefault="00AF2BDF" w:rsidP="00E66DDB">
      <w:pPr>
        <w:pStyle w:val="Heading1"/>
        <w:numPr>
          <w:ilvl w:val="0"/>
          <w:numId w:val="9"/>
        </w:numPr>
      </w:pPr>
      <w:r>
        <w:lastRenderedPageBreak/>
        <w:t xml:space="preserve"> </w:t>
      </w:r>
      <w:bookmarkStart w:id="67" w:name="_Toc233884824"/>
      <w:proofErr w:type="spellStart"/>
      <w:r w:rsidR="008778AA" w:rsidRPr="00AF2BDF">
        <w:t>Referennces</w:t>
      </w:r>
      <w:bookmarkEnd w:id="67"/>
      <w:proofErr w:type="spellEnd"/>
    </w:p>
    <w:p w14:paraId="0EF5FC4C" w14:textId="711B54DC" w:rsidR="009C7F74" w:rsidRPr="009C7F74" w:rsidRDefault="008778AA" w:rsidP="00AF2BDF">
      <w:pPr>
        <w:widowControl w:val="0"/>
        <w:autoSpaceDE w:val="0"/>
        <w:autoSpaceDN w:val="0"/>
        <w:adjustRightInd w:val="0"/>
        <w:spacing w:line="240" w:lineRule="auto"/>
        <w:rPr>
          <w:rFonts w:ascii="Times New Roman" w:hAnsi="Times New Roman" w:cs="Times New Roman"/>
          <w:noProof/>
          <w:kern w:val="0"/>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009C7F74" w:rsidRPr="009C7F74">
        <w:rPr>
          <w:rFonts w:ascii="Times New Roman" w:hAnsi="Times New Roman" w:cs="Times New Roman"/>
          <w:noProof/>
          <w:kern w:val="0"/>
        </w:rPr>
        <w:t xml:space="preserve">Achleitner, A.-K. </w:t>
      </w:r>
      <w:r w:rsidR="009C7F74" w:rsidRPr="009C7F74">
        <w:rPr>
          <w:rFonts w:ascii="Times New Roman" w:hAnsi="Times New Roman" w:cs="Times New Roman"/>
          <w:i/>
          <w:iCs/>
          <w:noProof/>
          <w:kern w:val="0"/>
        </w:rPr>
        <w:t>et al.</w:t>
      </w:r>
      <w:r w:rsidR="009C7F74" w:rsidRPr="009C7F74">
        <w:rPr>
          <w:rFonts w:ascii="Times New Roman" w:hAnsi="Times New Roman" w:cs="Times New Roman"/>
          <w:noProof/>
          <w:kern w:val="0"/>
        </w:rPr>
        <w:t xml:space="preserve"> (2010) “Structure and Determinants of Financial Covenants in Leveraged Buyouts.” Available at: </w:t>
      </w:r>
      <w:hyperlink r:id="rId14" w:history="1">
        <w:r w:rsidR="009C7F74" w:rsidRPr="00AF2BDF">
          <w:rPr>
            <w:rStyle w:val="Hyperlink"/>
            <w:rFonts w:ascii="Times New Roman" w:hAnsi="Times New Roman" w:cs="Times New Roman"/>
            <w:noProof/>
            <w:kern w:val="0"/>
          </w:rPr>
          <w:t>https://www.researchgate.net/publication/228206742_Structure_and_Determinants_of_Financial_Covenants_in_Leveraged_Buyouts</w:t>
        </w:r>
      </w:hyperlink>
    </w:p>
    <w:p w14:paraId="0DDCAB1B" w14:textId="6677C087"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Ajike, P. (2025) “Assessing the Impact of Debt Ratio Variability on Corporate Solvency, Credit Risk Exposure, and Investment Decision- Making Efficiency.” Available at: </w:t>
      </w:r>
      <w:hyperlink r:id="rId15" w:history="1">
        <w:r w:rsidRPr="00AF2BDF">
          <w:rPr>
            <w:rStyle w:val="Hyperlink"/>
            <w:rFonts w:ascii="Times New Roman" w:hAnsi="Times New Roman" w:cs="Times New Roman"/>
            <w:noProof/>
            <w:kern w:val="0"/>
          </w:rPr>
          <w:t>https://www.researchgate.net/publication/396649395_Assessing_the_Impact_of_Debt_Ratio_Variability_on_Corporate_Solvency_Credit_Risk_Exposure_and_Investment_Decision-_Making_Efficiency</w:t>
        </w:r>
      </w:hyperlink>
    </w:p>
    <w:p w14:paraId="659CE6D3" w14:textId="6BF058E4"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Alade, T.A. (2024) “Poor Working Capital Management Remain Major Cause of Business Failure,” </w:t>
      </w:r>
      <w:r w:rsidRPr="009C7F74">
        <w:rPr>
          <w:rFonts w:ascii="Times New Roman" w:hAnsi="Times New Roman" w:cs="Times New Roman"/>
          <w:i/>
          <w:iCs/>
          <w:noProof/>
          <w:kern w:val="0"/>
        </w:rPr>
        <w:t>International Journal of Research and Innovation in Social Science</w:t>
      </w:r>
      <w:r w:rsidRPr="009C7F74">
        <w:rPr>
          <w:rFonts w:ascii="Times New Roman" w:hAnsi="Times New Roman" w:cs="Times New Roman"/>
          <w:noProof/>
          <w:kern w:val="0"/>
        </w:rPr>
        <w:t xml:space="preserve">, VIII(I), pp. 1120–1124. Available at: </w:t>
      </w:r>
      <w:hyperlink r:id="rId16" w:history="1">
        <w:r w:rsidRPr="00AF2BDF">
          <w:rPr>
            <w:rStyle w:val="Hyperlink"/>
            <w:rFonts w:ascii="Times New Roman" w:hAnsi="Times New Roman" w:cs="Times New Roman"/>
            <w:noProof/>
            <w:kern w:val="0"/>
          </w:rPr>
          <w:t>https://www.researchgate.net/publication/378004593_Poor_Working_Capital_Management_Remain_Major_Cause_of_Business_Failure</w:t>
        </w:r>
      </w:hyperlink>
    </w:p>
    <w:p w14:paraId="4F501973" w14:textId="64CD6A6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Alshehadeh, A.R.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“Impact of profitability on investment opportunities and its effect on profit sustainability,” </w:t>
      </w:r>
      <w:r w:rsidRPr="009C7F74">
        <w:rPr>
          <w:rFonts w:ascii="Times New Roman" w:hAnsi="Times New Roman" w:cs="Times New Roman"/>
          <w:i/>
          <w:iCs/>
          <w:noProof/>
          <w:kern w:val="0"/>
        </w:rPr>
        <w:t>Uncertain Supply Chain Management</w:t>
      </w:r>
      <w:r w:rsidRPr="009C7F74">
        <w:rPr>
          <w:rFonts w:ascii="Times New Roman" w:hAnsi="Times New Roman" w:cs="Times New Roman"/>
          <w:noProof/>
          <w:kern w:val="0"/>
        </w:rPr>
        <w:t xml:space="preserve">, 12(2), pp. 871–882. Available at: </w:t>
      </w:r>
      <w:hyperlink r:id="rId17" w:history="1">
        <w:r w:rsidRPr="00AF2BDF">
          <w:rPr>
            <w:rStyle w:val="Hyperlink"/>
            <w:rFonts w:ascii="Times New Roman" w:hAnsi="Times New Roman" w:cs="Times New Roman"/>
            <w:noProof/>
            <w:kern w:val="0"/>
          </w:rPr>
          <w:t>https://www.researchgate.net/publication/377586056_Impact_of_profitability_on_investment_opportunities_and_its_effect_on_profit_sustainability</w:t>
        </w:r>
      </w:hyperlink>
    </w:p>
    <w:p w14:paraId="4EED20BA" w14:textId="494CB742"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Ameri, M.H. Al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(2021) “Financial Analysis of InterContinental Hotels Group.” Available at: </w:t>
      </w:r>
      <w:hyperlink r:id="rId18" w:history="1">
        <w:r w:rsidRPr="00AF2BDF">
          <w:rPr>
            <w:rStyle w:val="Hyperlink"/>
            <w:rFonts w:ascii="Times New Roman" w:hAnsi="Times New Roman" w:cs="Times New Roman"/>
            <w:noProof/>
            <w:kern w:val="0"/>
          </w:rPr>
          <w:t>https://www.researchgate.net/publication/355169612_Financial_Analysis_of_InterContinental_Hotels_Group</w:t>
        </w:r>
      </w:hyperlink>
    </w:p>
    <w:p w14:paraId="7A0D5223" w14:textId="2EF2797D"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Giannoukou, I. (2024) “Revolutionizing Hospitality: Strategic Integration of Innovation Management Embracing Technological Innovation for Enhanced Customer Experiences,” </w:t>
      </w:r>
      <w:r w:rsidRPr="009C7F74">
        <w:rPr>
          <w:rFonts w:ascii="Times New Roman" w:hAnsi="Times New Roman" w:cs="Times New Roman"/>
          <w:i/>
          <w:iCs/>
          <w:noProof/>
          <w:kern w:val="0"/>
        </w:rPr>
        <w:t>Technium Business and Management</w:t>
      </w:r>
      <w:r w:rsidRPr="009C7F74">
        <w:rPr>
          <w:rFonts w:ascii="Times New Roman" w:hAnsi="Times New Roman" w:cs="Times New Roman"/>
          <w:noProof/>
          <w:kern w:val="0"/>
        </w:rPr>
        <w:t xml:space="preserve">, 7, pp. 24–39. Available at: </w:t>
      </w:r>
      <w:hyperlink r:id="rId19" w:history="1">
        <w:r w:rsidRPr="00AF2BDF">
          <w:rPr>
            <w:rStyle w:val="Hyperlink"/>
            <w:rFonts w:ascii="Times New Roman" w:hAnsi="Times New Roman" w:cs="Times New Roman"/>
            <w:noProof/>
            <w:kern w:val="0"/>
          </w:rPr>
          <w:t>https://www.researchgate.net/publication/377837380_Revolutionizing_Hospitality_Strategic_Integration_of_Innovation_Management_Embracing_Technological_Innovation_for_Enhanced_Customer_Experiences</w:t>
        </w:r>
      </w:hyperlink>
    </w:p>
    <w:p w14:paraId="6C150F5C" w14:textId="1A3AA4F6"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Gupta, N. (2024) “Beyond the Balance Sheet: The Strategic Role of Today’s CFO.” Available at: </w:t>
      </w:r>
      <w:hyperlink r:id="rId20" w:history="1">
        <w:r w:rsidRPr="00AF2BDF">
          <w:rPr>
            <w:rStyle w:val="Hyperlink"/>
            <w:rFonts w:ascii="Times New Roman" w:hAnsi="Times New Roman" w:cs="Times New Roman"/>
            <w:noProof/>
            <w:kern w:val="0"/>
          </w:rPr>
          <w:t>https://www.financialprofessionals.org/training-resources/resources/articles/Details/beyond-the-balance-sheet-the-strategic-role-of-today-s-cfo</w:t>
        </w:r>
      </w:hyperlink>
    </w:p>
    <w:p w14:paraId="7EFB25FE" w14:textId="336F885C"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He, Y.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“Which ESG dimensions matter in the hotel industry? Evidence from the cost of debt,” </w:t>
      </w:r>
      <w:r w:rsidRPr="009C7F74">
        <w:rPr>
          <w:rFonts w:ascii="Times New Roman" w:hAnsi="Times New Roman" w:cs="Times New Roman"/>
          <w:i/>
          <w:iCs/>
          <w:noProof/>
          <w:kern w:val="0"/>
        </w:rPr>
        <w:t>International Journal of Hospitality Management</w:t>
      </w:r>
      <w:r w:rsidRPr="009C7F74">
        <w:rPr>
          <w:rFonts w:ascii="Times New Roman" w:hAnsi="Times New Roman" w:cs="Times New Roman"/>
          <w:noProof/>
          <w:kern w:val="0"/>
        </w:rPr>
        <w:t xml:space="preserve">, 122, p. 103866. Available at: </w:t>
      </w:r>
      <w:hyperlink r:id="rId21" w:history="1">
        <w:r w:rsidRPr="00AF2BDF">
          <w:rPr>
            <w:rStyle w:val="Hyperlink"/>
            <w:rFonts w:ascii="Times New Roman" w:hAnsi="Times New Roman" w:cs="Times New Roman"/>
            <w:noProof/>
            <w:kern w:val="0"/>
          </w:rPr>
          <w:t>https://www.researchgate.net/publication/383179365_Which_ESG_dimensions_matter_in_the_hotel_industry_Evidence_from_the_cost_of_debt</w:t>
        </w:r>
      </w:hyperlink>
    </w:p>
    <w:p w14:paraId="03ED7EEF" w14:textId="514CD0D6"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Himansha, R. (no date) “Data Privacy in AI Systems: Compliance and Implementation,” </w:t>
      </w:r>
      <w:r w:rsidRPr="009C7F74">
        <w:rPr>
          <w:rFonts w:ascii="Times New Roman" w:hAnsi="Times New Roman" w:cs="Times New Roman"/>
          <w:i/>
          <w:iCs/>
          <w:noProof/>
          <w:kern w:val="0"/>
        </w:rPr>
        <w:t>2026</w:t>
      </w:r>
      <w:r w:rsidRPr="009C7F74">
        <w:rPr>
          <w:rFonts w:ascii="Times New Roman" w:hAnsi="Times New Roman" w:cs="Times New Roman"/>
          <w:noProof/>
          <w:kern w:val="0"/>
        </w:rPr>
        <w:t xml:space="preserve"> [Preprint]. Available at: </w:t>
      </w:r>
      <w:hyperlink r:id="rId22" w:history="1">
        <w:r w:rsidRPr="00AF2BDF">
          <w:rPr>
            <w:rStyle w:val="Hyperlink"/>
            <w:rFonts w:ascii="Times New Roman" w:hAnsi="Times New Roman" w:cs="Times New Roman"/>
            <w:noProof/>
            <w:kern w:val="0"/>
          </w:rPr>
          <w:t>https://medium.com/activated-thinker/data-privacy-in-ai-systems-compliance-and-implementation-59d07852c1f5</w:t>
        </w:r>
      </w:hyperlink>
    </w:p>
    <w:p w14:paraId="492B3B77" w14:textId="0BD2A4B2"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Huo, Y. and Gong, B. (2022) “Credit rating in dynamic response to the nature of firms and the </w:t>
      </w:r>
      <w:r w:rsidRPr="009C7F74">
        <w:rPr>
          <w:rFonts w:ascii="Times New Roman" w:hAnsi="Times New Roman" w:cs="Times New Roman"/>
          <w:noProof/>
          <w:kern w:val="0"/>
        </w:rPr>
        <w:lastRenderedPageBreak/>
        <w:t xml:space="preserve">business model of rating agencies: evidence from the Chinese bond market,” </w:t>
      </w:r>
      <w:r w:rsidRPr="009C7F74">
        <w:rPr>
          <w:rFonts w:ascii="Times New Roman" w:hAnsi="Times New Roman" w:cs="Times New Roman"/>
          <w:i/>
          <w:iCs/>
          <w:noProof/>
          <w:kern w:val="0"/>
        </w:rPr>
        <w:t>Heliyon</w:t>
      </w:r>
      <w:r w:rsidRPr="009C7F74">
        <w:rPr>
          <w:rFonts w:ascii="Times New Roman" w:hAnsi="Times New Roman" w:cs="Times New Roman"/>
          <w:noProof/>
          <w:kern w:val="0"/>
        </w:rPr>
        <w:t xml:space="preserve">, 8(12), p. e11884. Available at: </w:t>
      </w:r>
      <w:hyperlink r:id="rId23" w:history="1">
        <w:r w:rsidRPr="00AF2BDF">
          <w:rPr>
            <w:rStyle w:val="Hyperlink"/>
            <w:rFonts w:ascii="Times New Roman" w:hAnsi="Times New Roman" w:cs="Times New Roman"/>
            <w:noProof/>
            <w:kern w:val="0"/>
          </w:rPr>
          <w:t>https://pmc.ncbi.nlm.nih.gov/articles/PMC9718966/</w:t>
        </w:r>
      </w:hyperlink>
    </w:p>
    <w:p w14:paraId="1A951741" w14:textId="755559AD"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(2021) “On a journey towards a better future.” Available at: </w:t>
      </w:r>
      <w:hyperlink r:id="rId24" w:history="1">
        <w:r w:rsidRPr="00AF2BDF">
          <w:rPr>
            <w:rStyle w:val="Hyperlink"/>
            <w:rFonts w:ascii="Times New Roman" w:hAnsi="Times New Roman" w:cs="Times New Roman"/>
            <w:noProof/>
            <w:kern w:val="0"/>
          </w:rPr>
          <w:t>https://development.ihg.com/sites/ihgplc/files/IHG/A sustainable business/I-H-G-R-B-R-Interactive-280222.pdf</w:t>
        </w:r>
      </w:hyperlink>
    </w:p>
    <w:p w14:paraId="64A9D5FA" w14:textId="0AA1DAC2"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(2023) “True Hospitality for Good.” Available at: </w:t>
      </w:r>
      <w:hyperlink r:id="rId25" w:history="1">
        <w:r w:rsidRPr="00AF2BDF">
          <w:rPr>
            <w:rStyle w:val="Hyperlink"/>
            <w:rFonts w:ascii="Times New Roman" w:hAnsi="Times New Roman" w:cs="Times New Roman"/>
            <w:noProof/>
            <w:kern w:val="0"/>
          </w:rPr>
          <w:t>https://www.ihgplc.com/~/media/Files/I/Ihg-Plc/investors/annual-report/2023/annual-report-2023.pdf</w:t>
        </w:r>
      </w:hyperlink>
    </w:p>
    <w:p w14:paraId="6282CEF4" w14:textId="4AC0BEDD"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(2024a) “Chief Financial Officer’s review.” Available at: </w:t>
      </w:r>
      <w:hyperlink r:id="rId26" w:history="1">
        <w:r w:rsidRPr="00AF2BDF">
          <w:rPr>
            <w:rStyle w:val="Hyperlink"/>
            <w:rFonts w:ascii="Times New Roman" w:hAnsi="Times New Roman" w:cs="Times New Roman"/>
            <w:noProof/>
            <w:kern w:val="0"/>
          </w:rPr>
          <w:t>https://www.ihgplc.com/~/media/Files/I/Ihg-Plc/investors/annual-report/2024/cfo-review-performance_p81108.pdf</w:t>
        </w:r>
      </w:hyperlink>
    </w:p>
    <w:p w14:paraId="4F4A5F80" w14:textId="7B8075BF"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IHG (2024b) “Our business model.” Available at:</w:t>
      </w:r>
      <w:hyperlink r:id="rId27" w:history="1">
        <w:r w:rsidRPr="00AF2BDF">
          <w:rPr>
            <w:rStyle w:val="Hyperlink"/>
            <w:rFonts w:ascii="Times New Roman" w:hAnsi="Times New Roman" w:cs="Times New Roman"/>
            <w:noProof/>
            <w:kern w:val="0"/>
          </w:rPr>
          <w:t xml:space="preserve"> https://www.ihgplc.com/~/media/Files/I/Ihg-Plc/investors/annual-report/2024/business-model_p2227.pdf</w:t>
        </w:r>
      </w:hyperlink>
    </w:p>
    <w:p w14:paraId="733E8AD0" w14:textId="26F4CAEC"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IHG (2026) “nterContinental Hotels Group PLC Full Year Results to 31 December 2025.” Available at: </w:t>
      </w:r>
      <w:hyperlink r:id="rId28" w:history="1">
        <w:r w:rsidRPr="00AF2BDF">
          <w:rPr>
            <w:rStyle w:val="Hyperlink"/>
            <w:rFonts w:ascii="Times New Roman" w:hAnsi="Times New Roman" w:cs="Times New Roman"/>
            <w:noProof/>
            <w:kern w:val="0"/>
          </w:rPr>
          <w:t>https://www.ihgplc.com/~/media/Files/I/Ihg-Plc/results/2026/full-year-2025/full-year-results-for-the-year-to-31-dec-2025.pdf</w:t>
        </w:r>
      </w:hyperlink>
    </w:p>
    <w:p w14:paraId="41603B2F" w14:textId="47893F47"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InterContinental Hotels (2026) “Developing a new hotel or converting an existing property can be a complex process, but IHG helps you take care of every detail.” Available at: </w:t>
      </w:r>
      <w:hyperlink r:id="rId29" w:history="1">
        <w:r w:rsidRPr="00AF2BDF">
          <w:rPr>
            <w:rStyle w:val="Hyperlink"/>
            <w:rFonts w:ascii="Times New Roman" w:hAnsi="Times New Roman" w:cs="Times New Roman"/>
            <w:noProof/>
            <w:kern w:val="0"/>
          </w:rPr>
          <w:t>https://development.ihg.com/hotel-development/getting-started</w:t>
        </w:r>
      </w:hyperlink>
    </w:p>
    <w:p w14:paraId="23CB4A06" w14:textId="336B507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Kabu, E.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“Working Capital Turnover Ratio: A Managerial Perspective,” </w:t>
      </w:r>
      <w:r w:rsidRPr="009C7F74">
        <w:rPr>
          <w:rFonts w:ascii="Times New Roman" w:hAnsi="Times New Roman" w:cs="Times New Roman"/>
          <w:i/>
          <w:iCs/>
          <w:noProof/>
          <w:kern w:val="0"/>
        </w:rPr>
        <w:t>International Journal of Research and Innovation in Social Science</w:t>
      </w:r>
      <w:r w:rsidRPr="009C7F74">
        <w:rPr>
          <w:rFonts w:ascii="Times New Roman" w:hAnsi="Times New Roman" w:cs="Times New Roman"/>
          <w:noProof/>
          <w:kern w:val="0"/>
        </w:rPr>
        <w:t xml:space="preserve">, VIII(IV), pp. 2042–2045. Available at: </w:t>
      </w:r>
      <w:hyperlink r:id="rId30" w:history="1">
        <w:r w:rsidRPr="00AF2BDF">
          <w:rPr>
            <w:rStyle w:val="Hyperlink"/>
            <w:rFonts w:ascii="Times New Roman" w:hAnsi="Times New Roman" w:cs="Times New Roman"/>
            <w:noProof/>
            <w:kern w:val="0"/>
          </w:rPr>
          <w:t>https://rsisinternational.org/journals/ijriss/articles/working-capital-turnover-ratio-a-managerial-perspective/</w:t>
        </w:r>
      </w:hyperlink>
    </w:p>
    <w:p w14:paraId="48E39AC0" w14:textId="238DE58F"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Kamau, P., Inanga, E.L. and Rwegasira, K. (2015) “Currency risk impact on the financial performance of multilateral banks,” </w:t>
      </w:r>
      <w:r w:rsidRPr="009C7F74">
        <w:rPr>
          <w:rFonts w:ascii="Times New Roman" w:hAnsi="Times New Roman" w:cs="Times New Roman"/>
          <w:i/>
          <w:iCs/>
          <w:noProof/>
          <w:kern w:val="0"/>
        </w:rPr>
        <w:t>Journal of Financial Reporting and Accounting</w:t>
      </w:r>
      <w:r w:rsidRPr="009C7F74">
        <w:rPr>
          <w:rFonts w:ascii="Times New Roman" w:hAnsi="Times New Roman" w:cs="Times New Roman"/>
          <w:noProof/>
          <w:kern w:val="0"/>
        </w:rPr>
        <w:t xml:space="preserve">, 13(1), pp. 91–118. Available at: </w:t>
      </w:r>
      <w:hyperlink r:id="rId31" w:history="1">
        <w:r w:rsidRPr="00AF2BDF">
          <w:rPr>
            <w:rStyle w:val="Hyperlink"/>
            <w:rFonts w:ascii="Times New Roman" w:hAnsi="Times New Roman" w:cs="Times New Roman"/>
            <w:noProof/>
            <w:kern w:val="0"/>
          </w:rPr>
          <w:t>https://www.emerald.com/jfra/article-abstract/13/1/91/226386/Currency-risk-impact-on-the-financial-performance?redirectedFrom=fulltext</w:t>
        </w:r>
      </w:hyperlink>
    </w:p>
    <w:p w14:paraId="5EB49808" w14:textId="123A45E3"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Kelly, G. (2020) “Earnings Per Share (Basic EPS).” Available at: </w:t>
      </w:r>
      <w:hyperlink r:id="rId32" w:history="1">
        <w:r w:rsidRPr="00AF2BDF">
          <w:rPr>
            <w:rStyle w:val="Hyperlink"/>
            <w:rFonts w:ascii="Times New Roman" w:hAnsi="Times New Roman" w:cs="Times New Roman"/>
            <w:noProof/>
            <w:kern w:val="0"/>
          </w:rPr>
          <w:t>https://www.fe.training/free-resources/accounting/basic-earnings-per-share-eps/</w:t>
        </w:r>
      </w:hyperlink>
    </w:p>
    <w:p w14:paraId="51395468" w14:textId="7073B4B4"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Liew, C. (2025) “Christopher Liew: Thinking of refinancing your debt? The benefits, drawbacks, and credit impact.” Available at: </w:t>
      </w:r>
      <w:hyperlink r:id="rId33" w:history="1">
        <w:r w:rsidRPr="00AF2BDF">
          <w:rPr>
            <w:rStyle w:val="Hyperlink"/>
            <w:rFonts w:ascii="Times New Roman" w:hAnsi="Times New Roman" w:cs="Times New Roman"/>
            <w:noProof/>
            <w:kern w:val="0"/>
          </w:rPr>
          <w:t>https://www.ctvnews.ca/business/article/christopher-liew-thinking-of-refinancing-your-debt-the-benefits-drawbacks-and-credit-impact/</w:t>
        </w:r>
      </w:hyperlink>
    </w:p>
    <w:p w14:paraId="1F67EA08" w14:textId="2C7461C1"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Ljunggren, P. (2025) “Accounts Receivable.” Available at: </w:t>
      </w:r>
      <w:hyperlink r:id="rId34" w:history="1">
        <w:r w:rsidRPr="00AF2BDF">
          <w:rPr>
            <w:rStyle w:val="Hyperlink"/>
            <w:rFonts w:ascii="Times New Roman" w:hAnsi="Times New Roman" w:cs="Times New Roman"/>
            <w:noProof/>
            <w:kern w:val="0"/>
          </w:rPr>
          <w:t>https://www.fe.training/free-resources/accounting/the-balance-sheet-assets-accounts-receivable-net/</w:t>
        </w:r>
      </w:hyperlink>
    </w:p>
    <w:p w14:paraId="7089FCFC" w14:textId="64504E5C"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Lussi, S.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(2023) “Cross-dimensional measures of asset lightness and fee orientation in lodging groups,” </w:t>
      </w:r>
      <w:r w:rsidRPr="009C7F74">
        <w:rPr>
          <w:rFonts w:ascii="Times New Roman" w:hAnsi="Times New Roman" w:cs="Times New Roman"/>
          <w:i/>
          <w:iCs/>
          <w:noProof/>
          <w:kern w:val="0"/>
        </w:rPr>
        <w:t>International Journal of Hospitality Management</w:t>
      </w:r>
      <w:r w:rsidRPr="009C7F74">
        <w:rPr>
          <w:rFonts w:ascii="Times New Roman" w:hAnsi="Times New Roman" w:cs="Times New Roman"/>
          <w:noProof/>
          <w:kern w:val="0"/>
        </w:rPr>
        <w:t xml:space="preserve">, 109, p. 103391. Available at: </w:t>
      </w:r>
      <w:hyperlink r:id="rId35" w:history="1">
        <w:r w:rsidRPr="00AF2BDF">
          <w:rPr>
            <w:rStyle w:val="Hyperlink"/>
            <w:rFonts w:ascii="Times New Roman" w:hAnsi="Times New Roman" w:cs="Times New Roman"/>
            <w:noProof/>
            <w:kern w:val="0"/>
          </w:rPr>
          <w:t>https://www.sciencedirect.com/science/article/pii/S0278431922002572</w:t>
        </w:r>
      </w:hyperlink>
    </w:p>
    <w:p w14:paraId="0C1C80D4" w14:textId="77777777" w:rsidR="00AF2BDF" w:rsidRDefault="00AF2BDF" w:rsidP="00AF2BDF">
      <w:pPr>
        <w:widowControl w:val="0"/>
        <w:autoSpaceDE w:val="0"/>
        <w:autoSpaceDN w:val="0"/>
        <w:adjustRightInd w:val="0"/>
        <w:spacing w:line="240" w:lineRule="auto"/>
        <w:rPr>
          <w:rFonts w:ascii="Times New Roman" w:hAnsi="Times New Roman" w:cs="Times New Roman"/>
          <w:noProof/>
          <w:kern w:val="0"/>
        </w:rPr>
      </w:pPr>
    </w:p>
    <w:p w14:paraId="78BB45B5" w14:textId="3ADE114E"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lastRenderedPageBreak/>
        <w:t xml:space="preserve">Mahmoud, A.R. (2025) “Exchange Rate Fluctuations and Their Effect on National Economies.” Available at: </w:t>
      </w:r>
      <w:hyperlink r:id="rId36" w:history="1">
        <w:r w:rsidRPr="00AF2BDF">
          <w:rPr>
            <w:rStyle w:val="Hyperlink"/>
            <w:rFonts w:ascii="Times New Roman" w:hAnsi="Times New Roman" w:cs="Times New Roman"/>
            <w:noProof/>
            <w:kern w:val="0"/>
          </w:rPr>
          <w:t>https://www.researchgate.net/publication/397670244_Exchange_Rate_Fluctuations_and_Their_Effect_on_National_Economies</w:t>
        </w:r>
      </w:hyperlink>
    </w:p>
    <w:p w14:paraId="436E1BD4" w14:textId="4A297D9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Mizdraković, V.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(2025) “Asset-heavy or asset-light? Financial performance implications in the luxury hotel industry,” </w:t>
      </w:r>
      <w:r w:rsidRPr="009C7F74">
        <w:rPr>
          <w:rFonts w:ascii="Times New Roman" w:hAnsi="Times New Roman" w:cs="Times New Roman"/>
          <w:i/>
          <w:iCs/>
          <w:noProof/>
          <w:kern w:val="0"/>
        </w:rPr>
        <w:t>Tourism for People, Planet and Prosperity - What Needs to Happen by 2030? Book of Proceedings</w:t>
      </w:r>
      <w:r w:rsidRPr="009C7F74">
        <w:rPr>
          <w:rFonts w:ascii="Times New Roman" w:hAnsi="Times New Roman" w:cs="Times New Roman"/>
          <w:noProof/>
          <w:kern w:val="0"/>
        </w:rPr>
        <w:t xml:space="preserve">. Belgrade, Serbia: Singidunum University, pp. 23–28. Available at: </w:t>
      </w:r>
      <w:hyperlink r:id="rId37" w:history="1">
        <w:r w:rsidRPr="00AF2BDF">
          <w:rPr>
            <w:rStyle w:val="Hyperlink"/>
            <w:rFonts w:ascii="Times New Roman" w:hAnsi="Times New Roman" w:cs="Times New Roman"/>
            <w:noProof/>
            <w:kern w:val="0"/>
          </w:rPr>
          <w:t>https://www.researchgate.net/publication/398994597_Asset-heavy_or_asset-light_Financial_performance_implications_in_the_luxury_hotel_industry</w:t>
        </w:r>
      </w:hyperlink>
    </w:p>
    <w:p w14:paraId="722E5D38" w14:textId="053D8E51"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Murtadho, M., Ratnawati, T. and Pristiana, U. (2024) “DIVIDEND POLICY TO IMPROVE FIRM VALUE, FINANCIAL SUSTAINABILITY MODERATING VARIABLE,” </w:t>
      </w:r>
      <w:r w:rsidRPr="009C7F74">
        <w:rPr>
          <w:rFonts w:ascii="Times New Roman" w:hAnsi="Times New Roman" w:cs="Times New Roman"/>
          <w:i/>
          <w:iCs/>
          <w:noProof/>
          <w:kern w:val="0"/>
        </w:rPr>
        <w:t>Financial and credit activity problems of theory and practice</w:t>
      </w:r>
      <w:r w:rsidRPr="009C7F74">
        <w:rPr>
          <w:rFonts w:ascii="Times New Roman" w:hAnsi="Times New Roman" w:cs="Times New Roman"/>
          <w:noProof/>
          <w:kern w:val="0"/>
        </w:rPr>
        <w:t xml:space="preserve">, 6(59), pp. 283–292. Available at: </w:t>
      </w:r>
      <w:hyperlink r:id="rId38" w:history="1">
        <w:r w:rsidRPr="00AF2BDF">
          <w:rPr>
            <w:rStyle w:val="Hyperlink"/>
            <w:rFonts w:ascii="Times New Roman" w:hAnsi="Times New Roman" w:cs="Times New Roman"/>
            <w:noProof/>
            <w:kern w:val="0"/>
          </w:rPr>
          <w:t>https://www.researchgate.net/publication/387570774_DIVIDEND_POLICY_TO_IMPROVE_FIRM_VALUE_FINANCIAL_SUSTAINABILITY_MODERATING_VARIABLE</w:t>
        </w:r>
      </w:hyperlink>
    </w:p>
    <w:p w14:paraId="77BB18F0" w14:textId="0A601BEE"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Musarat, M.A., Alaloul, W.S. and Liew, M.S. (2021) “Impact of inflation rate on construction projects budget: A review,” </w:t>
      </w:r>
      <w:r w:rsidRPr="009C7F74">
        <w:rPr>
          <w:rFonts w:ascii="Times New Roman" w:hAnsi="Times New Roman" w:cs="Times New Roman"/>
          <w:i/>
          <w:iCs/>
          <w:noProof/>
          <w:kern w:val="0"/>
        </w:rPr>
        <w:t>Ain Shams Engineering Journal</w:t>
      </w:r>
      <w:r w:rsidRPr="009C7F74">
        <w:rPr>
          <w:rFonts w:ascii="Times New Roman" w:hAnsi="Times New Roman" w:cs="Times New Roman"/>
          <w:noProof/>
          <w:kern w:val="0"/>
        </w:rPr>
        <w:t xml:space="preserve">, 12(1), pp. 407–414. Available at: </w:t>
      </w:r>
      <w:hyperlink r:id="rId39" w:history="1">
        <w:r w:rsidRPr="00AF2BDF">
          <w:rPr>
            <w:rStyle w:val="Hyperlink"/>
            <w:rFonts w:ascii="Times New Roman" w:hAnsi="Times New Roman" w:cs="Times New Roman"/>
            <w:noProof/>
            <w:kern w:val="0"/>
          </w:rPr>
          <w:t>https://www.researchgate.net/publication/342190090_Impact_of_inflation_rate_on_construction_projects_budget_A_review</w:t>
        </w:r>
      </w:hyperlink>
    </w:p>
    <w:p w14:paraId="5FB8A918" w14:textId="6DB0DFE4"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Schmidt, J. (2019) “Working Capital Cycle.” Available at: </w:t>
      </w:r>
      <w:hyperlink r:id="rId40" w:history="1">
        <w:r w:rsidRPr="00AF2BDF">
          <w:rPr>
            <w:rStyle w:val="Hyperlink"/>
            <w:rFonts w:ascii="Times New Roman" w:hAnsi="Times New Roman" w:cs="Times New Roman"/>
            <w:noProof/>
            <w:kern w:val="0"/>
          </w:rPr>
          <w:t>https://corporatefinanceinstitute.com/resources/accounting/working-capital-cycle/</w:t>
        </w:r>
      </w:hyperlink>
    </w:p>
    <w:p w14:paraId="4A3BEBF0" w14:textId="2C429D1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Ungvarsky, J. (2023) “Payback period.” Available at: </w:t>
      </w:r>
      <w:hyperlink r:id="rId41" w:history="1">
        <w:r w:rsidRPr="00AF2BDF">
          <w:rPr>
            <w:rStyle w:val="Hyperlink"/>
            <w:rFonts w:ascii="Times New Roman" w:hAnsi="Times New Roman" w:cs="Times New Roman"/>
            <w:noProof/>
            <w:kern w:val="0"/>
          </w:rPr>
          <w:t>https://www.ebsco.com/research-starters/business-and-management/payback-period</w:t>
        </w:r>
      </w:hyperlink>
    </w:p>
    <w:p w14:paraId="77D73771" w14:textId="538F3FDB"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Yan, Y. (2024) “The Impact of ESG Standards and Investment : Global Trends and Practices,” </w:t>
      </w:r>
      <w:r w:rsidRPr="009C7F74">
        <w:rPr>
          <w:rFonts w:ascii="Times New Roman" w:hAnsi="Times New Roman" w:cs="Times New Roman"/>
          <w:i/>
          <w:iCs/>
          <w:noProof/>
          <w:kern w:val="0"/>
        </w:rPr>
        <w:t>Advances in Economics, Management and Political Sciences</w:t>
      </w:r>
      <w:r w:rsidRPr="009C7F74">
        <w:rPr>
          <w:rFonts w:ascii="Times New Roman" w:hAnsi="Times New Roman" w:cs="Times New Roman"/>
          <w:noProof/>
          <w:kern w:val="0"/>
        </w:rPr>
        <w:t xml:space="preserve">, 121(1), pp. 14–22. Available at: </w:t>
      </w:r>
      <w:hyperlink r:id="rId42" w:history="1">
        <w:r w:rsidRPr="009C7F74">
          <w:rPr>
            <w:rStyle w:val="Hyperlink"/>
            <w:rFonts w:ascii="Times New Roman" w:hAnsi="Times New Roman" w:cs="Times New Roman"/>
            <w:noProof/>
            <w:kern w:val="0"/>
          </w:rPr>
          <w:t>https://aemps.ewapub.com/article/view/16162</w:t>
        </w:r>
      </w:hyperlink>
    </w:p>
    <w:p w14:paraId="1676E16A" w14:textId="6F899108" w:rsidR="009C7F74" w:rsidRPr="009C7F74" w:rsidRDefault="009C7F74" w:rsidP="00AF2BDF">
      <w:pPr>
        <w:widowControl w:val="0"/>
        <w:autoSpaceDE w:val="0"/>
        <w:autoSpaceDN w:val="0"/>
        <w:adjustRightInd w:val="0"/>
        <w:spacing w:line="240" w:lineRule="auto"/>
        <w:rPr>
          <w:rFonts w:ascii="Times New Roman" w:hAnsi="Times New Roman" w:cs="Times New Roman"/>
          <w:noProof/>
          <w:kern w:val="0"/>
        </w:rPr>
      </w:pPr>
      <w:r w:rsidRPr="009C7F74">
        <w:rPr>
          <w:rFonts w:ascii="Times New Roman" w:hAnsi="Times New Roman" w:cs="Times New Roman"/>
          <w:noProof/>
          <w:kern w:val="0"/>
        </w:rPr>
        <w:t xml:space="preserve">Yu, Z. </w:t>
      </w:r>
      <w:r w:rsidRPr="009C7F74">
        <w:rPr>
          <w:rFonts w:ascii="Times New Roman" w:hAnsi="Times New Roman" w:cs="Times New Roman"/>
          <w:i/>
          <w:iCs/>
          <w:noProof/>
          <w:kern w:val="0"/>
        </w:rPr>
        <w:t>et al.</w:t>
      </w:r>
      <w:r w:rsidRPr="009C7F74">
        <w:rPr>
          <w:rFonts w:ascii="Times New Roman" w:hAnsi="Times New Roman" w:cs="Times New Roman"/>
          <w:noProof/>
          <w:kern w:val="0"/>
        </w:rPr>
        <w:t xml:space="preserve"> (2024) “How does environmental, social, and governance (ESG) performance determine investment mix? New empirical evidence from BRICS,” </w:t>
      </w:r>
      <w:r w:rsidRPr="009C7F74">
        <w:rPr>
          <w:rFonts w:ascii="Times New Roman" w:hAnsi="Times New Roman" w:cs="Times New Roman"/>
          <w:i/>
          <w:iCs/>
          <w:noProof/>
          <w:kern w:val="0"/>
        </w:rPr>
        <w:t>Borsa Istanbul Review</w:t>
      </w:r>
      <w:r w:rsidRPr="009C7F74">
        <w:rPr>
          <w:rFonts w:ascii="Times New Roman" w:hAnsi="Times New Roman" w:cs="Times New Roman"/>
          <w:noProof/>
          <w:kern w:val="0"/>
        </w:rPr>
        <w:t xml:space="preserve">, 24(3), pp. 520–529. Available at: </w:t>
      </w:r>
      <w:hyperlink r:id="rId43" w:history="1">
        <w:r w:rsidRPr="009C7F74">
          <w:rPr>
            <w:rStyle w:val="Hyperlink"/>
            <w:rFonts w:ascii="Times New Roman" w:hAnsi="Times New Roman" w:cs="Times New Roman"/>
            <w:noProof/>
            <w:kern w:val="0"/>
          </w:rPr>
          <w:t>https://www.sciencedirect.com/science/article/pii/S2214845024000279</w:t>
        </w:r>
      </w:hyperlink>
    </w:p>
    <w:p w14:paraId="69B2609E" w14:textId="2F057033" w:rsidR="009C7F74" w:rsidRPr="009C7F74" w:rsidRDefault="009C7F74" w:rsidP="00AF2BDF">
      <w:pPr>
        <w:widowControl w:val="0"/>
        <w:autoSpaceDE w:val="0"/>
        <w:autoSpaceDN w:val="0"/>
        <w:adjustRightInd w:val="0"/>
        <w:spacing w:line="240" w:lineRule="auto"/>
        <w:rPr>
          <w:rFonts w:ascii="Times New Roman" w:hAnsi="Times New Roman" w:cs="Times New Roman"/>
          <w:noProof/>
        </w:rPr>
      </w:pPr>
      <w:r w:rsidRPr="009C7F74">
        <w:rPr>
          <w:rFonts w:ascii="Times New Roman" w:hAnsi="Times New Roman" w:cs="Times New Roman"/>
          <w:noProof/>
          <w:kern w:val="0"/>
        </w:rPr>
        <w:t xml:space="preserve">Zhao, Y. (2020) “Report on Hotel Revenue and IHG’s Improvement Plan during COVID-19,” </w:t>
      </w:r>
      <w:r w:rsidRPr="009C7F74">
        <w:rPr>
          <w:rFonts w:ascii="Times New Roman" w:hAnsi="Times New Roman" w:cs="Times New Roman"/>
          <w:i/>
          <w:iCs/>
          <w:noProof/>
          <w:kern w:val="0"/>
        </w:rPr>
        <w:t>Research in Economics and Management</w:t>
      </w:r>
      <w:r w:rsidRPr="009C7F74">
        <w:rPr>
          <w:rFonts w:ascii="Times New Roman" w:hAnsi="Times New Roman" w:cs="Times New Roman"/>
          <w:noProof/>
          <w:kern w:val="0"/>
        </w:rPr>
        <w:t xml:space="preserve">, 5(4), p. p164. Available at: </w:t>
      </w:r>
      <w:hyperlink r:id="rId44" w:history="1">
        <w:r w:rsidRPr="009C7F74">
          <w:rPr>
            <w:rStyle w:val="Hyperlink"/>
            <w:rFonts w:ascii="Times New Roman" w:hAnsi="Times New Roman" w:cs="Times New Roman"/>
            <w:noProof/>
            <w:kern w:val="0"/>
          </w:rPr>
          <w:t>https://www.researchgate.net/publication/347068746_Report_on_Hotel_Revenue_and_IHG’s_Improvement_Plan_during_COVID-19</w:t>
        </w:r>
      </w:hyperlink>
    </w:p>
    <w:p w14:paraId="616DB01A" w14:textId="2A05EBC6" w:rsidR="008778AA" w:rsidRPr="008778AA" w:rsidRDefault="008778AA" w:rsidP="00AF2BDF">
      <w:pPr>
        <w:pStyle w:val="ListParagraph"/>
        <w:rPr>
          <w:rFonts w:ascii="Times New Roman" w:hAnsi="Times New Roman" w:cs="Times New Roman"/>
        </w:rPr>
      </w:pPr>
      <w:r>
        <w:rPr>
          <w:rFonts w:ascii="Times New Roman" w:hAnsi="Times New Roman" w:cs="Times New Roman"/>
        </w:rPr>
        <w:fldChar w:fldCharType="end"/>
      </w:r>
      <w:r w:rsidRPr="008778AA">
        <w:rPr>
          <w:rFonts w:ascii="Times New Roman" w:hAnsi="Times New Roman" w:cs="Times New Roman"/>
        </w:rPr>
        <w:br w:type="page"/>
      </w:r>
      <w:bookmarkStart w:id="68" w:name="_Toc233392978"/>
    </w:p>
    <w:p w14:paraId="5BCF7575" w14:textId="6AFEF316" w:rsidR="003F3DB9" w:rsidRDefault="003F3DB9" w:rsidP="003F3DB9">
      <w:pPr>
        <w:pStyle w:val="Heading1"/>
        <w:numPr>
          <w:ilvl w:val="0"/>
          <w:numId w:val="9"/>
        </w:numPr>
      </w:pPr>
      <w:bookmarkStart w:id="69" w:name="_Toc233884825"/>
      <w:r>
        <w:lastRenderedPageBreak/>
        <w:t>Appendices:</w:t>
      </w:r>
      <w:bookmarkEnd w:id="69"/>
    </w:p>
    <w:p w14:paraId="1E003C3C" w14:textId="60DEBB97" w:rsidR="00851F6E" w:rsidRPr="003F3DB9" w:rsidRDefault="00851F6E" w:rsidP="003F3DB9">
      <w:pPr>
        <w:rPr>
          <w:b/>
          <w:bCs/>
        </w:rPr>
      </w:pPr>
      <w:r w:rsidRPr="003F3DB9">
        <w:rPr>
          <w:b/>
          <w:bCs/>
        </w:rPr>
        <w:t>Appendix A: Five-Year Financial Statement Extract</w:t>
      </w:r>
      <w:bookmarkEnd w:id="68"/>
    </w:p>
    <w:tbl>
      <w:tblPr>
        <w:tblStyle w:val="TableGrid"/>
        <w:tblW w:w="0" w:type="auto"/>
        <w:tblLook w:val="04A0" w:firstRow="1" w:lastRow="0" w:firstColumn="1" w:lastColumn="0" w:noHBand="0" w:noVBand="1"/>
      </w:tblPr>
      <w:tblGrid>
        <w:gridCol w:w="3469"/>
        <w:gridCol w:w="916"/>
        <w:gridCol w:w="916"/>
        <w:gridCol w:w="916"/>
        <w:gridCol w:w="916"/>
        <w:gridCol w:w="916"/>
      </w:tblGrid>
      <w:tr w:rsidR="00851F6E" w:rsidRPr="008778AA" w14:paraId="56ED8861" w14:textId="77777777" w:rsidTr="00851F6E">
        <w:tc>
          <w:tcPr>
            <w:tcW w:w="0" w:type="auto"/>
            <w:hideMark/>
          </w:tcPr>
          <w:p w14:paraId="0A138EE2"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Financial measure</w:t>
            </w:r>
          </w:p>
        </w:tc>
        <w:tc>
          <w:tcPr>
            <w:tcW w:w="0" w:type="auto"/>
            <w:hideMark/>
          </w:tcPr>
          <w:p w14:paraId="2B5D39B6"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2021</w:t>
            </w:r>
          </w:p>
        </w:tc>
        <w:tc>
          <w:tcPr>
            <w:tcW w:w="0" w:type="auto"/>
            <w:hideMark/>
          </w:tcPr>
          <w:p w14:paraId="327BCB24"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2022</w:t>
            </w:r>
          </w:p>
        </w:tc>
        <w:tc>
          <w:tcPr>
            <w:tcW w:w="0" w:type="auto"/>
            <w:hideMark/>
          </w:tcPr>
          <w:p w14:paraId="522CFD9E"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2023</w:t>
            </w:r>
          </w:p>
        </w:tc>
        <w:tc>
          <w:tcPr>
            <w:tcW w:w="0" w:type="auto"/>
            <w:hideMark/>
          </w:tcPr>
          <w:p w14:paraId="230A7290"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2024</w:t>
            </w:r>
          </w:p>
        </w:tc>
        <w:tc>
          <w:tcPr>
            <w:tcW w:w="0" w:type="auto"/>
            <w:hideMark/>
          </w:tcPr>
          <w:p w14:paraId="62D9C1D2" w14:textId="77777777" w:rsidR="00851F6E" w:rsidRPr="008778AA" w:rsidRDefault="00851F6E" w:rsidP="008778AA">
            <w:pPr>
              <w:spacing w:after="160" w:line="360" w:lineRule="auto"/>
              <w:jc w:val="both"/>
              <w:rPr>
                <w:rFonts w:ascii="Times New Roman" w:hAnsi="Times New Roman" w:cs="Times New Roman"/>
                <w:b/>
                <w:bCs/>
              </w:rPr>
            </w:pPr>
            <w:r w:rsidRPr="008778AA">
              <w:rPr>
                <w:rFonts w:ascii="Times New Roman" w:hAnsi="Times New Roman" w:cs="Times New Roman"/>
                <w:b/>
                <w:bCs/>
              </w:rPr>
              <w:t>2025</w:t>
            </w:r>
          </w:p>
        </w:tc>
      </w:tr>
      <w:tr w:rsidR="00851F6E" w:rsidRPr="008778AA" w14:paraId="7A8C443B" w14:textId="77777777" w:rsidTr="00851F6E">
        <w:tc>
          <w:tcPr>
            <w:tcW w:w="0" w:type="auto"/>
            <w:hideMark/>
          </w:tcPr>
          <w:p w14:paraId="7195CB1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revenue</w:t>
            </w:r>
          </w:p>
        </w:tc>
        <w:tc>
          <w:tcPr>
            <w:tcW w:w="0" w:type="auto"/>
            <w:hideMark/>
          </w:tcPr>
          <w:p w14:paraId="1A9C8FF1"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2,907</w:t>
            </w:r>
          </w:p>
        </w:tc>
        <w:tc>
          <w:tcPr>
            <w:tcW w:w="0" w:type="auto"/>
            <w:hideMark/>
          </w:tcPr>
          <w:p w14:paraId="034AC3B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3,892</w:t>
            </w:r>
          </w:p>
        </w:tc>
        <w:tc>
          <w:tcPr>
            <w:tcW w:w="0" w:type="auto"/>
            <w:hideMark/>
          </w:tcPr>
          <w:p w14:paraId="664392B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4,624</w:t>
            </w:r>
          </w:p>
        </w:tc>
        <w:tc>
          <w:tcPr>
            <w:tcW w:w="0" w:type="auto"/>
            <w:hideMark/>
          </w:tcPr>
          <w:p w14:paraId="4960F9C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4,923</w:t>
            </w:r>
          </w:p>
        </w:tc>
        <w:tc>
          <w:tcPr>
            <w:tcW w:w="0" w:type="auto"/>
            <w:hideMark/>
          </w:tcPr>
          <w:p w14:paraId="285C5DE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5,189</w:t>
            </w:r>
          </w:p>
        </w:tc>
      </w:tr>
      <w:tr w:rsidR="00851F6E" w:rsidRPr="008778AA" w14:paraId="036E862D" w14:textId="77777777" w:rsidTr="00851F6E">
        <w:tc>
          <w:tcPr>
            <w:tcW w:w="0" w:type="auto"/>
            <w:hideMark/>
          </w:tcPr>
          <w:p w14:paraId="7222844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Operating profit</w:t>
            </w:r>
          </w:p>
        </w:tc>
        <w:tc>
          <w:tcPr>
            <w:tcW w:w="0" w:type="auto"/>
            <w:hideMark/>
          </w:tcPr>
          <w:p w14:paraId="313A0AA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494</w:t>
            </w:r>
          </w:p>
        </w:tc>
        <w:tc>
          <w:tcPr>
            <w:tcW w:w="0" w:type="auto"/>
            <w:hideMark/>
          </w:tcPr>
          <w:p w14:paraId="1AB6DD8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628</w:t>
            </w:r>
          </w:p>
        </w:tc>
        <w:tc>
          <w:tcPr>
            <w:tcW w:w="0" w:type="auto"/>
            <w:hideMark/>
          </w:tcPr>
          <w:p w14:paraId="745CE3A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1,066</w:t>
            </w:r>
          </w:p>
        </w:tc>
        <w:tc>
          <w:tcPr>
            <w:tcW w:w="0" w:type="auto"/>
            <w:hideMark/>
          </w:tcPr>
          <w:p w14:paraId="2A972BB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1,041</w:t>
            </w:r>
          </w:p>
        </w:tc>
        <w:tc>
          <w:tcPr>
            <w:tcW w:w="0" w:type="auto"/>
            <w:hideMark/>
          </w:tcPr>
          <w:p w14:paraId="047479B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1,198</w:t>
            </w:r>
          </w:p>
        </w:tc>
      </w:tr>
      <w:tr w:rsidR="00851F6E" w:rsidRPr="008778AA" w14:paraId="5B752750" w14:textId="77777777" w:rsidTr="00851F6E">
        <w:tc>
          <w:tcPr>
            <w:tcW w:w="0" w:type="auto"/>
            <w:hideMark/>
          </w:tcPr>
          <w:p w14:paraId="421E294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Profit before tax</w:t>
            </w:r>
          </w:p>
        </w:tc>
        <w:tc>
          <w:tcPr>
            <w:tcW w:w="0" w:type="auto"/>
            <w:hideMark/>
          </w:tcPr>
          <w:p w14:paraId="1A21E30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361</w:t>
            </w:r>
          </w:p>
        </w:tc>
        <w:tc>
          <w:tcPr>
            <w:tcW w:w="0" w:type="auto"/>
            <w:hideMark/>
          </w:tcPr>
          <w:p w14:paraId="210F6EC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540</w:t>
            </w:r>
          </w:p>
        </w:tc>
        <w:tc>
          <w:tcPr>
            <w:tcW w:w="0" w:type="auto"/>
            <w:hideMark/>
          </w:tcPr>
          <w:p w14:paraId="68192C4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1,010</w:t>
            </w:r>
          </w:p>
        </w:tc>
        <w:tc>
          <w:tcPr>
            <w:tcW w:w="0" w:type="auto"/>
            <w:hideMark/>
          </w:tcPr>
          <w:p w14:paraId="28C42F7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897</w:t>
            </w:r>
          </w:p>
        </w:tc>
        <w:tc>
          <w:tcPr>
            <w:tcW w:w="0" w:type="auto"/>
            <w:hideMark/>
          </w:tcPr>
          <w:p w14:paraId="095D4D8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1,074</w:t>
            </w:r>
          </w:p>
        </w:tc>
      </w:tr>
      <w:tr w:rsidR="00851F6E" w:rsidRPr="008778AA" w14:paraId="17BB2A20" w14:textId="77777777" w:rsidTr="00851F6E">
        <w:tc>
          <w:tcPr>
            <w:tcW w:w="0" w:type="auto"/>
            <w:hideMark/>
          </w:tcPr>
          <w:p w14:paraId="3872030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Profit for the year</w:t>
            </w:r>
          </w:p>
        </w:tc>
        <w:tc>
          <w:tcPr>
            <w:tcW w:w="0" w:type="auto"/>
            <w:hideMark/>
          </w:tcPr>
          <w:p w14:paraId="08EAEAA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265</w:t>
            </w:r>
          </w:p>
        </w:tc>
        <w:tc>
          <w:tcPr>
            <w:tcW w:w="0" w:type="auto"/>
            <w:hideMark/>
          </w:tcPr>
          <w:p w14:paraId="3738CA9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376</w:t>
            </w:r>
          </w:p>
        </w:tc>
        <w:tc>
          <w:tcPr>
            <w:tcW w:w="0" w:type="auto"/>
            <w:hideMark/>
          </w:tcPr>
          <w:p w14:paraId="18C1702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750</w:t>
            </w:r>
          </w:p>
        </w:tc>
        <w:tc>
          <w:tcPr>
            <w:tcW w:w="0" w:type="auto"/>
            <w:hideMark/>
          </w:tcPr>
          <w:p w14:paraId="4FF86BD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628</w:t>
            </w:r>
          </w:p>
        </w:tc>
        <w:tc>
          <w:tcPr>
            <w:tcW w:w="0" w:type="auto"/>
            <w:hideMark/>
          </w:tcPr>
          <w:p w14:paraId="084D4776"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759</w:t>
            </w:r>
          </w:p>
        </w:tc>
      </w:tr>
      <w:tr w:rsidR="00851F6E" w:rsidRPr="008778AA" w14:paraId="1A719A13" w14:textId="77777777" w:rsidTr="00851F6E">
        <w:tc>
          <w:tcPr>
            <w:tcW w:w="0" w:type="auto"/>
            <w:hideMark/>
          </w:tcPr>
          <w:p w14:paraId="024BC03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current assets</w:t>
            </w:r>
          </w:p>
        </w:tc>
        <w:tc>
          <w:tcPr>
            <w:tcW w:w="0" w:type="auto"/>
            <w:hideMark/>
          </w:tcPr>
          <w:p w14:paraId="2F1955A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2,066</w:t>
            </w:r>
          </w:p>
        </w:tc>
        <w:tc>
          <w:tcPr>
            <w:tcW w:w="0" w:type="auto"/>
            <w:hideMark/>
          </w:tcPr>
          <w:p w14:paraId="79F8659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1,678</w:t>
            </w:r>
          </w:p>
        </w:tc>
        <w:tc>
          <w:tcPr>
            <w:tcW w:w="0" w:type="auto"/>
            <w:hideMark/>
          </w:tcPr>
          <w:p w14:paraId="495EA5A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2,129</w:t>
            </w:r>
          </w:p>
        </w:tc>
        <w:tc>
          <w:tcPr>
            <w:tcW w:w="0" w:type="auto"/>
            <w:hideMark/>
          </w:tcPr>
          <w:p w14:paraId="4F06CAD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1,869</w:t>
            </w:r>
          </w:p>
        </w:tc>
        <w:tc>
          <w:tcPr>
            <w:tcW w:w="0" w:type="auto"/>
            <w:hideMark/>
          </w:tcPr>
          <w:p w14:paraId="52A18B8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2,049</w:t>
            </w:r>
          </w:p>
        </w:tc>
      </w:tr>
      <w:tr w:rsidR="00851F6E" w:rsidRPr="008778AA" w14:paraId="75D2FF64" w14:textId="77777777" w:rsidTr="00851F6E">
        <w:tc>
          <w:tcPr>
            <w:tcW w:w="0" w:type="auto"/>
            <w:hideMark/>
          </w:tcPr>
          <w:p w14:paraId="133085F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assets</w:t>
            </w:r>
          </w:p>
        </w:tc>
        <w:tc>
          <w:tcPr>
            <w:tcW w:w="0" w:type="auto"/>
            <w:hideMark/>
          </w:tcPr>
          <w:p w14:paraId="478F73D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4,716</w:t>
            </w:r>
          </w:p>
        </w:tc>
        <w:tc>
          <w:tcPr>
            <w:tcW w:w="0" w:type="auto"/>
            <w:hideMark/>
          </w:tcPr>
          <w:p w14:paraId="655C2AF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4,216</w:t>
            </w:r>
          </w:p>
        </w:tc>
        <w:tc>
          <w:tcPr>
            <w:tcW w:w="0" w:type="auto"/>
            <w:hideMark/>
          </w:tcPr>
          <w:p w14:paraId="1BEA1FF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4,813</w:t>
            </w:r>
          </w:p>
        </w:tc>
        <w:tc>
          <w:tcPr>
            <w:tcW w:w="0" w:type="auto"/>
            <w:hideMark/>
          </w:tcPr>
          <w:p w14:paraId="7FD97B2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4,748</w:t>
            </w:r>
          </w:p>
        </w:tc>
        <w:tc>
          <w:tcPr>
            <w:tcW w:w="0" w:type="auto"/>
            <w:hideMark/>
          </w:tcPr>
          <w:p w14:paraId="5556965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5,345</w:t>
            </w:r>
          </w:p>
        </w:tc>
      </w:tr>
      <w:tr w:rsidR="00851F6E" w:rsidRPr="008778AA" w14:paraId="1124C97A" w14:textId="77777777" w:rsidTr="00851F6E">
        <w:tc>
          <w:tcPr>
            <w:tcW w:w="0" w:type="auto"/>
            <w:hideMark/>
          </w:tcPr>
          <w:p w14:paraId="3A9C937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current liabilities</w:t>
            </w:r>
          </w:p>
        </w:tc>
        <w:tc>
          <w:tcPr>
            <w:tcW w:w="0" w:type="auto"/>
            <w:hideMark/>
          </w:tcPr>
          <w:p w14:paraId="23D22B0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1,624</w:t>
            </w:r>
          </w:p>
        </w:tc>
        <w:tc>
          <w:tcPr>
            <w:tcW w:w="0" w:type="auto"/>
            <w:hideMark/>
          </w:tcPr>
          <w:p w14:paraId="50CA5E0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1,544</w:t>
            </w:r>
          </w:p>
        </w:tc>
        <w:tc>
          <w:tcPr>
            <w:tcW w:w="0" w:type="auto"/>
            <w:hideMark/>
          </w:tcPr>
          <w:p w14:paraId="7E84FC64"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2,190</w:t>
            </w:r>
          </w:p>
        </w:tc>
        <w:tc>
          <w:tcPr>
            <w:tcW w:w="0" w:type="auto"/>
            <w:hideMark/>
          </w:tcPr>
          <w:p w14:paraId="4ED372B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1,928</w:t>
            </w:r>
          </w:p>
        </w:tc>
        <w:tc>
          <w:tcPr>
            <w:tcW w:w="0" w:type="auto"/>
            <w:hideMark/>
          </w:tcPr>
          <w:p w14:paraId="20E520B7"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2,100</w:t>
            </w:r>
          </w:p>
        </w:tc>
      </w:tr>
      <w:tr w:rsidR="00851F6E" w:rsidRPr="008778AA" w14:paraId="0D7750BE" w14:textId="77777777" w:rsidTr="00851F6E">
        <w:tc>
          <w:tcPr>
            <w:tcW w:w="0" w:type="auto"/>
            <w:hideMark/>
          </w:tcPr>
          <w:p w14:paraId="4B51FB4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liabilities</w:t>
            </w:r>
          </w:p>
        </w:tc>
        <w:tc>
          <w:tcPr>
            <w:tcW w:w="0" w:type="auto"/>
            <w:hideMark/>
          </w:tcPr>
          <w:p w14:paraId="2320AD5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6,190</w:t>
            </w:r>
          </w:p>
        </w:tc>
        <w:tc>
          <w:tcPr>
            <w:tcW w:w="0" w:type="auto"/>
            <w:hideMark/>
          </w:tcPr>
          <w:p w14:paraId="37A72D23"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5,824</w:t>
            </w:r>
          </w:p>
        </w:tc>
        <w:tc>
          <w:tcPr>
            <w:tcW w:w="0" w:type="auto"/>
            <w:hideMark/>
          </w:tcPr>
          <w:p w14:paraId="237B709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6,759</w:t>
            </w:r>
          </w:p>
        </w:tc>
        <w:tc>
          <w:tcPr>
            <w:tcW w:w="0" w:type="auto"/>
            <w:hideMark/>
          </w:tcPr>
          <w:p w14:paraId="519AC7F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7,056</w:t>
            </w:r>
          </w:p>
        </w:tc>
        <w:tc>
          <w:tcPr>
            <w:tcW w:w="0" w:type="auto"/>
            <w:hideMark/>
          </w:tcPr>
          <w:p w14:paraId="39F52AC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8,081</w:t>
            </w:r>
          </w:p>
        </w:tc>
      </w:tr>
      <w:tr w:rsidR="00851F6E" w:rsidRPr="008778AA" w14:paraId="07C32301" w14:textId="77777777" w:rsidTr="00851F6E">
        <w:tc>
          <w:tcPr>
            <w:tcW w:w="0" w:type="auto"/>
            <w:hideMark/>
          </w:tcPr>
          <w:p w14:paraId="356135D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Net liabilities / total equity</w:t>
            </w:r>
          </w:p>
        </w:tc>
        <w:tc>
          <w:tcPr>
            <w:tcW w:w="0" w:type="auto"/>
            <w:hideMark/>
          </w:tcPr>
          <w:p w14:paraId="6D5AF7A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(1,474)</w:t>
            </w:r>
          </w:p>
        </w:tc>
        <w:tc>
          <w:tcPr>
            <w:tcW w:w="0" w:type="auto"/>
            <w:hideMark/>
          </w:tcPr>
          <w:p w14:paraId="55DCBD1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(1,608)</w:t>
            </w:r>
          </w:p>
        </w:tc>
        <w:tc>
          <w:tcPr>
            <w:tcW w:w="0" w:type="auto"/>
            <w:hideMark/>
          </w:tcPr>
          <w:p w14:paraId="104F880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(1,946)</w:t>
            </w:r>
          </w:p>
        </w:tc>
        <w:tc>
          <w:tcPr>
            <w:tcW w:w="0" w:type="auto"/>
            <w:hideMark/>
          </w:tcPr>
          <w:p w14:paraId="5623535B"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(2,308)</w:t>
            </w:r>
          </w:p>
        </w:tc>
        <w:tc>
          <w:tcPr>
            <w:tcW w:w="0" w:type="auto"/>
            <w:hideMark/>
          </w:tcPr>
          <w:p w14:paraId="2441B4D5"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(2,736)</w:t>
            </w:r>
          </w:p>
        </w:tc>
      </w:tr>
      <w:tr w:rsidR="00851F6E" w:rsidRPr="008778AA" w14:paraId="7495C661" w14:textId="77777777" w:rsidTr="00851F6E">
        <w:tc>
          <w:tcPr>
            <w:tcW w:w="0" w:type="auto"/>
            <w:hideMark/>
          </w:tcPr>
          <w:p w14:paraId="642285B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Net cash from operating activities</w:t>
            </w:r>
          </w:p>
        </w:tc>
        <w:tc>
          <w:tcPr>
            <w:tcW w:w="0" w:type="auto"/>
            <w:hideMark/>
          </w:tcPr>
          <w:p w14:paraId="1B71ECE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636</w:t>
            </w:r>
          </w:p>
        </w:tc>
        <w:tc>
          <w:tcPr>
            <w:tcW w:w="0" w:type="auto"/>
            <w:hideMark/>
          </w:tcPr>
          <w:p w14:paraId="7C9AC8D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646</w:t>
            </w:r>
          </w:p>
        </w:tc>
        <w:tc>
          <w:tcPr>
            <w:tcW w:w="0" w:type="auto"/>
            <w:hideMark/>
          </w:tcPr>
          <w:p w14:paraId="5918A9CA"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893</w:t>
            </w:r>
          </w:p>
        </w:tc>
        <w:tc>
          <w:tcPr>
            <w:tcW w:w="0" w:type="auto"/>
            <w:hideMark/>
          </w:tcPr>
          <w:p w14:paraId="22368C9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724</w:t>
            </w:r>
          </w:p>
        </w:tc>
        <w:tc>
          <w:tcPr>
            <w:tcW w:w="0" w:type="auto"/>
            <w:hideMark/>
          </w:tcPr>
          <w:p w14:paraId="21BD41E6"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898</w:t>
            </w:r>
          </w:p>
        </w:tc>
      </w:tr>
      <w:tr w:rsidR="00851F6E" w:rsidRPr="008778AA" w14:paraId="7B9B31C0" w14:textId="77777777" w:rsidTr="00851F6E">
        <w:tc>
          <w:tcPr>
            <w:tcW w:w="0" w:type="auto"/>
            <w:hideMark/>
          </w:tcPr>
          <w:p w14:paraId="30E86F6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Basic EPS, cents</w:t>
            </w:r>
          </w:p>
        </w:tc>
        <w:tc>
          <w:tcPr>
            <w:tcW w:w="0" w:type="auto"/>
            <w:hideMark/>
          </w:tcPr>
          <w:p w14:paraId="6007698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145.4</w:t>
            </w:r>
          </w:p>
        </w:tc>
        <w:tc>
          <w:tcPr>
            <w:tcW w:w="0" w:type="auto"/>
            <w:hideMark/>
          </w:tcPr>
          <w:p w14:paraId="17697F4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207.2</w:t>
            </w:r>
          </w:p>
        </w:tc>
        <w:tc>
          <w:tcPr>
            <w:tcW w:w="0" w:type="auto"/>
            <w:hideMark/>
          </w:tcPr>
          <w:p w14:paraId="4545531C"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443.8</w:t>
            </w:r>
          </w:p>
        </w:tc>
        <w:tc>
          <w:tcPr>
            <w:tcW w:w="0" w:type="auto"/>
            <w:hideMark/>
          </w:tcPr>
          <w:p w14:paraId="0F92447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389.6</w:t>
            </w:r>
          </w:p>
        </w:tc>
        <w:tc>
          <w:tcPr>
            <w:tcW w:w="0" w:type="auto"/>
            <w:hideMark/>
          </w:tcPr>
          <w:p w14:paraId="79598DA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490.9</w:t>
            </w:r>
          </w:p>
        </w:tc>
      </w:tr>
      <w:tr w:rsidR="00851F6E" w:rsidRPr="008778AA" w14:paraId="16C8E321" w14:textId="77777777" w:rsidTr="00851F6E">
        <w:tc>
          <w:tcPr>
            <w:tcW w:w="0" w:type="auto"/>
            <w:hideMark/>
          </w:tcPr>
          <w:p w14:paraId="0BD0920F"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Total dividend per share, cents</w:t>
            </w:r>
          </w:p>
        </w:tc>
        <w:tc>
          <w:tcPr>
            <w:tcW w:w="0" w:type="auto"/>
            <w:hideMark/>
          </w:tcPr>
          <w:p w14:paraId="5B7FEDF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85.9</w:t>
            </w:r>
          </w:p>
        </w:tc>
        <w:tc>
          <w:tcPr>
            <w:tcW w:w="0" w:type="auto"/>
            <w:hideMark/>
          </w:tcPr>
          <w:p w14:paraId="55D7FBA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138.4</w:t>
            </w:r>
          </w:p>
        </w:tc>
        <w:tc>
          <w:tcPr>
            <w:tcW w:w="0" w:type="auto"/>
            <w:hideMark/>
          </w:tcPr>
          <w:p w14:paraId="59DD61D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152.3</w:t>
            </w:r>
          </w:p>
        </w:tc>
        <w:tc>
          <w:tcPr>
            <w:tcW w:w="0" w:type="auto"/>
            <w:hideMark/>
          </w:tcPr>
          <w:p w14:paraId="1CFEABAE"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167.6</w:t>
            </w:r>
          </w:p>
        </w:tc>
        <w:tc>
          <w:tcPr>
            <w:tcW w:w="0" w:type="auto"/>
            <w:hideMark/>
          </w:tcPr>
          <w:p w14:paraId="710CE562"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184.5</w:t>
            </w:r>
          </w:p>
        </w:tc>
      </w:tr>
      <w:tr w:rsidR="00851F6E" w:rsidRPr="008778AA" w14:paraId="27D9A13B" w14:textId="77777777" w:rsidTr="00851F6E">
        <w:tc>
          <w:tcPr>
            <w:tcW w:w="0" w:type="auto"/>
            <w:hideMark/>
          </w:tcPr>
          <w:p w14:paraId="33BE2CA6"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Share buyback completed</w:t>
            </w:r>
          </w:p>
        </w:tc>
        <w:tc>
          <w:tcPr>
            <w:tcW w:w="0" w:type="auto"/>
            <w:hideMark/>
          </w:tcPr>
          <w:p w14:paraId="21C3B6F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w:t>
            </w:r>
          </w:p>
        </w:tc>
        <w:tc>
          <w:tcPr>
            <w:tcW w:w="0" w:type="auto"/>
            <w:hideMark/>
          </w:tcPr>
          <w:p w14:paraId="6C4F19B0"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500</w:t>
            </w:r>
          </w:p>
        </w:tc>
        <w:tc>
          <w:tcPr>
            <w:tcW w:w="0" w:type="auto"/>
            <w:hideMark/>
          </w:tcPr>
          <w:p w14:paraId="31996DB9"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750</w:t>
            </w:r>
          </w:p>
        </w:tc>
        <w:tc>
          <w:tcPr>
            <w:tcW w:w="0" w:type="auto"/>
            <w:hideMark/>
          </w:tcPr>
          <w:p w14:paraId="6613248D"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800</w:t>
            </w:r>
          </w:p>
        </w:tc>
        <w:tc>
          <w:tcPr>
            <w:tcW w:w="0" w:type="auto"/>
            <w:hideMark/>
          </w:tcPr>
          <w:p w14:paraId="076E26F8" w14:textId="77777777" w:rsidR="00851F6E" w:rsidRPr="008778AA" w:rsidRDefault="00851F6E" w:rsidP="008778AA">
            <w:pPr>
              <w:spacing w:after="160" w:line="360" w:lineRule="auto"/>
              <w:jc w:val="both"/>
              <w:rPr>
                <w:rFonts w:ascii="Times New Roman" w:hAnsi="Times New Roman" w:cs="Times New Roman"/>
              </w:rPr>
            </w:pPr>
            <w:r w:rsidRPr="008778AA">
              <w:rPr>
                <w:rFonts w:ascii="Times New Roman" w:hAnsi="Times New Roman" w:cs="Times New Roman"/>
              </w:rPr>
              <w:t>900</w:t>
            </w:r>
          </w:p>
        </w:tc>
      </w:tr>
    </w:tbl>
    <w:p w14:paraId="630B238E" w14:textId="067BF603" w:rsidR="00851F6E" w:rsidRPr="008778AA" w:rsidRDefault="00851F6E" w:rsidP="008778AA">
      <w:pPr>
        <w:spacing w:line="360" w:lineRule="auto"/>
        <w:jc w:val="both"/>
        <w:rPr>
          <w:rFonts w:ascii="Times New Roman" w:hAnsi="Times New Roman" w:cs="Times New Roman"/>
          <w:b/>
          <w:bCs/>
        </w:rPr>
      </w:pPr>
    </w:p>
    <w:p w14:paraId="4ABB95A5" w14:textId="77777777" w:rsidR="003F3DB9" w:rsidRDefault="003F3DB9">
      <w:pPr>
        <w:rPr>
          <w:b/>
          <w:bCs/>
        </w:rPr>
      </w:pPr>
      <w:bookmarkStart w:id="70" w:name="_Toc233392979"/>
      <w:r>
        <w:rPr>
          <w:b/>
          <w:bCs/>
        </w:rPr>
        <w:br w:type="page"/>
      </w:r>
    </w:p>
    <w:p w14:paraId="40203436" w14:textId="44F37425" w:rsidR="00B34136" w:rsidRPr="003F3DB9" w:rsidRDefault="00AF3D07" w:rsidP="003F3DB9">
      <w:pPr>
        <w:rPr>
          <w:b/>
          <w:bCs/>
        </w:rPr>
      </w:pPr>
      <w:r w:rsidRPr="003F3DB9">
        <w:rPr>
          <w:b/>
          <w:bCs/>
        </w:rPr>
        <w:lastRenderedPageBreak/>
        <w:t>Appendix B: Ratio calculation Table</w:t>
      </w:r>
      <w:bookmarkEnd w:id="70"/>
    </w:p>
    <w:p w14:paraId="06F5B212" w14:textId="7EA5F7CB" w:rsidR="00851F6E" w:rsidRPr="008778AA" w:rsidRDefault="00AF3D07"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718BD3EC" wp14:editId="382EF7BD">
            <wp:extent cx="5429885" cy="4691270"/>
            <wp:effectExtent l="0" t="0" r="0" b="0"/>
            <wp:docPr id="2133626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26675" name=""/>
                    <pic:cNvPicPr/>
                  </pic:nvPicPr>
                  <pic:blipFill rotWithShape="1">
                    <a:blip r:embed="rId45"/>
                    <a:srcRect b="3815"/>
                    <a:stretch>
                      <a:fillRect/>
                    </a:stretch>
                  </pic:blipFill>
                  <pic:spPr bwMode="auto">
                    <a:xfrm>
                      <a:off x="0" y="0"/>
                      <a:ext cx="5430008" cy="4691376"/>
                    </a:xfrm>
                    <a:prstGeom prst="rect">
                      <a:avLst/>
                    </a:prstGeom>
                    <a:ln>
                      <a:noFill/>
                    </a:ln>
                    <a:extLst>
                      <a:ext uri="{53640926-AAD7-44D8-BBD7-CCE9431645EC}">
                        <a14:shadowObscured xmlns:a14="http://schemas.microsoft.com/office/drawing/2010/main"/>
                      </a:ext>
                    </a:extLst>
                  </pic:spPr>
                </pic:pic>
              </a:graphicData>
            </a:graphic>
          </wp:inline>
        </w:drawing>
      </w:r>
    </w:p>
    <w:p w14:paraId="7BC854CA" w14:textId="55BED8D6" w:rsidR="007B781F" w:rsidRPr="003F3DB9" w:rsidRDefault="005A6E39" w:rsidP="003F3DB9">
      <w:pPr>
        <w:rPr>
          <w:b/>
          <w:bCs/>
        </w:rPr>
      </w:pPr>
      <w:bookmarkStart w:id="71" w:name="_Toc233392980"/>
      <w:r w:rsidRPr="003F3DB9">
        <w:rPr>
          <w:b/>
          <w:bCs/>
        </w:rPr>
        <w:t>Appendix C: Ratio Charts and Financial Trend Figures</w:t>
      </w:r>
      <w:bookmarkEnd w:id="71"/>
    </w:p>
    <w:p w14:paraId="237C7435" w14:textId="3B81A38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776B151B" wp14:editId="03859F2E">
            <wp:extent cx="6239402" cy="1133224"/>
            <wp:effectExtent l="0" t="0" r="0" b="0"/>
            <wp:docPr id="1003529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29839" name=""/>
                    <pic:cNvPicPr/>
                  </pic:nvPicPr>
                  <pic:blipFill>
                    <a:blip r:embed="rId46"/>
                    <a:stretch>
                      <a:fillRect/>
                    </a:stretch>
                  </pic:blipFill>
                  <pic:spPr>
                    <a:xfrm>
                      <a:off x="0" y="0"/>
                      <a:ext cx="6288140" cy="1142076"/>
                    </a:xfrm>
                    <a:prstGeom prst="rect">
                      <a:avLst/>
                    </a:prstGeom>
                  </pic:spPr>
                </pic:pic>
              </a:graphicData>
            </a:graphic>
          </wp:inline>
        </w:drawing>
      </w:r>
    </w:p>
    <w:p w14:paraId="63E41F8F" w14:textId="26DB0E1B"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lastRenderedPageBreak/>
        <w:drawing>
          <wp:inline distT="0" distB="0" distL="0" distR="0" wp14:anchorId="3CB8F8A7" wp14:editId="1F27E627">
            <wp:extent cx="5305426" cy="3424238"/>
            <wp:effectExtent l="0" t="0" r="9525" b="5080"/>
            <wp:docPr id="1932857052" name="Chart 1">
              <a:extLst xmlns:a="http://schemas.openxmlformats.org/drawingml/2006/main">
                <a:ext uri="{FF2B5EF4-FFF2-40B4-BE49-F238E27FC236}">
                  <a16:creationId xmlns:a16="http://schemas.microsoft.com/office/drawing/2014/main" id="{C8045007-9940-DD5E-DBF1-1AE9D348C9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0D2D6616" w14:textId="4E407284"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1976099F" wp14:editId="605BE02B">
            <wp:extent cx="5653088" cy="3443288"/>
            <wp:effectExtent l="0" t="0" r="5080" b="5080"/>
            <wp:docPr id="1107870257" name="Chart 1">
              <a:extLst xmlns:a="http://schemas.openxmlformats.org/drawingml/2006/main">
                <a:ext uri="{FF2B5EF4-FFF2-40B4-BE49-F238E27FC236}">
                  <a16:creationId xmlns:a16="http://schemas.microsoft.com/office/drawing/2014/main" id="{C7A5BB92-278A-96B2-823B-CF3768F32D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1EA79944" w14:textId="4423226A"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lastRenderedPageBreak/>
        <w:drawing>
          <wp:inline distT="0" distB="0" distL="0" distR="0" wp14:anchorId="12EC027E" wp14:editId="03286847">
            <wp:extent cx="5291138" cy="3081338"/>
            <wp:effectExtent l="0" t="0" r="5080" b="5080"/>
            <wp:docPr id="631312134" name="Chart 1">
              <a:extLst xmlns:a="http://schemas.openxmlformats.org/drawingml/2006/main">
                <a:ext uri="{FF2B5EF4-FFF2-40B4-BE49-F238E27FC236}">
                  <a16:creationId xmlns:a16="http://schemas.microsoft.com/office/drawing/2014/main" id="{31B03F68-6896-6FED-3C8D-CAE249A38B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59ED6652" w14:textId="11AE313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62A29AA4" wp14:editId="13135DFF">
            <wp:extent cx="5653088" cy="2976563"/>
            <wp:effectExtent l="0" t="0" r="5080" b="14605"/>
            <wp:docPr id="1223271256" name="Chart 1">
              <a:extLst xmlns:a="http://schemas.openxmlformats.org/drawingml/2006/main">
                <a:ext uri="{FF2B5EF4-FFF2-40B4-BE49-F238E27FC236}">
                  <a16:creationId xmlns:a16="http://schemas.microsoft.com/office/drawing/2014/main" id="{C5148F2E-AE1E-8CFA-9EDF-C9147742BD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6F898C04" w14:textId="67D0F7A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lastRenderedPageBreak/>
        <w:drawing>
          <wp:inline distT="0" distB="0" distL="0" distR="0" wp14:anchorId="56B99A15" wp14:editId="2958FE5B">
            <wp:extent cx="5291138" cy="3119438"/>
            <wp:effectExtent l="0" t="0" r="5080" b="5080"/>
            <wp:docPr id="1500123139" name="Chart 1">
              <a:extLst xmlns:a="http://schemas.openxmlformats.org/drawingml/2006/main">
                <a:ext uri="{FF2B5EF4-FFF2-40B4-BE49-F238E27FC236}">
                  <a16:creationId xmlns:a16="http://schemas.microsoft.com/office/drawing/2014/main" id="{60D1CC75-805D-553F-C05C-EFD3C6929A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4D929D3" w14:textId="6F1C7686"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31FBED7D" wp14:editId="28D2A329">
            <wp:extent cx="5672138" cy="3081338"/>
            <wp:effectExtent l="0" t="0" r="5080" b="5080"/>
            <wp:docPr id="1951655568" name="Chart 1">
              <a:extLst xmlns:a="http://schemas.openxmlformats.org/drawingml/2006/main">
                <a:ext uri="{FF2B5EF4-FFF2-40B4-BE49-F238E27FC236}">
                  <a16:creationId xmlns:a16="http://schemas.microsoft.com/office/drawing/2014/main" id="{8A764F8D-7A7F-6953-9FC5-C19622F6A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32F8840E" w14:textId="77777777" w:rsidR="003F3DB9" w:rsidRDefault="003F3DB9">
      <w:pPr>
        <w:rPr>
          <w:b/>
          <w:bCs/>
        </w:rPr>
      </w:pPr>
      <w:bookmarkStart w:id="72" w:name="_Toc233392981"/>
      <w:r>
        <w:rPr>
          <w:b/>
          <w:bCs/>
        </w:rPr>
        <w:br w:type="page"/>
      </w:r>
    </w:p>
    <w:p w14:paraId="03C01B58" w14:textId="5F0A8E0D" w:rsidR="005A6E39" w:rsidRPr="003F3DB9" w:rsidRDefault="005A6E39" w:rsidP="003F3DB9">
      <w:pPr>
        <w:rPr>
          <w:b/>
          <w:bCs/>
        </w:rPr>
      </w:pPr>
      <w:r w:rsidRPr="003F3DB9">
        <w:rPr>
          <w:b/>
          <w:bCs/>
        </w:rPr>
        <w:lastRenderedPageBreak/>
        <w:t xml:space="preserve">Appendix </w:t>
      </w:r>
      <w:r w:rsidR="00B34136" w:rsidRPr="003F3DB9">
        <w:rPr>
          <w:b/>
          <w:bCs/>
        </w:rPr>
        <w:t>D</w:t>
      </w:r>
      <w:r w:rsidRPr="003F3DB9">
        <w:rPr>
          <w:b/>
          <w:bCs/>
        </w:rPr>
        <w:t>: Investment Appraisal Calculations</w:t>
      </w:r>
      <w:bookmarkEnd w:id="72"/>
    </w:p>
    <w:p w14:paraId="35365AFC" w14:textId="70267CBA"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0F8BDD64" wp14:editId="438D4CA4">
            <wp:extent cx="5943600" cy="3545205"/>
            <wp:effectExtent l="0" t="0" r="0" b="0"/>
            <wp:docPr id="2072476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76416" name=""/>
                    <pic:cNvPicPr/>
                  </pic:nvPicPr>
                  <pic:blipFill>
                    <a:blip r:embed="rId53"/>
                    <a:stretch>
                      <a:fillRect/>
                    </a:stretch>
                  </pic:blipFill>
                  <pic:spPr>
                    <a:xfrm>
                      <a:off x="0" y="0"/>
                      <a:ext cx="5943600" cy="3545205"/>
                    </a:xfrm>
                    <a:prstGeom prst="rect">
                      <a:avLst/>
                    </a:prstGeom>
                  </pic:spPr>
                </pic:pic>
              </a:graphicData>
            </a:graphic>
          </wp:inline>
        </w:drawing>
      </w:r>
    </w:p>
    <w:p w14:paraId="167FAD92" w14:textId="73A8BE9D"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2BA57C01" wp14:editId="06930CA8">
            <wp:extent cx="4667901" cy="2781688"/>
            <wp:effectExtent l="0" t="0" r="0" b="0"/>
            <wp:docPr id="1683453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53844" name=""/>
                    <pic:cNvPicPr/>
                  </pic:nvPicPr>
                  <pic:blipFill>
                    <a:blip r:embed="rId54"/>
                    <a:stretch>
                      <a:fillRect/>
                    </a:stretch>
                  </pic:blipFill>
                  <pic:spPr>
                    <a:xfrm>
                      <a:off x="0" y="0"/>
                      <a:ext cx="4667901" cy="2781688"/>
                    </a:xfrm>
                    <a:prstGeom prst="rect">
                      <a:avLst/>
                    </a:prstGeom>
                  </pic:spPr>
                </pic:pic>
              </a:graphicData>
            </a:graphic>
          </wp:inline>
        </w:drawing>
      </w:r>
    </w:p>
    <w:p w14:paraId="78A204AF" w14:textId="77777777" w:rsidR="003F3DB9" w:rsidRDefault="003F3DB9">
      <w:pPr>
        <w:rPr>
          <w:b/>
          <w:bCs/>
        </w:rPr>
      </w:pPr>
      <w:bookmarkStart w:id="73" w:name="_Toc233392982"/>
      <w:r>
        <w:rPr>
          <w:b/>
          <w:bCs/>
        </w:rPr>
        <w:br w:type="page"/>
      </w:r>
    </w:p>
    <w:p w14:paraId="43BE010C" w14:textId="552146B2" w:rsidR="005A6E39" w:rsidRPr="003F3DB9" w:rsidRDefault="005A6E39" w:rsidP="003F3DB9">
      <w:pPr>
        <w:rPr>
          <w:b/>
          <w:bCs/>
        </w:rPr>
      </w:pPr>
      <w:r w:rsidRPr="003F3DB9">
        <w:rPr>
          <w:b/>
          <w:bCs/>
        </w:rPr>
        <w:lastRenderedPageBreak/>
        <w:t>Appendix E: Capital Rationing Calculations</w:t>
      </w:r>
      <w:bookmarkEnd w:id="73"/>
    </w:p>
    <w:p w14:paraId="73973F41" w14:textId="72DD89E8" w:rsidR="005A6E39" w:rsidRPr="008778AA" w:rsidRDefault="005A6E39" w:rsidP="008778AA">
      <w:pPr>
        <w:spacing w:line="360" w:lineRule="auto"/>
        <w:jc w:val="both"/>
        <w:rPr>
          <w:rFonts w:ascii="Times New Roman" w:hAnsi="Times New Roman" w:cs="Times New Roman"/>
        </w:rPr>
      </w:pPr>
      <w:r w:rsidRPr="008778AA">
        <w:rPr>
          <w:rFonts w:ascii="Times New Roman" w:hAnsi="Times New Roman" w:cs="Times New Roman"/>
          <w:noProof/>
        </w:rPr>
        <w:drawing>
          <wp:inline distT="0" distB="0" distL="0" distR="0" wp14:anchorId="38008F2E" wp14:editId="0E19E0EF">
            <wp:extent cx="5943600" cy="3513455"/>
            <wp:effectExtent l="0" t="0" r="0" b="0"/>
            <wp:docPr id="284042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042094" name=""/>
                    <pic:cNvPicPr/>
                  </pic:nvPicPr>
                  <pic:blipFill>
                    <a:blip r:embed="rId55"/>
                    <a:stretch>
                      <a:fillRect/>
                    </a:stretch>
                  </pic:blipFill>
                  <pic:spPr>
                    <a:xfrm>
                      <a:off x="0" y="0"/>
                      <a:ext cx="5943600" cy="3513455"/>
                    </a:xfrm>
                    <a:prstGeom prst="rect">
                      <a:avLst/>
                    </a:prstGeom>
                  </pic:spPr>
                </pic:pic>
              </a:graphicData>
            </a:graphic>
          </wp:inline>
        </w:drawing>
      </w:r>
    </w:p>
    <w:p w14:paraId="08730D2E" w14:textId="77777777" w:rsidR="005A6E39" w:rsidRDefault="005A6E39" w:rsidP="008778AA">
      <w:pPr>
        <w:spacing w:line="360" w:lineRule="auto"/>
        <w:jc w:val="both"/>
        <w:rPr>
          <w:rFonts w:ascii="Times New Roman" w:hAnsi="Times New Roman" w:cs="Times New Roman"/>
        </w:rPr>
      </w:pPr>
    </w:p>
    <w:p w14:paraId="10782D49" w14:textId="77777777" w:rsidR="00D94314" w:rsidRDefault="00D94314" w:rsidP="008778AA">
      <w:pPr>
        <w:spacing w:line="360" w:lineRule="auto"/>
        <w:jc w:val="both"/>
        <w:rPr>
          <w:rFonts w:ascii="Times New Roman" w:hAnsi="Times New Roman" w:cs="Times New Roman"/>
        </w:rPr>
      </w:pPr>
    </w:p>
    <w:p w14:paraId="7D4F7F34" w14:textId="77777777" w:rsidR="00D94314" w:rsidRDefault="00D94314" w:rsidP="008778AA">
      <w:pPr>
        <w:spacing w:line="360" w:lineRule="auto"/>
        <w:jc w:val="both"/>
        <w:rPr>
          <w:rFonts w:ascii="Times New Roman" w:hAnsi="Times New Roman" w:cs="Times New Roman"/>
        </w:rPr>
      </w:pPr>
    </w:p>
    <w:p w14:paraId="299105D5" w14:textId="4E9B1CA8" w:rsidR="00766F42" w:rsidRDefault="00766F42" w:rsidP="008778AA">
      <w:pPr>
        <w:spacing w:line="360" w:lineRule="auto"/>
        <w:jc w:val="both"/>
        <w:rPr>
          <w:rFonts w:ascii="ADLaM Display" w:hAnsi="ADLaM Display" w:cs="ADLaM Display"/>
          <w:sz w:val="44"/>
          <w:szCs w:val="44"/>
          <w:highlight w:val="yellow"/>
        </w:rPr>
      </w:pPr>
      <w:r>
        <w:rPr>
          <w:rFonts w:ascii="ADLaM Display" w:hAnsi="ADLaM Display" w:cs="ADLaM Display"/>
          <w:sz w:val="44"/>
          <w:szCs w:val="44"/>
          <w:highlight w:val="yellow"/>
        </w:rPr>
        <w:t>72%</w:t>
      </w:r>
    </w:p>
    <w:p w14:paraId="5E804E5C" w14:textId="3AD8C882" w:rsidR="00D94314" w:rsidRPr="00D94314" w:rsidRDefault="00D94314" w:rsidP="008778AA">
      <w:pPr>
        <w:spacing w:line="360" w:lineRule="auto"/>
        <w:jc w:val="both"/>
        <w:rPr>
          <w:rFonts w:ascii="ADLaM Display" w:hAnsi="ADLaM Display" w:cs="ADLaM Display"/>
          <w:sz w:val="44"/>
          <w:szCs w:val="44"/>
        </w:rPr>
      </w:pPr>
      <w:r w:rsidRPr="00D94314">
        <w:rPr>
          <w:rFonts w:ascii="ADLaM Display" w:hAnsi="ADLaM Display" w:cs="ADLaM Display"/>
          <w:sz w:val="44"/>
          <w:szCs w:val="44"/>
          <w:highlight w:val="yellow"/>
        </w:rPr>
        <w:t>FEEDBACK</w:t>
      </w:r>
      <w:r w:rsidRPr="00D94314">
        <w:rPr>
          <w:rFonts w:ascii="ADLaM Display" w:hAnsi="ADLaM Display" w:cs="ADLaM Display"/>
          <w:sz w:val="44"/>
          <w:szCs w:val="44"/>
        </w:rPr>
        <w:t xml:space="preserve"> </w:t>
      </w:r>
    </w:p>
    <w:p w14:paraId="321946C3" w14:textId="2C978443"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Hi</w:t>
      </w:r>
      <w:r w:rsidRPr="00D94314">
        <w:rPr>
          <w:rFonts w:ascii="Times New Roman" w:hAnsi="Times New Roman" w:cs="Times New Roman"/>
          <w:b/>
          <w:bCs/>
          <w:lang w:val="en-GB"/>
        </w:rPr>
        <w:br/>
      </w:r>
    </w:p>
    <w:p w14:paraId="6F81F1D0" w14:textId="32795BF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The result is provisional until confirmed by the exam board</w:t>
      </w:r>
    </w:p>
    <w:p w14:paraId="6726AE6C"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Strength</w:t>
      </w:r>
    </w:p>
    <w:p w14:paraId="51FE5ACC"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lastRenderedPageBreak/>
        <w:t>1.  You have utilised an extensive range of credible, relevant, and up-to-date sources, which have been effectively selected to support your arguments, analysis, and critical evaluation throughout the report.</w:t>
      </w:r>
    </w:p>
    <w:p w14:paraId="25EE1DBA" w14:textId="77777777" w:rsidR="00D94314" w:rsidRPr="00D94314" w:rsidRDefault="00D94314" w:rsidP="00D94314">
      <w:pPr>
        <w:spacing w:line="360" w:lineRule="auto"/>
        <w:jc w:val="both"/>
        <w:rPr>
          <w:rFonts w:ascii="Times New Roman" w:hAnsi="Times New Roman" w:cs="Times New Roman"/>
          <w:lang w:val="en-GB"/>
        </w:rPr>
      </w:pPr>
      <w:proofErr w:type="gramStart"/>
      <w:r w:rsidRPr="00D94314">
        <w:rPr>
          <w:rFonts w:ascii="Times New Roman" w:hAnsi="Times New Roman" w:cs="Times New Roman"/>
          <w:lang w:val="en-GB"/>
        </w:rPr>
        <w:t>  2</w:t>
      </w:r>
      <w:proofErr w:type="gramEnd"/>
      <w:r w:rsidRPr="00D94314">
        <w:rPr>
          <w:rFonts w:ascii="Times New Roman" w:hAnsi="Times New Roman" w:cs="Times New Roman"/>
          <w:lang w:val="en-GB"/>
        </w:rPr>
        <w:t xml:space="preserve">. You have demonstrated very strong understanding of core financial concepts and models, including financial </w:t>
      </w:r>
      <w:proofErr w:type="gramStart"/>
      <w:r w:rsidRPr="00D94314">
        <w:rPr>
          <w:rFonts w:ascii="Times New Roman" w:hAnsi="Times New Roman" w:cs="Times New Roman"/>
          <w:lang w:val="en-GB"/>
        </w:rPr>
        <w:t>ratios,  restructuring</w:t>
      </w:r>
      <w:proofErr w:type="gramEnd"/>
      <w:r w:rsidRPr="00D94314">
        <w:rPr>
          <w:rFonts w:ascii="Times New Roman" w:hAnsi="Times New Roman" w:cs="Times New Roman"/>
          <w:lang w:val="en-GB"/>
        </w:rPr>
        <w:t xml:space="preserve"> strategies, and investment appraisal techniques. </w:t>
      </w:r>
    </w:p>
    <w:p w14:paraId="3AF72556" w14:textId="77777777" w:rsidR="00D94314" w:rsidRPr="00D94314" w:rsidRDefault="00D94314" w:rsidP="00D94314">
      <w:pPr>
        <w:spacing w:line="360" w:lineRule="auto"/>
        <w:jc w:val="both"/>
        <w:rPr>
          <w:rFonts w:ascii="Times New Roman" w:hAnsi="Times New Roman" w:cs="Times New Roman"/>
          <w:lang w:val="en-GB"/>
        </w:rPr>
      </w:pPr>
      <w:proofErr w:type="gramStart"/>
      <w:r w:rsidRPr="00D94314">
        <w:rPr>
          <w:rFonts w:ascii="Times New Roman" w:hAnsi="Times New Roman" w:cs="Times New Roman"/>
          <w:lang w:val="en-GB"/>
        </w:rPr>
        <w:t>  3</w:t>
      </w:r>
      <w:proofErr w:type="gramEnd"/>
      <w:r w:rsidRPr="00D94314">
        <w:rPr>
          <w:rFonts w:ascii="Times New Roman" w:hAnsi="Times New Roman" w:cs="Times New Roman"/>
          <w:lang w:val="en-GB"/>
        </w:rPr>
        <w:t>. You have effectively calculated and analysed the working capital management ratios, clearly demonstrating the company’s Cash Operating Cycle and its implications for efficiency and liquidity.</w:t>
      </w:r>
    </w:p>
    <w:p w14:paraId="366039FF" w14:textId="77777777" w:rsidR="00D94314" w:rsidRPr="00D94314" w:rsidRDefault="00D94314" w:rsidP="00D94314">
      <w:pPr>
        <w:spacing w:line="360" w:lineRule="auto"/>
        <w:jc w:val="both"/>
        <w:rPr>
          <w:rFonts w:ascii="Times New Roman" w:hAnsi="Times New Roman" w:cs="Times New Roman"/>
          <w:lang w:val="en-GB"/>
        </w:rPr>
      </w:pPr>
      <w:proofErr w:type="gramStart"/>
      <w:r w:rsidRPr="00D94314">
        <w:rPr>
          <w:rFonts w:ascii="Times New Roman" w:hAnsi="Times New Roman" w:cs="Times New Roman"/>
          <w:lang w:val="en-GB"/>
        </w:rPr>
        <w:t>  4</w:t>
      </w:r>
      <w:proofErr w:type="gramEnd"/>
      <w:r w:rsidRPr="00D94314">
        <w:rPr>
          <w:rFonts w:ascii="Times New Roman" w:hAnsi="Times New Roman" w:cs="Times New Roman"/>
          <w:lang w:val="en-GB"/>
        </w:rPr>
        <w:t>. You have also shown awareness of current issues affecting the hospitality sector.</w:t>
      </w:r>
    </w:p>
    <w:p w14:paraId="249DB8BD" w14:textId="77777777" w:rsidR="00D94314" w:rsidRPr="00D94314" w:rsidRDefault="00D94314" w:rsidP="00D94314">
      <w:pPr>
        <w:spacing w:line="360" w:lineRule="auto"/>
        <w:jc w:val="both"/>
        <w:rPr>
          <w:rFonts w:ascii="Times New Roman" w:hAnsi="Times New Roman" w:cs="Times New Roman"/>
          <w:lang w:val="en-GB"/>
        </w:rPr>
      </w:pPr>
      <w:proofErr w:type="gramStart"/>
      <w:r w:rsidRPr="00D94314">
        <w:rPr>
          <w:rFonts w:ascii="Times New Roman" w:hAnsi="Times New Roman" w:cs="Times New Roman"/>
          <w:lang w:val="en-GB"/>
        </w:rPr>
        <w:t>  5</w:t>
      </w:r>
      <w:proofErr w:type="gramEnd"/>
      <w:r w:rsidRPr="00D94314">
        <w:rPr>
          <w:rFonts w:ascii="Times New Roman" w:hAnsi="Times New Roman" w:cs="Times New Roman"/>
          <w:lang w:val="en-GB"/>
        </w:rPr>
        <w:t>. You have clearly acknowledged and appropriately disclosed the use of AI within your discussion, demonstrating transparency in your approach.</w:t>
      </w:r>
    </w:p>
    <w:p w14:paraId="51C500FA"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t xml:space="preserve">  </w:t>
      </w:r>
    </w:p>
    <w:p w14:paraId="0DC35A41" w14:textId="77777777" w:rsidR="00D94314" w:rsidRPr="00D94314" w:rsidRDefault="00D94314" w:rsidP="00D94314">
      <w:pPr>
        <w:spacing w:line="360" w:lineRule="auto"/>
        <w:jc w:val="both"/>
        <w:rPr>
          <w:rFonts w:ascii="Times New Roman" w:hAnsi="Times New Roman" w:cs="Times New Roman"/>
          <w:lang w:val="en-GB"/>
        </w:rPr>
      </w:pPr>
    </w:p>
    <w:p w14:paraId="1A6A2484"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Areas of Weakness</w:t>
      </w:r>
    </w:p>
    <w:p w14:paraId="75079891"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t>1. You were expected to provide a comprehensive assessment of your selected company’s financial health through a clear analysis of the income statement, statement of financial position, and cash flow statement.</w:t>
      </w:r>
    </w:p>
    <w:p w14:paraId="3F74F0DB"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t>2. A section of your ratios analysis is descriptive rather than critical. A stronger analysis would have used evidence from the company’s annual reports and other credible financial sources to justify the fluctuations observed.</w:t>
      </w:r>
    </w:p>
    <w:p w14:paraId="0448D6E8"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t>3. You need to improve the formatting of your report as some texts have different font size than others.</w:t>
      </w:r>
    </w:p>
    <w:p w14:paraId="7969317C" w14:textId="77777777" w:rsidR="00D94314" w:rsidRPr="00D94314" w:rsidRDefault="00D94314" w:rsidP="00D94314">
      <w:pPr>
        <w:spacing w:line="360" w:lineRule="auto"/>
        <w:jc w:val="both"/>
        <w:rPr>
          <w:rFonts w:ascii="Times New Roman" w:hAnsi="Times New Roman" w:cs="Times New Roman"/>
          <w:lang w:val="en-GB"/>
        </w:rPr>
      </w:pPr>
    </w:p>
    <w:p w14:paraId="539C4C85" w14:textId="77777777" w:rsidR="00D94314" w:rsidRPr="00D94314" w:rsidRDefault="00D94314" w:rsidP="00D94314">
      <w:pPr>
        <w:spacing w:line="360" w:lineRule="auto"/>
        <w:jc w:val="both"/>
        <w:rPr>
          <w:rFonts w:ascii="Times New Roman" w:hAnsi="Times New Roman" w:cs="Times New Roman"/>
          <w:lang w:val="en-GB"/>
        </w:rPr>
      </w:pPr>
    </w:p>
    <w:p w14:paraId="2E306881"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1. Engagement with Literature Skills (13/15)</w:t>
      </w:r>
    </w:p>
    <w:p w14:paraId="1225DCB5"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lastRenderedPageBreak/>
        <w:t>You have used an extensive, credible and up-to-date literature, well selected to support argument and evaluation. Strong integration of academic, industrial and company evidence. Referencing is consistently accurate and professionally applied.</w:t>
      </w:r>
    </w:p>
    <w:p w14:paraId="5190B5F0" w14:textId="77777777" w:rsidR="00D94314" w:rsidRPr="00D94314" w:rsidRDefault="00D94314" w:rsidP="00D94314">
      <w:pPr>
        <w:spacing w:line="360" w:lineRule="auto"/>
        <w:jc w:val="both"/>
        <w:rPr>
          <w:rFonts w:ascii="Times New Roman" w:hAnsi="Times New Roman" w:cs="Times New Roman"/>
          <w:lang w:val="en-GB"/>
        </w:rPr>
      </w:pPr>
    </w:p>
    <w:p w14:paraId="37A09C25"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2. Knowledge and Understanding Skills (20/25)     </w:t>
      </w:r>
    </w:p>
    <w:p w14:paraId="2792F6C2"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t xml:space="preserve">You have shown very strong, coherent and reasonably detailed understanding of financial performance analysis, liquidity, </w:t>
      </w:r>
      <w:proofErr w:type="gramStart"/>
      <w:r w:rsidRPr="00D94314">
        <w:rPr>
          <w:rFonts w:ascii="Times New Roman" w:hAnsi="Times New Roman" w:cs="Times New Roman"/>
          <w:lang w:val="en-GB"/>
        </w:rPr>
        <w:t>efficiency,  financing</w:t>
      </w:r>
      <w:proofErr w:type="gramEnd"/>
      <w:r w:rsidRPr="00D94314">
        <w:rPr>
          <w:rFonts w:ascii="Times New Roman" w:hAnsi="Times New Roman" w:cs="Times New Roman"/>
          <w:lang w:val="en-GB"/>
        </w:rPr>
        <w:t xml:space="preserve"> choices, restructuring options and capital budgeting. Shows awareness of current issues affecting the hospitality industry. The report integrates and acknowledges the use of AI.</w:t>
      </w:r>
    </w:p>
    <w:p w14:paraId="4C11369C" w14:textId="77777777" w:rsidR="00D94314" w:rsidRPr="00D94314" w:rsidRDefault="00D94314" w:rsidP="00D94314">
      <w:pPr>
        <w:spacing w:line="360" w:lineRule="auto"/>
        <w:jc w:val="both"/>
        <w:rPr>
          <w:rFonts w:ascii="Times New Roman" w:hAnsi="Times New Roman" w:cs="Times New Roman"/>
          <w:lang w:val="en-GB"/>
        </w:rPr>
      </w:pPr>
    </w:p>
    <w:p w14:paraId="4B68D91C" w14:textId="77777777" w:rsidR="00D94314" w:rsidRPr="00D94314" w:rsidRDefault="00D94314" w:rsidP="00D94314">
      <w:pPr>
        <w:spacing w:line="360" w:lineRule="auto"/>
        <w:jc w:val="both"/>
        <w:rPr>
          <w:rFonts w:ascii="Times New Roman" w:hAnsi="Times New Roman" w:cs="Times New Roman"/>
          <w:lang w:val="en-GB"/>
        </w:rPr>
      </w:pPr>
    </w:p>
    <w:p w14:paraId="105DEA3B"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3. Cognitive and Intellectual Skills (22/35)       </w:t>
      </w:r>
    </w:p>
    <w:p w14:paraId="7DEF91DA"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t>Very strong and critical analysis of trends, ratios and strategic issues. Makes reasoned judgements from financial evidence and literature. Addresses complexity with some synthesis and can evaluate alternative options, though depth may vary.</w:t>
      </w:r>
    </w:p>
    <w:p w14:paraId="6ABB4FC7" w14:textId="77777777" w:rsidR="00D94314" w:rsidRPr="00D94314" w:rsidRDefault="00D94314" w:rsidP="00D94314">
      <w:pPr>
        <w:spacing w:line="360" w:lineRule="auto"/>
        <w:jc w:val="both"/>
        <w:rPr>
          <w:rFonts w:ascii="Times New Roman" w:hAnsi="Times New Roman" w:cs="Times New Roman"/>
          <w:lang w:val="en-GB"/>
        </w:rPr>
      </w:pPr>
    </w:p>
    <w:p w14:paraId="2EF0819A"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4. Practical Application Skills (11/15)     </w:t>
      </w:r>
    </w:p>
    <w:p w14:paraId="5BA8B188"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en-GB"/>
        </w:rPr>
        <w:t>The report displays satisfactory application of financial techniques to the selected company. Financial ratios, working capital analysis and investment appraisal are fairly interpreted. Recommendations are general and linked to the company context.</w:t>
      </w:r>
    </w:p>
    <w:p w14:paraId="71AF9E45" w14:textId="77777777" w:rsidR="00D94314" w:rsidRPr="00D94314" w:rsidRDefault="00D94314" w:rsidP="00D94314">
      <w:pPr>
        <w:spacing w:line="360" w:lineRule="auto"/>
        <w:jc w:val="both"/>
        <w:rPr>
          <w:rFonts w:ascii="Times New Roman" w:hAnsi="Times New Roman" w:cs="Times New Roman"/>
          <w:lang w:val="en-GB"/>
        </w:rPr>
      </w:pPr>
    </w:p>
    <w:p w14:paraId="7957C489"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en-GB"/>
        </w:rPr>
        <w:t>5. Transferable Skills for Life and Professional Practice (6/10)</w:t>
      </w:r>
    </w:p>
    <w:p w14:paraId="371BA532"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rPr>
        <w:t>Well-structured, coherent and professionally presented. Good academic tone, mostly accurate grammar, and effective use of headings, tables, graphs and appendices. Meets </w:t>
      </w:r>
      <w:r w:rsidRPr="00D94314">
        <w:rPr>
          <w:rFonts w:ascii="Times New Roman" w:hAnsi="Times New Roman" w:cs="Times New Roman"/>
          <w:lang w:val="en-GB"/>
        </w:rPr>
        <w:t>most postgraduate presentation expectations well.</w:t>
      </w:r>
    </w:p>
    <w:p w14:paraId="3A9D3885" w14:textId="77777777" w:rsidR="00D94314" w:rsidRPr="00D94314" w:rsidRDefault="00D94314" w:rsidP="00D94314">
      <w:pPr>
        <w:spacing w:line="360" w:lineRule="auto"/>
        <w:jc w:val="both"/>
        <w:rPr>
          <w:rFonts w:ascii="Times New Roman" w:hAnsi="Times New Roman" w:cs="Times New Roman"/>
          <w:lang w:val="en-GB"/>
        </w:rPr>
      </w:pPr>
    </w:p>
    <w:p w14:paraId="3C8E197D"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de-DE"/>
        </w:rPr>
        <w:lastRenderedPageBreak/>
        <w:t>Total 72/100</w:t>
      </w:r>
    </w:p>
    <w:p w14:paraId="32749BB7"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b/>
          <w:bCs/>
          <w:lang w:val="de-DE"/>
        </w:rPr>
        <w:t>Marker: Dr Patrick Yeboah</w:t>
      </w:r>
    </w:p>
    <w:p w14:paraId="3E868403" w14:textId="77777777" w:rsidR="00D94314" w:rsidRPr="00D94314" w:rsidRDefault="00D94314" w:rsidP="00D94314">
      <w:pPr>
        <w:spacing w:line="360" w:lineRule="auto"/>
        <w:jc w:val="both"/>
        <w:rPr>
          <w:rFonts w:ascii="Times New Roman" w:hAnsi="Times New Roman" w:cs="Times New Roman"/>
          <w:lang w:val="en-GB"/>
        </w:rPr>
      </w:pPr>
      <w:proofErr w:type="gramStart"/>
      <w:r w:rsidRPr="00D94314">
        <w:rPr>
          <w:rFonts w:ascii="Times New Roman" w:hAnsi="Times New Roman" w:cs="Times New Roman"/>
          <w:b/>
          <w:bCs/>
          <w:lang w:val="en-GB"/>
        </w:rPr>
        <w:t>July,</w:t>
      </w:r>
      <w:proofErr w:type="gramEnd"/>
      <w:r w:rsidRPr="00D94314">
        <w:rPr>
          <w:rFonts w:ascii="Times New Roman" w:hAnsi="Times New Roman" w:cs="Times New Roman"/>
          <w:b/>
          <w:bCs/>
          <w:lang w:val="en-GB"/>
        </w:rPr>
        <w:t xml:space="preserve"> 2026</w:t>
      </w:r>
    </w:p>
    <w:p w14:paraId="49833A56" w14:textId="77777777" w:rsidR="00D94314" w:rsidRPr="00D94314" w:rsidRDefault="00D94314" w:rsidP="00D94314">
      <w:pPr>
        <w:spacing w:line="360" w:lineRule="auto"/>
        <w:jc w:val="both"/>
        <w:rPr>
          <w:rFonts w:ascii="Times New Roman" w:hAnsi="Times New Roman" w:cs="Times New Roman"/>
          <w:lang w:val="en-GB"/>
        </w:rPr>
      </w:pPr>
      <w:r w:rsidRPr="00D94314">
        <w:rPr>
          <w:rFonts w:ascii="Times New Roman" w:hAnsi="Times New Roman" w:cs="Times New Roman"/>
          <w:lang w:val="de-DE"/>
        </w:rPr>
        <w:t>                             </w:t>
      </w:r>
    </w:p>
    <w:p w14:paraId="32A330E0" w14:textId="77777777" w:rsidR="00D94314" w:rsidRPr="008778AA" w:rsidRDefault="00D94314" w:rsidP="008778AA">
      <w:pPr>
        <w:spacing w:line="360" w:lineRule="auto"/>
        <w:jc w:val="both"/>
        <w:rPr>
          <w:rFonts w:ascii="Times New Roman" w:hAnsi="Times New Roman" w:cs="Times New Roman"/>
        </w:rPr>
      </w:pPr>
    </w:p>
    <w:sectPr w:rsidR="00D94314" w:rsidRPr="008778AA" w:rsidSect="00AF2BDF">
      <w:footerReference w:type="default" r:id="rId5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60899" w14:textId="77777777" w:rsidR="003B2456" w:rsidRDefault="003B2456" w:rsidP="009B4AC9">
      <w:pPr>
        <w:spacing w:after="0" w:line="240" w:lineRule="auto"/>
      </w:pPr>
      <w:r>
        <w:separator/>
      </w:r>
    </w:p>
  </w:endnote>
  <w:endnote w:type="continuationSeparator" w:id="0">
    <w:p w14:paraId="14FB509A" w14:textId="77777777" w:rsidR="003B2456" w:rsidRDefault="003B2456" w:rsidP="009B4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008FB" w14:textId="2B095C8E" w:rsidR="00E66DDB" w:rsidRDefault="00E66DDB">
    <w:pPr>
      <w:pStyle w:val="Footer"/>
      <w:jc w:val="right"/>
    </w:pPr>
  </w:p>
  <w:p w14:paraId="0446E001" w14:textId="77777777" w:rsidR="00AF2BDF" w:rsidRDefault="00AF2B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557FD" w14:textId="74BFB638" w:rsidR="00E66DDB" w:rsidRDefault="00E66DDB">
    <w:pPr>
      <w:pStyle w:val="Footer"/>
      <w:jc w:val="right"/>
    </w:pPr>
  </w:p>
  <w:p w14:paraId="7A9D43EC" w14:textId="77777777" w:rsidR="00E66DDB" w:rsidRDefault="00E66D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9017496"/>
      <w:docPartObj>
        <w:docPartGallery w:val="Page Numbers (Bottom of Page)"/>
        <w:docPartUnique/>
      </w:docPartObj>
    </w:sdtPr>
    <w:sdtEndPr>
      <w:rPr>
        <w:noProof/>
      </w:rPr>
    </w:sdtEndPr>
    <w:sdtContent>
      <w:p w14:paraId="63E8CE39" w14:textId="77777777" w:rsidR="00AF2BDF" w:rsidRDefault="00AF2B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3C59A3" w14:textId="77777777" w:rsidR="00AF2BDF" w:rsidRDefault="00AF2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052A7" w14:textId="77777777" w:rsidR="003B2456" w:rsidRDefault="003B2456" w:rsidP="009B4AC9">
      <w:pPr>
        <w:spacing w:after="0" w:line="240" w:lineRule="auto"/>
      </w:pPr>
      <w:r>
        <w:separator/>
      </w:r>
    </w:p>
  </w:footnote>
  <w:footnote w:type="continuationSeparator" w:id="0">
    <w:p w14:paraId="2E4C881E" w14:textId="77777777" w:rsidR="003B2456" w:rsidRDefault="003B2456" w:rsidP="009B4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B7117"/>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A137822"/>
    <w:multiLevelType w:val="hybridMultilevel"/>
    <w:tmpl w:val="8EA2770A"/>
    <w:lvl w:ilvl="0" w:tplc="3EC8E52C">
      <w:start w:val="6"/>
      <w:numFmt w:val="decimal"/>
      <w:pStyle w:val="Heading1"/>
      <w:lvlText w:val="%1."/>
      <w:lvlJc w:val="left"/>
      <w:pPr>
        <w:ind w:left="1080" w:hanging="360"/>
      </w:pPr>
      <w:rPr>
        <w:rFonts w:eastAsiaTheme="minorHAnsi" w:hint="default"/>
        <w:b w:val="0"/>
        <w:color w:val="auto"/>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D661BA5"/>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2891896"/>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43474CD"/>
    <w:multiLevelType w:val="hybridMultilevel"/>
    <w:tmpl w:val="095EC7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BE1C43"/>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3C554B2B"/>
    <w:multiLevelType w:val="hybridMultilevel"/>
    <w:tmpl w:val="5A4C76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DD49B8"/>
    <w:multiLevelType w:val="multilevel"/>
    <w:tmpl w:val="DD849998"/>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9501FB0"/>
    <w:multiLevelType w:val="hybridMultilevel"/>
    <w:tmpl w:val="14EC07DE"/>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B782F47"/>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7F721123"/>
    <w:multiLevelType w:val="multilevel"/>
    <w:tmpl w:val="B96042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460412847">
    <w:abstractNumId w:val="10"/>
  </w:num>
  <w:num w:numId="2" w16cid:durableId="1493791722">
    <w:abstractNumId w:val="3"/>
  </w:num>
  <w:num w:numId="3" w16cid:durableId="1823698391">
    <w:abstractNumId w:val="0"/>
  </w:num>
  <w:num w:numId="4" w16cid:durableId="1401247578">
    <w:abstractNumId w:val="9"/>
  </w:num>
  <w:num w:numId="5" w16cid:durableId="51855475">
    <w:abstractNumId w:val="5"/>
  </w:num>
  <w:num w:numId="6" w16cid:durableId="66542405">
    <w:abstractNumId w:val="2"/>
  </w:num>
  <w:num w:numId="7" w16cid:durableId="2002193708">
    <w:abstractNumId w:val="4"/>
  </w:num>
  <w:num w:numId="8" w16cid:durableId="774249464">
    <w:abstractNumId w:val="6"/>
  </w:num>
  <w:num w:numId="9" w16cid:durableId="606814838">
    <w:abstractNumId w:val="8"/>
  </w:num>
  <w:num w:numId="10" w16cid:durableId="1315064074">
    <w:abstractNumId w:val="7"/>
  </w:num>
  <w:num w:numId="11" w16cid:durableId="1046949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81F"/>
    <w:rsid w:val="00011E8A"/>
    <w:rsid w:val="000A14F3"/>
    <w:rsid w:val="000D410D"/>
    <w:rsid w:val="001034F6"/>
    <w:rsid w:val="0016378B"/>
    <w:rsid w:val="00182BC3"/>
    <w:rsid w:val="001B10C8"/>
    <w:rsid w:val="001E4B73"/>
    <w:rsid w:val="0029177B"/>
    <w:rsid w:val="00342F87"/>
    <w:rsid w:val="00344C61"/>
    <w:rsid w:val="003515F4"/>
    <w:rsid w:val="003651D4"/>
    <w:rsid w:val="003B2456"/>
    <w:rsid w:val="003F3DB9"/>
    <w:rsid w:val="00411F36"/>
    <w:rsid w:val="004F4DA6"/>
    <w:rsid w:val="0051624B"/>
    <w:rsid w:val="005A6E39"/>
    <w:rsid w:val="005B748B"/>
    <w:rsid w:val="005F5A27"/>
    <w:rsid w:val="00622A00"/>
    <w:rsid w:val="00634562"/>
    <w:rsid w:val="006E5717"/>
    <w:rsid w:val="00754B49"/>
    <w:rsid w:val="007636AA"/>
    <w:rsid w:val="00766F42"/>
    <w:rsid w:val="007B781F"/>
    <w:rsid w:val="00851F6E"/>
    <w:rsid w:val="008778AA"/>
    <w:rsid w:val="00892988"/>
    <w:rsid w:val="008C26EC"/>
    <w:rsid w:val="00926236"/>
    <w:rsid w:val="009B4AC9"/>
    <w:rsid w:val="009C63C4"/>
    <w:rsid w:val="009C7F74"/>
    <w:rsid w:val="00A36DF8"/>
    <w:rsid w:val="00A45502"/>
    <w:rsid w:val="00A5335F"/>
    <w:rsid w:val="00A56E79"/>
    <w:rsid w:val="00A80675"/>
    <w:rsid w:val="00A84841"/>
    <w:rsid w:val="00AB2629"/>
    <w:rsid w:val="00AC7A3E"/>
    <w:rsid w:val="00AF2BDF"/>
    <w:rsid w:val="00AF3D07"/>
    <w:rsid w:val="00B04DD5"/>
    <w:rsid w:val="00B34136"/>
    <w:rsid w:val="00B82405"/>
    <w:rsid w:val="00CE5697"/>
    <w:rsid w:val="00D00CFF"/>
    <w:rsid w:val="00D77976"/>
    <w:rsid w:val="00D94314"/>
    <w:rsid w:val="00D96F59"/>
    <w:rsid w:val="00E66DDB"/>
    <w:rsid w:val="00F04AD1"/>
    <w:rsid w:val="00F27A9C"/>
    <w:rsid w:val="00F312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F750A7"/>
  <w15:chartTrackingRefBased/>
  <w15:docId w15:val="{3FAF4AE4-6CCA-4E04-94CF-C2BDCCB5D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6DDB"/>
    <w:pPr>
      <w:keepNext/>
      <w:keepLines/>
      <w:numPr>
        <w:numId w:val="11"/>
      </w:numPr>
      <w:spacing w:before="360" w:after="80" w:line="360" w:lineRule="auto"/>
      <w:jc w:val="both"/>
      <w:outlineLvl w:val="0"/>
    </w:pPr>
    <w:rPr>
      <w:rFonts w:ascii="Times New Roman" w:eastAsiaTheme="majorEastAsia" w:hAnsi="Times New Roman" w:cs="Times New Roman"/>
      <w:b/>
      <w:color w:val="2F5496" w:themeColor="accent1" w:themeShade="BF"/>
      <w:sz w:val="32"/>
      <w:szCs w:val="40"/>
    </w:rPr>
  </w:style>
  <w:style w:type="paragraph" w:styleId="Heading2">
    <w:name w:val="heading 2"/>
    <w:basedOn w:val="Normal"/>
    <w:next w:val="Normal"/>
    <w:link w:val="Heading2Char"/>
    <w:autoRedefine/>
    <w:uiPriority w:val="9"/>
    <w:unhideWhenUsed/>
    <w:qFormat/>
    <w:rsid w:val="003F3DB9"/>
    <w:pPr>
      <w:keepNext/>
      <w:keepLines/>
      <w:spacing w:before="160" w:after="80"/>
      <w:outlineLvl w:val="1"/>
    </w:pPr>
    <w:rPr>
      <w:rFonts w:asciiTheme="majorHAnsi" w:eastAsiaTheme="majorEastAsia" w:hAnsiTheme="majorHAnsi"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7B78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78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78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78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8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8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8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DDB"/>
    <w:rPr>
      <w:rFonts w:ascii="Times New Roman" w:eastAsiaTheme="majorEastAsia" w:hAnsi="Times New Roman" w:cs="Times New Roman"/>
      <w:b/>
      <w:color w:val="2F5496" w:themeColor="accent1" w:themeShade="BF"/>
      <w:sz w:val="32"/>
      <w:szCs w:val="40"/>
    </w:rPr>
  </w:style>
  <w:style w:type="character" w:customStyle="1" w:styleId="Heading2Char">
    <w:name w:val="Heading 2 Char"/>
    <w:basedOn w:val="DefaultParagraphFont"/>
    <w:link w:val="Heading2"/>
    <w:uiPriority w:val="9"/>
    <w:rsid w:val="003F3DB9"/>
    <w:rPr>
      <w:rFonts w:asciiTheme="majorHAnsi" w:eastAsiaTheme="majorEastAsia" w:hAnsiTheme="majorHAnsi" w:cstheme="majorBidi"/>
      <w:b/>
      <w:color w:val="2F5496" w:themeColor="accent1" w:themeShade="BF"/>
      <w:sz w:val="28"/>
      <w:szCs w:val="32"/>
    </w:rPr>
  </w:style>
  <w:style w:type="character" w:customStyle="1" w:styleId="Heading3Char">
    <w:name w:val="Heading 3 Char"/>
    <w:basedOn w:val="DefaultParagraphFont"/>
    <w:link w:val="Heading3"/>
    <w:uiPriority w:val="9"/>
    <w:rsid w:val="007B78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78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78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78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8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8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81F"/>
    <w:rPr>
      <w:rFonts w:eastAsiaTheme="majorEastAsia" w:cstheme="majorBidi"/>
      <w:color w:val="272727" w:themeColor="text1" w:themeTint="D8"/>
    </w:rPr>
  </w:style>
  <w:style w:type="paragraph" w:styleId="Title">
    <w:name w:val="Title"/>
    <w:basedOn w:val="Normal"/>
    <w:next w:val="Normal"/>
    <w:link w:val="TitleChar"/>
    <w:uiPriority w:val="10"/>
    <w:qFormat/>
    <w:rsid w:val="007B78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8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8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8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81F"/>
    <w:pPr>
      <w:spacing w:before="160"/>
      <w:jc w:val="center"/>
    </w:pPr>
    <w:rPr>
      <w:i/>
      <w:iCs/>
      <w:color w:val="404040" w:themeColor="text1" w:themeTint="BF"/>
    </w:rPr>
  </w:style>
  <w:style w:type="character" w:customStyle="1" w:styleId="QuoteChar">
    <w:name w:val="Quote Char"/>
    <w:basedOn w:val="DefaultParagraphFont"/>
    <w:link w:val="Quote"/>
    <w:uiPriority w:val="29"/>
    <w:rsid w:val="007B781F"/>
    <w:rPr>
      <w:i/>
      <w:iCs/>
      <w:color w:val="404040" w:themeColor="text1" w:themeTint="BF"/>
    </w:rPr>
  </w:style>
  <w:style w:type="paragraph" w:styleId="ListParagraph">
    <w:name w:val="List Paragraph"/>
    <w:basedOn w:val="Normal"/>
    <w:uiPriority w:val="34"/>
    <w:qFormat/>
    <w:rsid w:val="007B781F"/>
    <w:pPr>
      <w:ind w:left="720"/>
      <w:contextualSpacing/>
    </w:pPr>
  </w:style>
  <w:style w:type="character" w:styleId="IntenseEmphasis">
    <w:name w:val="Intense Emphasis"/>
    <w:basedOn w:val="DefaultParagraphFont"/>
    <w:uiPriority w:val="21"/>
    <w:qFormat/>
    <w:rsid w:val="007B781F"/>
    <w:rPr>
      <w:i/>
      <w:iCs/>
      <w:color w:val="2F5496" w:themeColor="accent1" w:themeShade="BF"/>
    </w:rPr>
  </w:style>
  <w:style w:type="paragraph" w:styleId="IntenseQuote">
    <w:name w:val="Intense Quote"/>
    <w:basedOn w:val="Normal"/>
    <w:next w:val="Normal"/>
    <w:link w:val="IntenseQuoteChar"/>
    <w:uiPriority w:val="30"/>
    <w:qFormat/>
    <w:rsid w:val="007B78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781F"/>
    <w:rPr>
      <w:i/>
      <w:iCs/>
      <w:color w:val="2F5496" w:themeColor="accent1" w:themeShade="BF"/>
    </w:rPr>
  </w:style>
  <w:style w:type="character" w:styleId="IntenseReference">
    <w:name w:val="Intense Reference"/>
    <w:basedOn w:val="DefaultParagraphFont"/>
    <w:uiPriority w:val="32"/>
    <w:qFormat/>
    <w:rsid w:val="007B781F"/>
    <w:rPr>
      <w:b/>
      <w:bCs/>
      <w:smallCaps/>
      <w:color w:val="2F5496" w:themeColor="accent1" w:themeShade="BF"/>
      <w:spacing w:val="5"/>
    </w:rPr>
  </w:style>
  <w:style w:type="table" w:styleId="TableGrid">
    <w:name w:val="Table Grid"/>
    <w:basedOn w:val="TableNormal"/>
    <w:uiPriority w:val="39"/>
    <w:rsid w:val="00B824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6378B"/>
    <w:pPr>
      <w:spacing w:after="200" w:line="240" w:lineRule="auto"/>
    </w:pPr>
    <w:rPr>
      <w:i/>
      <w:iCs/>
      <w:color w:val="44546A" w:themeColor="text2"/>
      <w:sz w:val="18"/>
      <w:szCs w:val="18"/>
    </w:rPr>
  </w:style>
  <w:style w:type="character" w:styleId="Hyperlink">
    <w:name w:val="Hyperlink"/>
    <w:basedOn w:val="DefaultParagraphFont"/>
    <w:uiPriority w:val="99"/>
    <w:unhideWhenUsed/>
    <w:rsid w:val="009B4AC9"/>
    <w:rPr>
      <w:color w:val="0563C1" w:themeColor="hyperlink"/>
      <w:u w:val="single"/>
    </w:rPr>
  </w:style>
  <w:style w:type="character" w:styleId="UnresolvedMention">
    <w:name w:val="Unresolved Mention"/>
    <w:basedOn w:val="DefaultParagraphFont"/>
    <w:uiPriority w:val="99"/>
    <w:semiHidden/>
    <w:unhideWhenUsed/>
    <w:rsid w:val="009B4AC9"/>
    <w:rPr>
      <w:color w:val="605E5C"/>
      <w:shd w:val="clear" w:color="auto" w:fill="E1DFDD"/>
    </w:rPr>
  </w:style>
  <w:style w:type="paragraph" w:styleId="FootnoteText">
    <w:name w:val="footnote text"/>
    <w:basedOn w:val="Normal"/>
    <w:link w:val="FootnoteTextChar"/>
    <w:uiPriority w:val="99"/>
    <w:semiHidden/>
    <w:unhideWhenUsed/>
    <w:rsid w:val="009B4A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4AC9"/>
    <w:rPr>
      <w:sz w:val="20"/>
      <w:szCs w:val="20"/>
    </w:rPr>
  </w:style>
  <w:style w:type="character" w:styleId="FootnoteReference">
    <w:name w:val="footnote reference"/>
    <w:basedOn w:val="DefaultParagraphFont"/>
    <w:uiPriority w:val="99"/>
    <w:semiHidden/>
    <w:unhideWhenUsed/>
    <w:rsid w:val="009B4AC9"/>
    <w:rPr>
      <w:vertAlign w:val="superscript"/>
    </w:rPr>
  </w:style>
  <w:style w:type="paragraph" w:styleId="TOCHeading">
    <w:name w:val="TOC Heading"/>
    <w:basedOn w:val="Heading1"/>
    <w:next w:val="Normal"/>
    <w:uiPriority w:val="39"/>
    <w:unhideWhenUsed/>
    <w:qFormat/>
    <w:rsid w:val="00B34136"/>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AF2BDF"/>
    <w:pPr>
      <w:tabs>
        <w:tab w:val="left" w:pos="480"/>
        <w:tab w:val="right" w:leader="dot" w:pos="9350"/>
      </w:tabs>
      <w:spacing w:after="100" w:line="360" w:lineRule="auto"/>
      <w:jc w:val="both"/>
    </w:pPr>
    <w:rPr>
      <w:rFonts w:ascii="Times New Roman" w:hAnsi="Times New Roman" w:cs="Times New Roman"/>
      <w:b/>
      <w:bCs/>
      <w:noProof/>
    </w:rPr>
  </w:style>
  <w:style w:type="paragraph" w:styleId="TOC2">
    <w:name w:val="toc 2"/>
    <w:basedOn w:val="Normal"/>
    <w:next w:val="Normal"/>
    <w:autoRedefine/>
    <w:uiPriority w:val="39"/>
    <w:unhideWhenUsed/>
    <w:rsid w:val="00B34136"/>
    <w:pPr>
      <w:spacing w:after="100"/>
      <w:ind w:left="240"/>
    </w:pPr>
  </w:style>
  <w:style w:type="character" w:styleId="FollowedHyperlink">
    <w:name w:val="FollowedHyperlink"/>
    <w:basedOn w:val="DefaultParagraphFont"/>
    <w:uiPriority w:val="99"/>
    <w:semiHidden/>
    <w:unhideWhenUsed/>
    <w:rsid w:val="00A45502"/>
    <w:rPr>
      <w:color w:val="954F72" w:themeColor="followedHyperlink"/>
      <w:u w:val="single"/>
    </w:rPr>
  </w:style>
  <w:style w:type="paragraph" w:styleId="NoSpacing">
    <w:name w:val="No Spacing"/>
    <w:uiPriority w:val="1"/>
    <w:qFormat/>
    <w:rsid w:val="00D77976"/>
    <w:pPr>
      <w:spacing w:after="0" w:line="240" w:lineRule="auto"/>
    </w:pPr>
  </w:style>
  <w:style w:type="numbering" w:customStyle="1" w:styleId="CurrentList1">
    <w:name w:val="Current List1"/>
    <w:uiPriority w:val="99"/>
    <w:rsid w:val="00AF2BDF"/>
    <w:pPr>
      <w:numPr>
        <w:numId w:val="10"/>
      </w:numPr>
    </w:pPr>
  </w:style>
  <w:style w:type="paragraph" w:styleId="Header">
    <w:name w:val="header"/>
    <w:basedOn w:val="Normal"/>
    <w:link w:val="HeaderChar"/>
    <w:uiPriority w:val="99"/>
    <w:unhideWhenUsed/>
    <w:rsid w:val="00AF2B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2BDF"/>
  </w:style>
  <w:style w:type="paragraph" w:styleId="Footer">
    <w:name w:val="footer"/>
    <w:basedOn w:val="Normal"/>
    <w:link w:val="FooterChar"/>
    <w:uiPriority w:val="99"/>
    <w:unhideWhenUsed/>
    <w:rsid w:val="00AF2B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2B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s://www.researchgate.net/publication/355169612_Financial_Analysis_of_InterContinental_Hotels_Group" TargetMode="External"/><Relationship Id="rId26" Type="http://schemas.openxmlformats.org/officeDocument/2006/relationships/hyperlink" Target="https://www.ihgplc.com/~/media/Files/I/Ihg-Plc/investors/annual-report/2024/cfo-review-performance_p81108.pdf" TargetMode="External"/><Relationship Id="rId39" Type="http://schemas.openxmlformats.org/officeDocument/2006/relationships/hyperlink" Target="https://www.researchgate.net/publication/342190090_Impact_of_inflation_rate_on_construction_projects_budget_A_review" TargetMode="External"/><Relationship Id="rId21" Type="http://schemas.openxmlformats.org/officeDocument/2006/relationships/hyperlink" Target="https://www.researchgate.net/publication/383179365_Which_ESG_dimensions_matter_in_the_hotel_industry_Evidence_from_the_cost_of_debt" TargetMode="External"/><Relationship Id="rId34" Type="http://schemas.openxmlformats.org/officeDocument/2006/relationships/hyperlink" Target="https://www.fe.training/free-resources/accounting/the-balance-sheet-assets-accounts-receivable-net/" TargetMode="External"/><Relationship Id="rId42" Type="http://schemas.openxmlformats.org/officeDocument/2006/relationships/hyperlink" Target="https://aemps.ewapub.com/article/view/16162" TargetMode="External"/><Relationship Id="rId47" Type="http://schemas.openxmlformats.org/officeDocument/2006/relationships/chart" Target="charts/chart4.xml"/><Relationship Id="rId50" Type="http://schemas.openxmlformats.org/officeDocument/2006/relationships/chart" Target="charts/chart7.xml"/><Relationship Id="rId55" Type="http://schemas.openxmlformats.org/officeDocument/2006/relationships/image" Target="media/image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378004593_Poor_Working_Capital_Management_Remain_Major_Cause_of_Business_Failure" TargetMode="External"/><Relationship Id="rId29" Type="http://schemas.openxmlformats.org/officeDocument/2006/relationships/hyperlink" Target="https://development.ihg.com/hotel-development/getting-started" TargetMode="External"/><Relationship Id="rId11" Type="http://schemas.openxmlformats.org/officeDocument/2006/relationships/chart" Target="charts/chart1.xml"/><Relationship Id="rId24" Type="http://schemas.openxmlformats.org/officeDocument/2006/relationships/hyperlink" Target="https://development.ihg.com/sites/ihgplc/files/IHG/A%20sustainable%20business/I-H-G-R-B-R-Interactive-280222.pdf" TargetMode="External"/><Relationship Id="rId32" Type="http://schemas.openxmlformats.org/officeDocument/2006/relationships/hyperlink" Target="https://www.fe.training/free-resources/accounting/basic-earnings-per-share-eps/" TargetMode="External"/><Relationship Id="rId37" Type="http://schemas.openxmlformats.org/officeDocument/2006/relationships/hyperlink" Target="https://www.researchgate.net/publication/398994597_Asset-heavy_or_asset-light_Financial_performance_implications_in_the_luxury_hotel_industry" TargetMode="External"/><Relationship Id="rId40" Type="http://schemas.openxmlformats.org/officeDocument/2006/relationships/hyperlink" Target="https://corporatefinanceinstitute.com/resources/accounting/working-capital-cycle/" TargetMode="External"/><Relationship Id="rId45" Type="http://schemas.openxmlformats.org/officeDocument/2006/relationships/image" Target="media/image2.png"/><Relationship Id="rId53" Type="http://schemas.openxmlformats.org/officeDocument/2006/relationships/image" Target="media/image4.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researchgate.net/publication/377837380_Revolutionizing_Hospitality_Strategic_Integration_of_Innovation_Management_Embracing_Technological_Innovation_for_Enhanced_Customer_Experienc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ublication/228206742_Structure_and_Determinants_of_Financial_Covenants_in_Leveraged_Buyouts" TargetMode="External"/><Relationship Id="rId22" Type="http://schemas.openxmlformats.org/officeDocument/2006/relationships/hyperlink" Target="https://medium.com/activated-thinker/data-privacy-in-ai-systems-compliance-and-implementation-59d07852c1f5" TargetMode="External"/><Relationship Id="rId27" Type="http://schemas.openxmlformats.org/officeDocument/2006/relationships/hyperlink" Target="%20https:/www.ihgplc.com/~/media/Files/I/Ihg-Plc/investors/annual-report/2024/business-model_p2227.pdf" TargetMode="External"/><Relationship Id="rId30" Type="http://schemas.openxmlformats.org/officeDocument/2006/relationships/hyperlink" Target="https://rsisinternational.org/journals/ijriss/articles/working-capital-turnover-ratio-a-managerial-perspective/" TargetMode="External"/><Relationship Id="rId35" Type="http://schemas.openxmlformats.org/officeDocument/2006/relationships/hyperlink" Target="https://www.sciencedirect.com/science/article/pii/S0278431922002572" TargetMode="External"/><Relationship Id="rId43" Type="http://schemas.openxmlformats.org/officeDocument/2006/relationships/hyperlink" Target="https://www.sciencedirect.com/science/article/pii/S2214845024000279" TargetMode="External"/><Relationship Id="rId48" Type="http://schemas.openxmlformats.org/officeDocument/2006/relationships/chart" Target="charts/chart5.xml"/><Relationship Id="rId56"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chart" Target="charts/chart8.xm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hyperlink" Target="https://www.researchgate.net/publication/377586056_Impact_of_profitability_on_investment_opportunities_and_its_effect_on_profit_sustainability" TargetMode="External"/><Relationship Id="rId25" Type="http://schemas.openxmlformats.org/officeDocument/2006/relationships/hyperlink" Target="https://www.ihgplc.com/~/media/Files/I/Ihg-Plc/investors/annual-report/2023/annual-report-2023.pdf" TargetMode="External"/><Relationship Id="rId33" Type="http://schemas.openxmlformats.org/officeDocument/2006/relationships/hyperlink" Target="https://www.ctvnews.ca/business/article/christopher-liew-thinking-of-refinancing-your-debt-the-benefits-drawbacks-and-credit-impact/" TargetMode="External"/><Relationship Id="rId38" Type="http://schemas.openxmlformats.org/officeDocument/2006/relationships/hyperlink" Target="https://www.researchgate.net/publication/387570774_DIVIDEND_POLICY_TO_IMPROVE_FIRM_VALUE_FINANCIAL_SUSTAINABILITY_MODERATING_VARIABLE" TargetMode="External"/><Relationship Id="rId46" Type="http://schemas.openxmlformats.org/officeDocument/2006/relationships/image" Target="media/image3.png"/><Relationship Id="rId20" Type="http://schemas.openxmlformats.org/officeDocument/2006/relationships/hyperlink" Target="https://www.financialprofessionals.org/training-resources/resources/articles/Details/beyond-the-balance-sheet-the-strategic-role-of-today-s-cfo" TargetMode="External"/><Relationship Id="rId41" Type="http://schemas.openxmlformats.org/officeDocument/2006/relationships/hyperlink" Target="https://www.ebsco.com/research-starters/business-and-management/payback-period" TargetMode="External"/><Relationship Id="rId54"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396649395_Assessing_the_Impact_of_Debt_Ratio_Variability_on_Corporate_Solvency_Credit_Risk_Exposure_and_Investment_Decision-_Making_Efficiency" TargetMode="External"/><Relationship Id="rId23" Type="http://schemas.openxmlformats.org/officeDocument/2006/relationships/hyperlink" Target="https://pmc.ncbi.nlm.nih.gov/articles/PMC9718966/" TargetMode="External"/><Relationship Id="rId28" Type="http://schemas.openxmlformats.org/officeDocument/2006/relationships/hyperlink" Target="https://www.ihgplc.com/~/media/Files/I/Ihg-Plc/results/2026/full-year-2025/full-year-results-for-the-year-to-31-dec-2025.pdf" TargetMode="External"/><Relationship Id="rId36" Type="http://schemas.openxmlformats.org/officeDocument/2006/relationships/hyperlink" Target="https://www.researchgate.net/publication/397670244_Exchange_Rate_Fluctuations_and_Their_Effect_on_National_Economies" TargetMode="External"/><Relationship Id="rId49" Type="http://schemas.openxmlformats.org/officeDocument/2006/relationships/chart" Target="charts/chart6.xml"/><Relationship Id="rId57" Type="http://schemas.openxmlformats.org/officeDocument/2006/relationships/fontTable" Target="fontTable.xml"/><Relationship Id="rId10" Type="http://schemas.openxmlformats.org/officeDocument/2006/relationships/footer" Target="footer2.xml"/><Relationship Id="rId31" Type="http://schemas.openxmlformats.org/officeDocument/2006/relationships/hyperlink" Target="https://www.emerald.com/jfra/article-abstract/13/1/91/226386/Currency-risk-impact-on-the-financial-performance?redirectedFrom=fulltext" TargetMode="External"/><Relationship Id="rId44" Type="http://schemas.openxmlformats.org/officeDocument/2006/relationships/hyperlink" Target="https://www.researchgate.net/publication/347068746_Report_on_Hotel_Revenue_and_IHG&#8217;s_Improvement_Plan_during_COVID-19" TargetMode="External"/><Relationship Id="rId52" Type="http://schemas.openxmlformats.org/officeDocument/2006/relationships/chart" Target="charts/chart9.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DMIN\Downloads\Rpn_104\Rpn_104.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and Operating profit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Charts'!$D$2</c:f>
              <c:strCache>
                <c:ptCount val="1"/>
                <c:pt idx="0">
                  <c:v>Revenue ($m)</c:v>
                </c:pt>
              </c:strCache>
            </c:strRef>
          </c:tx>
          <c:spPr>
            <a:solidFill>
              <a:schemeClr val="accent1"/>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Charts'!$D$3:$D$7</c:f>
              <c:numCache>
                <c:formatCode>#,##0</c:formatCode>
                <c:ptCount val="5"/>
                <c:pt idx="0">
                  <c:v>2907</c:v>
                </c:pt>
                <c:pt idx="1">
                  <c:v>3892</c:v>
                </c:pt>
                <c:pt idx="2">
                  <c:v>4624</c:v>
                </c:pt>
                <c:pt idx="3">
                  <c:v>4923</c:v>
                </c:pt>
                <c:pt idx="4">
                  <c:v>5189</c:v>
                </c:pt>
              </c:numCache>
            </c:numRef>
          </c:val>
          <c:extLst>
            <c:ext xmlns:c16="http://schemas.microsoft.com/office/drawing/2014/chart" uri="{C3380CC4-5D6E-409C-BE32-E72D297353CC}">
              <c16:uniqueId val="{00000000-9BB8-406F-A976-145AB9994C7B}"/>
            </c:ext>
          </c:extLst>
        </c:ser>
        <c:ser>
          <c:idx val="1"/>
          <c:order val="1"/>
          <c:tx>
            <c:strRef>
              <c:f>'Ratio Charts'!$E$2</c:f>
              <c:strCache>
                <c:ptCount val="1"/>
                <c:pt idx="0">
                  <c:v>Operating profit ($m)</c:v>
                </c:pt>
              </c:strCache>
            </c:strRef>
          </c:tx>
          <c:spPr>
            <a:solidFill>
              <a:schemeClr val="accent2"/>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Charts'!$E$3:$E$7</c:f>
              <c:numCache>
                <c:formatCode>General</c:formatCode>
                <c:ptCount val="5"/>
                <c:pt idx="0">
                  <c:v>494</c:v>
                </c:pt>
                <c:pt idx="1">
                  <c:v>628</c:v>
                </c:pt>
                <c:pt idx="2" formatCode="#,##0">
                  <c:v>1066</c:v>
                </c:pt>
                <c:pt idx="3" formatCode="#,##0">
                  <c:v>1041</c:v>
                </c:pt>
                <c:pt idx="4" formatCode="#,##0">
                  <c:v>1198</c:v>
                </c:pt>
              </c:numCache>
            </c:numRef>
          </c:val>
          <c:extLst>
            <c:ext xmlns:c16="http://schemas.microsoft.com/office/drawing/2014/chart" uri="{C3380CC4-5D6E-409C-BE32-E72D297353CC}">
              <c16:uniqueId val="{00000001-9BB8-406F-A976-145AB9994C7B}"/>
            </c:ext>
          </c:extLst>
        </c:ser>
        <c:dLbls>
          <c:showLegendKey val="0"/>
          <c:showVal val="0"/>
          <c:showCatName val="0"/>
          <c:showSerName val="0"/>
          <c:showPercent val="0"/>
          <c:showBubbleSize val="0"/>
        </c:dLbls>
        <c:gapWidth val="219"/>
        <c:axId val="359680280"/>
        <c:axId val="359680640"/>
      </c:barChart>
      <c:catAx>
        <c:axId val="359680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640"/>
        <c:crosses val="autoZero"/>
        <c:auto val="1"/>
        <c:lblAlgn val="ctr"/>
        <c:lblOffset val="100"/>
        <c:noMultiLvlLbl val="0"/>
      </c:catAx>
      <c:valAx>
        <c:axId val="35968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Liquidity ratio trend, 2021–2025</a:t>
            </a:r>
            <a:endParaRPr lang="en-US"/>
          </a:p>
        </c:rich>
      </c:tx>
      <c:layout>
        <c:manualLayout>
          <c:xMode val="edge"/>
          <c:yMode val="edge"/>
          <c:x val="0.27297942473945436"/>
          <c:y val="3.70942090606357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Charts'!$H$2</c:f>
              <c:strCache>
                <c:ptCount val="1"/>
                <c:pt idx="0">
                  <c:v>Current ratio (times)</c:v>
                </c:pt>
              </c:strCache>
            </c:strRef>
          </c:tx>
          <c:spPr>
            <a:ln w="28575" cap="rnd">
              <a:solidFill>
                <a:schemeClr val="accent1"/>
              </a:solidFill>
              <a:round/>
            </a:ln>
            <a:effectLst/>
          </c:spPr>
          <c:marker>
            <c:symbol val="none"/>
          </c:marker>
          <c:val>
            <c:numRef>
              <c:f>'Ratio Charts'!$H$3:$H$7</c:f>
              <c:numCache>
                <c:formatCode>General</c:formatCode>
                <c:ptCount val="5"/>
                <c:pt idx="0">
                  <c:v>1.27</c:v>
                </c:pt>
                <c:pt idx="1">
                  <c:v>1.0900000000000001</c:v>
                </c:pt>
                <c:pt idx="2">
                  <c:v>0.97</c:v>
                </c:pt>
                <c:pt idx="3">
                  <c:v>0.97</c:v>
                </c:pt>
                <c:pt idx="4">
                  <c:v>0.98</c:v>
                </c:pt>
              </c:numCache>
            </c:numRef>
          </c:val>
          <c:smooth val="0"/>
          <c:extLst>
            <c:ext xmlns:c16="http://schemas.microsoft.com/office/drawing/2014/chart" uri="{C3380CC4-5D6E-409C-BE32-E72D297353CC}">
              <c16:uniqueId val="{00000000-2963-4C22-A2DA-65D582006E92}"/>
            </c:ext>
          </c:extLst>
        </c:ser>
        <c:ser>
          <c:idx val="1"/>
          <c:order val="1"/>
          <c:tx>
            <c:strRef>
              <c:f>'Ratio Charts'!$I$2</c:f>
              <c:strCache>
                <c:ptCount val="1"/>
                <c:pt idx="0">
                  <c:v>Quick ratio (times)</c:v>
                </c:pt>
              </c:strCache>
            </c:strRef>
          </c:tx>
          <c:spPr>
            <a:ln w="28575" cap="rnd">
              <a:solidFill>
                <a:schemeClr val="accent2"/>
              </a:solidFill>
              <a:round/>
            </a:ln>
            <a:effectLst/>
          </c:spPr>
          <c:marker>
            <c:symbol val="none"/>
          </c:marker>
          <c:val>
            <c:numRef>
              <c:f>'Ratio Charts'!$I$3:$I$7</c:f>
              <c:numCache>
                <c:formatCode>General</c:formatCode>
                <c:ptCount val="5"/>
                <c:pt idx="0">
                  <c:v>1.27</c:v>
                </c:pt>
                <c:pt idx="1">
                  <c:v>1.08</c:v>
                </c:pt>
                <c:pt idx="2">
                  <c:v>0.97</c:v>
                </c:pt>
                <c:pt idx="3">
                  <c:v>0.97</c:v>
                </c:pt>
                <c:pt idx="4">
                  <c:v>0.97</c:v>
                </c:pt>
              </c:numCache>
            </c:numRef>
          </c:val>
          <c:smooth val="0"/>
          <c:extLst>
            <c:ext xmlns:c16="http://schemas.microsoft.com/office/drawing/2014/chart" uri="{C3380CC4-5D6E-409C-BE32-E72D297353CC}">
              <c16:uniqueId val="{00000001-2963-4C22-A2DA-65D582006E92}"/>
            </c:ext>
          </c:extLst>
        </c:ser>
        <c:ser>
          <c:idx val="2"/>
          <c:order val="2"/>
          <c:tx>
            <c:strRef>
              <c:f>'Ratio Charts'!$J$2</c:f>
              <c:strCache>
                <c:ptCount val="1"/>
                <c:pt idx="0">
                  <c:v>Cash ratio (times)</c:v>
                </c:pt>
              </c:strCache>
            </c:strRef>
          </c:tx>
          <c:spPr>
            <a:ln w="28575" cap="rnd">
              <a:solidFill>
                <a:schemeClr val="accent3"/>
              </a:solidFill>
              <a:round/>
            </a:ln>
            <a:effectLst/>
          </c:spPr>
          <c:marker>
            <c:symbol val="none"/>
          </c:marker>
          <c:val>
            <c:numRef>
              <c:f>'Ratio Charts'!$J$3:$J$7</c:f>
              <c:numCache>
                <c:formatCode>General</c:formatCode>
                <c:ptCount val="5"/>
                <c:pt idx="0">
                  <c:v>0.89</c:v>
                </c:pt>
                <c:pt idx="1">
                  <c:v>0.63</c:v>
                </c:pt>
                <c:pt idx="2">
                  <c:v>0.6</c:v>
                </c:pt>
                <c:pt idx="3">
                  <c:v>0.52</c:v>
                </c:pt>
                <c:pt idx="4">
                  <c:v>0.54</c:v>
                </c:pt>
              </c:numCache>
            </c:numRef>
          </c:val>
          <c:smooth val="0"/>
          <c:extLst>
            <c:ext xmlns:c16="http://schemas.microsoft.com/office/drawing/2014/chart" uri="{C3380CC4-5D6E-409C-BE32-E72D297353CC}">
              <c16:uniqueId val="{00000002-2963-4C22-A2DA-65D582006E92}"/>
            </c:ext>
          </c:extLst>
        </c:ser>
        <c:dLbls>
          <c:showLegendKey val="0"/>
          <c:showVal val="0"/>
          <c:showCatName val="0"/>
          <c:showSerName val="0"/>
          <c:showPercent val="0"/>
          <c:showBubbleSize val="0"/>
        </c:dLbls>
        <c:smooth val="0"/>
        <c:axId val="428311264"/>
        <c:axId val="428311624"/>
      </c:lineChart>
      <c:catAx>
        <c:axId val="428311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624"/>
        <c:crosses val="autoZero"/>
        <c:auto val="1"/>
        <c:lblAlgn val="ctr"/>
        <c:lblOffset val="100"/>
        <c:noMultiLvlLbl val="0"/>
      </c:catAx>
      <c:valAx>
        <c:axId val="428311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Cash flow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Charts'!$M$2</c:f>
              <c:strCache>
                <c:ptCount val="1"/>
                <c:pt idx="0">
                  <c:v>Operating cash flow ($m)</c:v>
                </c:pt>
              </c:strCache>
            </c:strRef>
          </c:tx>
          <c:spPr>
            <a:ln w="28575" cap="rnd">
              <a:solidFill>
                <a:schemeClr val="accent1"/>
              </a:solidFill>
              <a:round/>
            </a:ln>
            <a:effectLst/>
          </c:spPr>
          <c:marker>
            <c:symbol val="none"/>
          </c:marker>
          <c:val>
            <c:numRef>
              <c:f>'Ratio Charts'!$M$3:$M$7</c:f>
              <c:numCache>
                <c:formatCode>General</c:formatCode>
                <c:ptCount val="5"/>
                <c:pt idx="0">
                  <c:v>636</c:v>
                </c:pt>
                <c:pt idx="1">
                  <c:v>646</c:v>
                </c:pt>
                <c:pt idx="2">
                  <c:v>893</c:v>
                </c:pt>
                <c:pt idx="3">
                  <c:v>724</c:v>
                </c:pt>
                <c:pt idx="4">
                  <c:v>898</c:v>
                </c:pt>
              </c:numCache>
            </c:numRef>
          </c:val>
          <c:smooth val="0"/>
          <c:extLst>
            <c:ext xmlns:c16="http://schemas.microsoft.com/office/drawing/2014/chart" uri="{C3380CC4-5D6E-409C-BE32-E72D297353CC}">
              <c16:uniqueId val="{00000000-7EDC-456E-B972-593D1BC76BC8}"/>
            </c:ext>
          </c:extLst>
        </c:ser>
        <c:ser>
          <c:idx val="1"/>
          <c:order val="1"/>
          <c:tx>
            <c:strRef>
              <c:f>'Ratio Charts'!$N$2</c:f>
              <c:strCache>
                <c:ptCount val="1"/>
                <c:pt idx="0">
                  <c:v>Adjusted free cash flow ($m)</c:v>
                </c:pt>
              </c:strCache>
            </c:strRef>
          </c:tx>
          <c:spPr>
            <a:ln w="28575" cap="rnd">
              <a:solidFill>
                <a:schemeClr val="accent2"/>
              </a:solidFill>
              <a:round/>
            </a:ln>
            <a:effectLst/>
          </c:spPr>
          <c:marker>
            <c:symbol val="none"/>
          </c:marker>
          <c:val>
            <c:numRef>
              <c:f>'Ratio Charts'!$N$3:$N$7</c:f>
              <c:numCache>
                <c:formatCode>General</c:formatCode>
                <c:ptCount val="5"/>
                <c:pt idx="0">
                  <c:v>615</c:v>
                </c:pt>
                <c:pt idx="1">
                  <c:v>589</c:v>
                </c:pt>
                <c:pt idx="2">
                  <c:v>837</c:v>
                </c:pt>
                <c:pt idx="3">
                  <c:v>655</c:v>
                </c:pt>
                <c:pt idx="4">
                  <c:v>893</c:v>
                </c:pt>
              </c:numCache>
            </c:numRef>
          </c:val>
          <c:smooth val="0"/>
          <c:extLst>
            <c:ext xmlns:c16="http://schemas.microsoft.com/office/drawing/2014/chart" uri="{C3380CC4-5D6E-409C-BE32-E72D297353CC}">
              <c16:uniqueId val="{00000001-7EDC-456E-B972-593D1BC76BC8}"/>
            </c:ext>
          </c:extLst>
        </c:ser>
        <c:dLbls>
          <c:showLegendKey val="0"/>
          <c:showVal val="0"/>
          <c:showCatName val="0"/>
          <c:showSerName val="0"/>
          <c:showPercent val="0"/>
          <c:showBubbleSize val="0"/>
        </c:dLbls>
        <c:smooth val="0"/>
        <c:axId val="495161992"/>
        <c:axId val="495167032"/>
      </c:lineChart>
      <c:catAx>
        <c:axId val="495161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7032"/>
        <c:crosses val="autoZero"/>
        <c:auto val="1"/>
        <c:lblAlgn val="ctr"/>
        <c:lblOffset val="100"/>
        <c:noMultiLvlLbl val="0"/>
      </c:catAx>
      <c:valAx>
        <c:axId val="495167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1992"/>
        <c:crosses val="autoZero"/>
        <c:crossBetween val="between"/>
      </c:valAx>
      <c:spPr>
        <a:noFill/>
        <a:ln>
          <a:noFill/>
        </a:ln>
        <a:effectLst/>
      </c:spPr>
    </c:plotArea>
    <c:legend>
      <c:legendPos val="b"/>
      <c:layout>
        <c:manualLayout>
          <c:xMode val="edge"/>
          <c:yMode val="edge"/>
          <c:x val="0.12146237970253718"/>
          <c:y val="0.92187445319335082"/>
          <c:w val="0.70698363943635567"/>
          <c:h val="6.87027599202164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and Operating profit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Charts'!$D$2</c:f>
              <c:strCache>
                <c:ptCount val="1"/>
                <c:pt idx="0">
                  <c:v>Revenue ($m)</c:v>
                </c:pt>
              </c:strCache>
            </c:strRef>
          </c:tx>
          <c:spPr>
            <a:solidFill>
              <a:schemeClr val="accent1"/>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Charts'!$D$3:$D$7</c:f>
              <c:numCache>
                <c:formatCode>#,##0</c:formatCode>
                <c:ptCount val="5"/>
                <c:pt idx="0">
                  <c:v>2907</c:v>
                </c:pt>
                <c:pt idx="1">
                  <c:v>3892</c:v>
                </c:pt>
                <c:pt idx="2">
                  <c:v>4624</c:v>
                </c:pt>
                <c:pt idx="3">
                  <c:v>4923</c:v>
                </c:pt>
                <c:pt idx="4">
                  <c:v>5189</c:v>
                </c:pt>
              </c:numCache>
            </c:numRef>
          </c:val>
          <c:extLst>
            <c:ext xmlns:c16="http://schemas.microsoft.com/office/drawing/2014/chart" uri="{C3380CC4-5D6E-409C-BE32-E72D297353CC}">
              <c16:uniqueId val="{00000000-5E1D-4599-AF2A-1D40353769DC}"/>
            </c:ext>
          </c:extLst>
        </c:ser>
        <c:ser>
          <c:idx val="1"/>
          <c:order val="1"/>
          <c:tx>
            <c:strRef>
              <c:f>'Ratio Charts'!$E$2</c:f>
              <c:strCache>
                <c:ptCount val="1"/>
                <c:pt idx="0">
                  <c:v>Operating profit ($m)</c:v>
                </c:pt>
              </c:strCache>
            </c:strRef>
          </c:tx>
          <c:spPr>
            <a:solidFill>
              <a:schemeClr val="accent2"/>
            </a:solidFill>
            <a:ln>
              <a:noFill/>
            </a:ln>
            <a:effectLst/>
          </c:spPr>
          <c:invertIfNegative val="0"/>
          <c:cat>
            <c:numRef>
              <c:f>'Ratio Charts'!$C$3:$C$7</c:f>
              <c:numCache>
                <c:formatCode>General</c:formatCode>
                <c:ptCount val="5"/>
                <c:pt idx="0">
                  <c:v>2021</c:v>
                </c:pt>
                <c:pt idx="1">
                  <c:v>2022</c:v>
                </c:pt>
                <c:pt idx="2">
                  <c:v>2023</c:v>
                </c:pt>
                <c:pt idx="3">
                  <c:v>2024</c:v>
                </c:pt>
                <c:pt idx="4">
                  <c:v>2025</c:v>
                </c:pt>
              </c:numCache>
            </c:numRef>
          </c:cat>
          <c:val>
            <c:numRef>
              <c:f>'Ratio Charts'!$E$3:$E$7</c:f>
              <c:numCache>
                <c:formatCode>General</c:formatCode>
                <c:ptCount val="5"/>
                <c:pt idx="0">
                  <c:v>494</c:v>
                </c:pt>
                <c:pt idx="1">
                  <c:v>628</c:v>
                </c:pt>
                <c:pt idx="2" formatCode="#,##0">
                  <c:v>1066</c:v>
                </c:pt>
                <c:pt idx="3" formatCode="#,##0">
                  <c:v>1041</c:v>
                </c:pt>
                <c:pt idx="4" formatCode="#,##0">
                  <c:v>1198</c:v>
                </c:pt>
              </c:numCache>
            </c:numRef>
          </c:val>
          <c:extLst>
            <c:ext xmlns:c16="http://schemas.microsoft.com/office/drawing/2014/chart" uri="{C3380CC4-5D6E-409C-BE32-E72D297353CC}">
              <c16:uniqueId val="{00000001-5E1D-4599-AF2A-1D40353769DC}"/>
            </c:ext>
          </c:extLst>
        </c:ser>
        <c:dLbls>
          <c:showLegendKey val="0"/>
          <c:showVal val="0"/>
          <c:showCatName val="0"/>
          <c:showSerName val="0"/>
          <c:showPercent val="0"/>
          <c:showBubbleSize val="0"/>
        </c:dLbls>
        <c:gapWidth val="219"/>
        <c:axId val="359680280"/>
        <c:axId val="359680640"/>
      </c:barChart>
      <c:catAx>
        <c:axId val="359680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640"/>
        <c:crosses val="autoZero"/>
        <c:auto val="1"/>
        <c:lblAlgn val="ctr"/>
        <c:lblOffset val="100"/>
        <c:noMultiLvlLbl val="0"/>
      </c:catAx>
      <c:valAx>
        <c:axId val="35968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680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Profitability margin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Charts'!$F$2</c:f>
              <c:strCache>
                <c:ptCount val="1"/>
                <c:pt idx="0">
                  <c:v>Operating margin (%)</c:v>
                </c:pt>
              </c:strCache>
            </c:strRef>
          </c:tx>
          <c:spPr>
            <a:ln w="28575" cap="rnd">
              <a:solidFill>
                <a:schemeClr val="accent1"/>
              </a:solidFill>
              <a:round/>
            </a:ln>
            <a:effectLst/>
          </c:spPr>
          <c:marker>
            <c:symbol val="none"/>
          </c:marker>
          <c:val>
            <c:numRef>
              <c:f>'Ratio Charts'!$F$3:$F$7</c:f>
              <c:numCache>
                <c:formatCode>0.00%</c:formatCode>
                <c:ptCount val="5"/>
                <c:pt idx="0">
                  <c:v>0.1699</c:v>
                </c:pt>
                <c:pt idx="1">
                  <c:v>0.16139999999999999</c:v>
                </c:pt>
                <c:pt idx="2">
                  <c:v>0.23050000000000001</c:v>
                </c:pt>
                <c:pt idx="3">
                  <c:v>0.21149999999999999</c:v>
                </c:pt>
                <c:pt idx="4">
                  <c:v>0.23089999999999999</c:v>
                </c:pt>
              </c:numCache>
            </c:numRef>
          </c:val>
          <c:smooth val="0"/>
          <c:extLst>
            <c:ext xmlns:c16="http://schemas.microsoft.com/office/drawing/2014/chart" uri="{C3380CC4-5D6E-409C-BE32-E72D297353CC}">
              <c16:uniqueId val="{00000000-660E-4B26-B0D3-22EA127DD229}"/>
            </c:ext>
          </c:extLst>
        </c:ser>
        <c:ser>
          <c:idx val="1"/>
          <c:order val="1"/>
          <c:tx>
            <c:strRef>
              <c:f>'Ratio Charts'!$G$2</c:f>
              <c:strCache>
                <c:ptCount val="1"/>
                <c:pt idx="0">
                  <c:v>Net profit margin (%)</c:v>
                </c:pt>
              </c:strCache>
            </c:strRef>
          </c:tx>
          <c:spPr>
            <a:ln w="28575" cap="rnd">
              <a:solidFill>
                <a:schemeClr val="accent2"/>
              </a:solidFill>
              <a:round/>
            </a:ln>
            <a:effectLst/>
          </c:spPr>
          <c:marker>
            <c:symbol val="none"/>
          </c:marker>
          <c:val>
            <c:numRef>
              <c:f>'Ratio Charts'!$G$3:$G$7</c:f>
              <c:numCache>
                <c:formatCode>0.00%</c:formatCode>
                <c:ptCount val="5"/>
                <c:pt idx="0">
                  <c:v>9.1200000000000003E-2</c:v>
                </c:pt>
                <c:pt idx="1">
                  <c:v>9.6600000000000005E-2</c:v>
                </c:pt>
                <c:pt idx="2">
                  <c:v>0.16220000000000001</c:v>
                </c:pt>
                <c:pt idx="3">
                  <c:v>0.12759999999999999</c:v>
                </c:pt>
                <c:pt idx="4">
                  <c:v>0.14630000000000001</c:v>
                </c:pt>
              </c:numCache>
            </c:numRef>
          </c:val>
          <c:smooth val="0"/>
          <c:extLst>
            <c:ext xmlns:c16="http://schemas.microsoft.com/office/drawing/2014/chart" uri="{C3380CC4-5D6E-409C-BE32-E72D297353CC}">
              <c16:uniqueId val="{00000001-660E-4B26-B0D3-22EA127DD229}"/>
            </c:ext>
          </c:extLst>
        </c:ser>
        <c:dLbls>
          <c:showLegendKey val="0"/>
          <c:showVal val="0"/>
          <c:showCatName val="0"/>
          <c:showSerName val="0"/>
          <c:showPercent val="0"/>
          <c:showBubbleSize val="0"/>
        </c:dLbls>
        <c:smooth val="0"/>
        <c:axId val="485954824"/>
        <c:axId val="485955184"/>
      </c:lineChart>
      <c:catAx>
        <c:axId val="485954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955184"/>
        <c:crosses val="autoZero"/>
        <c:auto val="1"/>
        <c:lblAlgn val="ctr"/>
        <c:lblOffset val="100"/>
        <c:noMultiLvlLbl val="0"/>
      </c:catAx>
      <c:valAx>
        <c:axId val="4859551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954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Liquidity ratio trend, 2021–2025</a:t>
            </a:r>
            <a:endParaRPr lang="en-US"/>
          </a:p>
        </c:rich>
      </c:tx>
      <c:layout>
        <c:manualLayout>
          <c:xMode val="edge"/>
          <c:yMode val="edge"/>
          <c:x val="0.27057903233671088"/>
          <c:y val="3.70942752791157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Charts'!$H$2</c:f>
              <c:strCache>
                <c:ptCount val="1"/>
                <c:pt idx="0">
                  <c:v>Current ratio (times)</c:v>
                </c:pt>
              </c:strCache>
            </c:strRef>
          </c:tx>
          <c:spPr>
            <a:ln w="28575" cap="rnd">
              <a:solidFill>
                <a:schemeClr val="accent1"/>
              </a:solidFill>
              <a:round/>
            </a:ln>
            <a:effectLst/>
          </c:spPr>
          <c:marker>
            <c:symbol val="none"/>
          </c:marker>
          <c:val>
            <c:numRef>
              <c:f>'Ratio Charts'!$H$3:$H$7</c:f>
              <c:numCache>
                <c:formatCode>General</c:formatCode>
                <c:ptCount val="5"/>
                <c:pt idx="0">
                  <c:v>1.27</c:v>
                </c:pt>
                <c:pt idx="1">
                  <c:v>1.0900000000000001</c:v>
                </c:pt>
                <c:pt idx="2">
                  <c:v>0.97</c:v>
                </c:pt>
                <c:pt idx="3">
                  <c:v>0.97</c:v>
                </c:pt>
                <c:pt idx="4">
                  <c:v>0.98</c:v>
                </c:pt>
              </c:numCache>
            </c:numRef>
          </c:val>
          <c:smooth val="0"/>
          <c:extLst>
            <c:ext xmlns:c16="http://schemas.microsoft.com/office/drawing/2014/chart" uri="{C3380CC4-5D6E-409C-BE32-E72D297353CC}">
              <c16:uniqueId val="{00000000-D653-49DB-999C-A03FED2274F3}"/>
            </c:ext>
          </c:extLst>
        </c:ser>
        <c:ser>
          <c:idx val="1"/>
          <c:order val="1"/>
          <c:tx>
            <c:strRef>
              <c:f>'Ratio Charts'!$I$2</c:f>
              <c:strCache>
                <c:ptCount val="1"/>
                <c:pt idx="0">
                  <c:v>Quick ratio (times)</c:v>
                </c:pt>
              </c:strCache>
            </c:strRef>
          </c:tx>
          <c:spPr>
            <a:ln w="28575" cap="rnd">
              <a:solidFill>
                <a:schemeClr val="accent2"/>
              </a:solidFill>
              <a:round/>
            </a:ln>
            <a:effectLst/>
          </c:spPr>
          <c:marker>
            <c:symbol val="none"/>
          </c:marker>
          <c:val>
            <c:numRef>
              <c:f>'Ratio Charts'!$I$3:$I$7</c:f>
              <c:numCache>
                <c:formatCode>General</c:formatCode>
                <c:ptCount val="5"/>
                <c:pt idx="0">
                  <c:v>1.27</c:v>
                </c:pt>
                <c:pt idx="1">
                  <c:v>1.08</c:v>
                </c:pt>
                <c:pt idx="2">
                  <c:v>0.97</c:v>
                </c:pt>
                <c:pt idx="3">
                  <c:v>0.97</c:v>
                </c:pt>
                <c:pt idx="4">
                  <c:v>0.97</c:v>
                </c:pt>
              </c:numCache>
            </c:numRef>
          </c:val>
          <c:smooth val="0"/>
          <c:extLst>
            <c:ext xmlns:c16="http://schemas.microsoft.com/office/drawing/2014/chart" uri="{C3380CC4-5D6E-409C-BE32-E72D297353CC}">
              <c16:uniqueId val="{00000001-D653-49DB-999C-A03FED2274F3}"/>
            </c:ext>
          </c:extLst>
        </c:ser>
        <c:ser>
          <c:idx val="2"/>
          <c:order val="2"/>
          <c:tx>
            <c:strRef>
              <c:f>'Ratio Charts'!$J$2</c:f>
              <c:strCache>
                <c:ptCount val="1"/>
                <c:pt idx="0">
                  <c:v>Cash ratio (times)</c:v>
                </c:pt>
              </c:strCache>
            </c:strRef>
          </c:tx>
          <c:spPr>
            <a:ln w="28575" cap="rnd">
              <a:solidFill>
                <a:schemeClr val="accent3"/>
              </a:solidFill>
              <a:round/>
            </a:ln>
            <a:effectLst/>
          </c:spPr>
          <c:marker>
            <c:symbol val="none"/>
          </c:marker>
          <c:val>
            <c:numRef>
              <c:f>'Ratio Charts'!$J$3:$J$7</c:f>
              <c:numCache>
                <c:formatCode>General</c:formatCode>
                <c:ptCount val="5"/>
                <c:pt idx="0">
                  <c:v>0.89</c:v>
                </c:pt>
                <c:pt idx="1">
                  <c:v>0.63</c:v>
                </c:pt>
                <c:pt idx="2">
                  <c:v>0.6</c:v>
                </c:pt>
                <c:pt idx="3">
                  <c:v>0.52</c:v>
                </c:pt>
                <c:pt idx="4">
                  <c:v>0.54</c:v>
                </c:pt>
              </c:numCache>
            </c:numRef>
          </c:val>
          <c:smooth val="0"/>
          <c:extLst>
            <c:ext xmlns:c16="http://schemas.microsoft.com/office/drawing/2014/chart" uri="{C3380CC4-5D6E-409C-BE32-E72D297353CC}">
              <c16:uniqueId val="{00000002-D653-49DB-999C-A03FED2274F3}"/>
            </c:ext>
          </c:extLst>
        </c:ser>
        <c:dLbls>
          <c:showLegendKey val="0"/>
          <c:showVal val="0"/>
          <c:showCatName val="0"/>
          <c:showSerName val="0"/>
          <c:showPercent val="0"/>
          <c:showBubbleSize val="0"/>
        </c:dLbls>
        <c:smooth val="0"/>
        <c:axId val="428311264"/>
        <c:axId val="428311624"/>
      </c:lineChart>
      <c:catAx>
        <c:axId val="428311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624"/>
        <c:crosses val="autoZero"/>
        <c:auto val="1"/>
        <c:lblAlgn val="ctr"/>
        <c:lblOffset val="100"/>
        <c:noMultiLvlLbl val="0"/>
      </c:catAx>
      <c:valAx>
        <c:axId val="428311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11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Gearing and solvency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Charts'!$K$2</c:f>
              <c:strCache>
                <c:ptCount val="1"/>
                <c:pt idx="0">
                  <c:v>Debt-to-assets (%)</c:v>
                </c:pt>
              </c:strCache>
            </c:strRef>
          </c:tx>
          <c:spPr>
            <a:solidFill>
              <a:schemeClr val="accent1"/>
            </a:solidFill>
            <a:ln>
              <a:noFill/>
            </a:ln>
            <a:effectLst/>
          </c:spPr>
          <c:invertIfNegative val="0"/>
          <c:val>
            <c:numRef>
              <c:f>'Ratio Charts'!$K$3:$K$7</c:f>
              <c:numCache>
                <c:formatCode>0.00%</c:formatCode>
                <c:ptCount val="5"/>
                <c:pt idx="0">
                  <c:v>0.60329999999999995</c:v>
                </c:pt>
                <c:pt idx="1">
                  <c:v>0.56830000000000003</c:v>
                </c:pt>
                <c:pt idx="2">
                  <c:v>0.65780000000000005</c:v>
                </c:pt>
                <c:pt idx="3">
                  <c:v>0.68959999999999999</c:v>
                </c:pt>
                <c:pt idx="4">
                  <c:v>0.78600000000000003</c:v>
                </c:pt>
              </c:numCache>
            </c:numRef>
          </c:val>
          <c:extLst>
            <c:ext xmlns:c16="http://schemas.microsoft.com/office/drawing/2014/chart" uri="{C3380CC4-5D6E-409C-BE32-E72D297353CC}">
              <c16:uniqueId val="{00000000-C673-4308-B3F2-47AB98A1EA8D}"/>
            </c:ext>
          </c:extLst>
        </c:ser>
        <c:dLbls>
          <c:showLegendKey val="0"/>
          <c:showVal val="0"/>
          <c:showCatName val="0"/>
          <c:showSerName val="0"/>
          <c:showPercent val="0"/>
          <c:showBubbleSize val="0"/>
        </c:dLbls>
        <c:gapWidth val="219"/>
        <c:overlap val="-27"/>
        <c:axId val="495165952"/>
        <c:axId val="495166312"/>
      </c:barChart>
      <c:lineChart>
        <c:grouping val="standard"/>
        <c:varyColors val="0"/>
        <c:ser>
          <c:idx val="1"/>
          <c:order val="1"/>
          <c:tx>
            <c:strRef>
              <c:f>'Ratio Charts'!$L$2</c:f>
              <c:strCache>
                <c:ptCount val="1"/>
                <c:pt idx="0">
                  <c:v>Interest cover (times)</c:v>
                </c:pt>
              </c:strCache>
            </c:strRef>
          </c:tx>
          <c:spPr>
            <a:ln w="28575" cap="rnd">
              <a:solidFill>
                <a:schemeClr val="accent2"/>
              </a:solidFill>
              <a:round/>
            </a:ln>
            <a:effectLst/>
          </c:spPr>
          <c:marker>
            <c:symbol val="none"/>
          </c:marker>
          <c:val>
            <c:numRef>
              <c:f>'Ratio Charts'!$L$3:$L$7</c:f>
              <c:numCache>
                <c:formatCode>General</c:formatCode>
                <c:ptCount val="5"/>
                <c:pt idx="0">
                  <c:v>3.36</c:v>
                </c:pt>
                <c:pt idx="1">
                  <c:v>5.32</c:v>
                </c:pt>
                <c:pt idx="2">
                  <c:v>11.71</c:v>
                </c:pt>
                <c:pt idx="3">
                  <c:v>5.13</c:v>
                </c:pt>
                <c:pt idx="4">
                  <c:v>5.93</c:v>
                </c:pt>
              </c:numCache>
            </c:numRef>
          </c:val>
          <c:smooth val="0"/>
          <c:extLst>
            <c:ext xmlns:c16="http://schemas.microsoft.com/office/drawing/2014/chart" uri="{C3380CC4-5D6E-409C-BE32-E72D297353CC}">
              <c16:uniqueId val="{00000001-C673-4308-B3F2-47AB98A1EA8D}"/>
            </c:ext>
          </c:extLst>
        </c:ser>
        <c:dLbls>
          <c:showLegendKey val="0"/>
          <c:showVal val="0"/>
          <c:showCatName val="0"/>
          <c:showSerName val="0"/>
          <c:showPercent val="0"/>
          <c:showBubbleSize val="0"/>
        </c:dLbls>
        <c:marker val="1"/>
        <c:smooth val="0"/>
        <c:axId val="495163072"/>
        <c:axId val="495167392"/>
      </c:lineChart>
      <c:catAx>
        <c:axId val="49516595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6312"/>
        <c:crosses val="autoZero"/>
        <c:auto val="1"/>
        <c:lblAlgn val="ctr"/>
        <c:lblOffset val="100"/>
        <c:noMultiLvlLbl val="0"/>
      </c:catAx>
      <c:valAx>
        <c:axId val="4951663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5952"/>
        <c:crosses val="autoZero"/>
        <c:crossBetween val="between"/>
      </c:valAx>
      <c:valAx>
        <c:axId val="495167392"/>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3072"/>
        <c:crosses val="max"/>
        <c:crossBetween val="between"/>
      </c:valAx>
      <c:catAx>
        <c:axId val="495163072"/>
        <c:scaling>
          <c:orientation val="minMax"/>
        </c:scaling>
        <c:delete val="1"/>
        <c:axPos val="b"/>
        <c:majorTickMark val="out"/>
        <c:minorTickMark val="none"/>
        <c:tickLblPos val="nextTo"/>
        <c:crossAx val="4951673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Cash flow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Charts'!$M$2</c:f>
              <c:strCache>
                <c:ptCount val="1"/>
                <c:pt idx="0">
                  <c:v>Operating cash flow ($m)</c:v>
                </c:pt>
              </c:strCache>
            </c:strRef>
          </c:tx>
          <c:spPr>
            <a:ln w="28575" cap="rnd">
              <a:solidFill>
                <a:schemeClr val="accent1"/>
              </a:solidFill>
              <a:round/>
            </a:ln>
            <a:effectLst/>
          </c:spPr>
          <c:marker>
            <c:symbol val="none"/>
          </c:marker>
          <c:val>
            <c:numRef>
              <c:f>'Ratio Charts'!$M$3:$M$7</c:f>
              <c:numCache>
                <c:formatCode>General</c:formatCode>
                <c:ptCount val="5"/>
                <c:pt idx="0">
                  <c:v>636</c:v>
                </c:pt>
                <c:pt idx="1">
                  <c:v>646</c:v>
                </c:pt>
                <c:pt idx="2">
                  <c:v>893</c:v>
                </c:pt>
                <c:pt idx="3">
                  <c:v>724</c:v>
                </c:pt>
                <c:pt idx="4">
                  <c:v>898</c:v>
                </c:pt>
              </c:numCache>
            </c:numRef>
          </c:val>
          <c:smooth val="0"/>
          <c:extLst>
            <c:ext xmlns:c16="http://schemas.microsoft.com/office/drawing/2014/chart" uri="{C3380CC4-5D6E-409C-BE32-E72D297353CC}">
              <c16:uniqueId val="{00000000-0921-4056-AA44-AA57D9D57DB5}"/>
            </c:ext>
          </c:extLst>
        </c:ser>
        <c:ser>
          <c:idx val="1"/>
          <c:order val="1"/>
          <c:tx>
            <c:strRef>
              <c:f>'Ratio Charts'!$N$2</c:f>
              <c:strCache>
                <c:ptCount val="1"/>
                <c:pt idx="0">
                  <c:v>Adjusted free cash flow ($m)</c:v>
                </c:pt>
              </c:strCache>
            </c:strRef>
          </c:tx>
          <c:spPr>
            <a:ln w="28575" cap="rnd">
              <a:solidFill>
                <a:schemeClr val="accent2"/>
              </a:solidFill>
              <a:round/>
            </a:ln>
            <a:effectLst/>
          </c:spPr>
          <c:marker>
            <c:symbol val="none"/>
          </c:marker>
          <c:val>
            <c:numRef>
              <c:f>'Ratio Charts'!$N$3:$N$7</c:f>
              <c:numCache>
                <c:formatCode>General</c:formatCode>
                <c:ptCount val="5"/>
                <c:pt idx="0">
                  <c:v>615</c:v>
                </c:pt>
                <c:pt idx="1">
                  <c:v>589</c:v>
                </c:pt>
                <c:pt idx="2">
                  <c:v>837</c:v>
                </c:pt>
                <c:pt idx="3">
                  <c:v>655</c:v>
                </c:pt>
                <c:pt idx="4">
                  <c:v>893</c:v>
                </c:pt>
              </c:numCache>
            </c:numRef>
          </c:val>
          <c:smooth val="0"/>
          <c:extLst>
            <c:ext xmlns:c16="http://schemas.microsoft.com/office/drawing/2014/chart" uri="{C3380CC4-5D6E-409C-BE32-E72D297353CC}">
              <c16:uniqueId val="{00000001-0921-4056-AA44-AA57D9D57DB5}"/>
            </c:ext>
          </c:extLst>
        </c:ser>
        <c:dLbls>
          <c:showLegendKey val="0"/>
          <c:showVal val="0"/>
          <c:showCatName val="0"/>
          <c:showSerName val="0"/>
          <c:showPercent val="0"/>
          <c:showBubbleSize val="0"/>
        </c:dLbls>
        <c:smooth val="0"/>
        <c:axId val="495161992"/>
        <c:axId val="495167032"/>
      </c:lineChart>
      <c:catAx>
        <c:axId val="495161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7032"/>
        <c:crosses val="autoZero"/>
        <c:auto val="1"/>
        <c:lblAlgn val="ctr"/>
        <c:lblOffset val="100"/>
        <c:noMultiLvlLbl val="0"/>
      </c:catAx>
      <c:valAx>
        <c:axId val="495167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161992"/>
        <c:crosses val="autoZero"/>
        <c:crossBetween val="between"/>
      </c:valAx>
      <c:spPr>
        <a:noFill/>
        <a:ln>
          <a:noFill/>
        </a:ln>
        <a:effectLst/>
      </c:spPr>
    </c:plotArea>
    <c:legend>
      <c:legendPos val="b"/>
      <c:layout>
        <c:manualLayout>
          <c:xMode val="edge"/>
          <c:yMode val="edge"/>
          <c:x val="0.12146237970253718"/>
          <c:y val="0.92187445319335082"/>
          <c:w val="0.70698363943635567"/>
          <c:h val="6.87027599202164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EPS and dividend trend, 2021–2025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Charts'!$O$2</c:f>
              <c:strCache>
                <c:ptCount val="1"/>
                <c:pt idx="0">
                  <c:v>Basic EPS (cents)</c:v>
                </c:pt>
              </c:strCache>
            </c:strRef>
          </c:tx>
          <c:spPr>
            <a:solidFill>
              <a:schemeClr val="accent1"/>
            </a:solidFill>
            <a:ln>
              <a:noFill/>
            </a:ln>
            <a:effectLst/>
          </c:spPr>
          <c:invertIfNegative val="0"/>
          <c:val>
            <c:numRef>
              <c:f>'Ratio Charts'!$O$3:$O$7</c:f>
              <c:numCache>
                <c:formatCode>General</c:formatCode>
                <c:ptCount val="5"/>
                <c:pt idx="0">
                  <c:v>145.4</c:v>
                </c:pt>
                <c:pt idx="1">
                  <c:v>207.2</c:v>
                </c:pt>
                <c:pt idx="2">
                  <c:v>443.8</c:v>
                </c:pt>
                <c:pt idx="3">
                  <c:v>389.6</c:v>
                </c:pt>
                <c:pt idx="4">
                  <c:v>490.9</c:v>
                </c:pt>
              </c:numCache>
            </c:numRef>
          </c:val>
          <c:extLst>
            <c:ext xmlns:c16="http://schemas.microsoft.com/office/drawing/2014/chart" uri="{C3380CC4-5D6E-409C-BE32-E72D297353CC}">
              <c16:uniqueId val="{00000000-45A1-4E77-BE48-CBAF4BE8169E}"/>
            </c:ext>
          </c:extLst>
        </c:ser>
        <c:ser>
          <c:idx val="1"/>
          <c:order val="1"/>
          <c:tx>
            <c:strRef>
              <c:f>'Ratio Charts'!$P$2</c:f>
              <c:strCache>
                <c:ptCount val="1"/>
                <c:pt idx="0">
                  <c:v>Dividend per share (cents)</c:v>
                </c:pt>
              </c:strCache>
            </c:strRef>
          </c:tx>
          <c:spPr>
            <a:solidFill>
              <a:schemeClr val="accent2"/>
            </a:solidFill>
            <a:ln>
              <a:noFill/>
            </a:ln>
            <a:effectLst/>
          </c:spPr>
          <c:invertIfNegative val="0"/>
          <c:val>
            <c:numRef>
              <c:f>'Ratio Charts'!$P$3:$P$7</c:f>
              <c:numCache>
                <c:formatCode>General</c:formatCode>
                <c:ptCount val="5"/>
                <c:pt idx="0">
                  <c:v>85.9</c:v>
                </c:pt>
                <c:pt idx="1">
                  <c:v>138.4</c:v>
                </c:pt>
                <c:pt idx="2">
                  <c:v>152.30000000000001</c:v>
                </c:pt>
                <c:pt idx="3">
                  <c:v>167.6</c:v>
                </c:pt>
                <c:pt idx="4">
                  <c:v>18</c:v>
                </c:pt>
              </c:numCache>
            </c:numRef>
          </c:val>
          <c:extLst>
            <c:ext xmlns:c16="http://schemas.microsoft.com/office/drawing/2014/chart" uri="{C3380CC4-5D6E-409C-BE32-E72D297353CC}">
              <c16:uniqueId val="{00000001-45A1-4E77-BE48-CBAF4BE8169E}"/>
            </c:ext>
          </c:extLst>
        </c:ser>
        <c:dLbls>
          <c:showLegendKey val="0"/>
          <c:showVal val="0"/>
          <c:showCatName val="0"/>
          <c:showSerName val="0"/>
          <c:showPercent val="0"/>
          <c:showBubbleSize val="0"/>
        </c:dLbls>
        <c:gapWidth val="182"/>
        <c:axId val="419653416"/>
        <c:axId val="418552160"/>
      </c:barChart>
      <c:catAx>
        <c:axId val="4196534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552160"/>
        <c:crosses val="autoZero"/>
        <c:auto val="1"/>
        <c:lblAlgn val="ctr"/>
        <c:lblOffset val="100"/>
        <c:noMultiLvlLbl val="0"/>
      </c:catAx>
      <c:valAx>
        <c:axId val="4185521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653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77FB9-458F-4AED-9EA4-2C92DDACF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13702</Words>
  <Characters>78107</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Yeboah</dc:creator>
  <cp:keywords/>
  <dc:description/>
  <cp:lastModifiedBy>Patrick Yeboah</cp:lastModifiedBy>
  <cp:revision>2</cp:revision>
  <dcterms:created xsi:type="dcterms:W3CDTF">2026-09-29T13:09:00Z</dcterms:created>
  <dcterms:modified xsi:type="dcterms:W3CDTF">2026-09-29T13:09:00Z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4cce5811-bf5d-4769-9a0c-e72c524b5c3b</vt:lpwstr>
  </property>
  <property fmtid="{D5CDD505-2E9C-101B-9397-08002B2CF9AE}" pid="3" name="Mendeley Recent Style Id 0_1">
    <vt:lpwstr>http://www.zotero.org/styles/american-medical-association</vt:lpwstr>
  </property>
  <property fmtid="{D5CDD505-2E9C-101B-9397-08002B2CF9AE}" pid="4" name="Mendeley Recent Style Name 0_1">
    <vt:lpwstr>AMA Manual of Style 11th edition</vt:lpwstr>
  </property>
  <property fmtid="{D5CDD505-2E9C-101B-9397-08002B2CF9AE}" pid="5" name="Mendeley Recent Style Id 1_1">
    <vt:lpwstr>http://www.zotero.org/styles/apa</vt:lpwstr>
  </property>
  <property fmtid="{D5CDD505-2E9C-101B-9397-08002B2CF9AE}" pid="6" name="Mendeley Recent Style Name 1_1">
    <vt:lpwstr>APA Style 7th edition</vt:lpwstr>
  </property>
  <property fmtid="{D5CDD505-2E9C-101B-9397-08002B2CF9AE}" pid="7" name="Mendeley Recent Style Id 2_1">
    <vt:lpwstr>http://www.zotero.org/styles/american-political-science-association</vt:lpwstr>
  </property>
  <property fmtid="{D5CDD505-2E9C-101B-9397-08002B2CF9AE}" pid="8" name="Mendeley Recent Style Name 2_1">
    <vt:lpwstr>APSA Style Manual revised 2018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ASA Style Guide 6th/7th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18th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(author-date/Harvard)</vt:lpwstr>
  </property>
  <property fmtid="{D5CDD505-2E9C-101B-9397-08002B2CF9AE}" pid="15" name="Mendeley Recent Style Id 6_1">
    <vt:lpwstr>http://www.zotero.org/styles/ieee</vt:lpwstr>
  </property>
  <property fmtid="{D5CDD505-2E9C-101B-9397-08002B2CF9AE}" pid="16" name="Mendeley Recent Style Name 6_1">
    <vt:lpwstr>IEEE Reference Guide version 11.29.2023</vt:lpwstr>
  </property>
  <property fmtid="{D5CDD505-2E9C-101B-9397-08002B2CF9AE}" pid="17" name="Mendeley Recent Style Id 7_1">
    <vt:lpwstr>http://www.zotero.org/styles/modern-language-association</vt:lpwstr>
  </property>
  <property fmtid="{D5CDD505-2E9C-101B-9397-08002B2CF9AE}" pid="18" name="Mendeley Recent Style Name 7_1">
    <vt:lpwstr>MLA Handbook 9th edition (in-text citations)</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b39295ab-42aa-3e58-87c7-9581cea84bba</vt:lpwstr>
  </property>
  <property fmtid="{D5CDD505-2E9C-101B-9397-08002B2CF9AE}" pid="25" name="Mendeley Citation Style_1">
    <vt:lpwstr>http://www.zotero.org/styles/harvard-cite-them-right</vt:lpwstr>
  </property>
</Properties>
</file>