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2206AD" w14:textId="15B4B527" w:rsidR="00157EB5" w:rsidRDefault="00157EB5" w:rsidP="00157EB5"/>
    <w:p w14:paraId="299B0E92" w14:textId="0B1B7EF3" w:rsidR="00157EB5" w:rsidRDefault="00157EB5" w:rsidP="00157EB5">
      <w:r>
        <w:t>My name is Summer Hendy, student number 2516364, and I am the Health Visitor for this family. As a Health Visitor, my role is to promote and protect the health, development and wellbeing of children from birth to school age, and I have a statutory responsibility to safeguard children under the Children Act 1989, the Children Act 2004, and the Social Services and Well</w:t>
      </w:r>
      <w:r w:rsidR="00607A92">
        <w:rPr>
          <w:rFonts w:ascii="Cambria Math" w:hAnsi="Cambria Math" w:cs="Cambria Math"/>
        </w:rPr>
        <w:t xml:space="preserve"> </w:t>
      </w:r>
      <w:r>
        <w:t>being (Wales) Act 2014. Safeguarding requires me to recognise concerns, record them accurately, respond appropriately, and share information lawfully under the General Data Protection Regulation (GDPR) and the Data Protection Act 2018. Although this meeting has been convened due to concerns about Joseph, my duty of care extends to both children in the household, including his baby sister Emily, who is particularly vulnerable due to her age. Wales embeds the UNCRC into domestic law, which means both children have the right to safety, the right to be heard, and the right to the best possible health.</w:t>
      </w:r>
    </w:p>
    <w:p w14:paraId="3C8AC63D" w14:textId="77777777" w:rsidR="00157EB5" w:rsidRDefault="00157EB5" w:rsidP="00157EB5"/>
    <w:p w14:paraId="32E3EBC7" w14:textId="4FF1D828" w:rsidR="00157EB5" w:rsidRDefault="00157EB5" w:rsidP="00157EB5">
      <w:r>
        <w:t>I have had direct involvement with this family over time. I first met Jessica shortly after Emily’s birth and carried out routine postnatal visits. During these visits, I checked the Red Book, monitored both children’s growth centiles, and discussed vaccination schedules in line with the Healthy Child Wales Programme. At that stage, Jessica was polite but noticeably overwhelmed. She missed several appointments, and although Joseph’s development was initially within expected ranges, I observed early signs that maintaining consistent routines was difficult for her. I provided information about local Neath Port Talbot support groups and discussed postnatal depression, encouraging her to contact her GP if her mood deteriorated.</w:t>
      </w:r>
    </w:p>
    <w:p w14:paraId="6CD8EE0F" w14:textId="77777777" w:rsidR="00157EB5" w:rsidRDefault="00157EB5" w:rsidP="00157EB5"/>
    <w:p w14:paraId="59319B33" w14:textId="3940DCF3" w:rsidR="00157EB5" w:rsidRDefault="00157EB5" w:rsidP="00157EB5">
      <w:r>
        <w:t>The primary concerns relate to Joseph, and my most recent home visit highlighted a clear deterioration in his presentation. When I arrived, Jessica appeared exhausted, distracted and emotionally low, and this was reflected in Joseph’s overall wellbeing. His hygiene had deteriorated; his clothing was visibly unclean, and he appeared withdrawn, quiet and less responsive than I had previously observed. He did not engage readily, avoided eye contact, and his affect was noticeably flat. These changes represent a significant shift from earlier visits, where Joseph was more interactive and showed typical levels of engagement for his age.</w:t>
      </w:r>
    </w:p>
    <w:p w14:paraId="5F1BE6FE" w14:textId="77777777" w:rsidR="00157EB5" w:rsidRDefault="00157EB5" w:rsidP="00157EB5"/>
    <w:p w14:paraId="4C797497" w14:textId="5923BF62" w:rsidR="00157EB5" w:rsidRDefault="00157EB5" w:rsidP="00157EB5">
      <w:r>
        <w:t xml:space="preserve">At this point, it is important to clarify what I am assessing. Under the Children Act 1989, professionals must consider whether a child is suffering or likely to suffer significant harm. According to statutory guidance (Department for Education, 2018), significant harm refers to the threshold at which a child’s health, development or safety is impaired </w:t>
      </w:r>
      <w:r>
        <w:lastRenderedPageBreak/>
        <w:t>to a degree that requires statutory intervention. It can relate to a child’s physical presentation, emotional wellbeing, the care they receive, or the impact of their home environment. Based on what I have personally observed, Joseph’s presentation meets the criteria for concern, and Emily, due to her age, is also vulnerable within the same environment.</w:t>
      </w:r>
    </w:p>
    <w:p w14:paraId="6A7AA848" w14:textId="77777777" w:rsidR="00157EB5" w:rsidRDefault="00157EB5" w:rsidP="00157EB5"/>
    <w:p w14:paraId="7E96D3C7" w14:textId="6D99906F" w:rsidR="00157EB5" w:rsidRDefault="00157EB5" w:rsidP="00157EB5">
      <w:r>
        <w:t>I also want to emphasise the importance of professional curiosity. The Munro Review and the Laming Report highlight that professionals must not accept vague explanations or hope situations improve without intervention. In this case, the changes in Joseph’s presentation, combined with Jessica’s emotional state and inconsistent engagement with health services, require us to look beyond surface</w:t>
      </w:r>
      <w:r>
        <w:rPr>
          <w:rFonts w:ascii="Cambria Math" w:hAnsi="Cambria Math" w:cs="Cambria Math"/>
        </w:rPr>
        <w:t>‑</w:t>
      </w:r>
      <w:r>
        <w:t>level explanations and consider the lived experience of both children. Wales’ All Wales Safeguarding Procedures reinforce that when concerns escalate, agencies must act promptly and collaboratively.</w:t>
      </w:r>
    </w:p>
    <w:p w14:paraId="7B4782A2" w14:textId="77777777" w:rsidR="00157EB5" w:rsidRDefault="00157EB5" w:rsidP="00157EB5"/>
    <w:p w14:paraId="016B7F1C" w14:textId="511DBB6A" w:rsidR="00157EB5" w:rsidRDefault="00157EB5" w:rsidP="00157EB5">
      <w:r>
        <w:t>I have taken appropriate steps within my role. I have shared relevant information with social services specifically with Mollie, the allocated social worker  in line with GDPR and safeguarding legislation. I have contacted the GP to confirm Emily’s vaccination status and to check whether Jessica has attended any appointments relating to her mental health. The absence of the father is a notable factor, as it reduces the support available to Jessica and contributes to instability within the home. From a health perspective, this increases the pressure on Jessica and heightens the vulnerability of both children, particularly Joseph, who is already showing signs of emotional and physical decline.</w:t>
      </w:r>
    </w:p>
    <w:p w14:paraId="13F80B33" w14:textId="77777777" w:rsidR="00157EB5" w:rsidRDefault="00157EB5" w:rsidP="00157EB5"/>
    <w:p w14:paraId="2DD25595" w14:textId="003D6E85" w:rsidR="00157EB5" w:rsidRDefault="00157EB5" w:rsidP="00157EB5">
      <w:r>
        <w:t>Based on my observations and professional judgement, I believe Joseph requires a multi</w:t>
      </w:r>
      <w:r w:rsidR="00765E8F">
        <w:rPr>
          <w:rFonts w:ascii="Cambria Math" w:hAnsi="Cambria Math" w:cs="Cambria Math"/>
        </w:rPr>
        <w:t xml:space="preserve"> </w:t>
      </w:r>
      <w:r>
        <w:t>agency safety plan, with Emily included due to her age and shared environment. The pattern of concerns I have personally witnessed indicates that Jessica is struggling to meet the children’s basic needs, and without coordinated support, the risk will escalate. I am recommending continued health visiting involvement, close monitoring of both children’s development, and ongoing multi</w:t>
      </w:r>
      <w:r>
        <w:rPr>
          <w:rFonts w:ascii="Cambria Math" w:hAnsi="Cambria Math" w:cs="Cambria Math"/>
        </w:rPr>
        <w:t>‑</w:t>
      </w:r>
      <w:r>
        <w:t xml:space="preserve">agency communication. My priority and my legal obligation  is to ensure Joseph and Emily are safe, </w:t>
      </w:r>
      <w:r w:rsidR="00143372">
        <w:t>protected,</w:t>
      </w:r>
      <w:r>
        <w:t xml:space="preserve"> and able to thrive.</w:t>
      </w:r>
    </w:p>
    <w:p w14:paraId="5B74F9E2" w14:textId="032E6C34" w:rsidR="00157EB5" w:rsidRDefault="00157EB5" w:rsidP="00157EB5"/>
    <w:p w14:paraId="31A34106" w14:textId="77777777" w:rsidR="00157EB5" w:rsidRDefault="00157EB5" w:rsidP="00157EB5"/>
    <w:p w14:paraId="5F024890" w14:textId="56DF39B2" w:rsidR="00157EB5" w:rsidRDefault="00157EB5" w:rsidP="00157EB5">
      <w:r>
        <w:t>HARVARD REFERENCE LIST</w:t>
      </w:r>
    </w:p>
    <w:p w14:paraId="14005AA7" w14:textId="77777777" w:rsidR="00157EB5" w:rsidRDefault="00157EB5" w:rsidP="00157EB5">
      <w:r>
        <w:t>Children Act 1989. (1989) London: HMSO.</w:t>
      </w:r>
    </w:p>
    <w:p w14:paraId="2E49970C" w14:textId="77777777" w:rsidR="00157EB5" w:rsidRDefault="00157EB5" w:rsidP="00157EB5">
      <w:r>
        <w:lastRenderedPageBreak/>
        <w:t>Children Act 2004. (2004) London: HMSO.</w:t>
      </w:r>
    </w:p>
    <w:p w14:paraId="6D1A4391" w14:textId="77777777" w:rsidR="00157EB5" w:rsidRDefault="00157EB5" w:rsidP="00157EB5">
      <w:r>
        <w:t>Data Protection Act 2018. (2018) London: HMSO.</w:t>
      </w:r>
    </w:p>
    <w:p w14:paraId="23AF6DD7" w14:textId="77777777" w:rsidR="00157EB5" w:rsidRDefault="00157EB5" w:rsidP="00157EB5">
      <w:r>
        <w:t>Department for Education (DfE). (2018) Working Together to Safeguard Children: A guide to inter</w:t>
      </w:r>
      <w:r>
        <w:rPr>
          <w:rFonts w:ascii="Cambria Math" w:hAnsi="Cambria Math" w:cs="Cambria Math"/>
        </w:rPr>
        <w:t>‑</w:t>
      </w:r>
      <w:r>
        <w:t>agency working to safeguard and promote the welfare of children. London: Department for Education.</w:t>
      </w:r>
    </w:p>
    <w:p w14:paraId="0163B01B" w14:textId="77777777" w:rsidR="00157EB5" w:rsidRDefault="00157EB5" w:rsidP="00157EB5">
      <w:r>
        <w:t>General Data Protection Regulation (GDPR). (2016) Regulation (EU) 2016/679.</w:t>
      </w:r>
    </w:p>
    <w:p w14:paraId="6C57B9B7" w14:textId="77777777" w:rsidR="00157EB5" w:rsidRDefault="00157EB5" w:rsidP="00157EB5">
      <w:r>
        <w:t>Healthy Child Wales Programme. (2016) Cardiff: Welsh Government.</w:t>
      </w:r>
    </w:p>
    <w:p w14:paraId="54988537" w14:textId="77777777" w:rsidR="00157EB5" w:rsidRDefault="00157EB5" w:rsidP="00157EB5">
      <w:r>
        <w:t>Laming, H. (2003) The Victoria Climbié Inquiry: Report of an Inquiry by Lord Laming. London: The Stationery Office.</w:t>
      </w:r>
    </w:p>
    <w:p w14:paraId="579AEAA5" w14:textId="77777777" w:rsidR="00157EB5" w:rsidRDefault="00157EB5" w:rsidP="00157EB5">
      <w:r>
        <w:t>Munro, E. (2011) The Munro Review of Child Protection: Final Report. London: Department for Education.</w:t>
      </w:r>
    </w:p>
    <w:p w14:paraId="4AEF9558" w14:textId="77777777" w:rsidR="00157EB5" w:rsidRDefault="00157EB5" w:rsidP="00157EB5">
      <w:r>
        <w:t>NSPCC. (2023) Signs of abuse and neglect. Available at: https://www.nspcc.org.uk (Accessed: 7 July 2026).</w:t>
      </w:r>
    </w:p>
    <w:p w14:paraId="3181AAFA" w14:textId="77777777" w:rsidR="00157EB5" w:rsidRDefault="00157EB5" w:rsidP="00157EB5">
      <w:r>
        <w:t>Social Services and Well</w:t>
      </w:r>
      <w:r>
        <w:rPr>
          <w:rFonts w:ascii="Cambria Math" w:hAnsi="Cambria Math" w:cs="Cambria Math"/>
        </w:rPr>
        <w:t>‑</w:t>
      </w:r>
      <w:r>
        <w:t>being (Wales) Act 2014. (2014) Cardiff: Welsh Government.</w:t>
      </w:r>
    </w:p>
    <w:p w14:paraId="63C5ED41" w14:textId="77777777" w:rsidR="00157EB5" w:rsidRDefault="00157EB5" w:rsidP="00157EB5">
      <w:r>
        <w:t>UNCRC. (1989) United Nations Convention on the Rights of the Child. Geneva: United Nations.</w:t>
      </w:r>
    </w:p>
    <w:p w14:paraId="18E603BE" w14:textId="77777777" w:rsidR="00157EB5" w:rsidRDefault="00157EB5" w:rsidP="00157EB5">
      <w:r>
        <w:t>Welsh Government. (2019) All Wales Safeguarding Procedures. Cardiff: Welsh Government.</w:t>
      </w:r>
    </w:p>
    <w:p w14:paraId="316C0027" w14:textId="77777777" w:rsidR="00157EB5" w:rsidRDefault="00157EB5" w:rsidP="00157EB5">
      <w:r>
        <w:t>Welsh Government. (2023) Working Together to Safeguard People. Cardiff: Welsh Government.</w:t>
      </w:r>
    </w:p>
    <w:p w14:paraId="46AD219E" w14:textId="77777777" w:rsidR="00936C97" w:rsidRDefault="00936C97" w:rsidP="00A77799"/>
    <w:p w14:paraId="52F2DB59" w14:textId="77777777" w:rsidR="00936C97" w:rsidRDefault="00936C97" w:rsidP="00A77799"/>
    <w:p w14:paraId="27D48F81" w14:textId="77777777" w:rsidR="00936C97" w:rsidRDefault="00936C97" w:rsidP="00A77799"/>
    <w:p w14:paraId="1D697300" w14:textId="77777777" w:rsidR="00936C97" w:rsidRDefault="00936C97" w:rsidP="00A77799"/>
    <w:p w14:paraId="13C080CD" w14:textId="77777777" w:rsidR="00936C97" w:rsidRDefault="00936C97" w:rsidP="00A77799"/>
    <w:p w14:paraId="0D1E93B6" w14:textId="77777777" w:rsidR="00936C97" w:rsidRDefault="00936C97" w:rsidP="00A77799"/>
    <w:p w14:paraId="73FF3AB3" w14:textId="77777777" w:rsidR="00936C97" w:rsidRDefault="00936C97" w:rsidP="00A77799"/>
    <w:p w14:paraId="24805065" w14:textId="77777777" w:rsidR="00852145" w:rsidRDefault="00852145" w:rsidP="00A77799"/>
    <w:p w14:paraId="2DA5648C" w14:textId="154A767F" w:rsidR="00852145" w:rsidRDefault="00852145" w:rsidP="00A77799">
      <w:r>
        <w:t>R</w:t>
      </w:r>
      <w:r w:rsidR="009B30C2">
        <w:t>EFLECTION</w:t>
      </w:r>
    </w:p>
    <w:p w14:paraId="607BF83A" w14:textId="69990017" w:rsidR="00A77799" w:rsidRDefault="00A77799" w:rsidP="00A77799">
      <w:r>
        <w:t>Part 1 – Personal Reflection (No References)</w:t>
      </w:r>
    </w:p>
    <w:p w14:paraId="0EEEBE1D" w14:textId="77777777" w:rsidR="00A77799" w:rsidRDefault="00A77799" w:rsidP="00A77799"/>
    <w:p w14:paraId="7800075E" w14:textId="56135273" w:rsidR="00A77799" w:rsidRDefault="00A77799" w:rsidP="00A77799">
      <w:r>
        <w:t>Before starting this module, my understanding of safeguarding was quite basic. I knew safeguarding was about keeping children safe, but I didn’t fully appreciate how complex, emotional and mult</w:t>
      </w:r>
      <w:r w:rsidR="00765E8F">
        <w:t xml:space="preserve"> </w:t>
      </w:r>
      <w:r>
        <w:rPr>
          <w:rFonts w:ascii="Cambria Math" w:hAnsi="Cambria Math" w:cs="Cambria Math"/>
        </w:rPr>
        <w:t>‑</w:t>
      </w:r>
      <w:r>
        <w:t>layered the process actually is. I had a general awareness of the signs of harm, but I didn’t understand how much professional judgement, confidence and curiosity are needed to identify concerns early. I also didn’t realise how important it is to look beyond what a parent says and instead focus on the child’s lived experience.</w:t>
      </w:r>
    </w:p>
    <w:p w14:paraId="3427A121" w14:textId="77777777" w:rsidR="00A77799" w:rsidRDefault="00A77799" w:rsidP="00A77799"/>
    <w:p w14:paraId="6F5D2BC1" w14:textId="74979A04" w:rsidR="00A77799" w:rsidRDefault="00A77799" w:rsidP="00A77799">
      <w:r>
        <w:t>Throughout the module, my understanding of safeguarding as a whole has deepened significantly. I now recognise that safeguarding is not just about responding when something goes wrong; it is about being proactive, observant and consistent. The 5 Rs Recognising, Recording, Reporting, Referring and Responsibilities have become central to how I think about my role. I’ve learned that recognising concerns requires confidence and curiosity, especially when changes are subtle. Recording must be clear, factual and timely, because it forms the foundation of every decision that follows. Reporting concerns is not about judgement; it is about ensuring information reaches the right people. Referring is a professional responsibility, not an optional step, and understanding when and how to escalate concerns is essential. Finally, responsibilities remind me that safeguarding is shared across agencies, but I still have a personal duty to act.</w:t>
      </w:r>
    </w:p>
    <w:p w14:paraId="646470DD" w14:textId="77777777" w:rsidR="00A77799" w:rsidRDefault="00A77799" w:rsidP="00A77799"/>
    <w:p w14:paraId="7C4AC1BF" w14:textId="77777777" w:rsidR="00A77799" w:rsidRDefault="00A77799" w:rsidP="00A77799">
      <w:r>
        <w:t>This module has also helped me understand the emotional side of safeguarding. It can be challenging to see families struggling, and it can feel uncomfortable to question what you’re being told. But I’ve learned that safeguarding requires courage, compassion and a willingness to have difficult conversations. I now feel more confident in my ability to speak up, challenge inconsistencies and advocate for children, even when it feels uncomfortable.</w:t>
      </w:r>
    </w:p>
    <w:p w14:paraId="5AF7B911" w14:textId="77777777" w:rsidR="00A77799" w:rsidRDefault="00A77799" w:rsidP="00A77799"/>
    <w:p w14:paraId="6C83A49A" w14:textId="77777777" w:rsidR="00A77799" w:rsidRDefault="00A77799" w:rsidP="00A77799">
      <w:r>
        <w:t>Looking ahead, this learning will make me a stronger practitioner. I will approach safeguarding with greater confidence, curiosity and clarity. I will be more aware of subtle changes in children’s behaviour and presentation, and I will feel more assured in my ability to follow the 5 Rs effectively. Most importantly, I will always keep the child at the centre of my practice, ensuring their voice, safety and wellbeing guide every decision I make.</w:t>
      </w:r>
    </w:p>
    <w:p w14:paraId="11CC2906" w14:textId="3F84F9AA" w:rsidR="00A77799" w:rsidRDefault="00A77799" w:rsidP="00A77799"/>
    <w:p w14:paraId="604E7CA1" w14:textId="77777777" w:rsidR="00A77799" w:rsidRDefault="00A77799" w:rsidP="00A77799"/>
    <w:p w14:paraId="3E102832" w14:textId="77777777" w:rsidR="00A77799" w:rsidRDefault="00A77799" w:rsidP="00A77799">
      <w:r>
        <w:lastRenderedPageBreak/>
        <w:t>Part 2 – Academic Reflection on Safeguarding Principles (With References)</w:t>
      </w:r>
    </w:p>
    <w:p w14:paraId="0CE2DBBC" w14:textId="77777777" w:rsidR="00A77799" w:rsidRDefault="00A77799" w:rsidP="00A77799"/>
    <w:p w14:paraId="76147F67" w14:textId="77777777" w:rsidR="00A77799" w:rsidRDefault="00A77799" w:rsidP="00A77799">
      <w:r>
        <w:t>Safeguarding practice relies on clear principles that guide professional decision</w:t>
      </w:r>
      <w:r>
        <w:rPr>
          <w:rFonts w:ascii="Cambria Math" w:hAnsi="Cambria Math" w:cs="Cambria Math"/>
        </w:rPr>
        <w:t>‑</w:t>
      </w:r>
      <w:r>
        <w:t>making, and the 5 Rs form a structured framework for effective intervention. Recognising concerns is essential because early signs of harm can be subtle and easily overlooked. Guidance emphasises that professionals must remain alert to changes in a child’s physical, emotional or behavioural presentation (Department for Education, 2018). Without recognition, no further safeguarding action can occur.</w:t>
      </w:r>
    </w:p>
    <w:p w14:paraId="0B6896E5" w14:textId="77777777" w:rsidR="00A77799" w:rsidRDefault="00A77799" w:rsidP="00A77799"/>
    <w:p w14:paraId="46718810" w14:textId="77777777" w:rsidR="00A77799" w:rsidRDefault="00A77799" w:rsidP="00A77799">
      <w:r>
        <w:t>Recording is equally important. Accurate, factual and timely records ensure that information is preserved and can be shared across agencies. Poor recording can lead to missed opportunities to protect children, as highlighted in serious case reviews (Laming, 2003). Clear documentation supports professional accountability and provides evidence for decision</w:t>
      </w:r>
      <w:r>
        <w:rPr>
          <w:rFonts w:ascii="Cambria Math" w:hAnsi="Cambria Math" w:cs="Cambria Math"/>
        </w:rPr>
        <w:t>‑</w:t>
      </w:r>
      <w:r>
        <w:t>making.</w:t>
      </w:r>
    </w:p>
    <w:p w14:paraId="0C7DA27C" w14:textId="77777777" w:rsidR="00A77799" w:rsidRDefault="00A77799" w:rsidP="00A77799"/>
    <w:p w14:paraId="4ACF2C43" w14:textId="77777777" w:rsidR="00A77799" w:rsidRDefault="00A77799" w:rsidP="00A77799">
      <w:r>
        <w:t>Reporting ensures that concerns are communicated to the appropriate safeguarding leads or agencies. Effective reporting prevents information from becoming siloed and supports multi</w:t>
      </w:r>
      <w:r>
        <w:rPr>
          <w:rFonts w:ascii="Cambria Math" w:hAnsi="Cambria Math" w:cs="Cambria Math"/>
        </w:rPr>
        <w:t>‑</w:t>
      </w:r>
      <w:r>
        <w:t>agency working, which is a core expectation within Welsh safeguarding policy (Welsh Government, 2019). Reporting also ensures that concerns are not minimised or overlooked.</w:t>
      </w:r>
    </w:p>
    <w:p w14:paraId="08E1EF8B" w14:textId="77777777" w:rsidR="00A77799" w:rsidRDefault="00A77799" w:rsidP="00A77799"/>
    <w:p w14:paraId="5EAF5BDF" w14:textId="77777777" w:rsidR="00A77799" w:rsidRDefault="00A77799" w:rsidP="00A77799">
      <w:r>
        <w:t>Referring is a statutory requirement when a child is suspected to be at risk of significant harm. The Children Act 1989 establishes the threshold of significant harm, which requires professionals to escalate concerns to children’s services when a child’s health or development is impaired or likely to be impaired (Department for Education, 2018). Referring ensures that children receive timely assessment and protection.</w:t>
      </w:r>
    </w:p>
    <w:p w14:paraId="08645295" w14:textId="77777777" w:rsidR="00A77799" w:rsidRDefault="00A77799" w:rsidP="00A77799"/>
    <w:p w14:paraId="0BC0C612" w14:textId="77777777" w:rsidR="00A77799" w:rsidRDefault="00A77799" w:rsidP="00A77799">
      <w:r>
        <w:t>Finally, Responsibilities highlight that safeguarding is a shared duty across agencies, but each professional has an individual obligation to act. Welsh legislation, including the Social Services and Well</w:t>
      </w:r>
      <w:r>
        <w:rPr>
          <w:rFonts w:ascii="Cambria Math" w:hAnsi="Cambria Math" w:cs="Cambria Math"/>
        </w:rPr>
        <w:t>‑</w:t>
      </w:r>
      <w:r>
        <w:t>being (Wales) Act 2014, reinforces that safeguarding is everyone’s responsibility and requires collaboration, information</w:t>
      </w:r>
      <w:r>
        <w:rPr>
          <w:rFonts w:ascii="Cambria Math" w:hAnsi="Cambria Math" w:cs="Cambria Math"/>
        </w:rPr>
        <w:t>‑</w:t>
      </w:r>
      <w:r>
        <w:t>sharing and child</w:t>
      </w:r>
      <w:r>
        <w:rPr>
          <w:rFonts w:ascii="Cambria Math" w:hAnsi="Cambria Math" w:cs="Cambria Math"/>
        </w:rPr>
        <w:t>‑</w:t>
      </w:r>
      <w:r>
        <w:t>centred practice.</w:t>
      </w:r>
    </w:p>
    <w:p w14:paraId="7D7B4CE5" w14:textId="77777777" w:rsidR="00A77799" w:rsidRDefault="00A77799" w:rsidP="00A77799"/>
    <w:p w14:paraId="7E41DB68" w14:textId="77777777" w:rsidR="00A77799" w:rsidRDefault="00A77799" w:rsidP="00A77799">
      <w:r>
        <w:lastRenderedPageBreak/>
        <w:t>Together, these principles ensure that safeguarding is proactive, coordinated and effective. They provide a clear structure for professionals to follow and help ensure that children’s rights, safety and wellbeing remain central to all decisions.</w:t>
      </w:r>
    </w:p>
    <w:p w14:paraId="3F8B2C7A" w14:textId="77777777" w:rsidR="00A77799" w:rsidRDefault="00A77799" w:rsidP="00A77799"/>
    <w:p w14:paraId="59361C5C" w14:textId="79090E7B" w:rsidR="00A77799" w:rsidRDefault="00A77799" w:rsidP="00A77799"/>
    <w:p w14:paraId="4C9392B0" w14:textId="6B7D6D95" w:rsidR="00A77799" w:rsidRDefault="00A77799" w:rsidP="00A77799">
      <w:r>
        <w:t xml:space="preserve"> Harvard Reference List (Part 2 Only)</w:t>
      </w:r>
    </w:p>
    <w:p w14:paraId="4E313C50" w14:textId="77777777" w:rsidR="00A77799" w:rsidRDefault="00A77799" w:rsidP="00A77799">
      <w:r>
        <w:t>Children Act 1989. (1989) London: HMSO.</w:t>
      </w:r>
    </w:p>
    <w:p w14:paraId="27F8468B" w14:textId="77777777" w:rsidR="00A77799" w:rsidRDefault="00A77799" w:rsidP="00A77799">
      <w:r>
        <w:t>Department for Education (DfE). (2018) Working Together to Safeguard Children: A guide to inter</w:t>
      </w:r>
      <w:r>
        <w:rPr>
          <w:rFonts w:ascii="Cambria Math" w:hAnsi="Cambria Math" w:cs="Cambria Math"/>
        </w:rPr>
        <w:t>‑</w:t>
      </w:r>
      <w:r>
        <w:t>agency working to safeguard and promote the welfare of children. London: Department for Education.</w:t>
      </w:r>
    </w:p>
    <w:p w14:paraId="5D11C90F" w14:textId="77777777" w:rsidR="00A77799" w:rsidRDefault="00A77799" w:rsidP="00A77799">
      <w:r>
        <w:t>Laming, H. (2003) The Victoria Climbié Inquiry: Report of an Inquiry by Lord Laming. London: The Stationery Office.</w:t>
      </w:r>
    </w:p>
    <w:p w14:paraId="5D011C60" w14:textId="77777777" w:rsidR="00A77799" w:rsidRDefault="00A77799" w:rsidP="00A77799">
      <w:r>
        <w:t>Social Services and Well</w:t>
      </w:r>
      <w:r>
        <w:rPr>
          <w:rFonts w:ascii="Cambria Math" w:hAnsi="Cambria Math" w:cs="Cambria Math"/>
        </w:rPr>
        <w:t>‑</w:t>
      </w:r>
      <w:r>
        <w:t>being (Wales) Act 2014. (2014) Cardiff: Welsh Government.</w:t>
      </w:r>
    </w:p>
    <w:p w14:paraId="3C4631B8" w14:textId="77777777" w:rsidR="00A77799" w:rsidRDefault="00A77799" w:rsidP="00A77799">
      <w:r>
        <w:t>Welsh Government. (2019) All Wales Safeguarding Procedures. Cardiff: Welsh Government.</w:t>
      </w:r>
    </w:p>
    <w:p w14:paraId="6BEE3A48" w14:textId="77777777" w:rsidR="00A77799" w:rsidRDefault="00A77799" w:rsidP="00A77799"/>
    <w:p w14:paraId="2753CB01" w14:textId="0FA8462F" w:rsidR="00A77799" w:rsidRDefault="00A77799" w:rsidP="008118DA"/>
    <w:p w14:paraId="398C254F" w14:textId="4D9E04FD" w:rsidR="0079335F" w:rsidRDefault="0079335F"/>
    <w:sectPr w:rsidR="00793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35F"/>
    <w:rsid w:val="00015D71"/>
    <w:rsid w:val="0003565F"/>
    <w:rsid w:val="0004160C"/>
    <w:rsid w:val="00075FC7"/>
    <w:rsid w:val="000962BF"/>
    <w:rsid w:val="000A32F6"/>
    <w:rsid w:val="00101147"/>
    <w:rsid w:val="0010794F"/>
    <w:rsid w:val="00107B4A"/>
    <w:rsid w:val="001159DC"/>
    <w:rsid w:val="00143372"/>
    <w:rsid w:val="00147140"/>
    <w:rsid w:val="00157EB5"/>
    <w:rsid w:val="00193877"/>
    <w:rsid w:val="001A021B"/>
    <w:rsid w:val="001A5DC9"/>
    <w:rsid w:val="001B08D0"/>
    <w:rsid w:val="00205FAA"/>
    <w:rsid w:val="002361FE"/>
    <w:rsid w:val="002411D6"/>
    <w:rsid w:val="00260B44"/>
    <w:rsid w:val="002B63F8"/>
    <w:rsid w:val="003A4FA7"/>
    <w:rsid w:val="003F4455"/>
    <w:rsid w:val="00423BD7"/>
    <w:rsid w:val="00427A2F"/>
    <w:rsid w:val="00437EED"/>
    <w:rsid w:val="004424A4"/>
    <w:rsid w:val="00490A5F"/>
    <w:rsid w:val="004B06C1"/>
    <w:rsid w:val="004F33E2"/>
    <w:rsid w:val="005401F2"/>
    <w:rsid w:val="005403AF"/>
    <w:rsid w:val="005A335E"/>
    <w:rsid w:val="005B3764"/>
    <w:rsid w:val="005D35C7"/>
    <w:rsid w:val="005D457C"/>
    <w:rsid w:val="00607A92"/>
    <w:rsid w:val="00626F25"/>
    <w:rsid w:val="006311A1"/>
    <w:rsid w:val="00645222"/>
    <w:rsid w:val="00651281"/>
    <w:rsid w:val="00695569"/>
    <w:rsid w:val="006A05A9"/>
    <w:rsid w:val="0072709E"/>
    <w:rsid w:val="00765E8F"/>
    <w:rsid w:val="00784F36"/>
    <w:rsid w:val="007922EA"/>
    <w:rsid w:val="00792671"/>
    <w:rsid w:val="0079335F"/>
    <w:rsid w:val="00795C44"/>
    <w:rsid w:val="007D3241"/>
    <w:rsid w:val="007E2CBA"/>
    <w:rsid w:val="007E5190"/>
    <w:rsid w:val="008118DA"/>
    <w:rsid w:val="00814400"/>
    <w:rsid w:val="00823934"/>
    <w:rsid w:val="00852145"/>
    <w:rsid w:val="008D6FFA"/>
    <w:rsid w:val="008F61DE"/>
    <w:rsid w:val="009023F0"/>
    <w:rsid w:val="00911099"/>
    <w:rsid w:val="0092440A"/>
    <w:rsid w:val="00936535"/>
    <w:rsid w:val="00936C97"/>
    <w:rsid w:val="00953C77"/>
    <w:rsid w:val="009B30C2"/>
    <w:rsid w:val="009C3F51"/>
    <w:rsid w:val="009D0575"/>
    <w:rsid w:val="009F3F12"/>
    <w:rsid w:val="00A602D6"/>
    <w:rsid w:val="00A72DA3"/>
    <w:rsid w:val="00A77799"/>
    <w:rsid w:val="00A8281B"/>
    <w:rsid w:val="00AF3C33"/>
    <w:rsid w:val="00AF4195"/>
    <w:rsid w:val="00B030E6"/>
    <w:rsid w:val="00B33C1A"/>
    <w:rsid w:val="00B340AD"/>
    <w:rsid w:val="00B57925"/>
    <w:rsid w:val="00B669B4"/>
    <w:rsid w:val="00C03F79"/>
    <w:rsid w:val="00C21904"/>
    <w:rsid w:val="00C24443"/>
    <w:rsid w:val="00C36B07"/>
    <w:rsid w:val="00C65CDA"/>
    <w:rsid w:val="00CB1340"/>
    <w:rsid w:val="00CC0EC0"/>
    <w:rsid w:val="00CF6EFF"/>
    <w:rsid w:val="00D02DAB"/>
    <w:rsid w:val="00D22469"/>
    <w:rsid w:val="00D3537A"/>
    <w:rsid w:val="00D4261E"/>
    <w:rsid w:val="00D85AA8"/>
    <w:rsid w:val="00D86D70"/>
    <w:rsid w:val="00DB47F0"/>
    <w:rsid w:val="00DC63FE"/>
    <w:rsid w:val="00DE03D6"/>
    <w:rsid w:val="00E21788"/>
    <w:rsid w:val="00EA3787"/>
    <w:rsid w:val="00ED39F0"/>
    <w:rsid w:val="00ED3F74"/>
    <w:rsid w:val="00EE4784"/>
    <w:rsid w:val="00F06717"/>
    <w:rsid w:val="00F114C3"/>
    <w:rsid w:val="00F26805"/>
    <w:rsid w:val="00F27DFF"/>
    <w:rsid w:val="00F41C04"/>
    <w:rsid w:val="00F508A1"/>
    <w:rsid w:val="00F83660"/>
    <w:rsid w:val="00F97021"/>
    <w:rsid w:val="00F9719A"/>
    <w:rsid w:val="00FB0905"/>
    <w:rsid w:val="00FC78E4"/>
    <w:rsid w:val="00FD552B"/>
    <w:rsid w:val="00FE16EC"/>
    <w:rsid w:val="00FF5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FAC51A"/>
  <w15:chartTrackingRefBased/>
  <w15:docId w15:val="{602D86C0-B644-0349-9419-E8FE0829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3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33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33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33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33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33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3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3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3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3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33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33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33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3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3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3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3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35F"/>
    <w:rPr>
      <w:rFonts w:eastAsiaTheme="majorEastAsia" w:cstheme="majorBidi"/>
      <w:color w:val="272727" w:themeColor="text1" w:themeTint="D8"/>
    </w:rPr>
  </w:style>
  <w:style w:type="paragraph" w:styleId="Title">
    <w:name w:val="Title"/>
    <w:basedOn w:val="Normal"/>
    <w:next w:val="Normal"/>
    <w:link w:val="TitleChar"/>
    <w:uiPriority w:val="10"/>
    <w:qFormat/>
    <w:rsid w:val="007933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3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3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3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35F"/>
    <w:pPr>
      <w:spacing w:before="160"/>
      <w:jc w:val="center"/>
    </w:pPr>
    <w:rPr>
      <w:i/>
      <w:iCs/>
      <w:color w:val="404040" w:themeColor="text1" w:themeTint="BF"/>
    </w:rPr>
  </w:style>
  <w:style w:type="character" w:customStyle="1" w:styleId="QuoteChar">
    <w:name w:val="Quote Char"/>
    <w:basedOn w:val="DefaultParagraphFont"/>
    <w:link w:val="Quote"/>
    <w:uiPriority w:val="29"/>
    <w:rsid w:val="0079335F"/>
    <w:rPr>
      <w:i/>
      <w:iCs/>
      <w:color w:val="404040" w:themeColor="text1" w:themeTint="BF"/>
    </w:rPr>
  </w:style>
  <w:style w:type="paragraph" w:styleId="ListParagraph">
    <w:name w:val="List Paragraph"/>
    <w:basedOn w:val="Normal"/>
    <w:uiPriority w:val="34"/>
    <w:qFormat/>
    <w:rsid w:val="0079335F"/>
    <w:pPr>
      <w:ind w:left="720"/>
      <w:contextualSpacing/>
    </w:pPr>
  </w:style>
  <w:style w:type="character" w:styleId="IntenseEmphasis">
    <w:name w:val="Intense Emphasis"/>
    <w:basedOn w:val="DefaultParagraphFont"/>
    <w:uiPriority w:val="21"/>
    <w:qFormat/>
    <w:rsid w:val="0079335F"/>
    <w:rPr>
      <w:i/>
      <w:iCs/>
      <w:color w:val="0F4761" w:themeColor="accent1" w:themeShade="BF"/>
    </w:rPr>
  </w:style>
  <w:style w:type="paragraph" w:styleId="IntenseQuote">
    <w:name w:val="Intense Quote"/>
    <w:basedOn w:val="Normal"/>
    <w:next w:val="Normal"/>
    <w:link w:val="IntenseQuoteChar"/>
    <w:uiPriority w:val="30"/>
    <w:qFormat/>
    <w:rsid w:val="007933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335F"/>
    <w:rPr>
      <w:i/>
      <w:iCs/>
      <w:color w:val="0F4761" w:themeColor="accent1" w:themeShade="BF"/>
    </w:rPr>
  </w:style>
  <w:style w:type="character" w:styleId="IntenseReference">
    <w:name w:val="Intense Reference"/>
    <w:basedOn w:val="DefaultParagraphFont"/>
    <w:uiPriority w:val="32"/>
    <w:qFormat/>
    <w:rsid w:val="0079335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1707</Words>
  <Characters>9731</Characters>
  <Application>Microsoft Office Word</Application>
  <DocSecurity>0</DocSecurity>
  <Lines>81</Lines>
  <Paragraphs>22</Paragraphs>
  <ScaleCrop>false</ScaleCrop>
  <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Hendy (2516364)</dc:creator>
  <cp:keywords/>
  <dc:description/>
  <cp:lastModifiedBy>Summer Hendy (2516364)</cp:lastModifiedBy>
  <cp:revision>2</cp:revision>
  <dcterms:created xsi:type="dcterms:W3CDTF">2026-07-08T17:11:00Z</dcterms:created>
  <dcterms:modified xsi:type="dcterms:W3CDTF">2026-07-08T17:11:00Z</dcterms:modified>
</cp:coreProperties>
</file>