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96D8A0" w14:textId="77777777" w:rsidR="00FA75EF" w:rsidRPr="00D808FF" w:rsidRDefault="00FA75EF" w:rsidP="00FA75EF">
      <w:pPr>
        <w:rPr>
          <w:b/>
          <w:bCs/>
        </w:rPr>
      </w:pPr>
      <w:bookmarkStart w:id="0" w:name="OLE_LINK2"/>
      <w:r w:rsidRPr="00D808FF">
        <w:rPr>
          <w:noProof/>
        </w:rPr>
        <w:drawing>
          <wp:anchor distT="0" distB="0" distL="114300" distR="114300" simplePos="0" relativeHeight="251659264" behindDoc="0" locked="0" layoutInCell="1" allowOverlap="1" wp14:anchorId="4A237159" wp14:editId="4CC03814">
            <wp:simplePos x="0" y="0"/>
            <wp:positionH relativeFrom="column">
              <wp:posOffset>403860</wp:posOffset>
            </wp:positionH>
            <wp:positionV relativeFrom="paragraph">
              <wp:posOffset>0</wp:posOffset>
            </wp:positionV>
            <wp:extent cx="5295900" cy="2974340"/>
            <wp:effectExtent l="0" t="0" r="0" b="0"/>
            <wp:wrapTopAndBottom/>
            <wp:docPr id="157077835" name="Picture 2"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One Planet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95900" cy="2974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5014C43" w14:textId="77777777" w:rsidR="00FA75EF" w:rsidRDefault="00FA75EF" w:rsidP="00FA75EF">
      <w:pPr>
        <w:jc w:val="center"/>
        <w:rPr>
          <w:b/>
          <w:bCs/>
        </w:rPr>
      </w:pPr>
    </w:p>
    <w:p w14:paraId="2DD793E3" w14:textId="7E6E6732" w:rsidR="00FA75EF" w:rsidRDefault="00FA75EF" w:rsidP="00FA75EF">
      <w:pPr>
        <w:jc w:val="center"/>
        <w:rPr>
          <w:rFonts w:ascii="Arial" w:hAnsi="Arial" w:cs="Arial"/>
          <w:b/>
          <w:bCs/>
        </w:rPr>
      </w:pPr>
      <w:r w:rsidRPr="006620AC">
        <w:rPr>
          <w:rFonts w:ascii="Arial" w:hAnsi="Arial" w:cs="Arial"/>
          <w:b/>
          <w:bCs/>
        </w:rPr>
        <w:t xml:space="preserve">Changemakers: </w:t>
      </w:r>
      <w:r>
        <w:rPr>
          <w:rFonts w:ascii="Arial" w:hAnsi="Arial" w:cs="Arial"/>
          <w:b/>
          <w:bCs/>
        </w:rPr>
        <w:t>Building your Personal Brand for Sustainable Employment</w:t>
      </w:r>
    </w:p>
    <w:p w14:paraId="4251345F" w14:textId="152642B1" w:rsidR="00FA75EF" w:rsidRPr="00DA5241" w:rsidRDefault="00FA75EF" w:rsidP="00FA75EF">
      <w:pPr>
        <w:jc w:val="center"/>
        <w:rPr>
          <w:rFonts w:ascii="Arial" w:hAnsi="Arial" w:cs="Arial"/>
        </w:rPr>
      </w:pPr>
      <w:r w:rsidRPr="00DA5241">
        <w:rPr>
          <w:rFonts w:ascii="Arial" w:hAnsi="Arial" w:cs="Arial"/>
        </w:rPr>
        <w:t xml:space="preserve">Module Code - </w:t>
      </w:r>
      <w:r w:rsidRPr="00BF74EB">
        <w:rPr>
          <w:rFonts w:ascii="Arial" w:hAnsi="Arial" w:cs="Arial"/>
          <w:b/>
        </w:rPr>
        <w:t>BMHP50</w:t>
      </w:r>
      <w:r>
        <w:rPr>
          <w:rFonts w:ascii="Arial" w:hAnsi="Arial" w:cs="Arial"/>
          <w:b/>
        </w:rPr>
        <w:t>1</w:t>
      </w:r>
      <w:r>
        <w:rPr>
          <w:rFonts w:ascii="Arial" w:hAnsi="Arial" w:cs="Arial"/>
          <w:b/>
        </w:rPr>
        <w:t>5</w:t>
      </w:r>
    </w:p>
    <w:p w14:paraId="4052F03C" w14:textId="77777777" w:rsidR="00FA75EF" w:rsidRPr="00DA5241" w:rsidRDefault="00FA75EF" w:rsidP="00FA75EF">
      <w:pPr>
        <w:jc w:val="center"/>
        <w:rPr>
          <w:rFonts w:ascii="Arial" w:hAnsi="Arial" w:cs="Arial"/>
        </w:rPr>
      </w:pPr>
    </w:p>
    <w:p w14:paraId="48D711D3" w14:textId="369C4671" w:rsidR="00FA75EF" w:rsidRDefault="00FA75EF" w:rsidP="00FA75EF">
      <w:pPr>
        <w:jc w:val="center"/>
        <w:rPr>
          <w:rFonts w:ascii="Arial" w:hAnsi="Arial" w:cs="Arial"/>
          <w:b/>
        </w:rPr>
      </w:pPr>
      <w:r w:rsidRPr="00DA5241">
        <w:rPr>
          <w:rFonts w:ascii="Arial" w:hAnsi="Arial" w:cs="Arial"/>
        </w:rPr>
        <w:t xml:space="preserve">Assignment </w:t>
      </w:r>
      <w:r>
        <w:rPr>
          <w:rFonts w:ascii="Arial" w:hAnsi="Arial" w:cs="Arial"/>
        </w:rPr>
        <w:t>–</w:t>
      </w:r>
      <w:r w:rsidRPr="00DA5241">
        <w:rPr>
          <w:rFonts w:ascii="Arial" w:hAnsi="Arial" w:cs="Arial"/>
        </w:rPr>
        <w:t xml:space="preserve"> </w:t>
      </w:r>
      <w:r>
        <w:rPr>
          <w:rFonts w:ascii="Arial" w:hAnsi="Arial" w:cs="Arial"/>
        </w:rPr>
        <w:t>Online Portfolio of Set Exercises</w:t>
      </w:r>
    </w:p>
    <w:p w14:paraId="7DD3B84B" w14:textId="77777777" w:rsidR="00FA75EF" w:rsidRPr="00DA5241" w:rsidRDefault="00FA75EF" w:rsidP="00FA75EF">
      <w:pPr>
        <w:jc w:val="center"/>
        <w:rPr>
          <w:rFonts w:ascii="Arial" w:hAnsi="Arial" w:cs="Arial"/>
        </w:rPr>
      </w:pPr>
    </w:p>
    <w:p w14:paraId="3E5223FC" w14:textId="77777777" w:rsidR="00FA75EF" w:rsidRPr="00DA5241" w:rsidRDefault="00FA75EF" w:rsidP="00FA75EF">
      <w:pPr>
        <w:jc w:val="center"/>
        <w:rPr>
          <w:rFonts w:ascii="Arial" w:hAnsi="Arial" w:cs="Arial"/>
        </w:rPr>
      </w:pPr>
      <w:r w:rsidRPr="00DA5241">
        <w:rPr>
          <w:rFonts w:ascii="Arial" w:hAnsi="Arial" w:cs="Arial"/>
        </w:rPr>
        <w:t xml:space="preserve">Student Name - Shumon Ahmed </w:t>
      </w:r>
    </w:p>
    <w:p w14:paraId="703B556F" w14:textId="77777777" w:rsidR="00FA75EF" w:rsidRPr="00DA5241" w:rsidRDefault="00FA75EF" w:rsidP="00FA75EF">
      <w:pPr>
        <w:jc w:val="center"/>
        <w:rPr>
          <w:rFonts w:ascii="Arial" w:hAnsi="Arial" w:cs="Arial"/>
        </w:rPr>
      </w:pPr>
      <w:r w:rsidRPr="00DA5241">
        <w:rPr>
          <w:rFonts w:ascii="Arial" w:hAnsi="Arial" w:cs="Arial"/>
        </w:rPr>
        <w:t>Student Number - 2310119</w:t>
      </w:r>
    </w:p>
    <w:p w14:paraId="2F4969D4" w14:textId="77777777" w:rsidR="00FA75EF" w:rsidRPr="00DA5241" w:rsidRDefault="00FA75EF" w:rsidP="00FA75EF">
      <w:pPr>
        <w:jc w:val="center"/>
        <w:rPr>
          <w:rFonts w:ascii="Arial" w:hAnsi="Arial" w:cs="Arial"/>
        </w:rPr>
      </w:pPr>
    </w:p>
    <w:p w14:paraId="2E6DB013" w14:textId="4B7ABBEA" w:rsidR="00FA75EF" w:rsidRPr="00DA5241" w:rsidRDefault="00FA75EF" w:rsidP="00FA75EF">
      <w:pPr>
        <w:jc w:val="center"/>
        <w:rPr>
          <w:rFonts w:ascii="Arial" w:hAnsi="Arial" w:cs="Arial"/>
        </w:rPr>
      </w:pPr>
      <w:r w:rsidRPr="00DA5241">
        <w:rPr>
          <w:rFonts w:ascii="Arial" w:hAnsi="Arial" w:cs="Arial"/>
        </w:rPr>
        <w:t xml:space="preserve">Lecturer – </w:t>
      </w:r>
      <w:r>
        <w:rPr>
          <w:rFonts w:ascii="Arial" w:hAnsi="Arial" w:cs="Arial"/>
        </w:rPr>
        <w:t>Olufemi Oluranti</w:t>
      </w:r>
    </w:p>
    <w:p w14:paraId="41089C5F" w14:textId="77777777" w:rsidR="00FA75EF" w:rsidRPr="00DA5241" w:rsidRDefault="00FA75EF" w:rsidP="00FA75EF">
      <w:pPr>
        <w:jc w:val="center"/>
        <w:rPr>
          <w:rFonts w:ascii="Arial" w:hAnsi="Arial" w:cs="Arial"/>
        </w:rPr>
      </w:pPr>
    </w:p>
    <w:p w14:paraId="0263CFB1" w14:textId="74976712" w:rsidR="00FA75EF" w:rsidRDefault="00FA75EF" w:rsidP="00FA75EF">
      <w:pPr>
        <w:jc w:val="center"/>
        <w:rPr>
          <w:rFonts w:ascii="Arial" w:hAnsi="Arial" w:cs="Arial"/>
        </w:rPr>
      </w:pPr>
      <w:r w:rsidRPr="00DA5241">
        <w:rPr>
          <w:rFonts w:ascii="Arial" w:hAnsi="Arial" w:cs="Arial"/>
        </w:rPr>
        <w:t xml:space="preserve">Date </w:t>
      </w:r>
      <w:r>
        <w:rPr>
          <w:rFonts w:ascii="Arial" w:hAnsi="Arial" w:cs="Arial"/>
        </w:rPr>
        <w:t>–</w:t>
      </w:r>
      <w:r w:rsidRPr="00DA5241">
        <w:rPr>
          <w:rFonts w:ascii="Arial" w:hAnsi="Arial" w:cs="Arial"/>
        </w:rPr>
        <w:t xml:space="preserve"> </w:t>
      </w:r>
      <w:r>
        <w:rPr>
          <w:rFonts w:ascii="Arial" w:hAnsi="Arial" w:cs="Arial"/>
        </w:rPr>
        <w:t>2</w:t>
      </w:r>
      <w:r>
        <w:rPr>
          <w:rFonts w:ascii="Arial" w:hAnsi="Arial" w:cs="Arial"/>
        </w:rPr>
        <w:t>5/03/2026</w:t>
      </w:r>
    </w:p>
    <w:p w14:paraId="41ED1725" w14:textId="77777777" w:rsidR="00FA75EF" w:rsidRDefault="00FA75EF" w:rsidP="00FA75EF">
      <w:pPr>
        <w:jc w:val="center"/>
        <w:rPr>
          <w:rFonts w:ascii="Arial" w:hAnsi="Arial" w:cs="Arial"/>
        </w:rPr>
      </w:pPr>
    </w:p>
    <w:p w14:paraId="2EB23E96" w14:textId="77777777" w:rsidR="00FA75EF" w:rsidRDefault="00FA75EF" w:rsidP="00FA75EF">
      <w:pPr>
        <w:jc w:val="center"/>
        <w:rPr>
          <w:rFonts w:ascii="Arial" w:hAnsi="Arial" w:cs="Arial"/>
        </w:rPr>
      </w:pPr>
    </w:p>
    <w:p w14:paraId="06F956EB" w14:textId="77777777" w:rsidR="00FA75EF" w:rsidRDefault="00FA75EF" w:rsidP="00FA75EF">
      <w:pPr>
        <w:jc w:val="center"/>
        <w:rPr>
          <w:rFonts w:ascii="Arial" w:hAnsi="Arial" w:cs="Arial"/>
        </w:rPr>
      </w:pPr>
    </w:p>
    <w:p w14:paraId="47776B4E" w14:textId="53678713" w:rsidR="00FA75EF" w:rsidRDefault="00FA75EF" w:rsidP="00FA75EF">
      <w:pPr>
        <w:rPr>
          <w:rFonts w:ascii="Arial" w:hAnsi="Arial" w:cs="Arial"/>
        </w:rPr>
      </w:pPr>
    </w:p>
    <w:p w14:paraId="6A50BBC5" w14:textId="77777777" w:rsidR="00FA75EF" w:rsidRDefault="00FA75EF" w:rsidP="00FA75EF">
      <w:pPr>
        <w:rPr>
          <w:rFonts w:ascii="Arial" w:hAnsi="Arial" w:cs="Arial"/>
        </w:rPr>
      </w:pPr>
    </w:p>
    <w:p w14:paraId="0FC65EE7" w14:textId="77777777" w:rsidR="00FA75EF" w:rsidRDefault="00FA75EF" w:rsidP="00FA75EF">
      <w:pPr>
        <w:rPr>
          <w:rFonts w:ascii="Arial" w:hAnsi="Arial" w:cs="Arial"/>
        </w:rPr>
      </w:pPr>
    </w:p>
    <w:p w14:paraId="11A39DAE" w14:textId="2985DEF0" w:rsidR="00FA75EF" w:rsidRPr="00FA75EF" w:rsidRDefault="00FA75EF" w:rsidP="00FA75EF">
      <w:pPr>
        <w:rPr>
          <w:rFonts w:ascii="Arial" w:hAnsi="Arial" w:cs="Arial"/>
        </w:rPr>
      </w:pPr>
      <w:r w:rsidRPr="00FA75EF">
        <w:rPr>
          <w:rFonts w:ascii="Arial" w:hAnsi="Arial" w:cs="Arial"/>
          <w:b/>
          <w:bCs/>
          <w:lang w:val="en-GB"/>
        </w:rPr>
        <w:lastRenderedPageBreak/>
        <w:t>Task 1 – Personal Brand </w:t>
      </w:r>
      <w:r w:rsidRPr="00FA75EF">
        <w:rPr>
          <w:rFonts w:ascii="Arial" w:hAnsi="Arial" w:cs="Arial"/>
        </w:rPr>
        <w:t> </w:t>
      </w:r>
    </w:p>
    <w:p w14:paraId="4CE4D707" w14:textId="77777777" w:rsidR="00FA75EF" w:rsidRPr="00FA75EF" w:rsidRDefault="00FA75EF" w:rsidP="00FA75EF">
      <w:pPr>
        <w:rPr>
          <w:rFonts w:ascii="Arial" w:hAnsi="Arial" w:cs="Arial"/>
        </w:rPr>
      </w:pPr>
      <w:r w:rsidRPr="00FA75EF">
        <w:rPr>
          <w:rFonts w:ascii="Arial" w:hAnsi="Arial" w:cs="Arial"/>
          <w:lang w:val="en-GB"/>
        </w:rPr>
        <w:t>My personal brand reflects how I present myself professionally and how others perceive my skills, values, and behaviours. I would describe my personal brand as caring, reliable, and approachable, which are important qualities in the health and social care sector. I believe my ability to communicate effectively and show empathy allows me to build positive relationships with others (Halpern, 2001; Stein-</w:t>
      </w:r>
      <w:proofErr w:type="spellStart"/>
      <w:r w:rsidRPr="00FA75EF">
        <w:rPr>
          <w:rFonts w:ascii="Arial" w:hAnsi="Arial" w:cs="Arial"/>
          <w:lang w:val="en-GB"/>
        </w:rPr>
        <w:t>Parbury</w:t>
      </w:r>
      <w:proofErr w:type="spellEnd"/>
      <w:r w:rsidRPr="00FA75EF">
        <w:rPr>
          <w:rFonts w:ascii="Arial" w:hAnsi="Arial" w:cs="Arial"/>
          <w:lang w:val="en-GB"/>
        </w:rPr>
        <w:t>, 2013).</w:t>
      </w:r>
      <w:r w:rsidRPr="00FA75EF">
        <w:rPr>
          <w:rFonts w:ascii="Arial" w:hAnsi="Arial" w:cs="Arial"/>
        </w:rPr>
        <w:t> </w:t>
      </w:r>
    </w:p>
    <w:p w14:paraId="021A17F1" w14:textId="77777777" w:rsidR="00FA75EF" w:rsidRPr="00FA75EF" w:rsidRDefault="00FA75EF" w:rsidP="00FA75EF">
      <w:pPr>
        <w:rPr>
          <w:rFonts w:ascii="Arial" w:hAnsi="Arial" w:cs="Arial"/>
        </w:rPr>
      </w:pPr>
      <w:r w:rsidRPr="00FA75EF">
        <w:rPr>
          <w:rFonts w:ascii="Arial" w:hAnsi="Arial" w:cs="Arial"/>
          <w:lang w:val="en-GB"/>
        </w:rPr>
        <w:t>However, I recognise that my personal brand is still developing. To reach my employment goals, I need to improve my confidence and professional presence. For example, I sometimes hesitate to speak in formal settings, which may affect how others perceive my competence. According to Montoya and Vandehey (2009), personal branding involves consistently presenting your strengths and values to others, which means I need to become more confident in expressing my abilities.</w:t>
      </w:r>
      <w:r w:rsidRPr="00FA75EF">
        <w:rPr>
          <w:rFonts w:ascii="Arial" w:hAnsi="Arial" w:cs="Arial"/>
        </w:rPr>
        <w:t> </w:t>
      </w:r>
    </w:p>
    <w:p w14:paraId="3E151759" w14:textId="77777777" w:rsidR="00FA75EF" w:rsidRPr="00FA75EF" w:rsidRDefault="00FA75EF" w:rsidP="00FA75EF">
      <w:pPr>
        <w:rPr>
          <w:rFonts w:ascii="Arial" w:hAnsi="Arial" w:cs="Arial"/>
        </w:rPr>
      </w:pPr>
      <w:r w:rsidRPr="00FA75EF">
        <w:rPr>
          <w:rFonts w:ascii="Arial" w:hAnsi="Arial" w:cs="Arial"/>
          <w:lang w:val="en-GB"/>
        </w:rPr>
        <w:t>To develop my personal brand, I plan to create a professional CV and LinkedIn profile to showcase my skills and experiences. Additionally, I will seek opportunities such as volunteering to gain practical experience. Tomlinson (2017) highlights that actively promoting skills is essential for employability. Developing a clear personal brand also involves understanding how employers perceive candidates in competitive job markets (Brown and Hesketh, 2004).</w:t>
      </w:r>
      <w:r w:rsidRPr="00FA75EF">
        <w:rPr>
          <w:rFonts w:ascii="Arial" w:hAnsi="Arial" w:cs="Arial"/>
        </w:rPr>
        <w:t> </w:t>
      </w:r>
    </w:p>
    <w:p w14:paraId="4A2D7DE9" w14:textId="77777777" w:rsidR="00FA75EF" w:rsidRPr="00FA75EF" w:rsidRDefault="00FA75EF" w:rsidP="00FA75EF">
      <w:pPr>
        <w:rPr>
          <w:rFonts w:ascii="Arial" w:hAnsi="Arial" w:cs="Arial"/>
        </w:rPr>
      </w:pPr>
      <w:r w:rsidRPr="00FA75EF">
        <w:rPr>
          <w:rFonts w:ascii="Arial" w:hAnsi="Arial" w:cs="Arial"/>
        </w:rPr>
        <w:t> </w:t>
      </w:r>
    </w:p>
    <w:p w14:paraId="4E44368D" w14:textId="77777777" w:rsidR="00FA75EF" w:rsidRPr="00FA75EF" w:rsidRDefault="00FA75EF" w:rsidP="00FA75EF">
      <w:pPr>
        <w:rPr>
          <w:rFonts w:ascii="Arial" w:hAnsi="Arial" w:cs="Arial"/>
        </w:rPr>
      </w:pPr>
      <w:r w:rsidRPr="00FA75EF">
        <w:rPr>
          <w:rFonts w:ascii="Arial" w:hAnsi="Arial" w:cs="Arial"/>
          <w:b/>
          <w:bCs/>
          <w:lang w:val="en-GB"/>
        </w:rPr>
        <w:t>Task 2 – Network Map and Rationale </w:t>
      </w:r>
      <w:r w:rsidRPr="00FA75EF">
        <w:rPr>
          <w:rFonts w:ascii="Arial" w:hAnsi="Arial" w:cs="Arial"/>
        </w:rPr>
        <w:t> </w:t>
      </w:r>
    </w:p>
    <w:p w14:paraId="29ED9012" w14:textId="77777777" w:rsidR="00FA75EF" w:rsidRPr="00FA75EF" w:rsidRDefault="00FA75EF" w:rsidP="00FA75EF">
      <w:pPr>
        <w:rPr>
          <w:rFonts w:ascii="Arial" w:hAnsi="Arial" w:cs="Arial"/>
        </w:rPr>
      </w:pPr>
      <w:r w:rsidRPr="00FA75EF">
        <w:rPr>
          <w:rFonts w:ascii="Arial" w:hAnsi="Arial" w:cs="Arial"/>
          <w:lang w:val="en-GB"/>
        </w:rPr>
        <w:t>My personal network includes different groups that support my personal and professional development. These include family, friends, lecturers, and professional contacts. My family provides emotional support, while lecturers offer academic guidance and career advice. Peers support my learning through group work and shared experiences.</w:t>
      </w:r>
      <w:r w:rsidRPr="00FA75EF">
        <w:rPr>
          <w:rFonts w:ascii="Arial" w:hAnsi="Arial" w:cs="Arial"/>
        </w:rPr>
        <w:t> </w:t>
      </w:r>
    </w:p>
    <w:p w14:paraId="19BCDC02" w14:textId="77777777" w:rsidR="00FA75EF" w:rsidRPr="00FA75EF" w:rsidRDefault="00FA75EF" w:rsidP="00FA75EF">
      <w:pPr>
        <w:rPr>
          <w:rFonts w:ascii="Arial" w:hAnsi="Arial" w:cs="Arial"/>
        </w:rPr>
      </w:pPr>
      <w:r w:rsidRPr="00FA75EF">
        <w:rPr>
          <w:rFonts w:ascii="Arial" w:hAnsi="Arial" w:cs="Arial"/>
          <w:lang w:val="en-GB"/>
        </w:rPr>
        <w:t>In terms of career development, I currently have limited professional contacts in the health and social care sector. This is a weakness, as professional connections can provide opportunities such as placements and job recommendations. According to </w:t>
      </w:r>
      <w:proofErr w:type="spellStart"/>
      <w:r w:rsidRPr="00FA75EF">
        <w:rPr>
          <w:rFonts w:ascii="Arial" w:hAnsi="Arial" w:cs="Arial"/>
          <w:lang w:val="en-GB"/>
        </w:rPr>
        <w:t>Granovetter</w:t>
      </w:r>
      <w:proofErr w:type="spellEnd"/>
      <w:r w:rsidRPr="00FA75EF">
        <w:rPr>
          <w:rFonts w:ascii="Arial" w:hAnsi="Arial" w:cs="Arial"/>
          <w:lang w:val="en-GB"/>
        </w:rPr>
        <w:t> (1973), weak ties, such as acquaintances and professional contacts, are often more valuable for gaining employment opportunities.</w:t>
      </w:r>
      <w:r w:rsidRPr="00FA75EF">
        <w:rPr>
          <w:rFonts w:ascii="Arial" w:hAnsi="Arial" w:cs="Arial"/>
        </w:rPr>
        <w:t> </w:t>
      </w:r>
    </w:p>
    <w:p w14:paraId="7D50E78E" w14:textId="77777777" w:rsidR="00FA75EF" w:rsidRPr="00FA75EF" w:rsidRDefault="00FA75EF" w:rsidP="00FA75EF">
      <w:pPr>
        <w:rPr>
          <w:rFonts w:ascii="Arial" w:hAnsi="Arial" w:cs="Arial"/>
        </w:rPr>
      </w:pPr>
      <w:r w:rsidRPr="00FA75EF">
        <w:rPr>
          <w:rFonts w:ascii="Arial" w:hAnsi="Arial" w:cs="Arial"/>
          <w:lang w:val="en-GB"/>
        </w:rPr>
        <w:t>To improve my network, I plan to expand connections through LinkedIn, career events, and volunteering. Networking is important for employability, as it allows access to opportunities and insights into chosen fields (Dacre Pool and Sewell, 2007). Empathy and interpersonal skills are also important for building strong networks in health and social care (Halpern, 2001).</w:t>
      </w:r>
      <w:r w:rsidRPr="00FA75EF">
        <w:rPr>
          <w:rFonts w:ascii="Arial" w:hAnsi="Arial" w:cs="Arial"/>
        </w:rPr>
        <w:t> </w:t>
      </w:r>
    </w:p>
    <w:p w14:paraId="23D02095" w14:textId="77777777" w:rsidR="00FA75EF" w:rsidRPr="00FA75EF" w:rsidRDefault="00FA75EF" w:rsidP="00FA75EF">
      <w:pPr>
        <w:rPr>
          <w:rFonts w:ascii="Arial" w:hAnsi="Arial" w:cs="Arial"/>
        </w:rPr>
      </w:pPr>
      <w:r w:rsidRPr="00FA75EF">
        <w:rPr>
          <w:rFonts w:ascii="Arial" w:hAnsi="Arial" w:cs="Arial"/>
          <w:lang w:val="en-GB"/>
        </w:rPr>
        <w:t>Overall, my network provides strong personal support but requires further development professionally to support my career goals. Reflective practice will guide me to maintain and grow these connections effectively (Moon, 2004).</w:t>
      </w:r>
      <w:r w:rsidRPr="00FA75EF">
        <w:rPr>
          <w:rFonts w:ascii="Arial" w:hAnsi="Arial" w:cs="Arial"/>
        </w:rPr>
        <w:t> </w:t>
      </w:r>
    </w:p>
    <w:p w14:paraId="027EC07C" w14:textId="77777777" w:rsidR="00FA75EF" w:rsidRPr="00FA75EF" w:rsidRDefault="00FA75EF" w:rsidP="00FA75EF">
      <w:pPr>
        <w:rPr>
          <w:rFonts w:ascii="Arial" w:hAnsi="Arial" w:cs="Arial"/>
        </w:rPr>
      </w:pPr>
      <w:r w:rsidRPr="00FA75EF">
        <w:rPr>
          <w:rFonts w:ascii="Arial" w:hAnsi="Arial" w:cs="Arial"/>
        </w:rPr>
        <w:t> </w:t>
      </w:r>
    </w:p>
    <w:p w14:paraId="7B2FFB93" w14:textId="77777777" w:rsidR="00FA75EF" w:rsidRDefault="00FA75EF" w:rsidP="00FA75EF">
      <w:pPr>
        <w:rPr>
          <w:rFonts w:ascii="Arial" w:hAnsi="Arial" w:cs="Arial"/>
          <w:b/>
          <w:bCs/>
          <w:lang w:val="en-GB"/>
        </w:rPr>
      </w:pPr>
    </w:p>
    <w:p w14:paraId="115067C0" w14:textId="77777777" w:rsidR="00FA75EF" w:rsidRDefault="00FA75EF" w:rsidP="00FA75EF">
      <w:pPr>
        <w:rPr>
          <w:rFonts w:ascii="Arial" w:hAnsi="Arial" w:cs="Arial"/>
          <w:b/>
          <w:bCs/>
          <w:lang w:val="en-GB"/>
        </w:rPr>
      </w:pPr>
    </w:p>
    <w:p w14:paraId="53AB0C0B" w14:textId="7AD32571" w:rsidR="00FA75EF" w:rsidRPr="00FA75EF" w:rsidRDefault="00FA75EF" w:rsidP="00FA75EF">
      <w:pPr>
        <w:rPr>
          <w:rFonts w:ascii="Arial" w:hAnsi="Arial" w:cs="Arial"/>
        </w:rPr>
      </w:pPr>
      <w:r w:rsidRPr="00FA75EF">
        <w:rPr>
          <w:rFonts w:ascii="Arial" w:hAnsi="Arial" w:cs="Arial"/>
          <w:b/>
          <w:bCs/>
          <w:lang w:val="en-GB"/>
        </w:rPr>
        <w:t>Task 3 – Blog </w:t>
      </w:r>
      <w:r w:rsidRPr="00FA75EF">
        <w:rPr>
          <w:rFonts w:ascii="Arial" w:hAnsi="Arial" w:cs="Arial"/>
        </w:rPr>
        <w:t> </w:t>
      </w:r>
    </w:p>
    <w:p w14:paraId="63F9E846" w14:textId="77777777" w:rsidR="00FA75EF" w:rsidRPr="00FA75EF" w:rsidRDefault="00FA75EF" w:rsidP="00FA75EF">
      <w:pPr>
        <w:rPr>
          <w:rFonts w:ascii="Arial" w:hAnsi="Arial" w:cs="Arial"/>
        </w:rPr>
      </w:pPr>
      <w:r w:rsidRPr="00FA75EF">
        <w:rPr>
          <w:rFonts w:ascii="Arial" w:hAnsi="Arial" w:cs="Arial"/>
          <w:b/>
          <w:bCs/>
          <w:lang w:val="en-GB"/>
        </w:rPr>
        <w:t>Topic:</w:t>
      </w:r>
      <w:r w:rsidRPr="00FA75EF">
        <w:rPr>
          <w:rFonts w:ascii="Arial" w:hAnsi="Arial" w:cs="Arial"/>
          <w:lang w:val="en-GB"/>
        </w:rPr>
        <w:t> Mental Health Support in the UK Healthcare System</w:t>
      </w:r>
      <w:r w:rsidRPr="00FA75EF">
        <w:rPr>
          <w:rFonts w:ascii="Arial" w:hAnsi="Arial" w:cs="Arial"/>
        </w:rPr>
        <w:t> </w:t>
      </w:r>
      <w:r w:rsidRPr="00FA75EF">
        <w:rPr>
          <w:rFonts w:ascii="Arial" w:hAnsi="Arial" w:cs="Arial"/>
        </w:rPr>
        <w:br/>
      </w:r>
      <w:r w:rsidRPr="00FA75EF">
        <w:rPr>
          <w:rFonts w:ascii="Arial" w:hAnsi="Arial" w:cs="Arial"/>
          <w:b/>
          <w:bCs/>
          <w:lang w:val="en-GB"/>
        </w:rPr>
        <w:t>Target Audience:</w:t>
      </w:r>
      <w:r w:rsidRPr="00FA75EF">
        <w:rPr>
          <w:rFonts w:ascii="Arial" w:hAnsi="Arial" w:cs="Arial"/>
          <w:lang w:val="en-GB"/>
        </w:rPr>
        <w:t> Young adults and students</w:t>
      </w:r>
      <w:r w:rsidRPr="00FA75EF">
        <w:rPr>
          <w:rFonts w:ascii="Arial" w:hAnsi="Arial" w:cs="Arial"/>
        </w:rPr>
        <w:t> </w:t>
      </w:r>
    </w:p>
    <w:p w14:paraId="0550B3F4" w14:textId="77777777" w:rsidR="00FA75EF" w:rsidRPr="00FA75EF" w:rsidRDefault="00FA75EF" w:rsidP="00FA75EF">
      <w:pPr>
        <w:rPr>
          <w:rFonts w:ascii="Arial" w:hAnsi="Arial" w:cs="Arial"/>
        </w:rPr>
      </w:pPr>
      <w:r w:rsidRPr="00FA75EF">
        <w:rPr>
          <w:rFonts w:ascii="Arial" w:hAnsi="Arial" w:cs="Arial"/>
          <w:lang w:val="en-GB"/>
        </w:rPr>
        <w:t>Mental health has become an increasingly important issue in the UK, particularly among young people. Many experience stress, anxiety, and depression, yet access to support remains a challenge. This blog aims to raise awareness of the importance of mental health support and encourage young people to seek help.</w:t>
      </w:r>
      <w:r w:rsidRPr="00FA75EF">
        <w:rPr>
          <w:rFonts w:ascii="Arial" w:hAnsi="Arial" w:cs="Arial"/>
        </w:rPr>
        <w:t> </w:t>
      </w:r>
    </w:p>
    <w:p w14:paraId="0414480C" w14:textId="77777777" w:rsidR="00FA75EF" w:rsidRPr="00FA75EF" w:rsidRDefault="00FA75EF" w:rsidP="00FA75EF">
      <w:pPr>
        <w:rPr>
          <w:rFonts w:ascii="Arial" w:hAnsi="Arial" w:cs="Arial"/>
        </w:rPr>
      </w:pPr>
      <w:r w:rsidRPr="00FA75EF">
        <w:rPr>
          <w:rFonts w:ascii="Arial" w:hAnsi="Arial" w:cs="Arial"/>
          <w:lang w:val="en-GB"/>
        </w:rPr>
        <w:t>The NHS provides a range of mental health services, including counselling, therapy, and crisis support. However, long waiting times can delay help, worsen conditions and </w:t>
      </w:r>
      <w:proofErr w:type="gramStart"/>
      <w:r w:rsidRPr="00FA75EF">
        <w:rPr>
          <w:rFonts w:ascii="Arial" w:hAnsi="Arial" w:cs="Arial"/>
          <w:lang w:val="en-GB"/>
        </w:rPr>
        <w:t>increasing</w:t>
      </w:r>
      <w:proofErr w:type="gramEnd"/>
      <w:r w:rsidRPr="00FA75EF">
        <w:rPr>
          <w:rFonts w:ascii="Arial" w:hAnsi="Arial" w:cs="Arial"/>
          <w:lang w:val="en-GB"/>
        </w:rPr>
        <w:t> pressure on healthcare systems. One key issue is the stigma surrounding mental health. Many young people feel uncomfortable discussing their struggles due to fear of judgment.</w:t>
      </w:r>
      <w:r w:rsidRPr="00FA75EF">
        <w:rPr>
          <w:rFonts w:ascii="Arial" w:hAnsi="Arial" w:cs="Arial"/>
        </w:rPr>
        <w:t> </w:t>
      </w:r>
    </w:p>
    <w:p w14:paraId="191CB4E0" w14:textId="77777777" w:rsidR="00FA75EF" w:rsidRPr="00FA75EF" w:rsidRDefault="00FA75EF" w:rsidP="00FA75EF">
      <w:pPr>
        <w:rPr>
          <w:rFonts w:ascii="Arial" w:hAnsi="Arial" w:cs="Arial"/>
        </w:rPr>
      </w:pPr>
      <w:r w:rsidRPr="00FA75EF">
        <w:rPr>
          <w:rFonts w:ascii="Arial" w:hAnsi="Arial" w:cs="Arial"/>
          <w:lang w:val="en-GB"/>
        </w:rPr>
        <w:t>Positive developments include digital services, such as online therapy and mental health apps, providing accessible and flexible support (Stein-</w:t>
      </w:r>
      <w:proofErr w:type="spellStart"/>
      <w:r w:rsidRPr="00FA75EF">
        <w:rPr>
          <w:rFonts w:ascii="Arial" w:hAnsi="Arial" w:cs="Arial"/>
          <w:lang w:val="en-GB"/>
        </w:rPr>
        <w:t>Parbury</w:t>
      </w:r>
      <w:proofErr w:type="spellEnd"/>
      <w:r w:rsidRPr="00FA75EF">
        <w:rPr>
          <w:rFonts w:ascii="Arial" w:hAnsi="Arial" w:cs="Arial"/>
          <w:lang w:val="en-GB"/>
        </w:rPr>
        <w:t>, 2013). Schools and universities are also introducing awareness campaigns to normalise conversations about mental health.</w:t>
      </w:r>
      <w:r w:rsidRPr="00FA75EF">
        <w:rPr>
          <w:rFonts w:ascii="Arial" w:hAnsi="Arial" w:cs="Arial"/>
        </w:rPr>
        <w:t> </w:t>
      </w:r>
    </w:p>
    <w:p w14:paraId="7D53B7E8" w14:textId="77777777" w:rsidR="00FA75EF" w:rsidRPr="00FA75EF" w:rsidRDefault="00FA75EF" w:rsidP="00FA75EF">
      <w:pPr>
        <w:rPr>
          <w:rFonts w:ascii="Arial" w:hAnsi="Arial" w:cs="Arial"/>
        </w:rPr>
      </w:pPr>
      <w:r w:rsidRPr="00FA75EF">
        <w:rPr>
          <w:rFonts w:ascii="Arial" w:hAnsi="Arial" w:cs="Arial"/>
          <w:lang w:val="en-GB"/>
        </w:rPr>
        <w:t>In conclusion, while the UK healthcare system provides valuable support, improvements are needed to reduce waiting times and increase accessibility. Young people should be encouraged to prioritise wellbeing. Mental health is as important as physical health, and support should be accessible to everyone (Brown and Hesketh, 2004).</w:t>
      </w:r>
      <w:r w:rsidRPr="00FA75EF">
        <w:rPr>
          <w:rFonts w:ascii="Arial" w:hAnsi="Arial" w:cs="Arial"/>
        </w:rPr>
        <w:t> </w:t>
      </w:r>
    </w:p>
    <w:p w14:paraId="0FC34AE0" w14:textId="77777777" w:rsidR="00FA75EF" w:rsidRPr="00FA75EF" w:rsidRDefault="00FA75EF" w:rsidP="00FA75EF">
      <w:pPr>
        <w:rPr>
          <w:rFonts w:ascii="Arial" w:hAnsi="Arial" w:cs="Arial"/>
        </w:rPr>
      </w:pPr>
      <w:r w:rsidRPr="00FA75EF">
        <w:rPr>
          <w:rFonts w:ascii="Arial" w:hAnsi="Arial" w:cs="Arial"/>
        </w:rPr>
        <w:t> </w:t>
      </w:r>
    </w:p>
    <w:p w14:paraId="521C3623" w14:textId="77777777" w:rsidR="00FA75EF" w:rsidRPr="00FA75EF" w:rsidRDefault="00FA75EF" w:rsidP="00FA75EF">
      <w:pPr>
        <w:rPr>
          <w:rFonts w:ascii="Arial" w:hAnsi="Arial" w:cs="Arial"/>
        </w:rPr>
      </w:pPr>
      <w:r w:rsidRPr="00FA75EF">
        <w:rPr>
          <w:rFonts w:ascii="Arial" w:hAnsi="Arial" w:cs="Arial"/>
          <w:b/>
          <w:bCs/>
          <w:lang w:val="en-GB"/>
        </w:rPr>
        <w:t>Task 4 – NHS Equality, Diversity and Inclusion </w:t>
      </w:r>
      <w:r w:rsidRPr="00FA75EF">
        <w:rPr>
          <w:rFonts w:ascii="Arial" w:hAnsi="Arial" w:cs="Arial"/>
        </w:rPr>
        <w:t> </w:t>
      </w:r>
    </w:p>
    <w:p w14:paraId="1F55B07D" w14:textId="77777777" w:rsidR="00FA75EF" w:rsidRPr="00FA75EF" w:rsidRDefault="00FA75EF" w:rsidP="00FA75EF">
      <w:pPr>
        <w:numPr>
          <w:ilvl w:val="0"/>
          <w:numId w:val="1"/>
        </w:numPr>
        <w:rPr>
          <w:rFonts w:ascii="Arial" w:hAnsi="Arial" w:cs="Arial"/>
        </w:rPr>
      </w:pPr>
      <w:r w:rsidRPr="00FA75EF">
        <w:rPr>
          <w:rFonts w:ascii="Arial" w:hAnsi="Arial" w:cs="Arial"/>
          <w:lang w:val="en-GB"/>
        </w:rPr>
        <w:t>The primary goal of the NHS EDI Improvement Plan is to create a fair and inclusive workplace where all staff are valued (NHS England, 2023). </w:t>
      </w:r>
      <w:r w:rsidRPr="00FA75EF">
        <w:rPr>
          <w:rFonts w:ascii="Arial" w:hAnsi="Arial" w:cs="Arial"/>
        </w:rPr>
        <w:t> </w:t>
      </w:r>
    </w:p>
    <w:p w14:paraId="356061BC" w14:textId="77777777" w:rsidR="00FA75EF" w:rsidRPr="00FA75EF" w:rsidRDefault="00FA75EF" w:rsidP="00FA75EF">
      <w:pPr>
        <w:numPr>
          <w:ilvl w:val="0"/>
          <w:numId w:val="2"/>
        </w:numPr>
        <w:rPr>
          <w:rFonts w:ascii="Arial" w:hAnsi="Arial" w:cs="Arial"/>
        </w:rPr>
      </w:pPr>
      <w:r w:rsidRPr="00FA75EF">
        <w:rPr>
          <w:rFonts w:ascii="Arial" w:hAnsi="Arial" w:cs="Arial"/>
          <w:lang w:val="en-GB"/>
        </w:rPr>
        <w:t>It tackles the gender pay gap through pay transparency and equal progression opportunities (NHS England, 2023). </w:t>
      </w:r>
      <w:r w:rsidRPr="00FA75EF">
        <w:rPr>
          <w:rFonts w:ascii="Arial" w:hAnsi="Arial" w:cs="Arial"/>
        </w:rPr>
        <w:t> </w:t>
      </w:r>
    </w:p>
    <w:p w14:paraId="4D923739" w14:textId="77777777" w:rsidR="00FA75EF" w:rsidRPr="00FA75EF" w:rsidRDefault="00FA75EF" w:rsidP="00FA75EF">
      <w:pPr>
        <w:numPr>
          <w:ilvl w:val="0"/>
          <w:numId w:val="3"/>
        </w:numPr>
        <w:rPr>
          <w:rFonts w:ascii="Arial" w:hAnsi="Arial" w:cs="Arial"/>
        </w:rPr>
      </w:pPr>
      <w:r w:rsidRPr="00FA75EF">
        <w:rPr>
          <w:rFonts w:ascii="Arial" w:hAnsi="Arial" w:cs="Arial"/>
          <w:lang w:val="en-GB"/>
        </w:rPr>
        <w:t>Intersectionality refers to how different aspects of identity combine to create unique experiences of disadvantage (Crenshaw, 1989). </w:t>
      </w:r>
      <w:r w:rsidRPr="00FA75EF">
        <w:rPr>
          <w:rFonts w:ascii="Arial" w:hAnsi="Arial" w:cs="Arial"/>
        </w:rPr>
        <w:t> </w:t>
      </w:r>
    </w:p>
    <w:p w14:paraId="7D5D5BF2" w14:textId="77777777" w:rsidR="00FA75EF" w:rsidRPr="00FA75EF" w:rsidRDefault="00FA75EF" w:rsidP="00FA75EF">
      <w:pPr>
        <w:numPr>
          <w:ilvl w:val="0"/>
          <w:numId w:val="4"/>
        </w:numPr>
        <w:rPr>
          <w:rFonts w:ascii="Arial" w:hAnsi="Arial" w:cs="Arial"/>
        </w:rPr>
      </w:pPr>
      <w:r w:rsidRPr="00FA75EF">
        <w:rPr>
          <w:rFonts w:ascii="Arial" w:hAnsi="Arial" w:cs="Arial"/>
          <w:lang w:val="en-GB"/>
        </w:rPr>
        <w:t>A psychologically safe environment allows staff to speak up without fear of negative consequences (Edmondson, 1999). </w:t>
      </w:r>
      <w:r w:rsidRPr="00FA75EF">
        <w:rPr>
          <w:rFonts w:ascii="Arial" w:hAnsi="Arial" w:cs="Arial"/>
        </w:rPr>
        <w:t> </w:t>
      </w:r>
    </w:p>
    <w:p w14:paraId="019D55BE" w14:textId="77777777" w:rsidR="00FA75EF" w:rsidRPr="00FA75EF" w:rsidRDefault="00FA75EF" w:rsidP="00FA75EF">
      <w:pPr>
        <w:numPr>
          <w:ilvl w:val="0"/>
          <w:numId w:val="5"/>
        </w:numPr>
        <w:rPr>
          <w:rFonts w:ascii="Arial" w:hAnsi="Arial" w:cs="Arial"/>
        </w:rPr>
      </w:pPr>
      <w:r w:rsidRPr="00FA75EF">
        <w:rPr>
          <w:rFonts w:ascii="Arial" w:hAnsi="Arial" w:cs="Arial"/>
          <w:lang w:val="en-GB"/>
        </w:rPr>
        <w:t>International staff experience is improved by better support, fair treatment, and inclusive policies (NHS England, 2023). </w:t>
      </w:r>
      <w:r w:rsidRPr="00FA75EF">
        <w:rPr>
          <w:rFonts w:ascii="Arial" w:hAnsi="Arial" w:cs="Arial"/>
        </w:rPr>
        <w:t> </w:t>
      </w:r>
    </w:p>
    <w:p w14:paraId="0BEF1332" w14:textId="77777777" w:rsidR="00FA75EF" w:rsidRPr="00FA75EF" w:rsidRDefault="00FA75EF" w:rsidP="00FA75EF">
      <w:pPr>
        <w:numPr>
          <w:ilvl w:val="0"/>
          <w:numId w:val="6"/>
        </w:numPr>
        <w:rPr>
          <w:rFonts w:ascii="Arial" w:hAnsi="Arial" w:cs="Arial"/>
        </w:rPr>
      </w:pPr>
      <w:r w:rsidRPr="00FA75EF">
        <w:rPr>
          <w:rFonts w:ascii="Arial" w:hAnsi="Arial" w:cs="Arial"/>
          <w:lang w:val="en-GB"/>
        </w:rPr>
        <w:t>Leadership promotes inclusive practices and accountability for EDI goals (West et al., 2015). </w:t>
      </w:r>
      <w:r w:rsidRPr="00FA75EF">
        <w:rPr>
          <w:rFonts w:ascii="Arial" w:hAnsi="Arial" w:cs="Arial"/>
        </w:rPr>
        <w:t> </w:t>
      </w:r>
    </w:p>
    <w:p w14:paraId="6DC02F57" w14:textId="77777777" w:rsidR="00FA75EF" w:rsidRPr="00FA75EF" w:rsidRDefault="00FA75EF" w:rsidP="00FA75EF">
      <w:pPr>
        <w:numPr>
          <w:ilvl w:val="0"/>
          <w:numId w:val="7"/>
        </w:numPr>
        <w:rPr>
          <w:rFonts w:ascii="Arial" w:hAnsi="Arial" w:cs="Arial"/>
        </w:rPr>
      </w:pPr>
      <w:r w:rsidRPr="00FA75EF">
        <w:rPr>
          <w:rFonts w:ascii="Arial" w:hAnsi="Arial" w:cs="Arial"/>
          <w:lang w:val="en-GB"/>
        </w:rPr>
        <w:t>Health inequalities are reduced by addressing disparities in career progression and training access (NHS England, 2023). </w:t>
      </w:r>
      <w:r w:rsidRPr="00FA75EF">
        <w:rPr>
          <w:rFonts w:ascii="Arial" w:hAnsi="Arial" w:cs="Arial"/>
        </w:rPr>
        <w:t> </w:t>
      </w:r>
    </w:p>
    <w:p w14:paraId="00E52192" w14:textId="77777777" w:rsidR="00FA75EF" w:rsidRPr="00FA75EF" w:rsidRDefault="00FA75EF" w:rsidP="00FA75EF">
      <w:pPr>
        <w:numPr>
          <w:ilvl w:val="0"/>
          <w:numId w:val="8"/>
        </w:numPr>
        <w:rPr>
          <w:rFonts w:ascii="Arial" w:hAnsi="Arial" w:cs="Arial"/>
        </w:rPr>
      </w:pPr>
      <w:r w:rsidRPr="00FA75EF">
        <w:rPr>
          <w:rFonts w:ascii="Arial" w:hAnsi="Arial" w:cs="Arial"/>
          <w:lang w:val="en-GB"/>
        </w:rPr>
        <w:t>Collecting data on protected characteristics identifies inequalities and monitors progress (Equality Act, 2010). </w:t>
      </w:r>
      <w:r w:rsidRPr="00FA75EF">
        <w:rPr>
          <w:rFonts w:ascii="Arial" w:hAnsi="Arial" w:cs="Arial"/>
        </w:rPr>
        <w:t> </w:t>
      </w:r>
    </w:p>
    <w:p w14:paraId="71458AC5" w14:textId="77777777" w:rsidR="00FA75EF" w:rsidRPr="00FA75EF" w:rsidRDefault="00FA75EF" w:rsidP="00FA75EF">
      <w:pPr>
        <w:numPr>
          <w:ilvl w:val="0"/>
          <w:numId w:val="9"/>
        </w:numPr>
        <w:rPr>
          <w:rFonts w:ascii="Arial" w:hAnsi="Arial" w:cs="Arial"/>
        </w:rPr>
      </w:pPr>
      <w:r w:rsidRPr="00FA75EF">
        <w:rPr>
          <w:rFonts w:ascii="Arial" w:hAnsi="Arial" w:cs="Arial"/>
          <w:lang w:val="en-GB"/>
        </w:rPr>
        <w:t>Flexible working supports inclusion by balancing work with personal responsibilities (CIPD, 2022). </w:t>
      </w:r>
      <w:r w:rsidRPr="00FA75EF">
        <w:rPr>
          <w:rFonts w:ascii="Arial" w:hAnsi="Arial" w:cs="Arial"/>
        </w:rPr>
        <w:t> </w:t>
      </w:r>
    </w:p>
    <w:p w14:paraId="13E99245" w14:textId="77777777" w:rsidR="00FA75EF" w:rsidRPr="00FA75EF" w:rsidRDefault="00FA75EF" w:rsidP="00FA75EF">
      <w:pPr>
        <w:numPr>
          <w:ilvl w:val="0"/>
          <w:numId w:val="10"/>
        </w:numPr>
        <w:rPr>
          <w:rFonts w:ascii="Arial" w:hAnsi="Arial" w:cs="Arial"/>
        </w:rPr>
      </w:pPr>
      <w:r w:rsidRPr="00FA75EF">
        <w:rPr>
          <w:rFonts w:ascii="Arial" w:hAnsi="Arial" w:cs="Arial"/>
          <w:lang w:val="en-GB"/>
        </w:rPr>
        <w:t>Bullying and harassment are addressed through zero-tolerance culture and clear reporting systems (NHS England, 2023). </w:t>
      </w:r>
      <w:r w:rsidRPr="00FA75EF">
        <w:rPr>
          <w:rFonts w:ascii="Arial" w:hAnsi="Arial" w:cs="Arial"/>
        </w:rPr>
        <w:t> </w:t>
      </w:r>
    </w:p>
    <w:p w14:paraId="029D12E6" w14:textId="77777777" w:rsidR="00FA75EF" w:rsidRPr="00FA75EF" w:rsidRDefault="00FA75EF" w:rsidP="00FA75EF">
      <w:pPr>
        <w:rPr>
          <w:rFonts w:ascii="Arial" w:hAnsi="Arial" w:cs="Arial"/>
        </w:rPr>
      </w:pPr>
      <w:r w:rsidRPr="00FA75EF">
        <w:rPr>
          <w:rFonts w:ascii="Arial" w:hAnsi="Arial" w:cs="Arial"/>
        </w:rPr>
        <w:t> </w:t>
      </w:r>
    </w:p>
    <w:p w14:paraId="5EEAAD03" w14:textId="77777777" w:rsidR="00FA75EF" w:rsidRPr="00FA75EF" w:rsidRDefault="00FA75EF" w:rsidP="00FA75EF">
      <w:pPr>
        <w:rPr>
          <w:rFonts w:ascii="Arial" w:hAnsi="Arial" w:cs="Arial"/>
        </w:rPr>
      </w:pPr>
      <w:r w:rsidRPr="00FA75EF">
        <w:rPr>
          <w:rFonts w:ascii="Arial" w:hAnsi="Arial" w:cs="Arial"/>
          <w:b/>
          <w:bCs/>
          <w:lang w:val="en-GB"/>
        </w:rPr>
        <w:t>Task 5 – Letter to Yourself </w:t>
      </w:r>
      <w:r w:rsidRPr="00FA75EF">
        <w:rPr>
          <w:rFonts w:ascii="Arial" w:hAnsi="Arial" w:cs="Arial"/>
        </w:rPr>
        <w:t> </w:t>
      </w:r>
    </w:p>
    <w:p w14:paraId="6BFC336A" w14:textId="77777777" w:rsidR="00FA75EF" w:rsidRPr="00FA75EF" w:rsidRDefault="00FA75EF" w:rsidP="00FA75EF">
      <w:pPr>
        <w:rPr>
          <w:rFonts w:ascii="Arial" w:hAnsi="Arial" w:cs="Arial"/>
        </w:rPr>
      </w:pPr>
      <w:r w:rsidRPr="00FA75EF">
        <w:rPr>
          <w:rFonts w:ascii="Arial" w:hAnsi="Arial" w:cs="Arial"/>
          <w:lang w:val="en-GB"/>
        </w:rPr>
        <w:t>Dear younger me,</w:t>
      </w:r>
      <w:r w:rsidRPr="00FA75EF">
        <w:rPr>
          <w:rFonts w:ascii="Arial" w:hAnsi="Arial" w:cs="Arial"/>
        </w:rPr>
        <w:t> </w:t>
      </w:r>
    </w:p>
    <w:p w14:paraId="454D6CDB" w14:textId="77777777" w:rsidR="00FA75EF" w:rsidRPr="00FA75EF" w:rsidRDefault="00FA75EF" w:rsidP="00FA75EF">
      <w:pPr>
        <w:rPr>
          <w:rFonts w:ascii="Arial" w:hAnsi="Arial" w:cs="Arial"/>
        </w:rPr>
      </w:pPr>
      <w:r w:rsidRPr="00FA75EF">
        <w:rPr>
          <w:rFonts w:ascii="Arial" w:hAnsi="Arial" w:cs="Arial"/>
          <w:lang w:val="en-GB"/>
        </w:rPr>
        <w:t>I know there was a time when you felt overwhelmed and unsure, especially during challenges that seemed too difficult. Emotional intelligence and resilience were crucial during that period. You often struggled to understand and manage emotions, sometimes withdrawing or doubting yourself. According to Goleman (1995), emotional intelligence helps individuals recognise and manage emotions effectively.</w:t>
      </w:r>
      <w:r w:rsidRPr="00FA75EF">
        <w:rPr>
          <w:rFonts w:ascii="Arial" w:hAnsi="Arial" w:cs="Arial"/>
        </w:rPr>
        <w:t> </w:t>
      </w:r>
    </w:p>
    <w:p w14:paraId="4655F76F" w14:textId="77777777" w:rsidR="00FA75EF" w:rsidRPr="00FA75EF" w:rsidRDefault="00FA75EF" w:rsidP="00FA75EF">
      <w:pPr>
        <w:rPr>
          <w:rFonts w:ascii="Arial" w:hAnsi="Arial" w:cs="Arial"/>
        </w:rPr>
      </w:pPr>
      <w:r w:rsidRPr="00FA75EF">
        <w:rPr>
          <w:rFonts w:ascii="Arial" w:hAnsi="Arial" w:cs="Arial"/>
          <w:lang w:val="en-GB"/>
        </w:rPr>
        <w:t>Resilience is equally important. Setbacks felt like failures, </w:t>
      </w:r>
      <w:proofErr w:type="gramStart"/>
      <w:r w:rsidRPr="00FA75EF">
        <w:rPr>
          <w:rFonts w:ascii="Arial" w:hAnsi="Arial" w:cs="Arial"/>
          <w:lang w:val="en-GB"/>
        </w:rPr>
        <w:t>but in reality,</w:t>
      </w:r>
      <w:proofErr w:type="gramEnd"/>
      <w:r w:rsidRPr="00FA75EF">
        <w:rPr>
          <w:rFonts w:ascii="Arial" w:hAnsi="Arial" w:cs="Arial"/>
          <w:lang w:val="en-GB"/>
        </w:rPr>
        <w:t> they were opportunities to learn. Grant and Kinman (2014) explain that resilience helps cope with stress and adapt to challenges.</w:t>
      </w:r>
      <w:r w:rsidRPr="00FA75EF">
        <w:rPr>
          <w:rFonts w:ascii="Arial" w:hAnsi="Arial" w:cs="Arial"/>
        </w:rPr>
        <w:t> </w:t>
      </w:r>
    </w:p>
    <w:p w14:paraId="6B022A0C" w14:textId="77777777" w:rsidR="00FA75EF" w:rsidRPr="00FA75EF" w:rsidRDefault="00FA75EF" w:rsidP="00FA75EF">
      <w:pPr>
        <w:rPr>
          <w:rFonts w:ascii="Arial" w:hAnsi="Arial" w:cs="Arial"/>
        </w:rPr>
      </w:pPr>
      <w:r w:rsidRPr="00FA75EF">
        <w:rPr>
          <w:rFonts w:ascii="Arial" w:hAnsi="Arial" w:cs="Arial"/>
          <w:lang w:val="en-GB"/>
        </w:rPr>
        <w:t>If I could advise you, I would say: be patient and reflective. Struggling is normal, but it’s important to persist and learn from experiences. These skills would have helped you manage emotions, build confidence, and make informed decisions.</w:t>
      </w:r>
      <w:r w:rsidRPr="00FA75EF">
        <w:rPr>
          <w:rFonts w:ascii="Arial" w:hAnsi="Arial" w:cs="Arial"/>
        </w:rPr>
        <w:t> </w:t>
      </w:r>
    </w:p>
    <w:p w14:paraId="4D140E90" w14:textId="77777777" w:rsidR="00FA75EF" w:rsidRPr="00FA75EF" w:rsidRDefault="00FA75EF" w:rsidP="00FA75EF">
      <w:pPr>
        <w:rPr>
          <w:rFonts w:ascii="Arial" w:hAnsi="Arial" w:cs="Arial"/>
        </w:rPr>
      </w:pPr>
      <w:r w:rsidRPr="00FA75EF">
        <w:rPr>
          <w:rFonts w:ascii="Arial" w:hAnsi="Arial" w:cs="Arial"/>
          <w:lang w:val="en-GB"/>
        </w:rPr>
        <w:t>Remember, every challenge strengthens your ability to adapt and grow. Keep believing in your abilities and developing your emotional intelligence and resilience—it will be invaluable for your personal and professional life.</w:t>
      </w:r>
      <w:r w:rsidRPr="00FA75EF">
        <w:rPr>
          <w:rFonts w:ascii="Arial" w:hAnsi="Arial" w:cs="Arial"/>
        </w:rPr>
        <w:t> </w:t>
      </w:r>
    </w:p>
    <w:p w14:paraId="6E0359D8" w14:textId="77777777" w:rsidR="00FA75EF" w:rsidRDefault="00FA75EF" w:rsidP="00FA75EF">
      <w:pPr>
        <w:rPr>
          <w:rFonts w:ascii="Arial" w:hAnsi="Arial" w:cs="Arial"/>
        </w:rPr>
      </w:pPr>
      <w:r w:rsidRPr="00FA75EF">
        <w:rPr>
          <w:rFonts w:ascii="Arial" w:hAnsi="Arial" w:cs="Arial"/>
          <w:lang w:val="en-GB"/>
        </w:rPr>
        <w:t>Yours sincerely,</w:t>
      </w:r>
      <w:r w:rsidRPr="00FA75EF">
        <w:rPr>
          <w:rFonts w:ascii="Arial" w:hAnsi="Arial" w:cs="Arial"/>
        </w:rPr>
        <w:t> </w:t>
      </w:r>
    </w:p>
    <w:p w14:paraId="157F7C10" w14:textId="54A8E26D" w:rsidR="00FA75EF" w:rsidRPr="00FA75EF" w:rsidRDefault="00FA75EF" w:rsidP="00FA75EF">
      <w:pPr>
        <w:rPr>
          <w:rFonts w:ascii="Arial" w:hAnsi="Arial" w:cs="Arial"/>
        </w:rPr>
      </w:pPr>
      <w:r w:rsidRPr="00FA75EF">
        <w:rPr>
          <w:rFonts w:ascii="Arial" w:hAnsi="Arial" w:cs="Arial"/>
        </w:rPr>
        <w:br/>
      </w:r>
      <w:r w:rsidRPr="00FA75EF">
        <w:rPr>
          <w:rFonts w:ascii="Arial" w:hAnsi="Arial" w:cs="Arial"/>
          <w:lang w:val="en-GB"/>
        </w:rPr>
        <w:t>Your future self</w:t>
      </w:r>
      <w:r w:rsidRPr="00FA75EF">
        <w:rPr>
          <w:rFonts w:ascii="Arial" w:hAnsi="Arial" w:cs="Arial"/>
        </w:rPr>
        <w:t> </w:t>
      </w:r>
    </w:p>
    <w:p w14:paraId="56C72BCE" w14:textId="77777777" w:rsidR="00FA75EF" w:rsidRPr="00FA75EF" w:rsidRDefault="00FA75EF" w:rsidP="00FA75EF">
      <w:pPr>
        <w:rPr>
          <w:rFonts w:ascii="Arial" w:hAnsi="Arial" w:cs="Arial"/>
        </w:rPr>
      </w:pPr>
      <w:r w:rsidRPr="00FA75EF">
        <w:rPr>
          <w:rFonts w:ascii="Arial" w:hAnsi="Arial" w:cs="Arial"/>
        </w:rPr>
        <w:t> </w:t>
      </w:r>
    </w:p>
    <w:p w14:paraId="31E86E4E" w14:textId="77777777" w:rsidR="00FA75EF" w:rsidRPr="00FA75EF" w:rsidRDefault="00FA75EF" w:rsidP="00FA75EF">
      <w:pPr>
        <w:rPr>
          <w:rFonts w:ascii="Arial" w:hAnsi="Arial" w:cs="Arial"/>
        </w:rPr>
      </w:pPr>
      <w:r w:rsidRPr="00FA75EF">
        <w:rPr>
          <w:rFonts w:ascii="Arial" w:hAnsi="Arial" w:cs="Arial"/>
        </w:rPr>
        <w:t> </w:t>
      </w:r>
    </w:p>
    <w:p w14:paraId="3CDC7277" w14:textId="77777777" w:rsidR="00FA75EF" w:rsidRPr="00FA75EF" w:rsidRDefault="00FA75EF" w:rsidP="00FA75EF">
      <w:pPr>
        <w:rPr>
          <w:rFonts w:ascii="Arial" w:hAnsi="Arial" w:cs="Arial"/>
        </w:rPr>
      </w:pPr>
      <w:r w:rsidRPr="00FA75EF">
        <w:rPr>
          <w:rFonts w:ascii="Arial" w:hAnsi="Arial" w:cs="Arial"/>
        </w:rPr>
        <w:t> </w:t>
      </w:r>
    </w:p>
    <w:p w14:paraId="746D7BF0" w14:textId="77777777" w:rsidR="00FA75EF" w:rsidRDefault="00FA75EF" w:rsidP="00FA75EF">
      <w:pPr>
        <w:rPr>
          <w:rFonts w:ascii="Arial" w:hAnsi="Arial" w:cs="Arial"/>
          <w:b/>
          <w:bCs/>
          <w:lang w:val="en-GB"/>
        </w:rPr>
      </w:pPr>
    </w:p>
    <w:p w14:paraId="436DFAD6" w14:textId="77777777" w:rsidR="00FA75EF" w:rsidRDefault="00FA75EF" w:rsidP="00FA75EF">
      <w:pPr>
        <w:rPr>
          <w:rFonts w:ascii="Arial" w:hAnsi="Arial" w:cs="Arial"/>
          <w:b/>
          <w:bCs/>
          <w:lang w:val="en-GB"/>
        </w:rPr>
      </w:pPr>
    </w:p>
    <w:p w14:paraId="4E616D61" w14:textId="77777777" w:rsidR="00FA75EF" w:rsidRDefault="00FA75EF" w:rsidP="00FA75EF">
      <w:pPr>
        <w:rPr>
          <w:rFonts w:ascii="Arial" w:hAnsi="Arial" w:cs="Arial"/>
          <w:b/>
          <w:bCs/>
          <w:lang w:val="en-GB"/>
        </w:rPr>
      </w:pPr>
    </w:p>
    <w:p w14:paraId="4E92A99C" w14:textId="77777777" w:rsidR="00FA75EF" w:rsidRDefault="00FA75EF" w:rsidP="00FA75EF">
      <w:pPr>
        <w:rPr>
          <w:rFonts w:ascii="Arial" w:hAnsi="Arial" w:cs="Arial"/>
          <w:b/>
          <w:bCs/>
          <w:lang w:val="en-GB"/>
        </w:rPr>
      </w:pPr>
    </w:p>
    <w:p w14:paraId="69C8141E" w14:textId="77777777" w:rsidR="00FA75EF" w:rsidRDefault="00FA75EF" w:rsidP="00FA75EF">
      <w:pPr>
        <w:rPr>
          <w:rFonts w:ascii="Arial" w:hAnsi="Arial" w:cs="Arial"/>
          <w:b/>
          <w:bCs/>
          <w:lang w:val="en-GB"/>
        </w:rPr>
      </w:pPr>
    </w:p>
    <w:p w14:paraId="3805266E" w14:textId="77777777" w:rsidR="00FA75EF" w:rsidRDefault="00FA75EF" w:rsidP="00FA75EF">
      <w:pPr>
        <w:rPr>
          <w:rFonts w:ascii="Arial" w:hAnsi="Arial" w:cs="Arial"/>
          <w:b/>
          <w:bCs/>
          <w:lang w:val="en-GB"/>
        </w:rPr>
      </w:pPr>
    </w:p>
    <w:p w14:paraId="739874FC" w14:textId="77777777" w:rsidR="00FA75EF" w:rsidRDefault="00FA75EF" w:rsidP="00FA75EF">
      <w:pPr>
        <w:rPr>
          <w:rFonts w:ascii="Arial" w:hAnsi="Arial" w:cs="Arial"/>
          <w:b/>
          <w:bCs/>
          <w:lang w:val="en-GB"/>
        </w:rPr>
      </w:pPr>
    </w:p>
    <w:p w14:paraId="614289BD" w14:textId="77777777" w:rsidR="00FA75EF" w:rsidRDefault="00FA75EF" w:rsidP="00FA75EF">
      <w:pPr>
        <w:rPr>
          <w:rFonts w:ascii="Arial" w:hAnsi="Arial" w:cs="Arial"/>
          <w:b/>
          <w:bCs/>
          <w:lang w:val="en-GB"/>
        </w:rPr>
      </w:pPr>
    </w:p>
    <w:p w14:paraId="4A10A0E3" w14:textId="77777777" w:rsidR="00FA75EF" w:rsidRDefault="00FA75EF" w:rsidP="00FA75EF">
      <w:pPr>
        <w:rPr>
          <w:rFonts w:ascii="Arial" w:hAnsi="Arial" w:cs="Arial"/>
          <w:b/>
          <w:bCs/>
          <w:lang w:val="en-GB"/>
        </w:rPr>
      </w:pPr>
    </w:p>
    <w:p w14:paraId="702007AF" w14:textId="50AAF89E" w:rsidR="00FA75EF" w:rsidRPr="00FA75EF" w:rsidRDefault="00FA75EF" w:rsidP="00FA75EF">
      <w:pPr>
        <w:rPr>
          <w:rFonts w:ascii="Arial" w:hAnsi="Arial" w:cs="Arial"/>
        </w:rPr>
      </w:pPr>
      <w:r w:rsidRPr="00FA75EF">
        <w:rPr>
          <w:rFonts w:ascii="Arial" w:hAnsi="Arial" w:cs="Arial"/>
          <w:b/>
          <w:bCs/>
          <w:lang w:val="en-GB"/>
        </w:rPr>
        <w:t>Task 6 – Gantt Chart </w:t>
      </w:r>
      <w:r w:rsidRPr="00FA75EF">
        <w:rPr>
          <w:rFonts w:ascii="Arial" w:hAnsi="Arial" w:cs="Arial"/>
        </w:rPr>
        <w:t> </w:t>
      </w:r>
    </w:p>
    <w:p w14:paraId="17D3B738" w14:textId="77777777" w:rsidR="00FA75EF" w:rsidRPr="00FA75EF" w:rsidRDefault="00FA75EF" w:rsidP="00FA75EF">
      <w:pPr>
        <w:rPr>
          <w:rFonts w:ascii="Arial" w:hAnsi="Arial" w:cs="Arial"/>
        </w:rPr>
      </w:pPr>
      <w:r w:rsidRPr="00FA75EF">
        <w:rPr>
          <w:rFonts w:ascii="Arial" w:hAnsi="Arial" w:cs="Arial"/>
          <w:b/>
          <w:bCs/>
          <w:lang w:val="en-GB"/>
        </w:rPr>
        <w:t>Career Goal:</w:t>
      </w:r>
      <w:r w:rsidRPr="00FA75EF">
        <w:rPr>
          <w:rFonts w:ascii="Arial" w:hAnsi="Arial" w:cs="Arial"/>
          <w:lang w:val="en-GB"/>
        </w:rPr>
        <w:t> Health and Social Care Professional</w:t>
      </w:r>
      <w:r w:rsidRPr="00FA75EF">
        <w:rPr>
          <w:rFonts w:ascii="Arial" w:hAnsi="Arial" w:cs="Arial"/>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0"/>
        <w:gridCol w:w="441"/>
        <w:gridCol w:w="453"/>
        <w:gridCol w:w="771"/>
        <w:gridCol w:w="570"/>
        <w:gridCol w:w="551"/>
        <w:gridCol w:w="575"/>
      </w:tblGrid>
      <w:tr w:rsidR="00FA75EF" w:rsidRPr="00FA75EF" w14:paraId="76E14E03" w14:textId="77777777">
        <w:trPr>
          <w:trHeight w:val="300"/>
        </w:trPr>
        <w:tc>
          <w:tcPr>
            <w:tcW w:w="1740" w:type="dxa"/>
            <w:tcBorders>
              <w:top w:val="nil"/>
              <w:left w:val="nil"/>
              <w:bottom w:val="nil"/>
              <w:right w:val="nil"/>
            </w:tcBorders>
            <w:vAlign w:val="center"/>
            <w:hideMark/>
          </w:tcPr>
          <w:p w14:paraId="30288F86" w14:textId="77777777" w:rsidR="00FA75EF" w:rsidRPr="00FA75EF" w:rsidRDefault="00FA75EF" w:rsidP="00FA75EF">
            <w:pPr>
              <w:rPr>
                <w:rFonts w:ascii="Arial" w:hAnsi="Arial" w:cs="Arial"/>
              </w:rPr>
            </w:pPr>
            <w:r w:rsidRPr="00FA75EF">
              <w:rPr>
                <w:rFonts w:ascii="Arial" w:hAnsi="Arial" w:cs="Arial"/>
                <w:b/>
                <w:bCs/>
                <w:lang w:val="en-GB"/>
              </w:rPr>
              <w:t>Monthly Task</w:t>
            </w:r>
            <w:r w:rsidRPr="00FA75EF">
              <w:rPr>
                <w:rFonts w:ascii="Arial" w:hAnsi="Arial" w:cs="Arial"/>
              </w:rPr>
              <w:t> </w:t>
            </w:r>
          </w:p>
        </w:tc>
        <w:tc>
          <w:tcPr>
            <w:tcW w:w="405" w:type="dxa"/>
            <w:tcBorders>
              <w:top w:val="nil"/>
              <w:left w:val="nil"/>
              <w:bottom w:val="nil"/>
              <w:right w:val="nil"/>
            </w:tcBorders>
            <w:vAlign w:val="center"/>
            <w:hideMark/>
          </w:tcPr>
          <w:p w14:paraId="1F16D9A7" w14:textId="77777777" w:rsidR="00FA75EF" w:rsidRPr="00FA75EF" w:rsidRDefault="00FA75EF" w:rsidP="00FA75EF">
            <w:pPr>
              <w:rPr>
                <w:rFonts w:ascii="Arial" w:hAnsi="Arial" w:cs="Arial"/>
              </w:rPr>
            </w:pPr>
            <w:r w:rsidRPr="00FA75EF">
              <w:rPr>
                <w:rFonts w:ascii="Arial" w:hAnsi="Arial" w:cs="Arial"/>
                <w:b/>
                <w:bCs/>
                <w:lang w:val="en-GB"/>
              </w:rPr>
              <w:t>Jan</w:t>
            </w:r>
            <w:r w:rsidRPr="00FA75EF">
              <w:rPr>
                <w:rFonts w:ascii="Arial" w:hAnsi="Arial" w:cs="Arial"/>
              </w:rPr>
              <w:t> </w:t>
            </w:r>
          </w:p>
        </w:tc>
        <w:tc>
          <w:tcPr>
            <w:tcW w:w="450" w:type="dxa"/>
            <w:tcBorders>
              <w:top w:val="nil"/>
              <w:left w:val="nil"/>
              <w:bottom w:val="nil"/>
              <w:right w:val="nil"/>
            </w:tcBorders>
            <w:vAlign w:val="center"/>
            <w:hideMark/>
          </w:tcPr>
          <w:p w14:paraId="4AA8AA91" w14:textId="77777777" w:rsidR="00FA75EF" w:rsidRPr="00FA75EF" w:rsidRDefault="00FA75EF" w:rsidP="00FA75EF">
            <w:pPr>
              <w:rPr>
                <w:rFonts w:ascii="Arial" w:hAnsi="Arial" w:cs="Arial"/>
              </w:rPr>
            </w:pPr>
            <w:r w:rsidRPr="00FA75EF">
              <w:rPr>
                <w:rFonts w:ascii="Arial" w:hAnsi="Arial" w:cs="Arial"/>
                <w:b/>
                <w:bCs/>
                <w:lang w:val="en-GB"/>
              </w:rPr>
              <w:t>Feb</w:t>
            </w:r>
            <w:r w:rsidRPr="00FA75EF">
              <w:rPr>
                <w:rFonts w:ascii="Arial" w:hAnsi="Arial" w:cs="Arial"/>
              </w:rPr>
              <w:t> </w:t>
            </w:r>
          </w:p>
        </w:tc>
        <w:tc>
          <w:tcPr>
            <w:tcW w:w="735" w:type="dxa"/>
            <w:tcBorders>
              <w:top w:val="nil"/>
              <w:left w:val="nil"/>
              <w:bottom w:val="nil"/>
              <w:right w:val="nil"/>
            </w:tcBorders>
            <w:vAlign w:val="center"/>
            <w:hideMark/>
          </w:tcPr>
          <w:p w14:paraId="43A460C8" w14:textId="77777777" w:rsidR="00FA75EF" w:rsidRPr="00FA75EF" w:rsidRDefault="00FA75EF" w:rsidP="00FA75EF">
            <w:pPr>
              <w:rPr>
                <w:rFonts w:ascii="Arial" w:hAnsi="Arial" w:cs="Arial"/>
              </w:rPr>
            </w:pPr>
            <w:r w:rsidRPr="00FA75EF">
              <w:rPr>
                <w:rFonts w:ascii="Arial" w:hAnsi="Arial" w:cs="Arial"/>
                <w:b/>
                <w:bCs/>
                <w:lang w:val="en-GB"/>
              </w:rPr>
              <w:t>March </w:t>
            </w:r>
            <w:r w:rsidRPr="00FA75EF">
              <w:rPr>
                <w:rFonts w:ascii="Arial" w:hAnsi="Arial" w:cs="Arial"/>
              </w:rPr>
              <w:t> </w:t>
            </w:r>
          </w:p>
        </w:tc>
        <w:tc>
          <w:tcPr>
            <w:tcW w:w="570" w:type="dxa"/>
            <w:tcBorders>
              <w:top w:val="nil"/>
              <w:left w:val="nil"/>
              <w:bottom w:val="nil"/>
              <w:right w:val="nil"/>
            </w:tcBorders>
            <w:vAlign w:val="center"/>
            <w:hideMark/>
          </w:tcPr>
          <w:p w14:paraId="1421A5E9" w14:textId="77777777" w:rsidR="00FA75EF" w:rsidRPr="00FA75EF" w:rsidRDefault="00FA75EF" w:rsidP="00FA75EF">
            <w:pPr>
              <w:rPr>
                <w:rFonts w:ascii="Arial" w:hAnsi="Arial" w:cs="Arial"/>
              </w:rPr>
            </w:pPr>
            <w:r w:rsidRPr="00FA75EF">
              <w:rPr>
                <w:rFonts w:ascii="Arial" w:hAnsi="Arial" w:cs="Arial"/>
                <w:b/>
                <w:bCs/>
                <w:lang w:val="en-GB"/>
              </w:rPr>
              <w:t>April</w:t>
            </w:r>
            <w:r w:rsidRPr="00FA75EF">
              <w:rPr>
                <w:rFonts w:ascii="Arial" w:hAnsi="Arial" w:cs="Arial"/>
              </w:rPr>
              <w:t> </w:t>
            </w:r>
          </w:p>
        </w:tc>
        <w:tc>
          <w:tcPr>
            <w:tcW w:w="495" w:type="dxa"/>
            <w:tcBorders>
              <w:top w:val="nil"/>
              <w:left w:val="nil"/>
              <w:bottom w:val="nil"/>
              <w:right w:val="nil"/>
            </w:tcBorders>
            <w:vAlign w:val="center"/>
            <w:hideMark/>
          </w:tcPr>
          <w:p w14:paraId="69E69988" w14:textId="77777777" w:rsidR="00FA75EF" w:rsidRPr="00FA75EF" w:rsidRDefault="00FA75EF" w:rsidP="00FA75EF">
            <w:pPr>
              <w:rPr>
                <w:rFonts w:ascii="Arial" w:hAnsi="Arial" w:cs="Arial"/>
              </w:rPr>
            </w:pPr>
            <w:r w:rsidRPr="00FA75EF">
              <w:rPr>
                <w:rFonts w:ascii="Arial" w:hAnsi="Arial" w:cs="Arial"/>
                <w:b/>
                <w:bCs/>
                <w:lang w:val="en-GB"/>
              </w:rPr>
              <w:t>May </w:t>
            </w:r>
            <w:r w:rsidRPr="00FA75EF">
              <w:rPr>
                <w:rFonts w:ascii="Arial" w:hAnsi="Arial" w:cs="Arial"/>
              </w:rPr>
              <w:t> </w:t>
            </w:r>
          </w:p>
        </w:tc>
        <w:tc>
          <w:tcPr>
            <w:tcW w:w="570" w:type="dxa"/>
            <w:tcBorders>
              <w:top w:val="nil"/>
              <w:left w:val="nil"/>
              <w:bottom w:val="nil"/>
              <w:right w:val="nil"/>
            </w:tcBorders>
            <w:vAlign w:val="center"/>
            <w:hideMark/>
          </w:tcPr>
          <w:p w14:paraId="4E9CF7F5" w14:textId="77777777" w:rsidR="00FA75EF" w:rsidRPr="00FA75EF" w:rsidRDefault="00FA75EF" w:rsidP="00FA75EF">
            <w:pPr>
              <w:rPr>
                <w:rFonts w:ascii="Arial" w:hAnsi="Arial" w:cs="Arial"/>
              </w:rPr>
            </w:pPr>
            <w:r w:rsidRPr="00FA75EF">
              <w:rPr>
                <w:rFonts w:ascii="Arial" w:hAnsi="Arial" w:cs="Arial"/>
                <w:b/>
                <w:bCs/>
                <w:lang w:val="en-GB"/>
              </w:rPr>
              <w:t>June</w:t>
            </w:r>
            <w:r w:rsidRPr="00FA75EF">
              <w:rPr>
                <w:rFonts w:ascii="Arial" w:hAnsi="Arial" w:cs="Arial"/>
              </w:rPr>
              <w:t> </w:t>
            </w:r>
          </w:p>
        </w:tc>
      </w:tr>
      <w:tr w:rsidR="00FA75EF" w:rsidRPr="00FA75EF" w14:paraId="0D6F5F6F" w14:textId="77777777">
        <w:trPr>
          <w:trHeight w:val="300"/>
        </w:trPr>
        <w:tc>
          <w:tcPr>
            <w:tcW w:w="1740" w:type="dxa"/>
            <w:tcBorders>
              <w:top w:val="nil"/>
              <w:left w:val="nil"/>
              <w:bottom w:val="nil"/>
              <w:right w:val="nil"/>
            </w:tcBorders>
            <w:vAlign w:val="center"/>
            <w:hideMark/>
          </w:tcPr>
          <w:p w14:paraId="3C7ACB64" w14:textId="77777777" w:rsidR="00FA75EF" w:rsidRPr="00FA75EF" w:rsidRDefault="00FA75EF" w:rsidP="00FA75EF">
            <w:pPr>
              <w:rPr>
                <w:rFonts w:ascii="Arial" w:hAnsi="Arial" w:cs="Arial"/>
              </w:rPr>
            </w:pPr>
            <w:r w:rsidRPr="00FA75EF">
              <w:rPr>
                <w:rFonts w:ascii="Arial" w:hAnsi="Arial" w:cs="Arial"/>
                <w:lang w:val="en-GB"/>
              </w:rPr>
              <w:t>CV</w:t>
            </w:r>
            <w:r w:rsidRPr="00FA75EF">
              <w:rPr>
                <w:rFonts w:ascii="Arial" w:hAnsi="Arial" w:cs="Arial"/>
              </w:rPr>
              <w:t> </w:t>
            </w:r>
          </w:p>
        </w:tc>
        <w:tc>
          <w:tcPr>
            <w:tcW w:w="405" w:type="dxa"/>
            <w:tcBorders>
              <w:top w:val="nil"/>
              <w:left w:val="nil"/>
              <w:bottom w:val="nil"/>
              <w:right w:val="nil"/>
            </w:tcBorders>
            <w:vAlign w:val="center"/>
            <w:hideMark/>
          </w:tcPr>
          <w:p w14:paraId="4DD9905F"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450" w:type="dxa"/>
            <w:tcBorders>
              <w:top w:val="nil"/>
              <w:left w:val="nil"/>
              <w:bottom w:val="nil"/>
              <w:right w:val="nil"/>
            </w:tcBorders>
            <w:vAlign w:val="center"/>
            <w:hideMark/>
          </w:tcPr>
          <w:p w14:paraId="2E846C92" w14:textId="77777777" w:rsidR="00FA75EF" w:rsidRPr="00FA75EF" w:rsidRDefault="00FA75EF" w:rsidP="00FA75EF">
            <w:pPr>
              <w:rPr>
                <w:rFonts w:ascii="Arial" w:hAnsi="Arial" w:cs="Arial"/>
              </w:rPr>
            </w:pPr>
            <w:r w:rsidRPr="00FA75EF">
              <w:rPr>
                <w:rFonts w:ascii="Arial" w:hAnsi="Arial" w:cs="Arial"/>
              </w:rPr>
              <w:t> </w:t>
            </w:r>
          </w:p>
        </w:tc>
        <w:tc>
          <w:tcPr>
            <w:tcW w:w="735" w:type="dxa"/>
            <w:tcBorders>
              <w:top w:val="nil"/>
              <w:left w:val="nil"/>
              <w:bottom w:val="nil"/>
              <w:right w:val="nil"/>
            </w:tcBorders>
            <w:vAlign w:val="center"/>
            <w:hideMark/>
          </w:tcPr>
          <w:p w14:paraId="2945F1A3"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7B53B076" w14:textId="77777777" w:rsidR="00FA75EF" w:rsidRPr="00FA75EF" w:rsidRDefault="00FA75EF" w:rsidP="00FA75EF">
            <w:pPr>
              <w:rPr>
                <w:rFonts w:ascii="Arial" w:hAnsi="Arial" w:cs="Arial"/>
              </w:rPr>
            </w:pPr>
            <w:r w:rsidRPr="00FA75EF">
              <w:rPr>
                <w:rFonts w:ascii="Arial" w:hAnsi="Arial" w:cs="Arial"/>
              </w:rPr>
              <w:t> </w:t>
            </w:r>
          </w:p>
        </w:tc>
        <w:tc>
          <w:tcPr>
            <w:tcW w:w="495" w:type="dxa"/>
            <w:tcBorders>
              <w:top w:val="nil"/>
              <w:left w:val="nil"/>
              <w:bottom w:val="nil"/>
              <w:right w:val="nil"/>
            </w:tcBorders>
            <w:vAlign w:val="center"/>
            <w:hideMark/>
          </w:tcPr>
          <w:p w14:paraId="54A58C30"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6DFFE7E0" w14:textId="77777777" w:rsidR="00FA75EF" w:rsidRPr="00FA75EF" w:rsidRDefault="00FA75EF" w:rsidP="00FA75EF">
            <w:pPr>
              <w:rPr>
                <w:rFonts w:ascii="Arial" w:hAnsi="Arial" w:cs="Arial"/>
              </w:rPr>
            </w:pPr>
            <w:r w:rsidRPr="00FA75EF">
              <w:rPr>
                <w:rFonts w:ascii="Arial" w:hAnsi="Arial" w:cs="Arial"/>
              </w:rPr>
              <w:t> </w:t>
            </w:r>
          </w:p>
        </w:tc>
      </w:tr>
      <w:tr w:rsidR="00FA75EF" w:rsidRPr="00FA75EF" w14:paraId="4552DF3C" w14:textId="77777777">
        <w:trPr>
          <w:trHeight w:val="300"/>
        </w:trPr>
        <w:tc>
          <w:tcPr>
            <w:tcW w:w="1740" w:type="dxa"/>
            <w:tcBorders>
              <w:top w:val="nil"/>
              <w:left w:val="nil"/>
              <w:bottom w:val="nil"/>
              <w:right w:val="nil"/>
            </w:tcBorders>
            <w:vAlign w:val="center"/>
            <w:hideMark/>
          </w:tcPr>
          <w:p w14:paraId="04ACDDE6" w14:textId="77777777" w:rsidR="00FA75EF" w:rsidRPr="00FA75EF" w:rsidRDefault="00FA75EF" w:rsidP="00FA75EF">
            <w:pPr>
              <w:rPr>
                <w:rFonts w:ascii="Arial" w:hAnsi="Arial" w:cs="Arial"/>
              </w:rPr>
            </w:pPr>
            <w:r w:rsidRPr="00FA75EF">
              <w:rPr>
                <w:rFonts w:ascii="Arial" w:hAnsi="Arial" w:cs="Arial"/>
                <w:lang w:val="en-GB"/>
              </w:rPr>
              <w:t>LinkedIn</w:t>
            </w:r>
            <w:r w:rsidRPr="00FA75EF">
              <w:rPr>
                <w:rFonts w:ascii="Arial" w:hAnsi="Arial" w:cs="Arial"/>
              </w:rPr>
              <w:t> </w:t>
            </w:r>
          </w:p>
        </w:tc>
        <w:tc>
          <w:tcPr>
            <w:tcW w:w="405" w:type="dxa"/>
            <w:tcBorders>
              <w:top w:val="nil"/>
              <w:left w:val="nil"/>
              <w:bottom w:val="nil"/>
              <w:right w:val="nil"/>
            </w:tcBorders>
            <w:vAlign w:val="center"/>
            <w:hideMark/>
          </w:tcPr>
          <w:p w14:paraId="76C97959"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450" w:type="dxa"/>
            <w:tcBorders>
              <w:top w:val="nil"/>
              <w:left w:val="nil"/>
              <w:bottom w:val="nil"/>
              <w:right w:val="nil"/>
            </w:tcBorders>
            <w:vAlign w:val="center"/>
            <w:hideMark/>
          </w:tcPr>
          <w:p w14:paraId="2A413F66" w14:textId="77777777" w:rsidR="00FA75EF" w:rsidRPr="00FA75EF" w:rsidRDefault="00FA75EF" w:rsidP="00FA75EF">
            <w:pPr>
              <w:rPr>
                <w:rFonts w:ascii="Arial" w:hAnsi="Arial" w:cs="Arial"/>
              </w:rPr>
            </w:pPr>
            <w:r w:rsidRPr="00FA75EF">
              <w:rPr>
                <w:rFonts w:ascii="Arial" w:hAnsi="Arial" w:cs="Arial"/>
              </w:rPr>
              <w:t> </w:t>
            </w:r>
          </w:p>
        </w:tc>
        <w:tc>
          <w:tcPr>
            <w:tcW w:w="735" w:type="dxa"/>
            <w:tcBorders>
              <w:top w:val="nil"/>
              <w:left w:val="nil"/>
              <w:bottom w:val="nil"/>
              <w:right w:val="nil"/>
            </w:tcBorders>
            <w:vAlign w:val="center"/>
            <w:hideMark/>
          </w:tcPr>
          <w:p w14:paraId="2429ED78"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7787DE05" w14:textId="77777777" w:rsidR="00FA75EF" w:rsidRPr="00FA75EF" w:rsidRDefault="00FA75EF" w:rsidP="00FA75EF">
            <w:pPr>
              <w:rPr>
                <w:rFonts w:ascii="Arial" w:hAnsi="Arial" w:cs="Arial"/>
              </w:rPr>
            </w:pPr>
            <w:r w:rsidRPr="00FA75EF">
              <w:rPr>
                <w:rFonts w:ascii="Arial" w:hAnsi="Arial" w:cs="Arial"/>
              </w:rPr>
              <w:t> </w:t>
            </w:r>
          </w:p>
        </w:tc>
        <w:tc>
          <w:tcPr>
            <w:tcW w:w="495" w:type="dxa"/>
            <w:tcBorders>
              <w:top w:val="nil"/>
              <w:left w:val="nil"/>
              <w:bottom w:val="nil"/>
              <w:right w:val="nil"/>
            </w:tcBorders>
            <w:vAlign w:val="center"/>
            <w:hideMark/>
          </w:tcPr>
          <w:p w14:paraId="325D6652"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442B1F0C" w14:textId="77777777" w:rsidR="00FA75EF" w:rsidRPr="00FA75EF" w:rsidRDefault="00FA75EF" w:rsidP="00FA75EF">
            <w:pPr>
              <w:rPr>
                <w:rFonts w:ascii="Arial" w:hAnsi="Arial" w:cs="Arial"/>
              </w:rPr>
            </w:pPr>
            <w:r w:rsidRPr="00FA75EF">
              <w:rPr>
                <w:rFonts w:ascii="Arial" w:hAnsi="Arial" w:cs="Arial"/>
              </w:rPr>
              <w:t> </w:t>
            </w:r>
          </w:p>
        </w:tc>
      </w:tr>
      <w:tr w:rsidR="00FA75EF" w:rsidRPr="00FA75EF" w14:paraId="136A1264" w14:textId="77777777">
        <w:trPr>
          <w:trHeight w:val="300"/>
        </w:trPr>
        <w:tc>
          <w:tcPr>
            <w:tcW w:w="1740" w:type="dxa"/>
            <w:tcBorders>
              <w:top w:val="nil"/>
              <w:left w:val="nil"/>
              <w:bottom w:val="nil"/>
              <w:right w:val="nil"/>
            </w:tcBorders>
            <w:vAlign w:val="center"/>
            <w:hideMark/>
          </w:tcPr>
          <w:p w14:paraId="174ACC67" w14:textId="77777777" w:rsidR="00FA75EF" w:rsidRPr="00FA75EF" w:rsidRDefault="00FA75EF" w:rsidP="00FA75EF">
            <w:pPr>
              <w:rPr>
                <w:rFonts w:ascii="Arial" w:hAnsi="Arial" w:cs="Arial"/>
              </w:rPr>
            </w:pPr>
            <w:r w:rsidRPr="00FA75EF">
              <w:rPr>
                <w:rFonts w:ascii="Arial" w:hAnsi="Arial" w:cs="Arial"/>
                <w:lang w:val="en-GB"/>
              </w:rPr>
              <w:t>Volunteering</w:t>
            </w:r>
            <w:r w:rsidRPr="00FA75EF">
              <w:rPr>
                <w:rFonts w:ascii="Arial" w:hAnsi="Arial" w:cs="Arial"/>
              </w:rPr>
              <w:t> </w:t>
            </w:r>
          </w:p>
        </w:tc>
        <w:tc>
          <w:tcPr>
            <w:tcW w:w="405" w:type="dxa"/>
            <w:tcBorders>
              <w:top w:val="nil"/>
              <w:left w:val="nil"/>
              <w:bottom w:val="nil"/>
              <w:right w:val="nil"/>
            </w:tcBorders>
            <w:vAlign w:val="center"/>
            <w:hideMark/>
          </w:tcPr>
          <w:p w14:paraId="2B904976"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450" w:type="dxa"/>
            <w:tcBorders>
              <w:top w:val="nil"/>
              <w:left w:val="nil"/>
              <w:bottom w:val="nil"/>
              <w:right w:val="nil"/>
            </w:tcBorders>
            <w:vAlign w:val="center"/>
            <w:hideMark/>
          </w:tcPr>
          <w:p w14:paraId="595EF6A1"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735" w:type="dxa"/>
            <w:tcBorders>
              <w:top w:val="nil"/>
              <w:left w:val="nil"/>
              <w:bottom w:val="nil"/>
              <w:right w:val="nil"/>
            </w:tcBorders>
            <w:vAlign w:val="center"/>
            <w:hideMark/>
          </w:tcPr>
          <w:p w14:paraId="2B285242"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44E88AAA" w14:textId="77777777" w:rsidR="00FA75EF" w:rsidRPr="00FA75EF" w:rsidRDefault="00FA75EF" w:rsidP="00FA75EF">
            <w:pPr>
              <w:rPr>
                <w:rFonts w:ascii="Arial" w:hAnsi="Arial" w:cs="Arial"/>
              </w:rPr>
            </w:pPr>
            <w:r w:rsidRPr="00FA75EF">
              <w:rPr>
                <w:rFonts w:ascii="Arial" w:hAnsi="Arial" w:cs="Arial"/>
              </w:rPr>
              <w:t> </w:t>
            </w:r>
          </w:p>
        </w:tc>
        <w:tc>
          <w:tcPr>
            <w:tcW w:w="495" w:type="dxa"/>
            <w:tcBorders>
              <w:top w:val="nil"/>
              <w:left w:val="nil"/>
              <w:bottom w:val="nil"/>
              <w:right w:val="nil"/>
            </w:tcBorders>
            <w:vAlign w:val="center"/>
            <w:hideMark/>
          </w:tcPr>
          <w:p w14:paraId="281C69AF"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650F34D1" w14:textId="77777777" w:rsidR="00FA75EF" w:rsidRPr="00FA75EF" w:rsidRDefault="00FA75EF" w:rsidP="00FA75EF">
            <w:pPr>
              <w:rPr>
                <w:rFonts w:ascii="Arial" w:hAnsi="Arial" w:cs="Arial"/>
              </w:rPr>
            </w:pPr>
            <w:r w:rsidRPr="00FA75EF">
              <w:rPr>
                <w:rFonts w:ascii="Arial" w:hAnsi="Arial" w:cs="Arial"/>
              </w:rPr>
              <w:t> </w:t>
            </w:r>
          </w:p>
        </w:tc>
      </w:tr>
      <w:tr w:rsidR="00FA75EF" w:rsidRPr="00FA75EF" w14:paraId="2CE379B1" w14:textId="77777777">
        <w:trPr>
          <w:trHeight w:val="300"/>
        </w:trPr>
        <w:tc>
          <w:tcPr>
            <w:tcW w:w="1740" w:type="dxa"/>
            <w:tcBorders>
              <w:top w:val="nil"/>
              <w:left w:val="nil"/>
              <w:bottom w:val="nil"/>
              <w:right w:val="nil"/>
            </w:tcBorders>
            <w:vAlign w:val="center"/>
            <w:hideMark/>
          </w:tcPr>
          <w:p w14:paraId="67503F59" w14:textId="77777777" w:rsidR="00FA75EF" w:rsidRPr="00FA75EF" w:rsidRDefault="00FA75EF" w:rsidP="00FA75EF">
            <w:pPr>
              <w:rPr>
                <w:rFonts w:ascii="Arial" w:hAnsi="Arial" w:cs="Arial"/>
              </w:rPr>
            </w:pPr>
            <w:r w:rsidRPr="00FA75EF">
              <w:rPr>
                <w:rFonts w:ascii="Arial" w:hAnsi="Arial" w:cs="Arial"/>
                <w:lang w:val="en-GB"/>
              </w:rPr>
              <w:t>Workshops</w:t>
            </w:r>
            <w:r w:rsidRPr="00FA75EF">
              <w:rPr>
                <w:rFonts w:ascii="Arial" w:hAnsi="Arial" w:cs="Arial"/>
              </w:rPr>
              <w:t> </w:t>
            </w:r>
          </w:p>
        </w:tc>
        <w:tc>
          <w:tcPr>
            <w:tcW w:w="405" w:type="dxa"/>
            <w:tcBorders>
              <w:top w:val="nil"/>
              <w:left w:val="nil"/>
              <w:bottom w:val="nil"/>
              <w:right w:val="nil"/>
            </w:tcBorders>
            <w:vAlign w:val="center"/>
            <w:hideMark/>
          </w:tcPr>
          <w:p w14:paraId="0C9B1BF1" w14:textId="77777777" w:rsidR="00FA75EF" w:rsidRPr="00FA75EF" w:rsidRDefault="00FA75EF" w:rsidP="00FA75EF">
            <w:pPr>
              <w:rPr>
                <w:rFonts w:ascii="Arial" w:hAnsi="Arial" w:cs="Arial"/>
              </w:rPr>
            </w:pPr>
            <w:r w:rsidRPr="00FA75EF">
              <w:rPr>
                <w:rFonts w:ascii="Arial" w:hAnsi="Arial" w:cs="Arial"/>
              </w:rPr>
              <w:t> </w:t>
            </w:r>
          </w:p>
        </w:tc>
        <w:tc>
          <w:tcPr>
            <w:tcW w:w="450" w:type="dxa"/>
            <w:tcBorders>
              <w:top w:val="nil"/>
              <w:left w:val="nil"/>
              <w:bottom w:val="nil"/>
              <w:right w:val="nil"/>
            </w:tcBorders>
            <w:vAlign w:val="center"/>
            <w:hideMark/>
          </w:tcPr>
          <w:p w14:paraId="358BA187"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735" w:type="dxa"/>
            <w:tcBorders>
              <w:top w:val="nil"/>
              <w:left w:val="nil"/>
              <w:bottom w:val="nil"/>
              <w:right w:val="nil"/>
            </w:tcBorders>
            <w:vAlign w:val="center"/>
            <w:hideMark/>
          </w:tcPr>
          <w:p w14:paraId="48C07BA1"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570" w:type="dxa"/>
            <w:tcBorders>
              <w:top w:val="nil"/>
              <w:left w:val="nil"/>
              <w:bottom w:val="nil"/>
              <w:right w:val="nil"/>
            </w:tcBorders>
            <w:vAlign w:val="center"/>
            <w:hideMark/>
          </w:tcPr>
          <w:p w14:paraId="1B53A330"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495" w:type="dxa"/>
            <w:tcBorders>
              <w:top w:val="nil"/>
              <w:left w:val="nil"/>
              <w:bottom w:val="nil"/>
              <w:right w:val="nil"/>
            </w:tcBorders>
            <w:vAlign w:val="center"/>
            <w:hideMark/>
          </w:tcPr>
          <w:p w14:paraId="72A817CA"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35A598CB" w14:textId="77777777" w:rsidR="00FA75EF" w:rsidRPr="00FA75EF" w:rsidRDefault="00FA75EF" w:rsidP="00FA75EF">
            <w:pPr>
              <w:rPr>
                <w:rFonts w:ascii="Arial" w:hAnsi="Arial" w:cs="Arial"/>
              </w:rPr>
            </w:pPr>
            <w:r w:rsidRPr="00FA75EF">
              <w:rPr>
                <w:rFonts w:ascii="Arial" w:hAnsi="Arial" w:cs="Arial"/>
              </w:rPr>
              <w:t> </w:t>
            </w:r>
          </w:p>
        </w:tc>
      </w:tr>
      <w:tr w:rsidR="00FA75EF" w:rsidRPr="00FA75EF" w14:paraId="7ECD1A91" w14:textId="77777777">
        <w:trPr>
          <w:trHeight w:val="300"/>
        </w:trPr>
        <w:tc>
          <w:tcPr>
            <w:tcW w:w="1740" w:type="dxa"/>
            <w:tcBorders>
              <w:top w:val="nil"/>
              <w:left w:val="nil"/>
              <w:bottom w:val="nil"/>
              <w:right w:val="nil"/>
            </w:tcBorders>
            <w:vAlign w:val="center"/>
            <w:hideMark/>
          </w:tcPr>
          <w:p w14:paraId="2DC03BE4" w14:textId="77777777" w:rsidR="00FA75EF" w:rsidRPr="00FA75EF" w:rsidRDefault="00FA75EF" w:rsidP="00FA75EF">
            <w:pPr>
              <w:rPr>
                <w:rFonts w:ascii="Arial" w:hAnsi="Arial" w:cs="Arial"/>
              </w:rPr>
            </w:pPr>
            <w:r w:rsidRPr="00FA75EF">
              <w:rPr>
                <w:rFonts w:ascii="Arial" w:hAnsi="Arial" w:cs="Arial"/>
                <w:lang w:val="en-GB"/>
              </w:rPr>
              <w:t>Gain experience</w:t>
            </w:r>
            <w:r w:rsidRPr="00FA75EF">
              <w:rPr>
                <w:rFonts w:ascii="Arial" w:hAnsi="Arial" w:cs="Arial"/>
              </w:rPr>
              <w:t> </w:t>
            </w:r>
          </w:p>
        </w:tc>
        <w:tc>
          <w:tcPr>
            <w:tcW w:w="405" w:type="dxa"/>
            <w:tcBorders>
              <w:top w:val="nil"/>
              <w:left w:val="nil"/>
              <w:bottom w:val="nil"/>
              <w:right w:val="nil"/>
            </w:tcBorders>
            <w:vAlign w:val="center"/>
            <w:hideMark/>
          </w:tcPr>
          <w:p w14:paraId="42C66355" w14:textId="77777777" w:rsidR="00FA75EF" w:rsidRPr="00FA75EF" w:rsidRDefault="00FA75EF" w:rsidP="00FA75EF">
            <w:pPr>
              <w:rPr>
                <w:rFonts w:ascii="Arial" w:hAnsi="Arial" w:cs="Arial"/>
              </w:rPr>
            </w:pPr>
            <w:r w:rsidRPr="00FA75EF">
              <w:rPr>
                <w:rFonts w:ascii="Arial" w:hAnsi="Arial" w:cs="Arial"/>
              </w:rPr>
              <w:t> </w:t>
            </w:r>
          </w:p>
        </w:tc>
        <w:tc>
          <w:tcPr>
            <w:tcW w:w="450" w:type="dxa"/>
            <w:tcBorders>
              <w:top w:val="nil"/>
              <w:left w:val="nil"/>
              <w:bottom w:val="nil"/>
              <w:right w:val="nil"/>
            </w:tcBorders>
            <w:vAlign w:val="center"/>
            <w:hideMark/>
          </w:tcPr>
          <w:p w14:paraId="4FDD94FC" w14:textId="77777777" w:rsidR="00FA75EF" w:rsidRPr="00FA75EF" w:rsidRDefault="00FA75EF" w:rsidP="00FA75EF">
            <w:pPr>
              <w:rPr>
                <w:rFonts w:ascii="Arial" w:hAnsi="Arial" w:cs="Arial"/>
              </w:rPr>
            </w:pPr>
            <w:r w:rsidRPr="00FA75EF">
              <w:rPr>
                <w:rFonts w:ascii="Arial" w:hAnsi="Arial" w:cs="Arial"/>
              </w:rPr>
              <w:t> </w:t>
            </w:r>
          </w:p>
        </w:tc>
        <w:tc>
          <w:tcPr>
            <w:tcW w:w="735" w:type="dxa"/>
            <w:tcBorders>
              <w:top w:val="nil"/>
              <w:left w:val="nil"/>
              <w:bottom w:val="nil"/>
              <w:right w:val="nil"/>
            </w:tcBorders>
            <w:vAlign w:val="center"/>
            <w:hideMark/>
          </w:tcPr>
          <w:p w14:paraId="02A970FA"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570" w:type="dxa"/>
            <w:tcBorders>
              <w:top w:val="nil"/>
              <w:left w:val="nil"/>
              <w:bottom w:val="nil"/>
              <w:right w:val="nil"/>
            </w:tcBorders>
            <w:vAlign w:val="center"/>
            <w:hideMark/>
          </w:tcPr>
          <w:p w14:paraId="395FC9BD"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495" w:type="dxa"/>
            <w:tcBorders>
              <w:top w:val="nil"/>
              <w:left w:val="nil"/>
              <w:bottom w:val="nil"/>
              <w:right w:val="nil"/>
            </w:tcBorders>
            <w:vAlign w:val="center"/>
            <w:hideMark/>
          </w:tcPr>
          <w:p w14:paraId="2ACB23DE"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570" w:type="dxa"/>
            <w:tcBorders>
              <w:top w:val="nil"/>
              <w:left w:val="nil"/>
              <w:bottom w:val="nil"/>
              <w:right w:val="nil"/>
            </w:tcBorders>
            <w:vAlign w:val="center"/>
            <w:hideMark/>
          </w:tcPr>
          <w:p w14:paraId="4E2BBBB6" w14:textId="77777777" w:rsidR="00FA75EF" w:rsidRPr="00FA75EF" w:rsidRDefault="00FA75EF" w:rsidP="00FA75EF">
            <w:pPr>
              <w:rPr>
                <w:rFonts w:ascii="Arial" w:hAnsi="Arial" w:cs="Arial"/>
              </w:rPr>
            </w:pPr>
            <w:r w:rsidRPr="00FA75EF">
              <w:rPr>
                <w:rFonts w:ascii="Arial" w:hAnsi="Arial" w:cs="Arial"/>
              </w:rPr>
              <w:t> </w:t>
            </w:r>
          </w:p>
        </w:tc>
      </w:tr>
      <w:tr w:rsidR="00FA75EF" w:rsidRPr="00FA75EF" w14:paraId="4B20C753" w14:textId="77777777">
        <w:trPr>
          <w:trHeight w:val="300"/>
        </w:trPr>
        <w:tc>
          <w:tcPr>
            <w:tcW w:w="1740" w:type="dxa"/>
            <w:tcBorders>
              <w:top w:val="nil"/>
              <w:left w:val="nil"/>
              <w:bottom w:val="nil"/>
              <w:right w:val="nil"/>
            </w:tcBorders>
            <w:vAlign w:val="center"/>
            <w:hideMark/>
          </w:tcPr>
          <w:p w14:paraId="1D812AA2" w14:textId="77777777" w:rsidR="00FA75EF" w:rsidRPr="00FA75EF" w:rsidRDefault="00FA75EF" w:rsidP="00FA75EF">
            <w:pPr>
              <w:rPr>
                <w:rFonts w:ascii="Arial" w:hAnsi="Arial" w:cs="Arial"/>
              </w:rPr>
            </w:pPr>
            <w:r w:rsidRPr="00FA75EF">
              <w:rPr>
                <w:rFonts w:ascii="Arial" w:hAnsi="Arial" w:cs="Arial"/>
                <w:lang w:val="en-GB"/>
              </w:rPr>
              <w:t>Apply for jobs</w:t>
            </w:r>
            <w:r w:rsidRPr="00FA75EF">
              <w:rPr>
                <w:rFonts w:ascii="Arial" w:hAnsi="Arial" w:cs="Arial"/>
              </w:rPr>
              <w:t> </w:t>
            </w:r>
          </w:p>
        </w:tc>
        <w:tc>
          <w:tcPr>
            <w:tcW w:w="405" w:type="dxa"/>
            <w:tcBorders>
              <w:top w:val="nil"/>
              <w:left w:val="nil"/>
              <w:bottom w:val="nil"/>
              <w:right w:val="nil"/>
            </w:tcBorders>
            <w:vAlign w:val="center"/>
            <w:hideMark/>
          </w:tcPr>
          <w:p w14:paraId="7F4D495C" w14:textId="77777777" w:rsidR="00FA75EF" w:rsidRPr="00FA75EF" w:rsidRDefault="00FA75EF" w:rsidP="00FA75EF">
            <w:pPr>
              <w:rPr>
                <w:rFonts w:ascii="Arial" w:hAnsi="Arial" w:cs="Arial"/>
              </w:rPr>
            </w:pPr>
            <w:r w:rsidRPr="00FA75EF">
              <w:rPr>
                <w:rFonts w:ascii="Arial" w:hAnsi="Arial" w:cs="Arial"/>
              </w:rPr>
              <w:t> </w:t>
            </w:r>
          </w:p>
        </w:tc>
        <w:tc>
          <w:tcPr>
            <w:tcW w:w="450" w:type="dxa"/>
            <w:tcBorders>
              <w:top w:val="nil"/>
              <w:left w:val="nil"/>
              <w:bottom w:val="nil"/>
              <w:right w:val="nil"/>
            </w:tcBorders>
            <w:vAlign w:val="center"/>
            <w:hideMark/>
          </w:tcPr>
          <w:p w14:paraId="53045DAF" w14:textId="77777777" w:rsidR="00FA75EF" w:rsidRPr="00FA75EF" w:rsidRDefault="00FA75EF" w:rsidP="00FA75EF">
            <w:pPr>
              <w:rPr>
                <w:rFonts w:ascii="Arial" w:hAnsi="Arial" w:cs="Arial"/>
              </w:rPr>
            </w:pPr>
            <w:r w:rsidRPr="00FA75EF">
              <w:rPr>
                <w:rFonts w:ascii="Arial" w:hAnsi="Arial" w:cs="Arial"/>
              </w:rPr>
              <w:t> </w:t>
            </w:r>
          </w:p>
        </w:tc>
        <w:tc>
          <w:tcPr>
            <w:tcW w:w="735" w:type="dxa"/>
            <w:tcBorders>
              <w:top w:val="nil"/>
              <w:left w:val="nil"/>
              <w:bottom w:val="nil"/>
              <w:right w:val="nil"/>
            </w:tcBorders>
            <w:vAlign w:val="center"/>
            <w:hideMark/>
          </w:tcPr>
          <w:p w14:paraId="698AE7CD" w14:textId="77777777" w:rsidR="00FA75EF" w:rsidRPr="00FA75EF" w:rsidRDefault="00FA75EF" w:rsidP="00FA75EF">
            <w:pPr>
              <w:rPr>
                <w:rFonts w:ascii="Arial" w:hAnsi="Arial" w:cs="Arial"/>
              </w:rPr>
            </w:pPr>
            <w:r w:rsidRPr="00FA75EF">
              <w:rPr>
                <w:rFonts w:ascii="Arial" w:hAnsi="Arial" w:cs="Arial"/>
              </w:rPr>
              <w:t> </w:t>
            </w:r>
          </w:p>
        </w:tc>
        <w:tc>
          <w:tcPr>
            <w:tcW w:w="570" w:type="dxa"/>
            <w:tcBorders>
              <w:top w:val="nil"/>
              <w:left w:val="nil"/>
              <w:bottom w:val="nil"/>
              <w:right w:val="nil"/>
            </w:tcBorders>
            <w:vAlign w:val="center"/>
            <w:hideMark/>
          </w:tcPr>
          <w:p w14:paraId="10EB8C86"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495" w:type="dxa"/>
            <w:tcBorders>
              <w:top w:val="nil"/>
              <w:left w:val="nil"/>
              <w:bottom w:val="nil"/>
              <w:right w:val="nil"/>
            </w:tcBorders>
            <w:vAlign w:val="center"/>
            <w:hideMark/>
          </w:tcPr>
          <w:p w14:paraId="377ABD7B"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c>
          <w:tcPr>
            <w:tcW w:w="570" w:type="dxa"/>
            <w:tcBorders>
              <w:top w:val="nil"/>
              <w:left w:val="nil"/>
              <w:bottom w:val="nil"/>
              <w:right w:val="nil"/>
            </w:tcBorders>
            <w:vAlign w:val="center"/>
            <w:hideMark/>
          </w:tcPr>
          <w:p w14:paraId="7AC3F87D" w14:textId="77777777" w:rsidR="00FA75EF" w:rsidRPr="00FA75EF" w:rsidRDefault="00FA75EF" w:rsidP="00FA75EF">
            <w:pPr>
              <w:rPr>
                <w:rFonts w:ascii="Arial" w:hAnsi="Arial" w:cs="Arial"/>
              </w:rPr>
            </w:pPr>
            <w:r w:rsidRPr="00FA75EF">
              <w:rPr>
                <w:rFonts w:ascii="Segoe UI Symbol" w:hAnsi="Segoe UI Symbol" w:cs="Segoe UI Symbol"/>
                <w:lang w:val="en-GB"/>
              </w:rPr>
              <w:t>✔</w:t>
            </w:r>
            <w:r w:rsidRPr="00FA75EF">
              <w:rPr>
                <w:rFonts w:ascii="Arial" w:hAnsi="Arial" w:cs="Arial"/>
              </w:rPr>
              <w:t> </w:t>
            </w:r>
          </w:p>
        </w:tc>
      </w:tr>
    </w:tbl>
    <w:p w14:paraId="438B94FE" w14:textId="77777777" w:rsidR="00FA75EF" w:rsidRPr="00FA75EF" w:rsidRDefault="00FA75EF" w:rsidP="00FA75EF">
      <w:pPr>
        <w:rPr>
          <w:rFonts w:ascii="Arial" w:hAnsi="Arial" w:cs="Arial"/>
        </w:rPr>
      </w:pPr>
      <w:r w:rsidRPr="00FA75EF">
        <w:rPr>
          <w:rFonts w:ascii="Arial" w:hAnsi="Arial" w:cs="Arial"/>
          <w:lang w:val="en-GB"/>
        </w:rPr>
        <w:t>This timeline reflects a structured, achievable approach. Building a professional profile, gaining experience, and attending workshops will enhance employability (Dacre Pool and Sewell, 2007; Locke and Latham, 2002).</w:t>
      </w:r>
      <w:r w:rsidRPr="00FA75EF">
        <w:rPr>
          <w:rFonts w:ascii="Arial" w:hAnsi="Arial" w:cs="Arial"/>
        </w:rPr>
        <w:t> </w:t>
      </w:r>
    </w:p>
    <w:p w14:paraId="5CDFA5F2" w14:textId="77777777" w:rsidR="00FA75EF" w:rsidRPr="00FA75EF" w:rsidRDefault="00FA75EF" w:rsidP="00FA75EF">
      <w:pPr>
        <w:rPr>
          <w:rFonts w:ascii="Arial" w:hAnsi="Arial" w:cs="Arial"/>
        </w:rPr>
      </w:pPr>
      <w:r w:rsidRPr="00FA75EF">
        <w:rPr>
          <w:rFonts w:ascii="Arial" w:hAnsi="Arial" w:cs="Arial"/>
        </w:rPr>
        <w:t> </w:t>
      </w:r>
    </w:p>
    <w:p w14:paraId="0AEE0E4F" w14:textId="77777777" w:rsidR="00FA75EF" w:rsidRPr="00FA75EF" w:rsidRDefault="00FA75EF" w:rsidP="00FA75EF">
      <w:pPr>
        <w:rPr>
          <w:rFonts w:ascii="Arial" w:hAnsi="Arial" w:cs="Arial"/>
        </w:rPr>
      </w:pPr>
      <w:r w:rsidRPr="00FA75EF">
        <w:rPr>
          <w:rFonts w:ascii="Arial" w:hAnsi="Arial" w:cs="Arial"/>
          <w:b/>
          <w:bCs/>
          <w:lang w:val="en-GB"/>
        </w:rPr>
        <w:t>Task 7 – Making Changes Report </w:t>
      </w:r>
      <w:r w:rsidRPr="00FA75EF">
        <w:rPr>
          <w:rFonts w:ascii="Arial" w:hAnsi="Arial" w:cs="Arial"/>
        </w:rPr>
        <w:t> </w:t>
      </w:r>
    </w:p>
    <w:p w14:paraId="69A7948F" w14:textId="77777777" w:rsidR="00FA75EF" w:rsidRPr="00FA75EF" w:rsidRDefault="00FA75EF" w:rsidP="00FA75EF">
      <w:pPr>
        <w:rPr>
          <w:rFonts w:ascii="Arial" w:hAnsi="Arial" w:cs="Arial"/>
        </w:rPr>
      </w:pPr>
      <w:r w:rsidRPr="00FA75EF">
        <w:rPr>
          <w:rFonts w:ascii="Arial" w:hAnsi="Arial" w:cs="Arial"/>
          <w:b/>
          <w:bCs/>
          <w:lang w:val="en-GB"/>
        </w:rPr>
        <w:t>Proposed Change:</w:t>
      </w:r>
      <w:r w:rsidRPr="00FA75EF">
        <w:rPr>
          <w:rFonts w:ascii="Arial" w:hAnsi="Arial" w:cs="Arial"/>
          <w:lang w:val="en-GB"/>
        </w:rPr>
        <w:t> Improve communication between staff and residents</w:t>
      </w:r>
      <w:r w:rsidRPr="00FA75EF">
        <w:rPr>
          <w:rFonts w:ascii="Arial" w:hAnsi="Arial" w:cs="Arial"/>
        </w:rPr>
        <w:t> </w:t>
      </w:r>
    </w:p>
    <w:p w14:paraId="5CFB2410" w14:textId="77777777" w:rsidR="00FA75EF" w:rsidRPr="00FA75EF" w:rsidRDefault="00FA75EF" w:rsidP="00FA75EF">
      <w:pPr>
        <w:rPr>
          <w:rFonts w:ascii="Arial" w:hAnsi="Arial" w:cs="Arial"/>
        </w:rPr>
      </w:pPr>
      <w:r w:rsidRPr="00FA75EF">
        <w:rPr>
          <w:rFonts w:ascii="Arial" w:hAnsi="Arial" w:cs="Arial"/>
          <w:lang w:val="en-GB"/>
        </w:rPr>
        <w:t>Effective communication ensures person-centred care and supports resident wellbeing. Currently, inconsistencies exist due to workload pressures. I propose training sessions on communication skills and daily briefings to improve clarity.</w:t>
      </w:r>
      <w:r w:rsidRPr="00FA75EF">
        <w:rPr>
          <w:rFonts w:ascii="Arial" w:hAnsi="Arial" w:cs="Arial"/>
        </w:rPr>
        <w:t> </w:t>
      </w:r>
    </w:p>
    <w:p w14:paraId="29A36C28" w14:textId="77777777" w:rsidR="00FA75EF" w:rsidRPr="00FA75EF" w:rsidRDefault="00FA75EF" w:rsidP="00FA75EF">
      <w:pPr>
        <w:rPr>
          <w:rFonts w:ascii="Arial" w:hAnsi="Arial" w:cs="Arial"/>
        </w:rPr>
      </w:pPr>
      <w:r w:rsidRPr="00FA75EF">
        <w:rPr>
          <w:rFonts w:ascii="Arial" w:hAnsi="Arial" w:cs="Arial"/>
          <w:lang w:val="en-GB"/>
        </w:rPr>
        <w:t>Using Lewin’s Change Model (1951):</w:t>
      </w:r>
      <w:r w:rsidRPr="00FA75EF">
        <w:rPr>
          <w:rFonts w:ascii="Arial" w:hAnsi="Arial" w:cs="Arial"/>
        </w:rPr>
        <w:t> </w:t>
      </w:r>
    </w:p>
    <w:p w14:paraId="7D78F50C" w14:textId="77777777" w:rsidR="00FA75EF" w:rsidRPr="00FA75EF" w:rsidRDefault="00FA75EF" w:rsidP="00FA75EF">
      <w:pPr>
        <w:numPr>
          <w:ilvl w:val="0"/>
          <w:numId w:val="11"/>
        </w:numPr>
        <w:rPr>
          <w:rFonts w:ascii="Arial" w:hAnsi="Arial" w:cs="Arial"/>
        </w:rPr>
      </w:pPr>
      <w:r w:rsidRPr="00FA75EF">
        <w:rPr>
          <w:rFonts w:ascii="Arial" w:hAnsi="Arial" w:cs="Arial"/>
          <w:b/>
          <w:bCs/>
          <w:lang w:val="en-GB"/>
        </w:rPr>
        <w:t>Unfreezing:</w:t>
      </w:r>
      <w:r w:rsidRPr="00FA75EF">
        <w:rPr>
          <w:rFonts w:ascii="Arial" w:hAnsi="Arial" w:cs="Arial"/>
          <w:lang w:val="en-GB"/>
        </w:rPr>
        <w:t> Explain change importance </w:t>
      </w:r>
      <w:r w:rsidRPr="00FA75EF">
        <w:rPr>
          <w:rFonts w:ascii="Arial" w:hAnsi="Arial" w:cs="Arial"/>
        </w:rPr>
        <w:t> </w:t>
      </w:r>
    </w:p>
    <w:p w14:paraId="245DC83E" w14:textId="77777777" w:rsidR="00FA75EF" w:rsidRPr="00FA75EF" w:rsidRDefault="00FA75EF" w:rsidP="00FA75EF">
      <w:pPr>
        <w:numPr>
          <w:ilvl w:val="0"/>
          <w:numId w:val="12"/>
        </w:numPr>
        <w:rPr>
          <w:rFonts w:ascii="Arial" w:hAnsi="Arial" w:cs="Arial"/>
        </w:rPr>
      </w:pPr>
      <w:r w:rsidRPr="00FA75EF">
        <w:rPr>
          <w:rFonts w:ascii="Arial" w:hAnsi="Arial" w:cs="Arial"/>
          <w:b/>
          <w:bCs/>
          <w:lang w:val="en-GB"/>
        </w:rPr>
        <w:t>Changing:</w:t>
      </w:r>
      <w:r w:rsidRPr="00FA75EF">
        <w:rPr>
          <w:rFonts w:ascii="Arial" w:hAnsi="Arial" w:cs="Arial"/>
          <w:lang w:val="en-GB"/>
        </w:rPr>
        <w:t> Introduce training and new practices </w:t>
      </w:r>
      <w:r w:rsidRPr="00FA75EF">
        <w:rPr>
          <w:rFonts w:ascii="Arial" w:hAnsi="Arial" w:cs="Arial"/>
        </w:rPr>
        <w:t> </w:t>
      </w:r>
    </w:p>
    <w:p w14:paraId="3CD7C82B" w14:textId="77777777" w:rsidR="00FA75EF" w:rsidRPr="00FA75EF" w:rsidRDefault="00FA75EF" w:rsidP="00FA75EF">
      <w:pPr>
        <w:numPr>
          <w:ilvl w:val="0"/>
          <w:numId w:val="13"/>
        </w:numPr>
        <w:rPr>
          <w:rFonts w:ascii="Arial" w:hAnsi="Arial" w:cs="Arial"/>
        </w:rPr>
      </w:pPr>
      <w:r w:rsidRPr="00FA75EF">
        <w:rPr>
          <w:rFonts w:ascii="Arial" w:hAnsi="Arial" w:cs="Arial"/>
          <w:b/>
          <w:bCs/>
          <w:lang w:val="en-GB"/>
        </w:rPr>
        <w:t>Refreezing:</w:t>
      </w:r>
      <w:r w:rsidRPr="00FA75EF">
        <w:rPr>
          <w:rFonts w:ascii="Arial" w:hAnsi="Arial" w:cs="Arial"/>
          <w:lang w:val="en-GB"/>
        </w:rPr>
        <w:t> Embed changes in routine </w:t>
      </w:r>
      <w:r w:rsidRPr="00FA75EF">
        <w:rPr>
          <w:rFonts w:ascii="Arial" w:hAnsi="Arial" w:cs="Arial"/>
        </w:rPr>
        <w:t> </w:t>
      </w:r>
    </w:p>
    <w:p w14:paraId="3D26E4B3" w14:textId="77777777" w:rsidR="00FA75EF" w:rsidRPr="00FA75EF" w:rsidRDefault="00FA75EF" w:rsidP="00FA75EF">
      <w:pPr>
        <w:rPr>
          <w:rFonts w:ascii="Arial" w:hAnsi="Arial" w:cs="Arial"/>
        </w:rPr>
      </w:pPr>
      <w:r w:rsidRPr="00FA75EF">
        <w:rPr>
          <w:rFonts w:ascii="Arial" w:hAnsi="Arial" w:cs="Arial"/>
          <w:lang w:val="en-GB"/>
        </w:rPr>
        <w:t>Staff resistance is a potential barrier. Involving staff in planning and providing support can overcome this (Kotter, 1996).</w:t>
      </w:r>
      <w:r w:rsidRPr="00FA75EF">
        <w:rPr>
          <w:rFonts w:ascii="Arial" w:hAnsi="Arial" w:cs="Arial"/>
        </w:rPr>
        <w:t> </w:t>
      </w:r>
    </w:p>
    <w:p w14:paraId="18208105" w14:textId="77777777" w:rsidR="00FA75EF" w:rsidRPr="00FA75EF" w:rsidRDefault="00FA75EF" w:rsidP="00FA75EF">
      <w:pPr>
        <w:rPr>
          <w:rFonts w:ascii="Arial" w:hAnsi="Arial" w:cs="Arial"/>
        </w:rPr>
      </w:pPr>
      <w:r w:rsidRPr="00FA75EF">
        <w:rPr>
          <w:rFonts w:ascii="Arial" w:hAnsi="Arial" w:cs="Arial"/>
          <w:lang w:val="en-GB"/>
        </w:rPr>
        <w:t>This change will improve care quality and staff-resident relationships, ensuring the home aligns with best practices (Stein-</w:t>
      </w:r>
      <w:proofErr w:type="spellStart"/>
      <w:r w:rsidRPr="00FA75EF">
        <w:rPr>
          <w:rFonts w:ascii="Arial" w:hAnsi="Arial" w:cs="Arial"/>
          <w:lang w:val="en-GB"/>
        </w:rPr>
        <w:t>Parbury</w:t>
      </w:r>
      <w:proofErr w:type="spellEnd"/>
      <w:r w:rsidRPr="00FA75EF">
        <w:rPr>
          <w:rFonts w:ascii="Arial" w:hAnsi="Arial" w:cs="Arial"/>
          <w:lang w:val="en-GB"/>
        </w:rPr>
        <w:t>, 2013).</w:t>
      </w:r>
      <w:r w:rsidRPr="00FA75EF">
        <w:rPr>
          <w:rFonts w:ascii="Arial" w:hAnsi="Arial" w:cs="Arial"/>
        </w:rPr>
        <w:t> </w:t>
      </w:r>
    </w:p>
    <w:p w14:paraId="32025610" w14:textId="77777777" w:rsidR="00FA75EF" w:rsidRPr="00FA75EF" w:rsidRDefault="00FA75EF" w:rsidP="00FA75EF">
      <w:pPr>
        <w:rPr>
          <w:rFonts w:ascii="Arial" w:hAnsi="Arial" w:cs="Arial"/>
        </w:rPr>
      </w:pPr>
      <w:r w:rsidRPr="00FA75EF">
        <w:rPr>
          <w:rFonts w:ascii="Arial" w:hAnsi="Arial" w:cs="Arial"/>
        </w:rPr>
        <w:t> </w:t>
      </w:r>
    </w:p>
    <w:p w14:paraId="1EAC74F6" w14:textId="77777777" w:rsidR="00FA75EF" w:rsidRPr="00FA75EF" w:rsidRDefault="00FA75EF" w:rsidP="00FA75EF">
      <w:pPr>
        <w:rPr>
          <w:rFonts w:ascii="Arial" w:hAnsi="Arial" w:cs="Arial"/>
        </w:rPr>
      </w:pPr>
      <w:r w:rsidRPr="00FA75EF">
        <w:rPr>
          <w:rFonts w:ascii="Arial" w:hAnsi="Arial" w:cs="Arial"/>
        </w:rPr>
        <w:t> </w:t>
      </w:r>
    </w:p>
    <w:p w14:paraId="3C01B65D" w14:textId="77777777" w:rsidR="00FA75EF" w:rsidRDefault="00FA75EF" w:rsidP="00FA75EF">
      <w:pPr>
        <w:rPr>
          <w:rFonts w:ascii="Arial" w:hAnsi="Arial" w:cs="Arial"/>
          <w:b/>
          <w:bCs/>
          <w:lang w:val="en-GB"/>
        </w:rPr>
      </w:pPr>
    </w:p>
    <w:p w14:paraId="17ED3C7D" w14:textId="77777777" w:rsidR="00FA75EF" w:rsidRDefault="00FA75EF" w:rsidP="00FA75EF">
      <w:pPr>
        <w:rPr>
          <w:rFonts w:ascii="Arial" w:hAnsi="Arial" w:cs="Arial"/>
          <w:b/>
          <w:bCs/>
          <w:lang w:val="en-GB"/>
        </w:rPr>
      </w:pPr>
    </w:p>
    <w:p w14:paraId="5699F8CD" w14:textId="77777777" w:rsidR="00FA75EF" w:rsidRDefault="00FA75EF" w:rsidP="00FA75EF">
      <w:pPr>
        <w:rPr>
          <w:rFonts w:ascii="Arial" w:hAnsi="Arial" w:cs="Arial"/>
          <w:b/>
          <w:bCs/>
          <w:lang w:val="en-GB"/>
        </w:rPr>
      </w:pPr>
    </w:p>
    <w:p w14:paraId="590FD057" w14:textId="03365650" w:rsidR="00FA75EF" w:rsidRPr="00FA75EF" w:rsidRDefault="00FA75EF" w:rsidP="00FA75EF">
      <w:pPr>
        <w:rPr>
          <w:rFonts w:ascii="Arial" w:hAnsi="Arial" w:cs="Arial"/>
        </w:rPr>
      </w:pPr>
      <w:r w:rsidRPr="00FA75EF">
        <w:rPr>
          <w:rFonts w:ascii="Arial" w:hAnsi="Arial" w:cs="Arial"/>
          <w:b/>
          <w:bCs/>
          <w:lang w:val="en-GB"/>
        </w:rPr>
        <w:t>Task 8 – Self-Reflection </w:t>
      </w:r>
      <w:r w:rsidRPr="00FA75EF">
        <w:rPr>
          <w:rFonts w:ascii="Arial" w:hAnsi="Arial" w:cs="Arial"/>
        </w:rPr>
        <w:t> </w:t>
      </w:r>
    </w:p>
    <w:p w14:paraId="4EB884AD" w14:textId="77777777" w:rsidR="00FA75EF" w:rsidRPr="00FA75EF" w:rsidRDefault="00FA75EF" w:rsidP="00FA75EF">
      <w:pPr>
        <w:rPr>
          <w:rFonts w:ascii="Arial" w:hAnsi="Arial" w:cs="Arial"/>
        </w:rPr>
      </w:pPr>
      <w:r w:rsidRPr="00FA75EF">
        <w:rPr>
          <w:rFonts w:ascii="Arial" w:hAnsi="Arial" w:cs="Arial"/>
          <w:lang w:val="en-GB"/>
        </w:rPr>
        <w:t>Using </w:t>
      </w:r>
      <w:r w:rsidRPr="00FA75EF">
        <w:rPr>
          <w:rFonts w:ascii="Arial" w:hAnsi="Arial" w:cs="Arial"/>
          <w:b/>
          <w:bCs/>
          <w:lang w:val="en-GB"/>
        </w:rPr>
        <w:t>Gibbs’ Reflective Cycle (1988)</w:t>
      </w:r>
      <w:r w:rsidRPr="00FA75EF">
        <w:rPr>
          <w:rFonts w:ascii="Arial" w:hAnsi="Arial" w:cs="Arial"/>
          <w:lang w:val="en-GB"/>
        </w:rPr>
        <w:t>:</w:t>
      </w:r>
      <w:r w:rsidRPr="00FA75EF">
        <w:rPr>
          <w:rFonts w:ascii="Arial" w:hAnsi="Arial" w:cs="Arial"/>
        </w:rPr>
        <w:t> </w:t>
      </w:r>
    </w:p>
    <w:p w14:paraId="17C6D058" w14:textId="77777777" w:rsidR="00FA75EF" w:rsidRPr="00FA75EF" w:rsidRDefault="00FA75EF" w:rsidP="00FA75EF">
      <w:pPr>
        <w:numPr>
          <w:ilvl w:val="0"/>
          <w:numId w:val="14"/>
        </w:numPr>
        <w:rPr>
          <w:rFonts w:ascii="Arial" w:hAnsi="Arial" w:cs="Arial"/>
        </w:rPr>
      </w:pPr>
      <w:r w:rsidRPr="00FA75EF">
        <w:rPr>
          <w:rFonts w:ascii="Arial" w:hAnsi="Arial" w:cs="Arial"/>
          <w:b/>
          <w:bCs/>
          <w:lang w:val="en-GB"/>
        </w:rPr>
        <w:t>Description:</w:t>
      </w:r>
      <w:r w:rsidRPr="00FA75EF">
        <w:rPr>
          <w:rFonts w:ascii="Arial" w:hAnsi="Arial" w:cs="Arial"/>
          <w:lang w:val="en-GB"/>
        </w:rPr>
        <w:t> Explored employability, personal branding, and professional identity. </w:t>
      </w:r>
      <w:r w:rsidRPr="00FA75EF">
        <w:rPr>
          <w:rFonts w:ascii="Arial" w:hAnsi="Arial" w:cs="Arial"/>
        </w:rPr>
        <w:t> </w:t>
      </w:r>
    </w:p>
    <w:p w14:paraId="41337E3C" w14:textId="77777777" w:rsidR="00FA75EF" w:rsidRPr="00FA75EF" w:rsidRDefault="00FA75EF" w:rsidP="00FA75EF">
      <w:pPr>
        <w:numPr>
          <w:ilvl w:val="0"/>
          <w:numId w:val="15"/>
        </w:numPr>
        <w:rPr>
          <w:rFonts w:ascii="Arial" w:hAnsi="Arial" w:cs="Arial"/>
        </w:rPr>
      </w:pPr>
      <w:r w:rsidRPr="00FA75EF">
        <w:rPr>
          <w:rFonts w:ascii="Arial" w:hAnsi="Arial" w:cs="Arial"/>
          <w:b/>
          <w:bCs/>
          <w:lang w:val="en-GB"/>
        </w:rPr>
        <w:t>Feelings:</w:t>
      </w:r>
      <w:r w:rsidRPr="00FA75EF">
        <w:rPr>
          <w:rFonts w:ascii="Arial" w:hAnsi="Arial" w:cs="Arial"/>
          <w:lang w:val="en-GB"/>
        </w:rPr>
        <w:t> Initially uncertain; became more aware of strengths. </w:t>
      </w:r>
      <w:r w:rsidRPr="00FA75EF">
        <w:rPr>
          <w:rFonts w:ascii="Arial" w:hAnsi="Arial" w:cs="Arial"/>
        </w:rPr>
        <w:t> </w:t>
      </w:r>
    </w:p>
    <w:p w14:paraId="6F7E9B76" w14:textId="77777777" w:rsidR="00FA75EF" w:rsidRPr="00FA75EF" w:rsidRDefault="00FA75EF" w:rsidP="00FA75EF">
      <w:pPr>
        <w:numPr>
          <w:ilvl w:val="0"/>
          <w:numId w:val="16"/>
        </w:numPr>
        <w:rPr>
          <w:rFonts w:ascii="Arial" w:hAnsi="Arial" w:cs="Arial"/>
        </w:rPr>
      </w:pPr>
      <w:r w:rsidRPr="00FA75EF">
        <w:rPr>
          <w:rFonts w:ascii="Arial" w:hAnsi="Arial" w:cs="Arial"/>
          <w:b/>
          <w:bCs/>
          <w:lang w:val="en-GB"/>
        </w:rPr>
        <w:t>Evaluation:</w:t>
      </w:r>
      <w:r w:rsidRPr="00FA75EF">
        <w:rPr>
          <w:rFonts w:ascii="Arial" w:hAnsi="Arial" w:cs="Arial"/>
          <w:lang w:val="en-GB"/>
        </w:rPr>
        <w:t> Strong communication and empathy; weakness in confidence and experience. </w:t>
      </w:r>
      <w:r w:rsidRPr="00FA75EF">
        <w:rPr>
          <w:rFonts w:ascii="Arial" w:hAnsi="Arial" w:cs="Arial"/>
        </w:rPr>
        <w:t> </w:t>
      </w:r>
    </w:p>
    <w:p w14:paraId="671EEBA3" w14:textId="77777777" w:rsidR="00FA75EF" w:rsidRPr="00FA75EF" w:rsidRDefault="00FA75EF" w:rsidP="00FA75EF">
      <w:pPr>
        <w:numPr>
          <w:ilvl w:val="0"/>
          <w:numId w:val="17"/>
        </w:numPr>
        <w:rPr>
          <w:rFonts w:ascii="Arial" w:hAnsi="Arial" w:cs="Arial"/>
        </w:rPr>
      </w:pPr>
      <w:r w:rsidRPr="00FA75EF">
        <w:rPr>
          <w:rFonts w:ascii="Arial" w:hAnsi="Arial" w:cs="Arial"/>
          <w:b/>
          <w:bCs/>
          <w:lang w:val="en-GB"/>
        </w:rPr>
        <w:t>Analysis:</w:t>
      </w:r>
      <w:r w:rsidRPr="00FA75EF">
        <w:rPr>
          <w:rFonts w:ascii="Arial" w:hAnsi="Arial" w:cs="Arial"/>
          <w:lang w:val="en-GB"/>
        </w:rPr>
        <w:t> Employability requires both skill and self-belief (Yorke, 2006; Trede et al., 2012). </w:t>
      </w:r>
      <w:r w:rsidRPr="00FA75EF">
        <w:rPr>
          <w:rFonts w:ascii="Arial" w:hAnsi="Arial" w:cs="Arial"/>
        </w:rPr>
        <w:t> </w:t>
      </w:r>
    </w:p>
    <w:p w14:paraId="2842AA1A" w14:textId="77777777" w:rsidR="00FA75EF" w:rsidRPr="00FA75EF" w:rsidRDefault="00FA75EF" w:rsidP="00FA75EF">
      <w:pPr>
        <w:numPr>
          <w:ilvl w:val="0"/>
          <w:numId w:val="18"/>
        </w:numPr>
        <w:rPr>
          <w:rFonts w:ascii="Arial" w:hAnsi="Arial" w:cs="Arial"/>
        </w:rPr>
      </w:pPr>
      <w:r w:rsidRPr="00FA75EF">
        <w:rPr>
          <w:rFonts w:ascii="Arial" w:hAnsi="Arial" w:cs="Arial"/>
          <w:b/>
          <w:bCs/>
          <w:lang w:val="en-GB"/>
        </w:rPr>
        <w:t>Conclusion:</w:t>
      </w:r>
      <w:r w:rsidRPr="00FA75EF">
        <w:rPr>
          <w:rFonts w:ascii="Arial" w:hAnsi="Arial" w:cs="Arial"/>
          <w:lang w:val="en-GB"/>
        </w:rPr>
        <w:t> Clearer understanding of professional identity. </w:t>
      </w:r>
      <w:r w:rsidRPr="00FA75EF">
        <w:rPr>
          <w:rFonts w:ascii="Arial" w:hAnsi="Arial" w:cs="Arial"/>
        </w:rPr>
        <w:t> </w:t>
      </w:r>
    </w:p>
    <w:p w14:paraId="208471C7" w14:textId="77777777" w:rsidR="00FA75EF" w:rsidRPr="00FA75EF" w:rsidRDefault="00FA75EF" w:rsidP="00FA75EF">
      <w:pPr>
        <w:numPr>
          <w:ilvl w:val="0"/>
          <w:numId w:val="19"/>
        </w:numPr>
        <w:rPr>
          <w:rFonts w:ascii="Arial" w:hAnsi="Arial" w:cs="Arial"/>
        </w:rPr>
      </w:pPr>
      <w:r w:rsidRPr="00FA75EF">
        <w:rPr>
          <w:rFonts w:ascii="Arial" w:hAnsi="Arial" w:cs="Arial"/>
          <w:b/>
          <w:bCs/>
          <w:lang w:val="en-GB"/>
        </w:rPr>
        <w:t>Action Plan:</w:t>
      </w:r>
      <w:r w:rsidRPr="00FA75EF">
        <w:rPr>
          <w:rFonts w:ascii="Arial" w:hAnsi="Arial" w:cs="Arial"/>
          <w:lang w:val="en-GB"/>
        </w:rPr>
        <w:t> Gain experience, build confidence, develop personal brand. </w:t>
      </w:r>
      <w:r w:rsidRPr="00FA75EF">
        <w:rPr>
          <w:rFonts w:ascii="Arial" w:hAnsi="Arial" w:cs="Arial"/>
        </w:rPr>
        <w:t> </w:t>
      </w:r>
    </w:p>
    <w:p w14:paraId="140D99F7" w14:textId="77777777" w:rsidR="00FA75EF" w:rsidRPr="00FA75EF" w:rsidRDefault="00FA75EF" w:rsidP="00FA75EF">
      <w:pPr>
        <w:rPr>
          <w:rFonts w:ascii="Arial" w:hAnsi="Arial" w:cs="Arial"/>
        </w:rPr>
      </w:pPr>
      <w:r w:rsidRPr="00FA75EF">
        <w:rPr>
          <w:rFonts w:ascii="Arial" w:hAnsi="Arial" w:cs="Arial"/>
          <w:lang w:val="en-GB"/>
        </w:rPr>
        <w:t>Reflective practice has enhanced self-awareness and informed future practice (Moon, 2004).</w:t>
      </w:r>
      <w:r w:rsidRPr="00FA75EF">
        <w:rPr>
          <w:rFonts w:ascii="Arial" w:hAnsi="Arial" w:cs="Arial"/>
        </w:rPr>
        <w:t> </w:t>
      </w:r>
    </w:p>
    <w:p w14:paraId="68D854D2" w14:textId="77777777" w:rsidR="00FA75EF" w:rsidRPr="00FA75EF" w:rsidRDefault="00FA75EF" w:rsidP="00FA75EF">
      <w:pPr>
        <w:rPr>
          <w:rFonts w:ascii="Arial" w:hAnsi="Arial" w:cs="Arial"/>
        </w:rPr>
      </w:pPr>
      <w:r w:rsidRPr="00FA75EF">
        <w:rPr>
          <w:rFonts w:ascii="Arial" w:hAnsi="Arial" w:cs="Arial"/>
        </w:rPr>
        <w:t> </w:t>
      </w:r>
    </w:p>
    <w:p w14:paraId="4E3AF00D" w14:textId="77777777" w:rsidR="00FA75EF" w:rsidRPr="00FA75EF" w:rsidRDefault="00FA75EF" w:rsidP="00FA75EF">
      <w:pPr>
        <w:rPr>
          <w:rFonts w:ascii="Arial" w:hAnsi="Arial" w:cs="Arial"/>
        </w:rPr>
      </w:pPr>
      <w:r w:rsidRPr="00FA75EF">
        <w:rPr>
          <w:rFonts w:ascii="Arial" w:hAnsi="Arial" w:cs="Arial"/>
        </w:rPr>
        <w:t> </w:t>
      </w:r>
    </w:p>
    <w:p w14:paraId="461814EA" w14:textId="77777777" w:rsidR="00FA75EF" w:rsidRPr="00FA75EF" w:rsidRDefault="00FA75EF" w:rsidP="00FA75EF">
      <w:pPr>
        <w:rPr>
          <w:rFonts w:ascii="Arial" w:hAnsi="Arial" w:cs="Arial"/>
        </w:rPr>
      </w:pPr>
      <w:r w:rsidRPr="00FA75EF">
        <w:rPr>
          <w:rFonts w:ascii="Arial" w:hAnsi="Arial" w:cs="Arial"/>
        </w:rPr>
        <w:t> </w:t>
      </w:r>
    </w:p>
    <w:p w14:paraId="24E727F5" w14:textId="77777777" w:rsidR="00FA75EF" w:rsidRPr="00FA75EF" w:rsidRDefault="00FA75EF" w:rsidP="00FA75EF">
      <w:pPr>
        <w:rPr>
          <w:rFonts w:ascii="Arial" w:hAnsi="Arial" w:cs="Arial"/>
        </w:rPr>
      </w:pPr>
      <w:r w:rsidRPr="00FA75EF">
        <w:rPr>
          <w:rFonts w:ascii="Arial" w:hAnsi="Arial" w:cs="Arial"/>
        </w:rPr>
        <w:t> </w:t>
      </w:r>
    </w:p>
    <w:p w14:paraId="52F49867" w14:textId="77777777" w:rsidR="00FA75EF" w:rsidRPr="00FA75EF" w:rsidRDefault="00FA75EF" w:rsidP="00FA75EF">
      <w:pPr>
        <w:rPr>
          <w:rFonts w:ascii="Arial" w:hAnsi="Arial" w:cs="Arial"/>
        </w:rPr>
      </w:pPr>
      <w:r w:rsidRPr="00FA75EF">
        <w:rPr>
          <w:rFonts w:ascii="Arial" w:hAnsi="Arial" w:cs="Arial"/>
        </w:rPr>
        <w:t> </w:t>
      </w:r>
    </w:p>
    <w:p w14:paraId="0C877C51" w14:textId="77777777" w:rsidR="00FA75EF" w:rsidRPr="00FA75EF" w:rsidRDefault="00FA75EF" w:rsidP="00FA75EF">
      <w:pPr>
        <w:rPr>
          <w:rFonts w:ascii="Arial" w:hAnsi="Arial" w:cs="Arial"/>
        </w:rPr>
      </w:pPr>
      <w:r w:rsidRPr="00FA75EF">
        <w:rPr>
          <w:rFonts w:ascii="Arial" w:hAnsi="Arial" w:cs="Arial"/>
        </w:rPr>
        <w:t> </w:t>
      </w:r>
    </w:p>
    <w:p w14:paraId="44B8DB2F" w14:textId="77777777" w:rsidR="00FA75EF" w:rsidRPr="00FA75EF" w:rsidRDefault="00FA75EF" w:rsidP="00FA75EF">
      <w:pPr>
        <w:rPr>
          <w:rFonts w:ascii="Arial" w:hAnsi="Arial" w:cs="Arial"/>
        </w:rPr>
      </w:pPr>
      <w:r w:rsidRPr="00FA75EF">
        <w:rPr>
          <w:rFonts w:ascii="Arial" w:hAnsi="Arial" w:cs="Arial"/>
        </w:rPr>
        <w:t> </w:t>
      </w:r>
    </w:p>
    <w:p w14:paraId="02BD76EA" w14:textId="77777777" w:rsidR="00FA75EF" w:rsidRPr="00FA75EF" w:rsidRDefault="00FA75EF" w:rsidP="00FA75EF">
      <w:pPr>
        <w:rPr>
          <w:rFonts w:ascii="Arial" w:hAnsi="Arial" w:cs="Arial"/>
        </w:rPr>
      </w:pPr>
      <w:r w:rsidRPr="00FA75EF">
        <w:rPr>
          <w:rFonts w:ascii="Arial" w:hAnsi="Arial" w:cs="Arial"/>
        </w:rPr>
        <w:t> </w:t>
      </w:r>
    </w:p>
    <w:p w14:paraId="3987A482" w14:textId="77777777" w:rsidR="00FA75EF" w:rsidRPr="00FA75EF" w:rsidRDefault="00FA75EF" w:rsidP="00FA75EF">
      <w:pPr>
        <w:rPr>
          <w:rFonts w:ascii="Arial" w:hAnsi="Arial" w:cs="Arial"/>
        </w:rPr>
      </w:pPr>
      <w:r w:rsidRPr="00FA75EF">
        <w:rPr>
          <w:rFonts w:ascii="Arial" w:hAnsi="Arial" w:cs="Arial"/>
        </w:rPr>
        <w:t> </w:t>
      </w:r>
    </w:p>
    <w:p w14:paraId="23BEDD3B" w14:textId="77777777" w:rsidR="00FA75EF" w:rsidRPr="00FA75EF" w:rsidRDefault="00FA75EF" w:rsidP="00FA75EF">
      <w:pPr>
        <w:rPr>
          <w:rFonts w:ascii="Arial" w:hAnsi="Arial" w:cs="Arial"/>
        </w:rPr>
      </w:pPr>
      <w:r w:rsidRPr="00FA75EF">
        <w:rPr>
          <w:rFonts w:ascii="Arial" w:hAnsi="Arial" w:cs="Arial"/>
        </w:rPr>
        <w:t> </w:t>
      </w:r>
    </w:p>
    <w:p w14:paraId="6C39EE48" w14:textId="77777777" w:rsidR="00FA75EF" w:rsidRPr="00FA75EF" w:rsidRDefault="00FA75EF" w:rsidP="00FA75EF">
      <w:pPr>
        <w:rPr>
          <w:rFonts w:ascii="Arial" w:hAnsi="Arial" w:cs="Arial"/>
        </w:rPr>
      </w:pPr>
      <w:r w:rsidRPr="00FA75EF">
        <w:rPr>
          <w:rFonts w:ascii="Arial" w:hAnsi="Arial" w:cs="Arial"/>
        </w:rPr>
        <w:t> </w:t>
      </w:r>
    </w:p>
    <w:p w14:paraId="057735CC" w14:textId="77777777" w:rsidR="00FA75EF" w:rsidRPr="00FA75EF" w:rsidRDefault="00FA75EF" w:rsidP="00FA75EF">
      <w:pPr>
        <w:rPr>
          <w:rFonts w:ascii="Arial" w:hAnsi="Arial" w:cs="Arial"/>
        </w:rPr>
      </w:pPr>
      <w:r w:rsidRPr="00FA75EF">
        <w:rPr>
          <w:rFonts w:ascii="Arial" w:hAnsi="Arial" w:cs="Arial"/>
        </w:rPr>
        <w:t> </w:t>
      </w:r>
    </w:p>
    <w:p w14:paraId="49578D7A" w14:textId="77777777" w:rsidR="00FA75EF" w:rsidRPr="00FA75EF" w:rsidRDefault="00FA75EF" w:rsidP="00FA75EF">
      <w:pPr>
        <w:rPr>
          <w:rFonts w:ascii="Arial" w:hAnsi="Arial" w:cs="Arial"/>
        </w:rPr>
      </w:pPr>
      <w:r w:rsidRPr="00FA75EF">
        <w:rPr>
          <w:rFonts w:ascii="Arial" w:hAnsi="Arial" w:cs="Arial"/>
        </w:rPr>
        <w:t> </w:t>
      </w:r>
    </w:p>
    <w:p w14:paraId="3EDB6E44" w14:textId="77777777" w:rsidR="00FA75EF" w:rsidRPr="00FA75EF" w:rsidRDefault="00FA75EF" w:rsidP="00FA75EF">
      <w:pPr>
        <w:rPr>
          <w:rFonts w:ascii="Arial" w:hAnsi="Arial" w:cs="Arial"/>
        </w:rPr>
      </w:pPr>
      <w:r w:rsidRPr="00FA75EF">
        <w:rPr>
          <w:rFonts w:ascii="Arial" w:hAnsi="Arial" w:cs="Arial"/>
        </w:rPr>
        <w:t> </w:t>
      </w:r>
    </w:p>
    <w:p w14:paraId="03220498" w14:textId="77777777" w:rsidR="00FA75EF" w:rsidRPr="00FA75EF" w:rsidRDefault="00FA75EF" w:rsidP="00FA75EF">
      <w:pPr>
        <w:rPr>
          <w:rFonts w:ascii="Arial" w:hAnsi="Arial" w:cs="Arial"/>
        </w:rPr>
      </w:pPr>
      <w:r w:rsidRPr="00FA75EF">
        <w:rPr>
          <w:rFonts w:ascii="Arial" w:hAnsi="Arial" w:cs="Arial"/>
        </w:rPr>
        <w:t> </w:t>
      </w:r>
    </w:p>
    <w:p w14:paraId="4B16DF2F" w14:textId="77777777" w:rsidR="00FA75EF" w:rsidRPr="00FA75EF" w:rsidRDefault="00FA75EF" w:rsidP="00FA75EF">
      <w:pPr>
        <w:rPr>
          <w:rFonts w:ascii="Arial" w:hAnsi="Arial" w:cs="Arial"/>
        </w:rPr>
      </w:pPr>
      <w:r w:rsidRPr="00FA75EF">
        <w:rPr>
          <w:rFonts w:ascii="Arial" w:hAnsi="Arial" w:cs="Arial"/>
        </w:rPr>
        <w:t> </w:t>
      </w:r>
    </w:p>
    <w:p w14:paraId="477CEF1C" w14:textId="77777777" w:rsidR="00FA75EF" w:rsidRPr="00FA75EF" w:rsidRDefault="00FA75EF" w:rsidP="00FA75EF">
      <w:pPr>
        <w:rPr>
          <w:rFonts w:ascii="Arial" w:hAnsi="Arial" w:cs="Arial"/>
        </w:rPr>
      </w:pPr>
      <w:r w:rsidRPr="00FA75EF">
        <w:rPr>
          <w:rFonts w:ascii="Arial" w:hAnsi="Arial" w:cs="Arial"/>
        </w:rPr>
        <w:t> </w:t>
      </w:r>
    </w:p>
    <w:p w14:paraId="1EEDD845" w14:textId="77777777" w:rsidR="00FA75EF" w:rsidRPr="00FA75EF" w:rsidRDefault="00FA75EF" w:rsidP="00FA75EF">
      <w:pPr>
        <w:rPr>
          <w:rFonts w:ascii="Arial" w:hAnsi="Arial" w:cs="Arial"/>
        </w:rPr>
      </w:pPr>
      <w:r w:rsidRPr="00FA75EF">
        <w:rPr>
          <w:rFonts w:ascii="Arial" w:hAnsi="Arial" w:cs="Arial"/>
        </w:rPr>
        <w:t> </w:t>
      </w:r>
    </w:p>
    <w:p w14:paraId="258E9367" w14:textId="77777777" w:rsidR="00FA75EF" w:rsidRPr="00FA75EF" w:rsidRDefault="00FA75EF" w:rsidP="00FA75EF">
      <w:pPr>
        <w:rPr>
          <w:rFonts w:ascii="Arial" w:hAnsi="Arial" w:cs="Arial"/>
        </w:rPr>
      </w:pPr>
      <w:r w:rsidRPr="00FA75EF">
        <w:rPr>
          <w:rFonts w:ascii="Arial" w:hAnsi="Arial" w:cs="Arial"/>
        </w:rPr>
        <w:t> </w:t>
      </w:r>
    </w:p>
    <w:p w14:paraId="28717B40" w14:textId="77777777" w:rsidR="00FA75EF" w:rsidRDefault="00FA75EF" w:rsidP="00FA75EF">
      <w:pPr>
        <w:rPr>
          <w:rFonts w:ascii="Arial" w:hAnsi="Arial" w:cs="Arial"/>
          <w:b/>
          <w:bCs/>
          <w:lang w:val="en-GB"/>
        </w:rPr>
      </w:pPr>
    </w:p>
    <w:p w14:paraId="69B9A311" w14:textId="6BEAC416" w:rsidR="00FA75EF" w:rsidRPr="00FA75EF" w:rsidRDefault="00FA75EF" w:rsidP="00FA75EF">
      <w:pPr>
        <w:rPr>
          <w:rFonts w:ascii="Arial" w:hAnsi="Arial" w:cs="Arial"/>
        </w:rPr>
      </w:pPr>
      <w:r w:rsidRPr="00FA75EF">
        <w:rPr>
          <w:rFonts w:ascii="Arial" w:hAnsi="Arial" w:cs="Arial"/>
          <w:b/>
          <w:bCs/>
          <w:lang w:val="en-GB"/>
        </w:rPr>
        <w:t>References </w:t>
      </w:r>
      <w:r w:rsidRPr="00FA75EF">
        <w:rPr>
          <w:rFonts w:ascii="Arial" w:hAnsi="Arial" w:cs="Arial"/>
        </w:rPr>
        <w:t> </w:t>
      </w:r>
    </w:p>
    <w:p w14:paraId="11B1BC6A" w14:textId="77777777" w:rsidR="00FA75EF" w:rsidRPr="00FA75EF" w:rsidRDefault="00FA75EF" w:rsidP="00FA75EF">
      <w:pPr>
        <w:rPr>
          <w:rFonts w:ascii="Arial" w:hAnsi="Arial" w:cs="Arial"/>
        </w:rPr>
      </w:pPr>
      <w:r w:rsidRPr="00FA75EF">
        <w:rPr>
          <w:rFonts w:ascii="Arial" w:hAnsi="Arial" w:cs="Arial"/>
          <w:lang w:val="en-GB"/>
        </w:rPr>
        <w:t>Adams, K., Hean, S., Sturgis, P. and Clark, J. (2006) ‘Investigating the factors influencing professional identity of first-year health and social care students’, </w:t>
      </w:r>
      <w:r w:rsidRPr="00FA75EF">
        <w:rPr>
          <w:rFonts w:ascii="Arial" w:hAnsi="Arial" w:cs="Arial"/>
          <w:i/>
          <w:iCs/>
          <w:lang w:val="en-GB"/>
        </w:rPr>
        <w:t>Learning in Health and Social Care</w:t>
      </w:r>
      <w:r w:rsidRPr="00FA75EF">
        <w:rPr>
          <w:rFonts w:ascii="Arial" w:hAnsi="Arial" w:cs="Arial"/>
          <w:lang w:val="en-GB"/>
        </w:rPr>
        <w:t>, 5(2), pp. 55–68.</w:t>
      </w:r>
      <w:r w:rsidRPr="00FA75EF">
        <w:rPr>
          <w:rFonts w:ascii="Arial" w:hAnsi="Arial" w:cs="Arial"/>
        </w:rPr>
        <w:t> </w:t>
      </w:r>
    </w:p>
    <w:p w14:paraId="6A95DDEF" w14:textId="77777777" w:rsidR="00FA75EF" w:rsidRPr="00FA75EF" w:rsidRDefault="00FA75EF" w:rsidP="00FA75EF">
      <w:pPr>
        <w:rPr>
          <w:rFonts w:ascii="Arial" w:hAnsi="Arial" w:cs="Arial"/>
        </w:rPr>
      </w:pPr>
      <w:r w:rsidRPr="00FA75EF">
        <w:rPr>
          <w:rFonts w:ascii="Arial" w:hAnsi="Arial" w:cs="Arial"/>
          <w:lang w:val="en-GB"/>
        </w:rPr>
        <w:t>Argyle, M. (2013) </w:t>
      </w:r>
      <w:r w:rsidRPr="00FA75EF">
        <w:rPr>
          <w:rFonts w:ascii="Arial" w:hAnsi="Arial" w:cs="Arial"/>
          <w:i/>
          <w:iCs/>
          <w:lang w:val="en-GB"/>
        </w:rPr>
        <w:t>Bodily Communication</w:t>
      </w:r>
      <w:r w:rsidRPr="00FA75EF">
        <w:rPr>
          <w:rFonts w:ascii="Arial" w:hAnsi="Arial" w:cs="Arial"/>
          <w:lang w:val="en-GB"/>
        </w:rPr>
        <w:t>. 2nd </w:t>
      </w:r>
      <w:proofErr w:type="spellStart"/>
      <w:r w:rsidRPr="00FA75EF">
        <w:rPr>
          <w:rFonts w:ascii="Arial" w:hAnsi="Arial" w:cs="Arial"/>
          <w:lang w:val="en-GB"/>
        </w:rPr>
        <w:t>edn</w:t>
      </w:r>
      <w:proofErr w:type="spellEnd"/>
      <w:r w:rsidRPr="00FA75EF">
        <w:rPr>
          <w:rFonts w:ascii="Arial" w:hAnsi="Arial" w:cs="Arial"/>
          <w:lang w:val="en-GB"/>
        </w:rPr>
        <w:t>. London: Routledge.</w:t>
      </w:r>
      <w:r w:rsidRPr="00FA75EF">
        <w:rPr>
          <w:rFonts w:ascii="Arial" w:hAnsi="Arial" w:cs="Arial"/>
        </w:rPr>
        <w:t> </w:t>
      </w:r>
    </w:p>
    <w:p w14:paraId="12701935" w14:textId="77777777" w:rsidR="00FA75EF" w:rsidRPr="00FA75EF" w:rsidRDefault="00FA75EF" w:rsidP="00FA75EF">
      <w:pPr>
        <w:rPr>
          <w:rFonts w:ascii="Arial" w:hAnsi="Arial" w:cs="Arial"/>
        </w:rPr>
      </w:pPr>
      <w:r w:rsidRPr="00FA75EF">
        <w:rPr>
          <w:rFonts w:ascii="Arial" w:hAnsi="Arial" w:cs="Arial"/>
          <w:lang w:val="en-GB"/>
        </w:rPr>
        <w:t>Bandura, A. (1997) </w:t>
      </w:r>
      <w:r w:rsidRPr="00FA75EF">
        <w:rPr>
          <w:rFonts w:ascii="Arial" w:hAnsi="Arial" w:cs="Arial"/>
          <w:i/>
          <w:iCs/>
          <w:lang w:val="en-GB"/>
        </w:rPr>
        <w:t>Self-efficacy: The exercise of control</w:t>
      </w:r>
      <w:r w:rsidRPr="00FA75EF">
        <w:rPr>
          <w:rFonts w:ascii="Arial" w:hAnsi="Arial" w:cs="Arial"/>
          <w:lang w:val="en-GB"/>
        </w:rPr>
        <w:t>. New York: W.H. Freeman and Company.</w:t>
      </w:r>
      <w:r w:rsidRPr="00FA75EF">
        <w:rPr>
          <w:rFonts w:ascii="Arial" w:hAnsi="Arial" w:cs="Arial"/>
        </w:rPr>
        <w:t> </w:t>
      </w:r>
    </w:p>
    <w:p w14:paraId="7183B1A2" w14:textId="77777777" w:rsidR="00FA75EF" w:rsidRPr="00FA75EF" w:rsidRDefault="00FA75EF" w:rsidP="00FA75EF">
      <w:pPr>
        <w:rPr>
          <w:rFonts w:ascii="Arial" w:hAnsi="Arial" w:cs="Arial"/>
        </w:rPr>
      </w:pPr>
      <w:r w:rsidRPr="00FA75EF">
        <w:rPr>
          <w:rFonts w:ascii="Arial" w:hAnsi="Arial" w:cs="Arial"/>
          <w:lang w:val="en-GB"/>
        </w:rPr>
        <w:t>Brown, P. and Hesketh, A. (2004) </w:t>
      </w:r>
      <w:r w:rsidRPr="00FA75EF">
        <w:rPr>
          <w:rFonts w:ascii="Arial" w:hAnsi="Arial" w:cs="Arial"/>
          <w:i/>
          <w:iCs/>
          <w:lang w:val="en-GB"/>
        </w:rPr>
        <w:t>The mismanagement of talent: Employability and jobs in the knowledge economy</w:t>
      </w:r>
      <w:r w:rsidRPr="00FA75EF">
        <w:rPr>
          <w:rFonts w:ascii="Arial" w:hAnsi="Arial" w:cs="Arial"/>
          <w:lang w:val="en-GB"/>
        </w:rPr>
        <w:t>. Oxford: Oxford University Press.</w:t>
      </w:r>
      <w:r w:rsidRPr="00FA75EF">
        <w:rPr>
          <w:rFonts w:ascii="Arial" w:hAnsi="Arial" w:cs="Arial"/>
        </w:rPr>
        <w:t> </w:t>
      </w:r>
    </w:p>
    <w:p w14:paraId="64429A92" w14:textId="77777777" w:rsidR="00FA75EF" w:rsidRPr="00FA75EF" w:rsidRDefault="00FA75EF" w:rsidP="00FA75EF">
      <w:pPr>
        <w:rPr>
          <w:rFonts w:ascii="Arial" w:hAnsi="Arial" w:cs="Arial"/>
        </w:rPr>
      </w:pPr>
      <w:r w:rsidRPr="00FA75EF">
        <w:rPr>
          <w:rFonts w:ascii="Arial" w:hAnsi="Arial" w:cs="Arial"/>
          <w:lang w:val="en-GB"/>
        </w:rPr>
        <w:t>CIPD (2022) </w:t>
      </w:r>
      <w:r w:rsidRPr="00FA75EF">
        <w:rPr>
          <w:rFonts w:ascii="Arial" w:hAnsi="Arial" w:cs="Arial"/>
          <w:i/>
          <w:iCs/>
          <w:lang w:val="en-GB"/>
        </w:rPr>
        <w:t>Flexible working and inclusion</w:t>
      </w:r>
      <w:r w:rsidRPr="00FA75EF">
        <w:rPr>
          <w:rFonts w:ascii="Arial" w:hAnsi="Arial" w:cs="Arial"/>
          <w:lang w:val="en-GB"/>
        </w:rPr>
        <w:t>. Available at: </w:t>
      </w:r>
      <w:hyperlink r:id="rId8" w:tgtFrame="_blank" w:history="1">
        <w:r w:rsidRPr="00FA75EF">
          <w:rPr>
            <w:rStyle w:val="Hyperlink"/>
            <w:rFonts w:ascii="Arial" w:hAnsi="Arial" w:cs="Arial"/>
            <w:lang w:val="en-GB"/>
          </w:rPr>
          <w:t>https://www.cipd.co.uk</w:t>
        </w:r>
      </w:hyperlink>
      <w:r w:rsidRPr="00FA75EF">
        <w:rPr>
          <w:rFonts w:ascii="Arial" w:hAnsi="Arial" w:cs="Arial"/>
          <w:lang w:val="en-GB"/>
        </w:rPr>
        <w:t> (Accessed: 24 March 2026).</w:t>
      </w:r>
      <w:r w:rsidRPr="00FA75EF">
        <w:rPr>
          <w:rFonts w:ascii="Arial" w:hAnsi="Arial" w:cs="Arial"/>
        </w:rPr>
        <w:t> </w:t>
      </w:r>
    </w:p>
    <w:p w14:paraId="6A30C3A7" w14:textId="77777777" w:rsidR="00FA75EF" w:rsidRPr="00FA75EF" w:rsidRDefault="00FA75EF" w:rsidP="00FA75EF">
      <w:pPr>
        <w:rPr>
          <w:rFonts w:ascii="Arial" w:hAnsi="Arial" w:cs="Arial"/>
        </w:rPr>
      </w:pPr>
      <w:r w:rsidRPr="00FA75EF">
        <w:rPr>
          <w:rFonts w:ascii="Arial" w:hAnsi="Arial" w:cs="Arial"/>
          <w:lang w:val="en-GB"/>
        </w:rPr>
        <w:t>Crenshaw, K. (1989) ‘Demarginalizing the intersection of race and sex’, </w:t>
      </w:r>
      <w:r w:rsidRPr="00FA75EF">
        <w:rPr>
          <w:rFonts w:ascii="Arial" w:hAnsi="Arial" w:cs="Arial"/>
          <w:i/>
          <w:iCs/>
          <w:lang w:val="en-GB"/>
        </w:rPr>
        <w:t>University of Chicago Legal Forum</w:t>
      </w:r>
      <w:r w:rsidRPr="00FA75EF">
        <w:rPr>
          <w:rFonts w:ascii="Arial" w:hAnsi="Arial" w:cs="Arial"/>
          <w:lang w:val="en-GB"/>
        </w:rPr>
        <w:t>, 1989(1), pp. 139–167.</w:t>
      </w:r>
      <w:r w:rsidRPr="00FA75EF">
        <w:rPr>
          <w:rFonts w:ascii="Arial" w:hAnsi="Arial" w:cs="Arial"/>
        </w:rPr>
        <w:t> </w:t>
      </w:r>
    </w:p>
    <w:p w14:paraId="6BCEDE18" w14:textId="77777777" w:rsidR="00FA75EF" w:rsidRPr="00FA75EF" w:rsidRDefault="00FA75EF" w:rsidP="00FA75EF">
      <w:pPr>
        <w:rPr>
          <w:rFonts w:ascii="Arial" w:hAnsi="Arial" w:cs="Arial"/>
        </w:rPr>
      </w:pPr>
      <w:r w:rsidRPr="00FA75EF">
        <w:rPr>
          <w:rFonts w:ascii="Arial" w:hAnsi="Arial" w:cs="Arial"/>
          <w:lang w:val="en-GB"/>
        </w:rPr>
        <w:t>Dacre Pool, L. and Sewell, P. (2007) ‘The key to employability: Developing a practical model of graduate employability’, </w:t>
      </w:r>
      <w:r w:rsidRPr="00FA75EF">
        <w:rPr>
          <w:rFonts w:ascii="Arial" w:hAnsi="Arial" w:cs="Arial"/>
          <w:i/>
          <w:iCs/>
          <w:lang w:val="en-GB"/>
        </w:rPr>
        <w:t>Education + Training</w:t>
      </w:r>
      <w:r w:rsidRPr="00FA75EF">
        <w:rPr>
          <w:rFonts w:ascii="Arial" w:hAnsi="Arial" w:cs="Arial"/>
          <w:lang w:val="en-GB"/>
        </w:rPr>
        <w:t>, 49(4), pp. 277–289.</w:t>
      </w:r>
      <w:r w:rsidRPr="00FA75EF">
        <w:rPr>
          <w:rFonts w:ascii="Arial" w:hAnsi="Arial" w:cs="Arial"/>
        </w:rPr>
        <w:t> </w:t>
      </w:r>
    </w:p>
    <w:p w14:paraId="7A2B254B" w14:textId="77777777" w:rsidR="00FA75EF" w:rsidRPr="00FA75EF" w:rsidRDefault="00FA75EF" w:rsidP="00FA75EF">
      <w:pPr>
        <w:rPr>
          <w:rFonts w:ascii="Arial" w:hAnsi="Arial" w:cs="Arial"/>
        </w:rPr>
      </w:pPr>
      <w:r w:rsidRPr="00FA75EF">
        <w:rPr>
          <w:rFonts w:ascii="Arial" w:hAnsi="Arial" w:cs="Arial"/>
          <w:lang w:val="en-GB"/>
        </w:rPr>
        <w:t>Edmondson, A. (1999) ‘Psychological safety and learning </w:t>
      </w:r>
      <w:proofErr w:type="spellStart"/>
      <w:r w:rsidRPr="00FA75EF">
        <w:rPr>
          <w:rFonts w:ascii="Arial" w:hAnsi="Arial" w:cs="Arial"/>
          <w:lang w:val="en-GB"/>
        </w:rPr>
        <w:t>behavior</w:t>
      </w:r>
      <w:proofErr w:type="spellEnd"/>
      <w:r w:rsidRPr="00FA75EF">
        <w:rPr>
          <w:rFonts w:ascii="Arial" w:hAnsi="Arial" w:cs="Arial"/>
          <w:lang w:val="en-GB"/>
        </w:rPr>
        <w:t> in work teams’, </w:t>
      </w:r>
      <w:r w:rsidRPr="00FA75EF">
        <w:rPr>
          <w:rFonts w:ascii="Arial" w:hAnsi="Arial" w:cs="Arial"/>
          <w:i/>
          <w:iCs/>
          <w:lang w:val="en-GB"/>
        </w:rPr>
        <w:t>Administrative Science Quarterly</w:t>
      </w:r>
      <w:r w:rsidRPr="00FA75EF">
        <w:rPr>
          <w:rFonts w:ascii="Arial" w:hAnsi="Arial" w:cs="Arial"/>
          <w:lang w:val="en-GB"/>
        </w:rPr>
        <w:t>, 44(2), pp. 350–383.</w:t>
      </w:r>
      <w:r w:rsidRPr="00FA75EF">
        <w:rPr>
          <w:rFonts w:ascii="Arial" w:hAnsi="Arial" w:cs="Arial"/>
        </w:rPr>
        <w:t> </w:t>
      </w:r>
    </w:p>
    <w:p w14:paraId="6442A1B5" w14:textId="77777777" w:rsidR="00FA75EF" w:rsidRPr="00FA75EF" w:rsidRDefault="00FA75EF" w:rsidP="00FA75EF">
      <w:pPr>
        <w:rPr>
          <w:rFonts w:ascii="Arial" w:hAnsi="Arial" w:cs="Arial"/>
        </w:rPr>
      </w:pPr>
      <w:r w:rsidRPr="00FA75EF">
        <w:rPr>
          <w:rFonts w:ascii="Arial" w:hAnsi="Arial" w:cs="Arial"/>
          <w:lang w:val="en-GB"/>
        </w:rPr>
        <w:t>Equality Act (2010) </w:t>
      </w:r>
      <w:r w:rsidRPr="00FA75EF">
        <w:rPr>
          <w:rFonts w:ascii="Arial" w:hAnsi="Arial" w:cs="Arial"/>
          <w:i/>
          <w:iCs/>
          <w:lang w:val="en-GB"/>
        </w:rPr>
        <w:t>UK Public General Acts</w:t>
      </w:r>
      <w:r w:rsidRPr="00FA75EF">
        <w:rPr>
          <w:rFonts w:ascii="Arial" w:hAnsi="Arial" w:cs="Arial"/>
          <w:lang w:val="en-GB"/>
        </w:rPr>
        <w:t>. London: HMSO.</w:t>
      </w:r>
      <w:r w:rsidRPr="00FA75EF">
        <w:rPr>
          <w:rFonts w:ascii="Arial" w:hAnsi="Arial" w:cs="Arial"/>
        </w:rPr>
        <w:t> </w:t>
      </w:r>
    </w:p>
    <w:p w14:paraId="6B429982" w14:textId="77777777" w:rsidR="00FA75EF" w:rsidRPr="00FA75EF" w:rsidRDefault="00FA75EF" w:rsidP="00FA75EF">
      <w:pPr>
        <w:rPr>
          <w:rFonts w:ascii="Arial" w:hAnsi="Arial" w:cs="Arial"/>
        </w:rPr>
      </w:pPr>
      <w:r w:rsidRPr="00FA75EF">
        <w:rPr>
          <w:rFonts w:ascii="Arial" w:hAnsi="Arial" w:cs="Arial"/>
          <w:lang w:val="en-GB"/>
        </w:rPr>
        <w:t>Goleman, D. (1995) </w:t>
      </w:r>
      <w:r w:rsidRPr="00FA75EF">
        <w:rPr>
          <w:rFonts w:ascii="Arial" w:hAnsi="Arial" w:cs="Arial"/>
          <w:i/>
          <w:iCs/>
          <w:lang w:val="en-GB"/>
        </w:rPr>
        <w:t>Emotional Intelligence</w:t>
      </w:r>
      <w:r w:rsidRPr="00FA75EF">
        <w:rPr>
          <w:rFonts w:ascii="Arial" w:hAnsi="Arial" w:cs="Arial"/>
          <w:lang w:val="en-GB"/>
        </w:rPr>
        <w:t>. London: Bloomsbury.</w:t>
      </w:r>
      <w:r w:rsidRPr="00FA75EF">
        <w:rPr>
          <w:rFonts w:ascii="Arial" w:hAnsi="Arial" w:cs="Arial"/>
        </w:rPr>
        <w:t> </w:t>
      </w:r>
    </w:p>
    <w:p w14:paraId="7507FA9F" w14:textId="77777777" w:rsidR="00FA75EF" w:rsidRPr="00FA75EF" w:rsidRDefault="00FA75EF" w:rsidP="00FA75EF">
      <w:pPr>
        <w:rPr>
          <w:rFonts w:ascii="Arial" w:hAnsi="Arial" w:cs="Arial"/>
        </w:rPr>
      </w:pPr>
      <w:proofErr w:type="spellStart"/>
      <w:r w:rsidRPr="00FA75EF">
        <w:rPr>
          <w:rFonts w:ascii="Arial" w:hAnsi="Arial" w:cs="Arial"/>
          <w:lang w:val="en-GB"/>
        </w:rPr>
        <w:t>Granovetter</w:t>
      </w:r>
      <w:proofErr w:type="spellEnd"/>
      <w:r w:rsidRPr="00FA75EF">
        <w:rPr>
          <w:rFonts w:ascii="Arial" w:hAnsi="Arial" w:cs="Arial"/>
          <w:lang w:val="en-GB"/>
        </w:rPr>
        <w:t>, M. (1973) ‘The strength of weak ties’, </w:t>
      </w:r>
      <w:r w:rsidRPr="00FA75EF">
        <w:rPr>
          <w:rFonts w:ascii="Arial" w:hAnsi="Arial" w:cs="Arial"/>
          <w:i/>
          <w:iCs/>
          <w:lang w:val="en-GB"/>
        </w:rPr>
        <w:t>American Journal of Sociology</w:t>
      </w:r>
      <w:r w:rsidRPr="00FA75EF">
        <w:rPr>
          <w:rFonts w:ascii="Arial" w:hAnsi="Arial" w:cs="Arial"/>
          <w:lang w:val="en-GB"/>
        </w:rPr>
        <w:t>, 78(6), pp. 1360–1380.</w:t>
      </w:r>
      <w:r w:rsidRPr="00FA75EF">
        <w:rPr>
          <w:rFonts w:ascii="Arial" w:hAnsi="Arial" w:cs="Arial"/>
        </w:rPr>
        <w:t> </w:t>
      </w:r>
    </w:p>
    <w:p w14:paraId="4E26A344" w14:textId="77777777" w:rsidR="00FA75EF" w:rsidRPr="00FA75EF" w:rsidRDefault="00FA75EF" w:rsidP="00FA75EF">
      <w:pPr>
        <w:rPr>
          <w:rFonts w:ascii="Arial" w:hAnsi="Arial" w:cs="Arial"/>
        </w:rPr>
      </w:pPr>
      <w:r w:rsidRPr="00FA75EF">
        <w:rPr>
          <w:rFonts w:ascii="Arial" w:hAnsi="Arial" w:cs="Arial"/>
          <w:lang w:val="en-GB"/>
        </w:rPr>
        <w:t>Grant, L. and Kinman, G. (2014) </w:t>
      </w:r>
      <w:r w:rsidRPr="00FA75EF">
        <w:rPr>
          <w:rFonts w:ascii="Arial" w:hAnsi="Arial" w:cs="Arial"/>
          <w:i/>
          <w:iCs/>
          <w:lang w:val="en-GB"/>
        </w:rPr>
        <w:t>Developing resilience for social work practice</w:t>
      </w:r>
      <w:r w:rsidRPr="00FA75EF">
        <w:rPr>
          <w:rFonts w:ascii="Arial" w:hAnsi="Arial" w:cs="Arial"/>
          <w:lang w:val="en-GB"/>
        </w:rPr>
        <w:t>. Basingstoke: Palgrave Macmillan.</w:t>
      </w:r>
      <w:r w:rsidRPr="00FA75EF">
        <w:rPr>
          <w:rFonts w:ascii="Arial" w:hAnsi="Arial" w:cs="Arial"/>
        </w:rPr>
        <w:t> </w:t>
      </w:r>
    </w:p>
    <w:p w14:paraId="3B524B22" w14:textId="77777777" w:rsidR="00FA75EF" w:rsidRPr="00FA75EF" w:rsidRDefault="00FA75EF" w:rsidP="00FA75EF">
      <w:pPr>
        <w:rPr>
          <w:rFonts w:ascii="Arial" w:hAnsi="Arial" w:cs="Arial"/>
        </w:rPr>
      </w:pPr>
      <w:r w:rsidRPr="00FA75EF">
        <w:rPr>
          <w:rFonts w:ascii="Arial" w:hAnsi="Arial" w:cs="Arial"/>
          <w:lang w:val="en-GB"/>
        </w:rPr>
        <w:t>Halpern, J. (2001) </w:t>
      </w:r>
      <w:r w:rsidRPr="00FA75EF">
        <w:rPr>
          <w:rFonts w:ascii="Arial" w:hAnsi="Arial" w:cs="Arial"/>
          <w:i/>
          <w:iCs/>
          <w:lang w:val="en-GB"/>
        </w:rPr>
        <w:t>From detached concern to empathy: Humanizing medical practice</w:t>
      </w:r>
      <w:r w:rsidRPr="00FA75EF">
        <w:rPr>
          <w:rFonts w:ascii="Arial" w:hAnsi="Arial" w:cs="Arial"/>
          <w:lang w:val="en-GB"/>
        </w:rPr>
        <w:t>. Oxford: Oxford University Press.</w:t>
      </w:r>
      <w:r w:rsidRPr="00FA75EF">
        <w:rPr>
          <w:rFonts w:ascii="Arial" w:hAnsi="Arial" w:cs="Arial"/>
        </w:rPr>
        <w:t> </w:t>
      </w:r>
    </w:p>
    <w:p w14:paraId="5F19329D" w14:textId="77777777" w:rsidR="00FA75EF" w:rsidRPr="00FA75EF" w:rsidRDefault="00FA75EF" w:rsidP="00FA75EF">
      <w:pPr>
        <w:rPr>
          <w:rFonts w:ascii="Arial" w:hAnsi="Arial" w:cs="Arial"/>
        </w:rPr>
      </w:pPr>
      <w:r w:rsidRPr="00FA75EF">
        <w:rPr>
          <w:rFonts w:ascii="Arial" w:hAnsi="Arial" w:cs="Arial"/>
          <w:lang w:val="en-GB"/>
        </w:rPr>
        <w:t>Kotter, J. (1996) </w:t>
      </w:r>
      <w:r w:rsidRPr="00FA75EF">
        <w:rPr>
          <w:rFonts w:ascii="Arial" w:hAnsi="Arial" w:cs="Arial"/>
          <w:i/>
          <w:iCs/>
          <w:lang w:val="en-GB"/>
        </w:rPr>
        <w:t>Leading change</w:t>
      </w:r>
      <w:r w:rsidRPr="00FA75EF">
        <w:rPr>
          <w:rFonts w:ascii="Arial" w:hAnsi="Arial" w:cs="Arial"/>
          <w:lang w:val="en-GB"/>
        </w:rPr>
        <w:t>. Boston: Harvard Business School Press.</w:t>
      </w:r>
      <w:r w:rsidRPr="00FA75EF">
        <w:rPr>
          <w:rFonts w:ascii="Arial" w:hAnsi="Arial" w:cs="Arial"/>
        </w:rPr>
        <w:t> </w:t>
      </w:r>
    </w:p>
    <w:p w14:paraId="64B79403" w14:textId="77777777" w:rsidR="00FA75EF" w:rsidRPr="00FA75EF" w:rsidRDefault="00FA75EF" w:rsidP="00FA75EF">
      <w:pPr>
        <w:rPr>
          <w:rFonts w:ascii="Arial" w:hAnsi="Arial" w:cs="Arial"/>
        </w:rPr>
      </w:pPr>
      <w:r w:rsidRPr="00FA75EF">
        <w:rPr>
          <w:rFonts w:ascii="Arial" w:hAnsi="Arial" w:cs="Arial"/>
          <w:lang w:val="en-GB"/>
        </w:rPr>
        <w:t>Lewin, K. (1951) </w:t>
      </w:r>
      <w:r w:rsidRPr="00FA75EF">
        <w:rPr>
          <w:rFonts w:ascii="Arial" w:hAnsi="Arial" w:cs="Arial"/>
          <w:i/>
          <w:iCs/>
          <w:lang w:val="en-GB"/>
        </w:rPr>
        <w:t>Field theory in social science</w:t>
      </w:r>
      <w:r w:rsidRPr="00FA75EF">
        <w:rPr>
          <w:rFonts w:ascii="Arial" w:hAnsi="Arial" w:cs="Arial"/>
          <w:lang w:val="en-GB"/>
        </w:rPr>
        <w:t>. London: Tavistock.</w:t>
      </w:r>
      <w:r w:rsidRPr="00FA75EF">
        <w:rPr>
          <w:rFonts w:ascii="Arial" w:hAnsi="Arial" w:cs="Arial"/>
        </w:rPr>
        <w:t> </w:t>
      </w:r>
    </w:p>
    <w:p w14:paraId="71B63544" w14:textId="77777777" w:rsidR="00FA75EF" w:rsidRPr="00FA75EF" w:rsidRDefault="00FA75EF" w:rsidP="00FA75EF">
      <w:pPr>
        <w:rPr>
          <w:rFonts w:ascii="Arial" w:hAnsi="Arial" w:cs="Arial"/>
        </w:rPr>
      </w:pPr>
      <w:r w:rsidRPr="00FA75EF">
        <w:rPr>
          <w:rFonts w:ascii="Arial" w:hAnsi="Arial" w:cs="Arial"/>
          <w:lang w:val="en-GB"/>
        </w:rPr>
        <w:t>Locke, E.A. and Latham, G.P. (2002) ‘Building a practically useful theory of goal setting and task motivation’, </w:t>
      </w:r>
      <w:r w:rsidRPr="00FA75EF">
        <w:rPr>
          <w:rFonts w:ascii="Arial" w:hAnsi="Arial" w:cs="Arial"/>
          <w:i/>
          <w:iCs/>
          <w:lang w:val="en-GB"/>
        </w:rPr>
        <w:t>American Psychologist</w:t>
      </w:r>
      <w:r w:rsidRPr="00FA75EF">
        <w:rPr>
          <w:rFonts w:ascii="Arial" w:hAnsi="Arial" w:cs="Arial"/>
          <w:lang w:val="en-GB"/>
        </w:rPr>
        <w:t>, 57(9), pp. 705–717.</w:t>
      </w:r>
      <w:r w:rsidRPr="00FA75EF">
        <w:rPr>
          <w:rFonts w:ascii="Arial" w:hAnsi="Arial" w:cs="Arial"/>
        </w:rPr>
        <w:t> </w:t>
      </w:r>
    </w:p>
    <w:p w14:paraId="76266D68" w14:textId="77777777" w:rsidR="00FA75EF" w:rsidRPr="00FA75EF" w:rsidRDefault="00FA75EF" w:rsidP="00FA75EF">
      <w:pPr>
        <w:rPr>
          <w:rFonts w:ascii="Arial" w:hAnsi="Arial" w:cs="Arial"/>
        </w:rPr>
      </w:pPr>
      <w:r w:rsidRPr="00FA75EF">
        <w:rPr>
          <w:rFonts w:ascii="Arial" w:hAnsi="Arial" w:cs="Arial"/>
          <w:lang w:val="en-GB"/>
        </w:rPr>
        <w:t>Montoya, P. and Vandehey, T. (2009) </w:t>
      </w:r>
      <w:r w:rsidRPr="00FA75EF">
        <w:rPr>
          <w:rFonts w:ascii="Arial" w:hAnsi="Arial" w:cs="Arial"/>
          <w:i/>
          <w:iCs/>
          <w:lang w:val="en-GB"/>
        </w:rPr>
        <w:t>The brand called you</w:t>
      </w:r>
      <w:r w:rsidRPr="00FA75EF">
        <w:rPr>
          <w:rFonts w:ascii="Arial" w:hAnsi="Arial" w:cs="Arial"/>
          <w:lang w:val="en-GB"/>
        </w:rPr>
        <w:t>. New York: McGraw-Hill.</w:t>
      </w:r>
      <w:r w:rsidRPr="00FA75EF">
        <w:rPr>
          <w:rFonts w:ascii="Arial" w:hAnsi="Arial" w:cs="Arial"/>
        </w:rPr>
        <w:t> </w:t>
      </w:r>
    </w:p>
    <w:p w14:paraId="3B402ACA" w14:textId="77777777" w:rsidR="00FA75EF" w:rsidRPr="00FA75EF" w:rsidRDefault="00FA75EF" w:rsidP="00FA75EF">
      <w:pPr>
        <w:rPr>
          <w:rFonts w:ascii="Arial" w:hAnsi="Arial" w:cs="Arial"/>
        </w:rPr>
      </w:pPr>
      <w:r w:rsidRPr="00FA75EF">
        <w:rPr>
          <w:rFonts w:ascii="Arial" w:hAnsi="Arial" w:cs="Arial"/>
          <w:lang w:val="en-GB"/>
        </w:rPr>
        <w:t>Moon, J.A. (2004) </w:t>
      </w:r>
      <w:r w:rsidRPr="00FA75EF">
        <w:rPr>
          <w:rFonts w:ascii="Arial" w:hAnsi="Arial" w:cs="Arial"/>
          <w:i/>
          <w:iCs/>
          <w:lang w:val="en-GB"/>
        </w:rPr>
        <w:t>A handbook of reflective and experiential learning: Theory and practice</w:t>
      </w:r>
      <w:r w:rsidRPr="00FA75EF">
        <w:rPr>
          <w:rFonts w:ascii="Arial" w:hAnsi="Arial" w:cs="Arial"/>
          <w:lang w:val="en-GB"/>
        </w:rPr>
        <w:t>. London: </w:t>
      </w:r>
      <w:proofErr w:type="spellStart"/>
      <w:r w:rsidRPr="00FA75EF">
        <w:rPr>
          <w:rFonts w:ascii="Arial" w:hAnsi="Arial" w:cs="Arial"/>
          <w:lang w:val="en-GB"/>
        </w:rPr>
        <w:t>RoutledgeFalmer</w:t>
      </w:r>
      <w:proofErr w:type="spellEnd"/>
      <w:r w:rsidRPr="00FA75EF">
        <w:rPr>
          <w:rFonts w:ascii="Arial" w:hAnsi="Arial" w:cs="Arial"/>
          <w:lang w:val="en-GB"/>
        </w:rPr>
        <w:t>.</w:t>
      </w:r>
      <w:r w:rsidRPr="00FA75EF">
        <w:rPr>
          <w:rFonts w:ascii="Arial" w:hAnsi="Arial" w:cs="Arial"/>
        </w:rPr>
        <w:t> </w:t>
      </w:r>
    </w:p>
    <w:p w14:paraId="27B6528A" w14:textId="77777777" w:rsidR="00FA75EF" w:rsidRPr="00FA75EF" w:rsidRDefault="00FA75EF" w:rsidP="00FA75EF">
      <w:pPr>
        <w:rPr>
          <w:rFonts w:ascii="Arial" w:hAnsi="Arial" w:cs="Arial"/>
        </w:rPr>
      </w:pPr>
      <w:r w:rsidRPr="00FA75EF">
        <w:rPr>
          <w:rFonts w:ascii="Arial" w:hAnsi="Arial" w:cs="Arial"/>
          <w:lang w:val="en-GB"/>
        </w:rPr>
        <w:t>NHS England (2023) </w:t>
      </w:r>
      <w:r w:rsidRPr="00FA75EF">
        <w:rPr>
          <w:rFonts w:ascii="Arial" w:hAnsi="Arial" w:cs="Arial"/>
          <w:i/>
          <w:iCs/>
          <w:lang w:val="en-GB"/>
        </w:rPr>
        <w:t>Equality, diversity and inclusion improvement plan</w:t>
      </w:r>
      <w:r w:rsidRPr="00FA75EF">
        <w:rPr>
          <w:rFonts w:ascii="Arial" w:hAnsi="Arial" w:cs="Arial"/>
          <w:lang w:val="en-GB"/>
        </w:rPr>
        <w:t>. Available at: </w:t>
      </w:r>
      <w:hyperlink r:id="rId9" w:tgtFrame="_blank" w:history="1">
        <w:r w:rsidRPr="00FA75EF">
          <w:rPr>
            <w:rStyle w:val="Hyperlink"/>
            <w:rFonts w:ascii="Arial" w:hAnsi="Arial" w:cs="Arial"/>
            <w:lang w:val="en-GB"/>
          </w:rPr>
          <w:t>https://www.england.nhs.uk</w:t>
        </w:r>
      </w:hyperlink>
      <w:r w:rsidRPr="00FA75EF">
        <w:rPr>
          <w:rFonts w:ascii="Arial" w:hAnsi="Arial" w:cs="Arial"/>
          <w:lang w:val="en-GB"/>
        </w:rPr>
        <w:t> (Accessed: 24 March 2026).</w:t>
      </w:r>
      <w:r w:rsidRPr="00FA75EF">
        <w:rPr>
          <w:rFonts w:ascii="Arial" w:hAnsi="Arial" w:cs="Arial"/>
        </w:rPr>
        <w:t> </w:t>
      </w:r>
    </w:p>
    <w:p w14:paraId="188932BB" w14:textId="77777777" w:rsidR="00FA75EF" w:rsidRPr="00FA75EF" w:rsidRDefault="00FA75EF" w:rsidP="00FA75EF">
      <w:pPr>
        <w:rPr>
          <w:rFonts w:ascii="Arial" w:hAnsi="Arial" w:cs="Arial"/>
        </w:rPr>
      </w:pPr>
      <w:r w:rsidRPr="00FA75EF">
        <w:rPr>
          <w:rFonts w:ascii="Arial" w:hAnsi="Arial" w:cs="Arial"/>
          <w:lang w:val="en-GB"/>
        </w:rPr>
        <w:t>NHS Health Careers (2024) </w:t>
      </w:r>
      <w:r w:rsidRPr="00FA75EF">
        <w:rPr>
          <w:rFonts w:ascii="Arial" w:hAnsi="Arial" w:cs="Arial"/>
          <w:i/>
          <w:iCs/>
          <w:lang w:val="en-GB"/>
        </w:rPr>
        <w:t>Skills and qualities needed for healthcare roles</w:t>
      </w:r>
      <w:r w:rsidRPr="00FA75EF">
        <w:rPr>
          <w:rFonts w:ascii="Arial" w:hAnsi="Arial" w:cs="Arial"/>
          <w:lang w:val="en-GB"/>
        </w:rPr>
        <w:t>. Available at: </w:t>
      </w:r>
      <w:hyperlink r:id="rId10" w:tgtFrame="_blank" w:history="1">
        <w:r w:rsidRPr="00FA75EF">
          <w:rPr>
            <w:rStyle w:val="Hyperlink"/>
            <w:rFonts w:ascii="Arial" w:hAnsi="Arial" w:cs="Arial"/>
            <w:lang w:val="en-GB"/>
          </w:rPr>
          <w:t>https://www.healthcareers.nhs.uk</w:t>
        </w:r>
      </w:hyperlink>
      <w:r w:rsidRPr="00FA75EF">
        <w:rPr>
          <w:rFonts w:ascii="Arial" w:hAnsi="Arial" w:cs="Arial"/>
          <w:lang w:val="en-GB"/>
        </w:rPr>
        <w:t> (Accessed: 24 March 2026).</w:t>
      </w:r>
      <w:r w:rsidRPr="00FA75EF">
        <w:rPr>
          <w:rFonts w:ascii="Arial" w:hAnsi="Arial" w:cs="Arial"/>
        </w:rPr>
        <w:t> </w:t>
      </w:r>
    </w:p>
    <w:p w14:paraId="626BE50E" w14:textId="77777777" w:rsidR="00FA75EF" w:rsidRPr="00FA75EF" w:rsidRDefault="00FA75EF" w:rsidP="00FA75EF">
      <w:pPr>
        <w:rPr>
          <w:rFonts w:ascii="Arial" w:hAnsi="Arial" w:cs="Arial"/>
        </w:rPr>
      </w:pPr>
      <w:r w:rsidRPr="00FA75EF">
        <w:rPr>
          <w:rFonts w:ascii="Arial" w:hAnsi="Arial" w:cs="Arial"/>
          <w:lang w:val="en-GB"/>
        </w:rPr>
        <w:t>Stein-</w:t>
      </w:r>
      <w:proofErr w:type="spellStart"/>
      <w:r w:rsidRPr="00FA75EF">
        <w:rPr>
          <w:rFonts w:ascii="Arial" w:hAnsi="Arial" w:cs="Arial"/>
          <w:lang w:val="en-GB"/>
        </w:rPr>
        <w:t>Parbury</w:t>
      </w:r>
      <w:proofErr w:type="spellEnd"/>
      <w:r w:rsidRPr="00FA75EF">
        <w:rPr>
          <w:rFonts w:ascii="Arial" w:hAnsi="Arial" w:cs="Arial"/>
          <w:lang w:val="en-GB"/>
        </w:rPr>
        <w:t>, J. (2013) </w:t>
      </w:r>
      <w:r w:rsidRPr="00FA75EF">
        <w:rPr>
          <w:rFonts w:ascii="Arial" w:hAnsi="Arial" w:cs="Arial"/>
          <w:i/>
          <w:iCs/>
          <w:lang w:val="en-GB"/>
        </w:rPr>
        <w:t>Patient and person: Interpersonal skills in nursing</w:t>
      </w:r>
      <w:r w:rsidRPr="00FA75EF">
        <w:rPr>
          <w:rFonts w:ascii="Arial" w:hAnsi="Arial" w:cs="Arial"/>
          <w:lang w:val="en-GB"/>
        </w:rPr>
        <w:t>. 5th </w:t>
      </w:r>
      <w:proofErr w:type="spellStart"/>
      <w:r w:rsidRPr="00FA75EF">
        <w:rPr>
          <w:rFonts w:ascii="Arial" w:hAnsi="Arial" w:cs="Arial"/>
          <w:lang w:val="en-GB"/>
        </w:rPr>
        <w:t>edn</w:t>
      </w:r>
      <w:proofErr w:type="spellEnd"/>
      <w:r w:rsidRPr="00FA75EF">
        <w:rPr>
          <w:rFonts w:ascii="Arial" w:hAnsi="Arial" w:cs="Arial"/>
          <w:lang w:val="en-GB"/>
        </w:rPr>
        <w:t>. Sydney: Elsevier.</w:t>
      </w:r>
      <w:r w:rsidRPr="00FA75EF">
        <w:rPr>
          <w:rFonts w:ascii="Arial" w:hAnsi="Arial" w:cs="Arial"/>
        </w:rPr>
        <w:t> </w:t>
      </w:r>
    </w:p>
    <w:p w14:paraId="603F41F8" w14:textId="77777777" w:rsidR="00FA75EF" w:rsidRPr="00FA75EF" w:rsidRDefault="00FA75EF" w:rsidP="00FA75EF">
      <w:pPr>
        <w:rPr>
          <w:rFonts w:ascii="Arial" w:hAnsi="Arial" w:cs="Arial"/>
        </w:rPr>
      </w:pPr>
      <w:r w:rsidRPr="00FA75EF">
        <w:rPr>
          <w:rFonts w:ascii="Arial" w:hAnsi="Arial" w:cs="Arial"/>
          <w:lang w:val="en-GB"/>
        </w:rPr>
        <w:t>Tomlinson, M. (2017) ‘Forms of graduate capital and their relationship to graduate employability’, </w:t>
      </w:r>
      <w:r w:rsidRPr="00FA75EF">
        <w:rPr>
          <w:rFonts w:ascii="Arial" w:hAnsi="Arial" w:cs="Arial"/>
          <w:i/>
          <w:iCs/>
          <w:lang w:val="en-GB"/>
        </w:rPr>
        <w:t>Education + Training</w:t>
      </w:r>
      <w:r w:rsidRPr="00FA75EF">
        <w:rPr>
          <w:rFonts w:ascii="Arial" w:hAnsi="Arial" w:cs="Arial"/>
          <w:lang w:val="en-GB"/>
        </w:rPr>
        <w:t>, 59(4), pp. 338–352.</w:t>
      </w:r>
      <w:r w:rsidRPr="00FA75EF">
        <w:rPr>
          <w:rFonts w:ascii="Arial" w:hAnsi="Arial" w:cs="Arial"/>
        </w:rPr>
        <w:t> </w:t>
      </w:r>
    </w:p>
    <w:p w14:paraId="75D2B8E8" w14:textId="77777777" w:rsidR="00FA75EF" w:rsidRPr="00FA75EF" w:rsidRDefault="00FA75EF" w:rsidP="00FA75EF">
      <w:pPr>
        <w:rPr>
          <w:rFonts w:ascii="Arial" w:hAnsi="Arial" w:cs="Arial"/>
        </w:rPr>
      </w:pPr>
      <w:r w:rsidRPr="00FA75EF">
        <w:rPr>
          <w:rFonts w:ascii="Arial" w:hAnsi="Arial" w:cs="Arial"/>
          <w:lang w:val="en-GB"/>
        </w:rPr>
        <w:t>Trede, F., Macklin, R. and Bridges, D. (2012) ‘Professional identity development: A review of the higher education literature’, </w:t>
      </w:r>
      <w:r w:rsidRPr="00FA75EF">
        <w:rPr>
          <w:rFonts w:ascii="Arial" w:hAnsi="Arial" w:cs="Arial"/>
          <w:i/>
          <w:iCs/>
          <w:lang w:val="en-GB"/>
        </w:rPr>
        <w:t>Studies in Higher Education</w:t>
      </w:r>
      <w:r w:rsidRPr="00FA75EF">
        <w:rPr>
          <w:rFonts w:ascii="Arial" w:hAnsi="Arial" w:cs="Arial"/>
          <w:lang w:val="en-GB"/>
        </w:rPr>
        <w:t>, 37(3), pp. 365–384.</w:t>
      </w:r>
      <w:r w:rsidRPr="00FA75EF">
        <w:rPr>
          <w:rFonts w:ascii="Arial" w:hAnsi="Arial" w:cs="Arial"/>
        </w:rPr>
        <w:t> </w:t>
      </w:r>
    </w:p>
    <w:p w14:paraId="300C991D" w14:textId="77777777" w:rsidR="00FA75EF" w:rsidRPr="00FA75EF" w:rsidRDefault="00FA75EF" w:rsidP="00FA75EF">
      <w:pPr>
        <w:rPr>
          <w:rFonts w:ascii="Arial" w:hAnsi="Arial" w:cs="Arial"/>
        </w:rPr>
      </w:pPr>
      <w:r w:rsidRPr="00FA75EF">
        <w:rPr>
          <w:rFonts w:ascii="Arial" w:hAnsi="Arial" w:cs="Arial"/>
          <w:lang w:val="en-GB"/>
        </w:rPr>
        <w:t>West, M., Armit, K., Loewenthal, L., Eckert, R., West, T. and Lee, A. (2015) </w:t>
      </w:r>
      <w:r w:rsidRPr="00FA75EF">
        <w:rPr>
          <w:rFonts w:ascii="Arial" w:hAnsi="Arial" w:cs="Arial"/>
          <w:i/>
          <w:iCs/>
          <w:lang w:val="en-GB"/>
        </w:rPr>
        <w:t>Leadership and leadership development in health care: The evidence base</w:t>
      </w:r>
      <w:r w:rsidRPr="00FA75EF">
        <w:rPr>
          <w:rFonts w:ascii="Arial" w:hAnsi="Arial" w:cs="Arial"/>
          <w:lang w:val="en-GB"/>
        </w:rPr>
        <w:t>. London: NHS Leadership Academy.</w:t>
      </w:r>
      <w:r w:rsidRPr="00FA75EF">
        <w:rPr>
          <w:rFonts w:ascii="Arial" w:hAnsi="Arial" w:cs="Arial"/>
        </w:rPr>
        <w:t> </w:t>
      </w:r>
    </w:p>
    <w:p w14:paraId="6E5AB8B0" w14:textId="77777777" w:rsidR="00FA75EF" w:rsidRPr="00FA75EF" w:rsidRDefault="00FA75EF" w:rsidP="00FA75EF">
      <w:pPr>
        <w:rPr>
          <w:rFonts w:ascii="Arial" w:hAnsi="Arial" w:cs="Arial"/>
        </w:rPr>
      </w:pPr>
      <w:r w:rsidRPr="00FA75EF">
        <w:rPr>
          <w:rFonts w:ascii="Arial" w:hAnsi="Arial" w:cs="Arial"/>
          <w:lang w:val="en-GB"/>
        </w:rPr>
        <w:t>Yorke, M. (2006) </w:t>
      </w:r>
      <w:r w:rsidRPr="00FA75EF">
        <w:rPr>
          <w:rFonts w:ascii="Arial" w:hAnsi="Arial" w:cs="Arial"/>
          <w:i/>
          <w:iCs/>
          <w:lang w:val="en-GB"/>
        </w:rPr>
        <w:t>Employability in higher education: What it is – what it is not</w:t>
      </w:r>
      <w:r w:rsidRPr="00FA75EF">
        <w:rPr>
          <w:rFonts w:ascii="Arial" w:hAnsi="Arial" w:cs="Arial"/>
          <w:lang w:val="en-GB"/>
        </w:rPr>
        <w:t>. York: Higher Education Academy.</w:t>
      </w:r>
      <w:r w:rsidRPr="00FA75EF">
        <w:rPr>
          <w:rFonts w:ascii="Arial" w:hAnsi="Arial" w:cs="Arial"/>
        </w:rPr>
        <w:t> </w:t>
      </w:r>
    </w:p>
    <w:p w14:paraId="7311DE19" w14:textId="77777777" w:rsidR="00FA75EF" w:rsidRPr="00FA75EF" w:rsidRDefault="00FA75EF" w:rsidP="00FA75EF">
      <w:pPr>
        <w:rPr>
          <w:rFonts w:ascii="Arial" w:hAnsi="Arial" w:cs="Arial"/>
        </w:rPr>
      </w:pPr>
    </w:p>
    <w:p w14:paraId="13FD18BD" w14:textId="77777777" w:rsidR="00FA75EF" w:rsidRDefault="00FA75EF" w:rsidP="00FA75EF">
      <w:pPr>
        <w:jc w:val="center"/>
        <w:rPr>
          <w:rFonts w:ascii="Arial" w:hAnsi="Arial" w:cs="Arial"/>
        </w:rPr>
      </w:pPr>
    </w:p>
    <w:bookmarkEnd w:id="0"/>
    <w:p w14:paraId="1592D712" w14:textId="77777777" w:rsidR="00371CD0" w:rsidRDefault="00371CD0"/>
    <w:sectPr w:rsidR="00371CD0">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182CA" w14:textId="77777777" w:rsidR="0048127A" w:rsidRDefault="0048127A" w:rsidP="00FA75EF">
      <w:pPr>
        <w:spacing w:after="0" w:line="240" w:lineRule="auto"/>
      </w:pPr>
      <w:r>
        <w:separator/>
      </w:r>
    </w:p>
  </w:endnote>
  <w:endnote w:type="continuationSeparator" w:id="0">
    <w:p w14:paraId="2E505A31" w14:textId="77777777" w:rsidR="0048127A" w:rsidRDefault="0048127A" w:rsidP="00FA7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7A2488" w14:textId="77777777" w:rsidR="00FA75EF" w:rsidRDefault="00FA75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9369275"/>
      <w:docPartObj>
        <w:docPartGallery w:val="Page Numbers (Bottom of Page)"/>
        <w:docPartUnique/>
      </w:docPartObj>
    </w:sdtPr>
    <w:sdtEndPr>
      <w:rPr>
        <w:noProof/>
      </w:rPr>
    </w:sdtEndPr>
    <w:sdtContent>
      <w:p w14:paraId="48865295" w14:textId="6C948729" w:rsidR="00FA75EF" w:rsidRDefault="00FA75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7739D7" w14:textId="77777777" w:rsidR="00FA75EF" w:rsidRDefault="00FA75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03822" w14:textId="77777777" w:rsidR="00FA75EF" w:rsidRDefault="00FA75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1DDB86" w14:textId="77777777" w:rsidR="0048127A" w:rsidRDefault="0048127A" w:rsidP="00FA75EF">
      <w:pPr>
        <w:spacing w:after="0" w:line="240" w:lineRule="auto"/>
      </w:pPr>
      <w:r>
        <w:separator/>
      </w:r>
    </w:p>
  </w:footnote>
  <w:footnote w:type="continuationSeparator" w:id="0">
    <w:p w14:paraId="412E7F29" w14:textId="77777777" w:rsidR="0048127A" w:rsidRDefault="0048127A" w:rsidP="00FA75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799E1" w14:textId="77777777" w:rsidR="00FA75EF" w:rsidRDefault="00FA75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167122" w14:textId="77777777" w:rsidR="00FA75EF" w:rsidRDefault="00FA75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DD5483" w14:textId="77777777" w:rsidR="00FA75EF" w:rsidRDefault="00FA75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4276A"/>
    <w:multiLevelType w:val="multilevel"/>
    <w:tmpl w:val="AC5E0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F8271D"/>
    <w:multiLevelType w:val="multilevel"/>
    <w:tmpl w:val="570AB72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2410C07"/>
    <w:multiLevelType w:val="multilevel"/>
    <w:tmpl w:val="5336B50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835AE3"/>
    <w:multiLevelType w:val="multilevel"/>
    <w:tmpl w:val="FB14B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2F0C8D"/>
    <w:multiLevelType w:val="multilevel"/>
    <w:tmpl w:val="46B26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73797D"/>
    <w:multiLevelType w:val="multilevel"/>
    <w:tmpl w:val="1A326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6B4AC4"/>
    <w:multiLevelType w:val="multilevel"/>
    <w:tmpl w:val="2BAE02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31C4D6D"/>
    <w:multiLevelType w:val="multilevel"/>
    <w:tmpl w:val="2D7670A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4192BEA"/>
    <w:multiLevelType w:val="multilevel"/>
    <w:tmpl w:val="C61CCCC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153D66"/>
    <w:multiLevelType w:val="multilevel"/>
    <w:tmpl w:val="6BCCE7F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CE12990"/>
    <w:multiLevelType w:val="multilevel"/>
    <w:tmpl w:val="54FA8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4F04099"/>
    <w:multiLevelType w:val="multilevel"/>
    <w:tmpl w:val="E3B42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57C2C01"/>
    <w:multiLevelType w:val="multilevel"/>
    <w:tmpl w:val="D30AC4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5476E5"/>
    <w:multiLevelType w:val="multilevel"/>
    <w:tmpl w:val="05C0F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8A1D33"/>
    <w:multiLevelType w:val="multilevel"/>
    <w:tmpl w:val="E5FA3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7AA05C2"/>
    <w:multiLevelType w:val="multilevel"/>
    <w:tmpl w:val="3DFA1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A321874"/>
    <w:multiLevelType w:val="multilevel"/>
    <w:tmpl w:val="908E07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C2D2852"/>
    <w:multiLevelType w:val="multilevel"/>
    <w:tmpl w:val="0F28DA2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EB52EEE"/>
    <w:multiLevelType w:val="multilevel"/>
    <w:tmpl w:val="4C36417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9836963">
    <w:abstractNumId w:val="6"/>
  </w:num>
  <w:num w:numId="2" w16cid:durableId="114754879">
    <w:abstractNumId w:val="2"/>
  </w:num>
  <w:num w:numId="3" w16cid:durableId="737945067">
    <w:abstractNumId w:val="16"/>
  </w:num>
  <w:num w:numId="4" w16cid:durableId="820002796">
    <w:abstractNumId w:val="12"/>
  </w:num>
  <w:num w:numId="5" w16cid:durableId="1658806516">
    <w:abstractNumId w:val="1"/>
  </w:num>
  <w:num w:numId="6" w16cid:durableId="1435057961">
    <w:abstractNumId w:val="9"/>
  </w:num>
  <w:num w:numId="7" w16cid:durableId="1774283769">
    <w:abstractNumId w:val="8"/>
  </w:num>
  <w:num w:numId="8" w16cid:durableId="2067796273">
    <w:abstractNumId w:val="17"/>
  </w:num>
  <w:num w:numId="9" w16cid:durableId="1937011415">
    <w:abstractNumId w:val="7"/>
  </w:num>
  <w:num w:numId="10" w16cid:durableId="1443499405">
    <w:abstractNumId w:val="18"/>
  </w:num>
  <w:num w:numId="11" w16cid:durableId="828599934">
    <w:abstractNumId w:val="3"/>
  </w:num>
  <w:num w:numId="12" w16cid:durableId="106707450">
    <w:abstractNumId w:val="5"/>
  </w:num>
  <w:num w:numId="13" w16cid:durableId="589659630">
    <w:abstractNumId w:val="13"/>
  </w:num>
  <w:num w:numId="14" w16cid:durableId="275018580">
    <w:abstractNumId w:val="15"/>
  </w:num>
  <w:num w:numId="15" w16cid:durableId="1263805648">
    <w:abstractNumId w:val="4"/>
  </w:num>
  <w:num w:numId="16" w16cid:durableId="1867478197">
    <w:abstractNumId w:val="14"/>
  </w:num>
  <w:num w:numId="17" w16cid:durableId="7293605">
    <w:abstractNumId w:val="0"/>
  </w:num>
  <w:num w:numId="18" w16cid:durableId="1417243309">
    <w:abstractNumId w:val="11"/>
  </w:num>
  <w:num w:numId="19" w16cid:durableId="63649445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5EF"/>
    <w:rsid w:val="001B5CEE"/>
    <w:rsid w:val="00371CD0"/>
    <w:rsid w:val="00374BE3"/>
    <w:rsid w:val="003D4A97"/>
    <w:rsid w:val="0048127A"/>
    <w:rsid w:val="00BA2D9D"/>
    <w:rsid w:val="00F22642"/>
    <w:rsid w:val="00FA75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B939DC"/>
  <w15:chartTrackingRefBased/>
  <w15:docId w15:val="{57CA84AA-D23A-4B0C-AF6A-58E64F916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5EF"/>
    <w:pPr>
      <w:spacing w:line="259" w:lineRule="auto"/>
    </w:pPr>
    <w:rPr>
      <w:sz w:val="22"/>
      <w:szCs w:val="22"/>
    </w:rPr>
  </w:style>
  <w:style w:type="paragraph" w:styleId="Heading1">
    <w:name w:val="heading 1"/>
    <w:basedOn w:val="Normal"/>
    <w:next w:val="Normal"/>
    <w:link w:val="Heading1Char"/>
    <w:uiPriority w:val="9"/>
    <w:qFormat/>
    <w:rsid w:val="00FA75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75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75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75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75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75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75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75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75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75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75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75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75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75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75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75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75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75EF"/>
    <w:rPr>
      <w:rFonts w:eastAsiaTheme="majorEastAsia" w:cstheme="majorBidi"/>
      <w:color w:val="272727" w:themeColor="text1" w:themeTint="D8"/>
    </w:rPr>
  </w:style>
  <w:style w:type="paragraph" w:styleId="Title">
    <w:name w:val="Title"/>
    <w:basedOn w:val="Normal"/>
    <w:next w:val="Normal"/>
    <w:link w:val="TitleChar"/>
    <w:uiPriority w:val="10"/>
    <w:qFormat/>
    <w:rsid w:val="00FA75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5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75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75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75EF"/>
    <w:pPr>
      <w:spacing w:before="160"/>
      <w:jc w:val="center"/>
    </w:pPr>
    <w:rPr>
      <w:i/>
      <w:iCs/>
      <w:color w:val="404040" w:themeColor="text1" w:themeTint="BF"/>
    </w:rPr>
  </w:style>
  <w:style w:type="character" w:customStyle="1" w:styleId="QuoteChar">
    <w:name w:val="Quote Char"/>
    <w:basedOn w:val="DefaultParagraphFont"/>
    <w:link w:val="Quote"/>
    <w:uiPriority w:val="29"/>
    <w:rsid w:val="00FA75EF"/>
    <w:rPr>
      <w:i/>
      <w:iCs/>
      <w:color w:val="404040" w:themeColor="text1" w:themeTint="BF"/>
    </w:rPr>
  </w:style>
  <w:style w:type="paragraph" w:styleId="ListParagraph">
    <w:name w:val="List Paragraph"/>
    <w:basedOn w:val="Normal"/>
    <w:uiPriority w:val="34"/>
    <w:qFormat/>
    <w:rsid w:val="00FA75EF"/>
    <w:pPr>
      <w:ind w:left="720"/>
      <w:contextualSpacing/>
    </w:pPr>
  </w:style>
  <w:style w:type="character" w:styleId="IntenseEmphasis">
    <w:name w:val="Intense Emphasis"/>
    <w:basedOn w:val="DefaultParagraphFont"/>
    <w:uiPriority w:val="21"/>
    <w:qFormat/>
    <w:rsid w:val="00FA75EF"/>
    <w:rPr>
      <w:i/>
      <w:iCs/>
      <w:color w:val="0F4761" w:themeColor="accent1" w:themeShade="BF"/>
    </w:rPr>
  </w:style>
  <w:style w:type="paragraph" w:styleId="IntenseQuote">
    <w:name w:val="Intense Quote"/>
    <w:basedOn w:val="Normal"/>
    <w:next w:val="Normal"/>
    <w:link w:val="IntenseQuoteChar"/>
    <w:uiPriority w:val="30"/>
    <w:qFormat/>
    <w:rsid w:val="00FA75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75EF"/>
    <w:rPr>
      <w:i/>
      <w:iCs/>
      <w:color w:val="0F4761" w:themeColor="accent1" w:themeShade="BF"/>
    </w:rPr>
  </w:style>
  <w:style w:type="character" w:styleId="IntenseReference">
    <w:name w:val="Intense Reference"/>
    <w:basedOn w:val="DefaultParagraphFont"/>
    <w:uiPriority w:val="32"/>
    <w:qFormat/>
    <w:rsid w:val="00FA75EF"/>
    <w:rPr>
      <w:b/>
      <w:bCs/>
      <w:smallCaps/>
      <w:color w:val="0F4761" w:themeColor="accent1" w:themeShade="BF"/>
      <w:spacing w:val="5"/>
    </w:rPr>
  </w:style>
  <w:style w:type="character" w:styleId="Hyperlink">
    <w:name w:val="Hyperlink"/>
    <w:basedOn w:val="DefaultParagraphFont"/>
    <w:uiPriority w:val="99"/>
    <w:unhideWhenUsed/>
    <w:rsid w:val="00FA75EF"/>
    <w:rPr>
      <w:color w:val="467886" w:themeColor="hyperlink"/>
      <w:u w:val="single"/>
    </w:rPr>
  </w:style>
  <w:style w:type="character" w:styleId="UnresolvedMention">
    <w:name w:val="Unresolved Mention"/>
    <w:basedOn w:val="DefaultParagraphFont"/>
    <w:uiPriority w:val="99"/>
    <w:semiHidden/>
    <w:unhideWhenUsed/>
    <w:rsid w:val="00FA75EF"/>
    <w:rPr>
      <w:color w:val="605E5C"/>
      <w:shd w:val="clear" w:color="auto" w:fill="E1DFDD"/>
    </w:rPr>
  </w:style>
  <w:style w:type="paragraph" w:styleId="Header">
    <w:name w:val="header"/>
    <w:basedOn w:val="Normal"/>
    <w:link w:val="HeaderChar"/>
    <w:uiPriority w:val="99"/>
    <w:unhideWhenUsed/>
    <w:rsid w:val="00FA75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75EF"/>
    <w:rPr>
      <w:sz w:val="22"/>
      <w:szCs w:val="22"/>
    </w:rPr>
  </w:style>
  <w:style w:type="paragraph" w:styleId="Footer">
    <w:name w:val="footer"/>
    <w:basedOn w:val="Normal"/>
    <w:link w:val="FooterChar"/>
    <w:uiPriority w:val="99"/>
    <w:unhideWhenUsed/>
    <w:rsid w:val="00FA75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75EF"/>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healthcareers.nhs.uk/" TargetMode="External"/><Relationship Id="rId4" Type="http://schemas.openxmlformats.org/officeDocument/2006/relationships/webSettings" Target="webSettings.xml"/><Relationship Id="rId9" Type="http://schemas.openxmlformats.org/officeDocument/2006/relationships/hyperlink" Target="https://www.england.nhs.uk/"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8</Pages>
  <Words>1789</Words>
  <Characters>10201</Characters>
  <Application>Microsoft Office Word</Application>
  <DocSecurity>0</DocSecurity>
  <Lines>85</Lines>
  <Paragraphs>23</Paragraphs>
  <ScaleCrop>false</ScaleCrop>
  <Company/>
  <LinksUpToDate>false</LinksUpToDate>
  <CharactersWithSpaces>11967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Shumon Ahmed (2310119)</dc:creator>
  <cp:keywords/>
  <dc:description/>
  <cp:lastModifiedBy>Shumon Ahmed</cp:lastModifiedBy>
  <cp:revision>1</cp:revision>
  <dcterms:created xsi:type="dcterms:W3CDTF">2026-03-25T10:51:00Z</dcterms:created>
  <dcterms:modified xsi:type="dcterms:W3CDTF">2026-03-25T11:01:00Z</dcterms:modified>
</cp:coreProperties>
</file>