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CCA135" w14:textId="77777777" w:rsidR="008962DF" w:rsidRPr="002D6DC7" w:rsidRDefault="008962DF" w:rsidP="008962DF">
      <w:pPr>
        <w:pStyle w:val="NormalWeb"/>
        <w:rPr>
          <w:rFonts w:asciiTheme="minorHAnsi" w:hAnsiTheme="minorHAnsi" w:cstheme="minorHAnsi"/>
          <w:b/>
          <w:bCs/>
          <w:u w:val="single"/>
        </w:rPr>
      </w:pPr>
      <w:r w:rsidRPr="002D6DC7">
        <w:rPr>
          <w:rFonts w:asciiTheme="minorHAnsi" w:hAnsiTheme="minorHAnsi" w:cstheme="minorHAnsi"/>
          <w:b/>
          <w:bCs/>
          <w:u w:val="single"/>
        </w:rPr>
        <w:t>Essay One – Maintaining Professional Standards</w:t>
      </w:r>
    </w:p>
    <w:p w14:paraId="63515115" w14:textId="77777777" w:rsidR="008962DF" w:rsidRPr="002D6DC7" w:rsidRDefault="008962DF" w:rsidP="008962DF">
      <w:pPr>
        <w:pStyle w:val="NormalWeb"/>
        <w:rPr>
          <w:rFonts w:asciiTheme="minorHAnsi" w:hAnsiTheme="minorHAnsi" w:cstheme="minorHAnsi"/>
        </w:rPr>
      </w:pPr>
      <w:r w:rsidRPr="002D6DC7">
        <w:rPr>
          <w:rFonts w:asciiTheme="minorHAnsi" w:hAnsiTheme="minorHAnsi" w:cstheme="minorHAnsi"/>
        </w:rPr>
        <w:t>In this essay, I will be critically examining policing procedures and policies. I will be using the Police and Criminal Evidence Act 1984, the code of ethics, the national decision model and the use of body-worn video.</w:t>
      </w:r>
    </w:p>
    <w:p w14:paraId="41A082DF" w14:textId="77777777" w:rsidR="008962DF" w:rsidRPr="002D6DC7" w:rsidRDefault="008962DF" w:rsidP="008962DF">
      <w:pPr>
        <w:pStyle w:val="NormalWeb"/>
        <w:rPr>
          <w:rFonts w:asciiTheme="minorHAnsi" w:hAnsiTheme="minorHAnsi" w:cstheme="minorHAnsi"/>
        </w:rPr>
      </w:pPr>
      <w:r w:rsidRPr="002D6DC7">
        <w:rPr>
          <w:rFonts w:asciiTheme="minorHAnsi" w:hAnsiTheme="minorHAnsi" w:cstheme="minorHAnsi"/>
        </w:rPr>
        <w:t>The first Policing procedure I will address in this essay is BWV, and having served as a response officer for eight months, I have recognised the security and benefits surrounding having a body-worn video and how this introduces community trust and, from what I feel, has left me with a protective device against public complaints.</w:t>
      </w:r>
    </w:p>
    <w:p w14:paraId="45C98299" w14:textId="77777777" w:rsidR="008962DF" w:rsidRPr="002D6DC7" w:rsidRDefault="008962DF" w:rsidP="008962DF">
      <w:pPr>
        <w:pStyle w:val="NormalWeb"/>
        <w:rPr>
          <w:rFonts w:asciiTheme="minorHAnsi" w:hAnsiTheme="minorHAnsi" w:cstheme="minorHAnsi"/>
        </w:rPr>
      </w:pPr>
      <w:r w:rsidRPr="002D6DC7">
        <w:rPr>
          <w:rFonts w:asciiTheme="minorHAnsi" w:hAnsiTheme="minorHAnsi" w:cstheme="minorHAnsi"/>
        </w:rPr>
        <w:t xml:space="preserve">I have investigated how body-worn video aims to reduce misconduct and malpractice by Police officers and increase public confidence in Police. In an article I investigated (Harrison, L’Hoiry and Santorso, 2021), a study was carried out in the Police force in England when the implementation of body-worn cameras was introduced. This study aimed to retrieve the first-hand experience of Police officers and what they thought of implementing body-worn cameras. According to the research </w:t>
      </w:r>
      <w:r w:rsidRPr="002D6DC7">
        <w:rPr>
          <w:rFonts w:asciiTheme="minorHAnsi" w:hAnsiTheme="minorHAnsi" w:cstheme="minorHAnsi"/>
          <w:color w:val="000000"/>
        </w:rPr>
        <w:t>(Harrison, L’Hoiry and Santorso, 2021), it has been seen that a survey was completed with serving Police officers from a force located in England and with six survey questions:</w:t>
      </w:r>
    </w:p>
    <w:p w14:paraId="5EA3FC66" w14:textId="77777777" w:rsidR="008962DF" w:rsidRPr="002D6DC7" w:rsidRDefault="008962DF" w:rsidP="008962DF">
      <w:pPr>
        <w:pStyle w:val="NormalWeb"/>
        <w:numPr>
          <w:ilvl w:val="0"/>
          <w:numId w:val="1"/>
        </w:numPr>
        <w:rPr>
          <w:rFonts w:asciiTheme="minorHAnsi" w:hAnsiTheme="minorHAnsi" w:cstheme="minorHAnsi"/>
        </w:rPr>
      </w:pPr>
      <w:r w:rsidRPr="002D6DC7">
        <w:rPr>
          <w:rFonts w:asciiTheme="minorHAnsi" w:hAnsiTheme="minorHAnsi" w:cstheme="minorHAnsi"/>
        </w:rPr>
        <w:t xml:space="preserve">“When wearing BWV, I speak to people in the same way as before. </w:t>
      </w:r>
    </w:p>
    <w:p w14:paraId="5416C692" w14:textId="77777777" w:rsidR="008962DF" w:rsidRPr="002D6DC7" w:rsidRDefault="008962DF" w:rsidP="008962DF">
      <w:pPr>
        <w:pStyle w:val="NormalWeb"/>
        <w:numPr>
          <w:ilvl w:val="0"/>
          <w:numId w:val="1"/>
        </w:numPr>
        <w:rPr>
          <w:rFonts w:asciiTheme="minorHAnsi" w:hAnsiTheme="minorHAnsi" w:cstheme="minorHAnsi"/>
        </w:rPr>
      </w:pPr>
      <w:r w:rsidRPr="002D6DC7">
        <w:rPr>
          <w:rFonts w:asciiTheme="minorHAnsi" w:hAnsiTheme="minorHAnsi" w:cstheme="minorHAnsi"/>
        </w:rPr>
        <w:t xml:space="preserve">I feel BWV negatively affects my privacy and work routine. </w:t>
      </w:r>
    </w:p>
    <w:p w14:paraId="08CCB000" w14:textId="77777777" w:rsidR="008962DF" w:rsidRPr="002D6DC7" w:rsidRDefault="008962DF" w:rsidP="008962DF">
      <w:pPr>
        <w:pStyle w:val="NormalWeb"/>
        <w:numPr>
          <w:ilvl w:val="0"/>
          <w:numId w:val="1"/>
        </w:numPr>
        <w:rPr>
          <w:rFonts w:asciiTheme="minorHAnsi" w:hAnsiTheme="minorHAnsi" w:cstheme="minorHAnsi"/>
        </w:rPr>
      </w:pPr>
      <w:r w:rsidRPr="002D6DC7">
        <w:rPr>
          <w:rFonts w:asciiTheme="minorHAnsi" w:hAnsiTheme="minorHAnsi" w:cstheme="minorHAnsi"/>
        </w:rPr>
        <w:t xml:space="preserve">When wearing BWV, I am more inclined to report an assault against me. </w:t>
      </w:r>
    </w:p>
    <w:p w14:paraId="2F88A520" w14:textId="77777777" w:rsidR="008962DF" w:rsidRPr="002D6DC7" w:rsidRDefault="008962DF" w:rsidP="008962DF">
      <w:pPr>
        <w:pStyle w:val="NormalWeb"/>
        <w:numPr>
          <w:ilvl w:val="0"/>
          <w:numId w:val="1"/>
        </w:numPr>
        <w:rPr>
          <w:rFonts w:asciiTheme="minorHAnsi" w:hAnsiTheme="minorHAnsi" w:cstheme="minorHAnsi"/>
        </w:rPr>
      </w:pPr>
      <w:r w:rsidRPr="002D6DC7">
        <w:rPr>
          <w:rFonts w:asciiTheme="minorHAnsi" w:hAnsiTheme="minorHAnsi" w:cstheme="minorHAnsi"/>
        </w:rPr>
        <w:t xml:space="preserve">When wearing BWV, I am more likely to give a formal sanction than just a warning. </w:t>
      </w:r>
    </w:p>
    <w:p w14:paraId="28338E26" w14:textId="77777777" w:rsidR="008962DF" w:rsidRPr="002D6DC7" w:rsidRDefault="008962DF" w:rsidP="008962DF">
      <w:pPr>
        <w:pStyle w:val="NormalWeb"/>
        <w:numPr>
          <w:ilvl w:val="0"/>
          <w:numId w:val="1"/>
        </w:numPr>
        <w:rPr>
          <w:rFonts w:asciiTheme="minorHAnsi" w:hAnsiTheme="minorHAnsi" w:cstheme="minorHAnsi"/>
        </w:rPr>
      </w:pPr>
      <w:r w:rsidRPr="002D6DC7">
        <w:rPr>
          <w:rFonts w:asciiTheme="minorHAnsi" w:hAnsiTheme="minorHAnsi" w:cstheme="minorHAnsi"/>
        </w:rPr>
        <w:t xml:space="preserve">Wearing BWV makes me less likely to use force against a member of the public, even when appropriate. </w:t>
      </w:r>
    </w:p>
    <w:p w14:paraId="5CE11342" w14:textId="77777777" w:rsidR="008962DF" w:rsidRPr="002D6DC7" w:rsidRDefault="008962DF" w:rsidP="008962DF">
      <w:pPr>
        <w:pStyle w:val="NormalWeb"/>
        <w:numPr>
          <w:ilvl w:val="0"/>
          <w:numId w:val="1"/>
        </w:numPr>
        <w:rPr>
          <w:rFonts w:asciiTheme="minorHAnsi" w:hAnsiTheme="minorHAnsi" w:cstheme="minorHAnsi"/>
        </w:rPr>
      </w:pPr>
      <w:r w:rsidRPr="002D6DC7">
        <w:rPr>
          <w:rFonts w:asciiTheme="minorHAnsi" w:hAnsiTheme="minorHAnsi" w:cstheme="minorHAnsi"/>
        </w:rPr>
        <w:t>I feel more confident having BWV because it protects me against public complaints.”</w:t>
      </w:r>
    </w:p>
    <w:p w14:paraId="41ACA172" w14:textId="77777777" w:rsidR="008962DF" w:rsidRPr="002D6DC7" w:rsidRDefault="008962DF" w:rsidP="008962DF">
      <w:pPr>
        <w:pStyle w:val="NormalWeb"/>
        <w:rPr>
          <w:rFonts w:asciiTheme="minorHAnsi" w:hAnsiTheme="minorHAnsi" w:cstheme="minorHAnsi"/>
        </w:rPr>
      </w:pPr>
      <w:r w:rsidRPr="002D6DC7">
        <w:rPr>
          <w:rFonts w:asciiTheme="minorHAnsi" w:hAnsiTheme="minorHAnsi" w:cstheme="minorHAnsi"/>
        </w:rPr>
        <w:t>The second most frequently picked answer is feeling more confident having BWV as it protects against complaints. Having BWV active during an incident and any reports of malpractice and misconduct can be reviewed by supervisors and even individual officers will create a more positive working environment as staff will be able to reflect on mistakes and positive outcomes, and having incidents recorded brings vital evidence to support allegations between members of the public and ultimately, BWV increases public confidence as the days of old policing have gone. Modern Policing finds that officers must act according to the NDM and Code of Ethics to play a crucial and impartial role in serving the public and increasing community confidence. This brings me to my next subject, the code of ethics.</w:t>
      </w:r>
    </w:p>
    <w:p w14:paraId="16BA5D6C" w14:textId="77777777" w:rsidR="008962DF" w:rsidRPr="002D6DC7" w:rsidRDefault="008962DF" w:rsidP="008962DF">
      <w:pPr>
        <w:pStyle w:val="NormalWeb"/>
        <w:rPr>
          <w:rFonts w:asciiTheme="minorHAnsi" w:hAnsiTheme="minorHAnsi" w:cstheme="minorHAnsi"/>
        </w:rPr>
      </w:pPr>
      <w:r w:rsidRPr="002D6DC7">
        <w:rPr>
          <w:rFonts w:asciiTheme="minorHAnsi" w:hAnsiTheme="minorHAnsi" w:cstheme="minorHAnsi"/>
        </w:rPr>
        <w:t xml:space="preserve">The code of ethics has a vital role in policing as constructed in </w:t>
      </w:r>
      <w:r w:rsidRPr="002D6DC7">
        <w:rPr>
          <w:rFonts w:asciiTheme="minorHAnsi" w:hAnsiTheme="minorHAnsi" w:cstheme="minorHAnsi"/>
          <w:color w:val="000000"/>
        </w:rPr>
        <w:t xml:space="preserve">(the College of Policing), </w:t>
      </w:r>
      <w:r w:rsidRPr="002D6DC7">
        <w:rPr>
          <w:rFonts w:asciiTheme="minorHAnsi" w:hAnsiTheme="minorHAnsi" w:cstheme="minorHAnsi"/>
        </w:rPr>
        <w:t xml:space="preserve">as it is essential to ensure professionalism, guide actions that officers will take and build public trust. The Police work as a unit and achieve greatness through the Competencies and Values set out in the code of ethics. Police officers must be emotionally aware when with members of the public; they must take ownership of the tasks at hand, the situations they are faced with and the actions they take, all to set a clear understanding to the members of the public, all of which increase public confidence. </w:t>
      </w:r>
      <w:r w:rsidRPr="002D6DC7">
        <w:rPr>
          <w:rFonts w:asciiTheme="minorHAnsi" w:hAnsiTheme="minorHAnsi" w:cstheme="minorHAnsi"/>
          <w:color w:val="000000"/>
        </w:rPr>
        <w:t xml:space="preserve">(Maile et al.) </w:t>
      </w:r>
      <w:r w:rsidRPr="002D6DC7">
        <w:rPr>
          <w:rFonts w:asciiTheme="minorHAnsi" w:hAnsiTheme="minorHAnsi" w:cstheme="minorHAnsi"/>
        </w:rPr>
        <w:t xml:space="preserve">Officers must collaborate during ongoing incidents and even collaborate with other service sectors such as ambulance service and fire service when an incident deems it necessary, and in some cases, collaborate </w:t>
      </w:r>
      <w:r w:rsidRPr="002D6DC7">
        <w:rPr>
          <w:rFonts w:asciiTheme="minorHAnsi" w:hAnsiTheme="minorHAnsi" w:cstheme="minorHAnsi"/>
        </w:rPr>
        <w:lastRenderedPageBreak/>
        <w:t xml:space="preserve">with members of the public to ensure the correct decision is made if specific scenarios present themselves. Police officers must be able to deliver, support and inspire fellow officers and members of the public. Officers must be able to critically analyse incidents to offer the best service to the public and the most secure public protection. </w:t>
      </w:r>
      <w:r w:rsidRPr="002D6DC7">
        <w:rPr>
          <w:rFonts w:asciiTheme="minorHAnsi" w:hAnsiTheme="minorHAnsi" w:cstheme="minorHAnsi"/>
          <w:color w:val="000000"/>
        </w:rPr>
        <w:t>(College of Policing,</w:t>
      </w:r>
      <w:r w:rsidRPr="002D6DC7">
        <w:rPr>
          <w:rStyle w:val="apple-converted-space"/>
          <w:rFonts w:asciiTheme="minorHAnsi" w:hAnsiTheme="minorHAnsi" w:cstheme="minorHAnsi"/>
          <w:color w:val="000000"/>
        </w:rPr>
        <w:t> </w:t>
      </w:r>
      <w:r w:rsidRPr="002D6DC7">
        <w:rPr>
          <w:rFonts w:asciiTheme="minorHAnsi" w:hAnsiTheme="minorHAnsi" w:cstheme="minorHAnsi"/>
          <w:i/>
          <w:iCs/>
          <w:color w:val="000000"/>
        </w:rPr>
        <w:t>Code of Ethics: Supporting Documents the Code of Ethics -Assessment Guide the PROFESSIONAL BODY for POLICING</w:t>
      </w:r>
      <w:r w:rsidRPr="002D6DC7">
        <w:rPr>
          <w:rFonts w:asciiTheme="minorHAnsi" w:hAnsiTheme="minorHAnsi" w:cstheme="minorHAnsi"/>
          <w:color w:val="000000"/>
        </w:rPr>
        <w:t>)</w:t>
      </w:r>
    </w:p>
    <w:p w14:paraId="069EA4E5" w14:textId="77777777" w:rsidR="008962DF" w:rsidRPr="002D6DC7" w:rsidRDefault="008962DF" w:rsidP="008962DF">
      <w:pPr>
        <w:pStyle w:val="NormalWeb"/>
        <w:rPr>
          <w:rFonts w:asciiTheme="minorHAnsi" w:hAnsiTheme="minorHAnsi" w:cstheme="minorHAnsi"/>
        </w:rPr>
      </w:pPr>
      <w:r w:rsidRPr="002D6DC7">
        <w:rPr>
          <w:rFonts w:asciiTheme="minorHAnsi" w:hAnsiTheme="minorHAnsi" w:cstheme="minorHAnsi"/>
        </w:rPr>
        <w:t xml:space="preserve">Officers must be innovative and open-minded, taking different approaches to incidents and making decisions which are within the guidelines of force policy and critically examined using the NDM, which will, when undertaken collectively, make the greatest of differences and offer the best solutions to incidents. Officers must be transparent and impartial with their decision-making to deliver the best service to the public and uphold all these standards whilst on and off duty to show the public the integrity they hold. Finally, this brings officers to offer a public service because, through it all, officers are there to serve and protect members of the public. </w:t>
      </w:r>
      <w:r w:rsidRPr="002D6DC7">
        <w:rPr>
          <w:rFonts w:asciiTheme="minorHAnsi" w:hAnsiTheme="minorHAnsi" w:cstheme="minorHAnsi"/>
          <w:color w:val="000000"/>
        </w:rPr>
        <w:t>(College of Policing, “Competency and Values - College of Policing”)</w:t>
      </w:r>
    </w:p>
    <w:p w14:paraId="0F28A290" w14:textId="77777777" w:rsidR="008962DF" w:rsidRPr="002D6DC7" w:rsidRDefault="008962DF" w:rsidP="008962DF">
      <w:pPr>
        <w:pStyle w:val="NormalWeb"/>
        <w:rPr>
          <w:rFonts w:asciiTheme="minorHAnsi" w:hAnsiTheme="minorHAnsi" w:cstheme="minorHAnsi"/>
        </w:rPr>
      </w:pPr>
      <w:r w:rsidRPr="002D6DC7">
        <w:rPr>
          <w:rFonts w:asciiTheme="minorHAnsi" w:hAnsiTheme="minorHAnsi" w:cstheme="minorHAnsi"/>
        </w:rPr>
        <w:t>As dictated in the study, I can see why the weight of the competency and values supplied by the College of Policing can take officers away from making, as I would say, common sense or personal decisions made as an individual and not as an officer, as I believe that with there being so many guidelines and measures set in place, officers are now almost un-naturally and robotically interacting with the public and not feeling able to interact on a natural basis and deal with crime in individual ways and building what I think is a natural relationship/rapport with persons involved with the Police.</w:t>
      </w:r>
    </w:p>
    <w:p w14:paraId="24F118B9" w14:textId="77777777" w:rsidR="008962DF" w:rsidRPr="002D6DC7" w:rsidRDefault="008962DF" w:rsidP="008962DF">
      <w:pPr>
        <w:pStyle w:val="NormalWeb"/>
        <w:rPr>
          <w:rFonts w:asciiTheme="minorHAnsi" w:hAnsiTheme="minorHAnsi" w:cstheme="minorHAnsi"/>
          <w:color w:val="000000"/>
          <w:shd w:val="clear" w:color="auto" w:fill="FFFFFF"/>
        </w:rPr>
      </w:pPr>
      <w:r w:rsidRPr="002D6DC7">
        <w:rPr>
          <w:rFonts w:asciiTheme="minorHAnsi" w:hAnsiTheme="minorHAnsi" w:cstheme="minorHAnsi"/>
        </w:rPr>
        <w:t xml:space="preserve">On the other side, I can understand how the competency and values supplied by the College of Policing can increase public interest and reduce misconduct and malpractice by Police officers. As I previously mentioned, Police officers sometimes come across as robotic. These competencies and values have been seen to reduce misconduct and malpractice by officers. The oath of allegiance that all Police officers must adhere to. </w:t>
      </w:r>
      <w:r w:rsidRPr="002D6DC7">
        <w:rPr>
          <w:rFonts w:asciiTheme="minorHAnsi" w:hAnsiTheme="minorHAnsi" w:cstheme="minorHAnsi"/>
          <w:color w:val="000000"/>
          <w:shd w:val="clear" w:color="auto" w:fill="FFFFFF"/>
        </w:rPr>
        <w:t xml:space="preserve">In England and Wales, all officers must swear an oath of allegiance to the monarch upon their appointment to the rank of Police constable. This oath guarantees the split power and political independence of the Office of Constable. </w:t>
      </w:r>
      <w:r w:rsidRPr="002D6DC7">
        <w:rPr>
          <w:rFonts w:asciiTheme="minorHAnsi" w:hAnsiTheme="minorHAnsi" w:cstheme="minorHAnsi"/>
          <w:color w:val="000000"/>
        </w:rPr>
        <w:t>(The Office of Constable)</w:t>
      </w:r>
    </w:p>
    <w:p w14:paraId="504E43B4" w14:textId="77777777" w:rsidR="008962DF" w:rsidRPr="002D6DC7" w:rsidRDefault="008962DF" w:rsidP="008962DF">
      <w:pPr>
        <w:pStyle w:val="NormalWeb"/>
        <w:rPr>
          <w:rFonts w:asciiTheme="minorHAnsi" w:hAnsiTheme="minorHAnsi" w:cstheme="minorHAnsi"/>
          <w:color w:val="000000"/>
          <w:shd w:val="clear" w:color="auto" w:fill="FFFFFF"/>
        </w:rPr>
      </w:pPr>
      <w:r w:rsidRPr="002D6DC7">
        <w:rPr>
          <w:rFonts w:asciiTheme="minorHAnsi" w:hAnsiTheme="minorHAnsi" w:cstheme="minorHAnsi"/>
          <w:color w:val="000000"/>
          <w:shd w:val="clear" w:color="auto" w:fill="FFFFFF"/>
        </w:rPr>
        <w:t xml:space="preserve">The oath, which suggests the grave commitment of Police officers, goes as follows: </w:t>
      </w:r>
    </w:p>
    <w:p w14:paraId="658829B4" w14:textId="77777777" w:rsidR="008962DF" w:rsidRPr="002D6DC7" w:rsidRDefault="008962DF" w:rsidP="008962DF">
      <w:pPr>
        <w:pStyle w:val="NormalWeb"/>
        <w:rPr>
          <w:rFonts w:asciiTheme="minorHAnsi" w:hAnsiTheme="minorHAnsi" w:cstheme="minorHAnsi"/>
          <w:color w:val="000000"/>
          <w:shd w:val="clear" w:color="auto" w:fill="FFFFFF"/>
        </w:rPr>
      </w:pPr>
      <w:r w:rsidRPr="002D6DC7">
        <w:rPr>
          <w:rFonts w:asciiTheme="minorHAnsi" w:hAnsiTheme="minorHAnsi" w:cstheme="minorHAnsi"/>
          <w:color w:val="000000"/>
          <w:shd w:val="clear" w:color="auto" w:fill="FFFFFF"/>
        </w:rPr>
        <w:t xml:space="preserve">“I do solemnly and sincerely declare and affirm that I will well and truly serve the King in the office of constable, with fairness, integrity, diligence, and impartiality, upholding fundamental human rights and according equal respect to all people; and that I will, to the best of my power, cause the peace to be kept and preserved and prevent all offences against people and property; and that while I continue to hold the said office, I will, to the best of my skill and knowledge, discharge all the duties thereof faithfully according to law.” </w:t>
      </w:r>
      <w:r w:rsidRPr="002D6DC7">
        <w:rPr>
          <w:rFonts w:asciiTheme="minorHAnsi" w:hAnsiTheme="minorHAnsi" w:cstheme="minorHAnsi"/>
          <w:color w:val="000000"/>
        </w:rPr>
        <w:t>(GOV.UK)</w:t>
      </w:r>
    </w:p>
    <w:p w14:paraId="5BCEEBAD" w14:textId="2C343101" w:rsidR="008962DF" w:rsidRPr="002D6DC7" w:rsidRDefault="008962DF" w:rsidP="008962DF">
      <w:pPr>
        <w:pStyle w:val="NormalWeb"/>
        <w:rPr>
          <w:rFonts w:asciiTheme="minorHAnsi" w:hAnsiTheme="minorHAnsi" w:cstheme="minorHAnsi"/>
          <w:color w:val="000000"/>
        </w:rPr>
      </w:pPr>
      <w:r w:rsidRPr="002D6DC7">
        <w:rPr>
          <w:rFonts w:asciiTheme="minorHAnsi" w:hAnsiTheme="minorHAnsi" w:cstheme="minorHAnsi"/>
          <w:color w:val="000000"/>
          <w:shd w:val="clear" w:color="auto" w:fill="FFFFFF"/>
        </w:rPr>
        <w:t xml:space="preserve">This oath emphasises the grave role of the constable's office as the bedrock of modern-day policing, emphasising the principles of justice, impartiality, and the protection of human rights. </w:t>
      </w:r>
      <w:r w:rsidRPr="002D6DC7">
        <w:rPr>
          <w:rFonts w:asciiTheme="minorHAnsi" w:hAnsiTheme="minorHAnsi" w:cstheme="minorHAnsi"/>
          <w:color w:val="000000"/>
        </w:rPr>
        <w:t>(The Office of Constable)</w:t>
      </w:r>
    </w:p>
    <w:p w14:paraId="3A035EF7" w14:textId="77777777" w:rsidR="008962DF" w:rsidRPr="002D6DC7" w:rsidRDefault="008962DF" w:rsidP="008962DF">
      <w:pPr>
        <w:pStyle w:val="NormalWeb"/>
        <w:rPr>
          <w:rFonts w:asciiTheme="minorHAnsi" w:hAnsiTheme="minorHAnsi" w:cstheme="minorHAnsi"/>
          <w:color w:val="000000"/>
          <w:shd w:val="clear" w:color="auto" w:fill="FFFFFF"/>
        </w:rPr>
      </w:pPr>
    </w:p>
    <w:p w14:paraId="2E5EF556" w14:textId="77777777" w:rsidR="008962DF" w:rsidRPr="002D6DC7" w:rsidRDefault="008962DF" w:rsidP="008962DF">
      <w:pPr>
        <w:pStyle w:val="NormalWeb"/>
        <w:rPr>
          <w:rFonts w:asciiTheme="minorHAnsi" w:hAnsiTheme="minorHAnsi" w:cstheme="minorHAnsi"/>
          <w:b/>
          <w:bCs/>
          <w:color w:val="000000"/>
          <w:shd w:val="clear" w:color="auto" w:fill="FFFFFF"/>
        </w:rPr>
      </w:pPr>
      <w:r w:rsidRPr="002D6DC7">
        <w:rPr>
          <w:rFonts w:asciiTheme="minorHAnsi" w:hAnsiTheme="minorHAnsi" w:cstheme="minorHAnsi"/>
          <w:b/>
          <w:bCs/>
          <w:color w:val="000000"/>
          <w:shd w:val="clear" w:color="auto" w:fill="FFFFFF"/>
        </w:rPr>
        <w:t>(1091 words)</w:t>
      </w:r>
    </w:p>
    <w:p w14:paraId="71E3B4F8" w14:textId="77777777" w:rsidR="008962DF" w:rsidRPr="002D6DC7" w:rsidRDefault="008962DF">
      <w:pPr>
        <w:rPr>
          <w:rFonts w:cstheme="minorHAnsi"/>
        </w:rPr>
      </w:pPr>
    </w:p>
    <w:p w14:paraId="0A4C5930" w14:textId="77777777" w:rsidR="008962DF" w:rsidRPr="002D6DC7" w:rsidRDefault="008962DF">
      <w:pPr>
        <w:rPr>
          <w:rFonts w:cstheme="minorHAnsi"/>
        </w:rPr>
      </w:pPr>
    </w:p>
    <w:p w14:paraId="3EBDA521" w14:textId="77777777" w:rsidR="008962DF" w:rsidRPr="002D6DC7" w:rsidRDefault="008962DF">
      <w:pPr>
        <w:rPr>
          <w:rFonts w:cstheme="minorHAnsi"/>
        </w:rPr>
      </w:pPr>
    </w:p>
    <w:p w14:paraId="2562922E" w14:textId="77777777" w:rsidR="008962DF" w:rsidRPr="002D6DC7" w:rsidRDefault="008962DF" w:rsidP="008962DF">
      <w:pPr>
        <w:pStyle w:val="NormalWeb"/>
        <w:rPr>
          <w:rFonts w:asciiTheme="minorHAnsi" w:hAnsiTheme="minorHAnsi" w:cstheme="minorHAnsi"/>
          <w:u w:val="single"/>
        </w:rPr>
      </w:pPr>
      <w:r w:rsidRPr="002D6DC7">
        <w:rPr>
          <w:rFonts w:asciiTheme="minorHAnsi" w:hAnsiTheme="minorHAnsi" w:cstheme="minorHAnsi"/>
          <w:b/>
          <w:bCs/>
          <w:u w:val="single"/>
        </w:rPr>
        <w:t xml:space="preserve">Essay Two – Public Protection </w:t>
      </w:r>
    </w:p>
    <w:p w14:paraId="518EBFC8" w14:textId="77777777" w:rsidR="008962DF" w:rsidRPr="002D6DC7" w:rsidRDefault="008962DF" w:rsidP="008962DF">
      <w:pPr>
        <w:pStyle w:val="NormalWeb"/>
        <w:rPr>
          <w:rFonts w:asciiTheme="minorHAnsi" w:hAnsiTheme="minorHAnsi" w:cstheme="minorHAnsi"/>
        </w:rPr>
      </w:pPr>
      <w:r w:rsidRPr="002D6DC7">
        <w:rPr>
          <w:rFonts w:asciiTheme="minorHAnsi" w:hAnsiTheme="minorHAnsi" w:cstheme="minorHAnsi"/>
        </w:rPr>
        <w:t xml:space="preserve">In this essay, I will examine the characteristics that can make a person vulnerable to exploitation by criminal gangs. I will also be looking into what cuckooing is and how criminal organisations prey on vulnerable people to conduct their illicit activities. Some attributes can be specified as socio-economical and psychological, but I will investigate numerous factors that can make a person vulnerable. </w:t>
      </w:r>
    </w:p>
    <w:p w14:paraId="6C604A06" w14:textId="77777777" w:rsidR="008962DF" w:rsidRPr="002D6DC7" w:rsidRDefault="008962DF" w:rsidP="008962DF">
      <w:pPr>
        <w:rPr>
          <w:rFonts w:cstheme="minorHAnsi"/>
          <w:color w:val="000000"/>
        </w:rPr>
      </w:pPr>
      <w:r w:rsidRPr="002D6DC7">
        <w:rPr>
          <w:rFonts w:cstheme="minorHAnsi"/>
        </w:rPr>
        <w:t>I have investigated the different characteristics which can make a person vulnerable to exploitation by criminal gangs, one of which is children. Specifically, children cared for in residential children's homes are put in place by social services or pupil referral units. An article I investigated (</w:t>
      </w:r>
      <w:r w:rsidRPr="002D6DC7">
        <w:rPr>
          <w:rFonts w:cstheme="minorHAnsi"/>
          <w:color w:val="000000"/>
        </w:rPr>
        <w:t xml:space="preserve">Government, HM. “Ending Gang Violence and Exploitation.” Home Office, Jan. 2016.) explains that children who are under the care of social services such as youth offending teams, pupil referral units and residential children care homes are most likely to be targeted by organised crime groups/gangs. Children who are not known to social services are also being targeted as organised crime groups do this to evade detection from any local authorities such as the Police. This article has explained that there is evidence that residential children's care homes and pupil referral units are specifically targeted. There are cases known to the home office where gang members have waited outside schools to meet children, where the gang members take the child away to participate in activities of a criminal nature. The children are </w:t>
      </w:r>
      <w:r w:rsidRPr="002D6DC7">
        <w:rPr>
          <w:rFonts w:cstheme="minorHAnsi"/>
          <w:color w:val="111111"/>
        </w:rPr>
        <w:t>groomed or coerced into drug-related activities</w:t>
      </w:r>
      <w:r w:rsidRPr="002D6DC7">
        <w:rPr>
          <w:rFonts w:cstheme="minorHAnsi"/>
          <w:color w:val="000000"/>
        </w:rPr>
        <w:t xml:space="preserve"> and then swiftly returned to the location of pick-up to avoid the child being reported as missing or raising suspicion. </w:t>
      </w:r>
      <w:r w:rsidRPr="002D6DC7">
        <w:rPr>
          <w:rFonts w:cstheme="minorHAnsi"/>
        </w:rPr>
        <w:t>(</w:t>
      </w:r>
      <w:r w:rsidRPr="002D6DC7">
        <w:rPr>
          <w:rFonts w:cstheme="minorHAnsi"/>
          <w:color w:val="000000"/>
        </w:rPr>
        <w:t>Government, HM. “Ending Gang Violence and Exploitation.” Home Office, Jan. 2016.)</w:t>
      </w:r>
    </w:p>
    <w:p w14:paraId="4504B760" w14:textId="77777777" w:rsidR="008962DF" w:rsidRPr="002D6DC7" w:rsidRDefault="008962DF" w:rsidP="008962DF">
      <w:pPr>
        <w:rPr>
          <w:rFonts w:cstheme="minorHAnsi"/>
          <w:color w:val="000000"/>
        </w:rPr>
      </w:pPr>
    </w:p>
    <w:p w14:paraId="60FBA6A1" w14:textId="77777777" w:rsidR="008962DF" w:rsidRPr="002D6DC7" w:rsidRDefault="008962DF" w:rsidP="008962DF">
      <w:pPr>
        <w:rPr>
          <w:rFonts w:cstheme="minorHAnsi"/>
          <w:color w:val="000000"/>
        </w:rPr>
      </w:pPr>
      <w:r w:rsidRPr="002D6DC7">
        <w:rPr>
          <w:rFonts w:cstheme="minorHAnsi"/>
          <w:color w:val="000000"/>
        </w:rPr>
        <w:t xml:space="preserve">From reviewing an article (Neagu, Mariela. “Conceptualising Care in Children’s Social Services.”) </w:t>
      </w:r>
      <w:r w:rsidRPr="002D6DC7">
        <w:rPr>
          <w:rFonts w:cstheme="minorHAnsi"/>
          <w:color w:val="111111"/>
        </w:rPr>
        <w:t xml:space="preserve">the research I have critically examined indicates that being in care can significantly interfere with a child’s identity formation, leading to being easily led by gang members who are offering these children direction and a sense of purpose by getting them involved in the aspect of the organised crime groups. The loss of family ties will not promote the ability to have close family connections, and this will make a child feel isolated and more susceptible to grooming by gangs. Vulnerable children may be more susceptible to exploitation by organised crime groups due to their disrupted social contexts. </w:t>
      </w:r>
    </w:p>
    <w:p w14:paraId="313456A4" w14:textId="77777777" w:rsidR="008962DF" w:rsidRPr="002D6DC7" w:rsidRDefault="008962DF" w:rsidP="008962DF">
      <w:pPr>
        <w:rPr>
          <w:rFonts w:cstheme="minorHAnsi"/>
        </w:rPr>
      </w:pPr>
    </w:p>
    <w:p w14:paraId="3FEC977D" w14:textId="77777777" w:rsidR="008962DF" w:rsidRPr="002D6DC7" w:rsidRDefault="008962DF" w:rsidP="008962DF">
      <w:pPr>
        <w:pStyle w:val="NormalWeb"/>
        <w:spacing w:before="0" w:beforeAutospacing="0"/>
        <w:rPr>
          <w:rFonts w:asciiTheme="minorHAnsi" w:hAnsiTheme="minorHAnsi" w:cstheme="minorHAnsi"/>
        </w:rPr>
      </w:pPr>
      <w:r w:rsidRPr="002D6DC7">
        <w:rPr>
          <w:rFonts w:asciiTheme="minorHAnsi" w:hAnsiTheme="minorHAnsi" w:cstheme="minorHAnsi"/>
        </w:rPr>
        <w:t xml:space="preserve">"Cuckooing" is a phrase used to describe a particularly predatory type of criminal behaviour in which drug dealers or criminal gangs take advantage of vulnerable people's houses as grounds for their illicit activities. People who are least able to defend themselves, such as those with severe addictions, mental health conditions, or impairments, are frequently the targets of this type of exploitation. </w:t>
      </w:r>
      <w:r w:rsidRPr="002D6DC7">
        <w:rPr>
          <w:rFonts w:asciiTheme="minorHAnsi" w:hAnsiTheme="minorHAnsi" w:cstheme="minorHAnsi"/>
          <w:color w:val="000000"/>
        </w:rPr>
        <w:t>(Spicer et al.)</w:t>
      </w:r>
      <w:r w:rsidRPr="002D6DC7">
        <w:rPr>
          <w:rFonts w:asciiTheme="minorHAnsi" w:hAnsiTheme="minorHAnsi" w:cstheme="minorHAnsi"/>
        </w:rPr>
        <w:br/>
      </w:r>
      <w:r w:rsidRPr="002D6DC7">
        <w:rPr>
          <w:rFonts w:asciiTheme="minorHAnsi" w:hAnsiTheme="minorHAnsi" w:cstheme="minorHAnsi"/>
        </w:rPr>
        <w:lastRenderedPageBreak/>
        <w:br/>
        <w:t>Critical characteristics of cuckooing:</w:t>
      </w:r>
      <w:r w:rsidRPr="002D6DC7">
        <w:rPr>
          <w:rFonts w:asciiTheme="minorHAnsi" w:hAnsiTheme="minorHAnsi" w:cstheme="minorHAnsi"/>
        </w:rPr>
        <w:br/>
      </w:r>
      <w:r w:rsidRPr="002D6DC7">
        <w:rPr>
          <w:rFonts w:asciiTheme="minorHAnsi" w:hAnsiTheme="minorHAnsi" w:cstheme="minorHAnsi"/>
        </w:rPr>
        <w:br/>
        <w:t>Exploitation of Vulnerability: Criminals usually target people who are ill or socially isolated, have uncertain finances, or have physical or mental health problems that make them less inclined to ask for assistance or fight against being taken advantage of.</w:t>
      </w:r>
      <w:r w:rsidRPr="002D6DC7">
        <w:rPr>
          <w:rFonts w:asciiTheme="minorHAnsi" w:hAnsiTheme="minorHAnsi" w:cstheme="minorHAnsi"/>
        </w:rPr>
        <w:br/>
        <w:t>Home takeover: The vulnerable person's home is effectively taken over by drug dealers or gang members. They utilise these houses as secure locations to stockpile and distribute drugs and occasionally even as</w:t>
      </w:r>
      <w:r w:rsidRPr="002D6DC7">
        <w:rPr>
          <w:rFonts w:asciiTheme="minorHAnsi" w:hAnsiTheme="minorHAnsi" w:cstheme="minorHAnsi"/>
          <w:color w:val="0D0D0D"/>
          <w:shd w:val="clear" w:color="auto" w:fill="FFFFFF"/>
        </w:rPr>
        <w:t xml:space="preserve"> places to stay.</w:t>
      </w:r>
      <w:r w:rsidRPr="002D6DC7">
        <w:rPr>
          <w:rFonts w:asciiTheme="minorHAnsi" w:hAnsiTheme="minorHAnsi" w:cstheme="minorHAnsi"/>
        </w:rPr>
        <w:t xml:space="preserve"> Increased risk of abuse: Homeowners who have had home invasions are more vulnerable to additional maltreatment, such as physical and sexual assault. As you pointed out, young people and vulnerable women could be forced into having sex to pay for drugs or to make money for the drug sellers. Impact on the community: Cuckooing not only affects the people whose houses are taken over, but it also erodes neighbourhood safety and security, which encourages the proliferation of drug-related crime and violence. </w:t>
      </w:r>
      <w:r w:rsidRPr="002D6DC7">
        <w:rPr>
          <w:rFonts w:asciiTheme="minorHAnsi" w:hAnsiTheme="minorHAnsi" w:cstheme="minorHAnsi"/>
          <w:color w:val="000000"/>
        </w:rPr>
        <w:t>(Spicer)</w:t>
      </w:r>
    </w:p>
    <w:p w14:paraId="727C5BF1" w14:textId="77777777" w:rsidR="008962DF" w:rsidRPr="002D6DC7" w:rsidRDefault="008962DF" w:rsidP="008962DF">
      <w:pPr>
        <w:pStyle w:val="NormalWeb"/>
        <w:spacing w:before="0" w:beforeAutospacing="0"/>
        <w:rPr>
          <w:rFonts w:asciiTheme="minorHAnsi" w:hAnsiTheme="minorHAnsi" w:cstheme="minorHAnsi"/>
        </w:rPr>
      </w:pPr>
      <w:r w:rsidRPr="002D6DC7">
        <w:rPr>
          <w:rFonts w:asciiTheme="minorHAnsi" w:hAnsiTheme="minorHAnsi" w:cstheme="minorHAnsi"/>
        </w:rPr>
        <w:t xml:space="preserve">Data on cuckooing: The statistical rise in reports of sexual exploitation and the use of children as "runners" in drug operations, as you pointed out, emphasises how severe and widespread this problem is. Response strategies: Clocking calls for a multifaceted approach to be addressed. Community awareness: Early detection and prevention of Cuckooing can be aided by educating the community about the symptoms. Support for Victims: Offering the victims comprehensive support services, such as safe housing, health and mental health care, and legal counsel. Enforcement from the government: Strengthened tactics against exploiting vulnerable groups and drug-related offences. Legislative measures: putting into effect and upholding policies that target and punish those who deliberately take advantage of weaker people in this way. Communities and law enforcement can better safeguard those at risk and work towards dissolving these exploitative criminal networks by comprehending and addressing the intricate dynamics of cuckooing. </w:t>
      </w:r>
      <w:r w:rsidRPr="002D6DC7">
        <w:rPr>
          <w:rFonts w:asciiTheme="minorHAnsi" w:hAnsiTheme="minorHAnsi" w:cstheme="minorHAnsi"/>
          <w:color w:val="000000"/>
        </w:rPr>
        <w:t>(Ioannou et al.)</w:t>
      </w:r>
    </w:p>
    <w:p w14:paraId="27E01BF9" w14:textId="77777777" w:rsidR="008962DF" w:rsidRPr="002D6DC7" w:rsidRDefault="008962DF" w:rsidP="008962DF">
      <w:pPr>
        <w:rPr>
          <w:rFonts w:cstheme="minorHAnsi"/>
        </w:rPr>
      </w:pPr>
      <w:r w:rsidRPr="002D6DC7">
        <w:rPr>
          <w:rFonts w:cstheme="minorHAnsi"/>
          <w:noProof/>
          <w:color w:val="007BFF"/>
        </w:rPr>
        <w:drawing>
          <wp:anchor distT="0" distB="0" distL="114300" distR="114300" simplePos="0" relativeHeight="251659264" behindDoc="0" locked="0" layoutInCell="1" allowOverlap="1" wp14:anchorId="1408317E" wp14:editId="195F603B">
            <wp:simplePos x="0" y="0"/>
            <wp:positionH relativeFrom="column">
              <wp:posOffset>37785</wp:posOffset>
            </wp:positionH>
            <wp:positionV relativeFrom="paragraph">
              <wp:posOffset>31963</wp:posOffset>
            </wp:positionV>
            <wp:extent cx="4353806" cy="3376057"/>
            <wp:effectExtent l="0" t="0" r="2540" b="2540"/>
            <wp:wrapNone/>
            <wp:docPr id="606022867" name="Picture 1" descr="A pie chart of people in different colors&#10;&#10;Description automatically generated">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022867" name="Picture 1" descr="A pie chart of people in different colors&#10;&#10;Description automatically generated">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53806" cy="337605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9DD6D4" w14:textId="77777777" w:rsidR="008962DF" w:rsidRPr="002D6DC7" w:rsidRDefault="008962DF" w:rsidP="008962DF">
      <w:pPr>
        <w:rPr>
          <w:rFonts w:cstheme="minorHAnsi"/>
        </w:rPr>
      </w:pPr>
    </w:p>
    <w:p w14:paraId="514765C5" w14:textId="77777777" w:rsidR="008962DF" w:rsidRPr="002D6DC7" w:rsidRDefault="008962DF" w:rsidP="008962DF">
      <w:pPr>
        <w:rPr>
          <w:rFonts w:cstheme="minorHAnsi"/>
        </w:rPr>
      </w:pPr>
    </w:p>
    <w:p w14:paraId="3B181FD7" w14:textId="77777777" w:rsidR="008962DF" w:rsidRPr="002D6DC7" w:rsidRDefault="008962DF" w:rsidP="008962DF">
      <w:pPr>
        <w:rPr>
          <w:rFonts w:cstheme="minorHAnsi"/>
        </w:rPr>
      </w:pPr>
    </w:p>
    <w:p w14:paraId="278A5CD0" w14:textId="77777777" w:rsidR="008962DF" w:rsidRPr="002D6DC7" w:rsidRDefault="008962DF" w:rsidP="008962DF">
      <w:pPr>
        <w:rPr>
          <w:rFonts w:cstheme="minorHAnsi"/>
        </w:rPr>
      </w:pPr>
    </w:p>
    <w:p w14:paraId="02176C03" w14:textId="77777777" w:rsidR="008962DF" w:rsidRPr="002D6DC7" w:rsidRDefault="008962DF" w:rsidP="008962DF">
      <w:pPr>
        <w:rPr>
          <w:rFonts w:cstheme="minorHAnsi"/>
        </w:rPr>
      </w:pPr>
    </w:p>
    <w:p w14:paraId="57975766" w14:textId="77777777" w:rsidR="008962DF" w:rsidRPr="002D6DC7" w:rsidRDefault="008962DF" w:rsidP="008962DF">
      <w:pPr>
        <w:rPr>
          <w:rFonts w:cstheme="minorHAnsi"/>
        </w:rPr>
      </w:pPr>
    </w:p>
    <w:p w14:paraId="6400D99E" w14:textId="77777777" w:rsidR="008962DF" w:rsidRPr="002D6DC7" w:rsidRDefault="008962DF" w:rsidP="008962DF">
      <w:pPr>
        <w:rPr>
          <w:rFonts w:cstheme="minorHAnsi"/>
        </w:rPr>
      </w:pPr>
    </w:p>
    <w:p w14:paraId="0FA97305" w14:textId="77777777" w:rsidR="008962DF" w:rsidRPr="002D6DC7" w:rsidRDefault="008962DF" w:rsidP="008962DF">
      <w:pPr>
        <w:rPr>
          <w:rFonts w:cstheme="minorHAnsi"/>
        </w:rPr>
      </w:pPr>
    </w:p>
    <w:p w14:paraId="72AE3A84" w14:textId="77777777" w:rsidR="008962DF" w:rsidRPr="002D6DC7" w:rsidRDefault="008962DF" w:rsidP="008962DF">
      <w:pPr>
        <w:rPr>
          <w:rFonts w:cstheme="minorHAnsi"/>
        </w:rPr>
      </w:pPr>
    </w:p>
    <w:p w14:paraId="2107C088" w14:textId="77777777" w:rsidR="008962DF" w:rsidRPr="002D6DC7" w:rsidRDefault="008962DF" w:rsidP="008962DF">
      <w:pPr>
        <w:rPr>
          <w:rFonts w:cstheme="minorHAnsi"/>
        </w:rPr>
      </w:pPr>
    </w:p>
    <w:p w14:paraId="4171EE82" w14:textId="77777777" w:rsidR="008962DF" w:rsidRPr="002D6DC7" w:rsidRDefault="008962DF" w:rsidP="008962DF">
      <w:pPr>
        <w:rPr>
          <w:rFonts w:cstheme="minorHAnsi"/>
        </w:rPr>
      </w:pPr>
    </w:p>
    <w:p w14:paraId="4AD7C78B" w14:textId="77777777" w:rsidR="008962DF" w:rsidRPr="002D6DC7" w:rsidRDefault="008962DF" w:rsidP="008962DF">
      <w:pPr>
        <w:rPr>
          <w:rFonts w:cstheme="minorHAnsi"/>
        </w:rPr>
      </w:pPr>
    </w:p>
    <w:p w14:paraId="530F02ED" w14:textId="77777777" w:rsidR="008962DF" w:rsidRPr="002D6DC7" w:rsidRDefault="008962DF" w:rsidP="008962DF">
      <w:pPr>
        <w:rPr>
          <w:rFonts w:cstheme="minorHAnsi"/>
        </w:rPr>
      </w:pPr>
    </w:p>
    <w:p w14:paraId="01F0195D" w14:textId="77777777" w:rsidR="008962DF" w:rsidRPr="002D6DC7" w:rsidRDefault="008962DF" w:rsidP="008962DF">
      <w:pPr>
        <w:rPr>
          <w:rFonts w:cstheme="minorHAnsi"/>
        </w:rPr>
      </w:pPr>
    </w:p>
    <w:p w14:paraId="7309C166" w14:textId="77777777" w:rsidR="008962DF" w:rsidRPr="002D6DC7" w:rsidRDefault="008962DF" w:rsidP="008962DF">
      <w:pPr>
        <w:rPr>
          <w:rFonts w:cstheme="minorHAnsi"/>
        </w:rPr>
      </w:pPr>
    </w:p>
    <w:p w14:paraId="584D643C" w14:textId="77777777" w:rsidR="008962DF" w:rsidRPr="002D6DC7" w:rsidRDefault="008962DF" w:rsidP="008962DF">
      <w:pPr>
        <w:rPr>
          <w:rFonts w:cstheme="minorHAnsi"/>
        </w:rPr>
      </w:pPr>
    </w:p>
    <w:p w14:paraId="2C0B3E12" w14:textId="77777777" w:rsidR="008962DF" w:rsidRPr="002D6DC7" w:rsidRDefault="008962DF" w:rsidP="008962DF">
      <w:pPr>
        <w:rPr>
          <w:rFonts w:cstheme="minorHAnsi"/>
        </w:rPr>
      </w:pPr>
    </w:p>
    <w:p w14:paraId="4658FE13" w14:textId="77777777" w:rsidR="008962DF" w:rsidRPr="002D6DC7" w:rsidRDefault="008962DF" w:rsidP="008962DF">
      <w:pPr>
        <w:rPr>
          <w:rFonts w:cstheme="minorHAnsi"/>
        </w:rPr>
      </w:pPr>
    </w:p>
    <w:p w14:paraId="5F17E7F5" w14:textId="77777777" w:rsidR="008962DF" w:rsidRPr="002D6DC7" w:rsidRDefault="008962DF" w:rsidP="008962DF">
      <w:pPr>
        <w:pStyle w:val="NormalWeb"/>
        <w:shd w:val="clear" w:color="auto" w:fill="FFFFFF"/>
        <w:spacing w:before="0" w:beforeAutospacing="0" w:after="0" w:afterAutospacing="0"/>
        <w:rPr>
          <w:rFonts w:asciiTheme="minorHAnsi" w:hAnsiTheme="minorHAnsi" w:cstheme="minorHAnsi"/>
          <w:color w:val="000000"/>
        </w:rPr>
      </w:pPr>
      <w:r w:rsidRPr="002D6DC7">
        <w:rPr>
          <w:rStyle w:val="Strong"/>
          <w:rFonts w:asciiTheme="minorHAnsi" w:hAnsiTheme="minorHAnsi" w:cstheme="minorHAnsi"/>
          <w:color w:val="212529"/>
        </w:rPr>
        <w:t>“</w:t>
      </w:r>
      <w:r w:rsidRPr="002D6DC7">
        <w:rPr>
          <w:rFonts w:asciiTheme="minorHAnsi" w:hAnsiTheme="minorHAnsi" w:cstheme="minorHAnsi"/>
          <w:color w:val="212529"/>
        </w:rPr>
        <w:t xml:space="preserve">A pie chart which represents the type of vulnerable people country line groups exploit-data from a </w:t>
      </w:r>
      <w:r w:rsidRPr="002D6DC7">
        <w:rPr>
          <w:rFonts w:asciiTheme="minorHAnsi" w:hAnsiTheme="minorHAnsi" w:cstheme="minorHAnsi"/>
          <w:color w:val="212529"/>
          <w:shd w:val="clear" w:color="auto" w:fill="FFFFFF"/>
        </w:rPr>
        <w:t xml:space="preserve">study carried out from 2017 – 2018 there were 720 county line groups recorded, the most recent data collection from 2018–2019 shows that there are now over 2,000 lines.” </w:t>
      </w:r>
      <w:r w:rsidRPr="002D6DC7">
        <w:rPr>
          <w:rFonts w:asciiTheme="minorHAnsi" w:hAnsiTheme="minorHAnsi" w:cstheme="minorHAnsi"/>
          <w:color w:val="000000"/>
        </w:rPr>
        <w:t xml:space="preserve">(National Crime Agency) </w:t>
      </w:r>
      <w:r w:rsidRPr="002D6DC7">
        <w:rPr>
          <w:rFonts w:asciiTheme="minorHAnsi" w:hAnsiTheme="minorHAnsi" w:cstheme="minorHAnsi"/>
          <w:i/>
          <w:iCs/>
          <w:color w:val="000000"/>
        </w:rPr>
        <w:t>Medcraveonline.com</w:t>
      </w:r>
      <w:r w:rsidRPr="002D6DC7">
        <w:rPr>
          <w:rFonts w:asciiTheme="minorHAnsi" w:hAnsiTheme="minorHAnsi" w:cstheme="minorHAnsi"/>
          <w:color w:val="000000"/>
        </w:rPr>
        <w:t>, 2023, medcraveonline.com/FRCIJ/images/FRCIJ-07-00293-g003.png.</w:t>
      </w:r>
    </w:p>
    <w:p w14:paraId="332A7FAA" w14:textId="77777777" w:rsidR="008962DF" w:rsidRPr="002D6DC7" w:rsidRDefault="008962DF" w:rsidP="008962DF">
      <w:pPr>
        <w:rPr>
          <w:rFonts w:cstheme="minorHAnsi"/>
        </w:rPr>
      </w:pPr>
    </w:p>
    <w:p w14:paraId="0070788D" w14:textId="77777777" w:rsidR="008962DF" w:rsidRPr="002D6DC7" w:rsidRDefault="008962DF" w:rsidP="008962DF">
      <w:pPr>
        <w:pStyle w:val="NormalWeb"/>
        <w:spacing w:before="0" w:beforeAutospacing="0"/>
        <w:rPr>
          <w:rFonts w:asciiTheme="minorHAnsi" w:hAnsiTheme="minorHAnsi" w:cstheme="minorHAnsi"/>
          <w:color w:val="212529"/>
        </w:rPr>
      </w:pPr>
      <w:r w:rsidRPr="002D6DC7">
        <w:rPr>
          <w:rFonts w:asciiTheme="minorHAnsi" w:hAnsiTheme="minorHAnsi" w:cstheme="minorHAnsi"/>
          <w:color w:val="212529"/>
        </w:rPr>
        <w:t xml:space="preserve">Child criminal exploitation happens without the child’s immediate recognition, as the child believes that they are in control and that they are the ones conducting the crimes individually. Organised crime groups/gangs exploiting children have power over them by their age, gender, intellect, physical strength and economic or other resources, which are all characteristics of vulnerabilities </w:t>
      </w:r>
      <w:r w:rsidRPr="002D6DC7">
        <w:rPr>
          <w:rFonts w:asciiTheme="minorHAnsi" w:hAnsiTheme="minorHAnsi" w:cstheme="minorHAnsi"/>
          <w:color w:val="000000"/>
        </w:rPr>
        <w:t xml:space="preserve">(O’Hagan and Long).         </w:t>
      </w:r>
      <w:r w:rsidRPr="002D6DC7">
        <w:rPr>
          <w:rFonts w:asciiTheme="minorHAnsi" w:hAnsiTheme="minorHAnsi" w:cstheme="minorHAnsi"/>
          <w:color w:val="212529"/>
        </w:rPr>
        <w:t>There can be violence, coercion, and intimidation in collective reports of this occurring.</w:t>
      </w:r>
      <w:r w:rsidRPr="002D6DC7">
        <w:rPr>
          <w:rStyle w:val="apple-converted-space"/>
          <w:rFonts w:asciiTheme="minorHAnsi" w:hAnsiTheme="minorHAnsi" w:cstheme="minorHAnsi"/>
          <w:color w:val="212529"/>
        </w:rPr>
        <w:t> There are several</w:t>
      </w:r>
      <w:r w:rsidRPr="002D6DC7">
        <w:rPr>
          <w:rFonts w:asciiTheme="minorHAnsi" w:hAnsiTheme="minorHAnsi" w:cstheme="minorHAnsi"/>
          <w:color w:val="212529"/>
        </w:rPr>
        <w:t xml:space="preserve"> push and pull factors in how the gang members gain control over children and vulnerable people. Some of the push factors are the individual supplying drugs, and pull factors give the individual an escape from their life situation with children, in most cases, being in challenging living situations whilst in the care of social services and not in a secure family unit. Vulnerable adults are targeted for the same reasons, for example, those who suffer from an addiction to substances, as well as those who suffer from mental health conditions and problems with their physical health.</w:t>
      </w:r>
    </w:p>
    <w:p w14:paraId="75CD59E3" w14:textId="77777777" w:rsidR="008962DF" w:rsidRPr="002D6DC7" w:rsidRDefault="008962DF" w:rsidP="008962DF">
      <w:pPr>
        <w:pStyle w:val="NormalWeb"/>
        <w:shd w:val="clear" w:color="auto" w:fill="FFFFFF"/>
        <w:spacing w:before="0" w:beforeAutospacing="0" w:after="0" w:afterAutospacing="0"/>
        <w:rPr>
          <w:rFonts w:asciiTheme="minorHAnsi" w:hAnsiTheme="minorHAnsi" w:cstheme="minorHAnsi"/>
          <w:color w:val="212529"/>
        </w:rPr>
      </w:pPr>
    </w:p>
    <w:p w14:paraId="61FE6129" w14:textId="77777777" w:rsidR="008962DF" w:rsidRPr="002D6DC7" w:rsidRDefault="008962DF" w:rsidP="008962DF">
      <w:pPr>
        <w:pStyle w:val="NormalWeb"/>
        <w:spacing w:before="0" w:beforeAutospacing="0"/>
        <w:rPr>
          <w:rFonts w:asciiTheme="minorHAnsi" w:hAnsiTheme="minorHAnsi" w:cstheme="minorHAnsi"/>
          <w:color w:val="000000"/>
        </w:rPr>
      </w:pPr>
      <w:r w:rsidRPr="002D6DC7">
        <w:rPr>
          <w:rFonts w:asciiTheme="minorHAnsi" w:hAnsiTheme="minorHAnsi" w:cstheme="minorHAnsi"/>
          <w:color w:val="212529"/>
        </w:rPr>
        <w:t xml:space="preserve">Adults who are vulnerable through substance misuse and suffer from drug addiction are targets for organised crime groups/gangs as they quickly get involved in debt bondage from using the drugs that had been provided and then that vulnerable adult owing money to the group. </w:t>
      </w:r>
      <w:r w:rsidRPr="002D6DC7">
        <w:rPr>
          <w:rFonts w:asciiTheme="minorHAnsi" w:hAnsiTheme="minorHAnsi" w:cstheme="minorHAnsi"/>
          <w:color w:val="000000"/>
        </w:rPr>
        <w:t>(O’Hagan and Long)</w:t>
      </w:r>
    </w:p>
    <w:p w14:paraId="76E24552" w14:textId="77777777" w:rsidR="008962DF" w:rsidRPr="002D6DC7" w:rsidRDefault="008962DF" w:rsidP="008962DF">
      <w:pPr>
        <w:pStyle w:val="NormalWeb"/>
        <w:spacing w:before="0" w:beforeAutospacing="0"/>
        <w:rPr>
          <w:rFonts w:asciiTheme="minorHAnsi" w:hAnsiTheme="minorHAnsi" w:cstheme="minorHAnsi"/>
          <w:color w:val="000000"/>
        </w:rPr>
      </w:pPr>
    </w:p>
    <w:p w14:paraId="618A5C6A" w14:textId="77777777" w:rsidR="008962DF" w:rsidRPr="002D6DC7" w:rsidRDefault="008962DF" w:rsidP="008962DF">
      <w:pPr>
        <w:pStyle w:val="NormalWeb"/>
        <w:spacing w:before="0" w:beforeAutospacing="0"/>
        <w:rPr>
          <w:rFonts w:asciiTheme="minorHAnsi" w:hAnsiTheme="minorHAnsi" w:cstheme="minorHAnsi"/>
          <w:b/>
          <w:bCs/>
          <w:color w:val="000000"/>
        </w:rPr>
      </w:pPr>
      <w:r w:rsidRPr="002D6DC7">
        <w:rPr>
          <w:rFonts w:asciiTheme="minorHAnsi" w:hAnsiTheme="minorHAnsi" w:cstheme="minorHAnsi"/>
          <w:b/>
          <w:bCs/>
          <w:color w:val="000000"/>
        </w:rPr>
        <w:t>(1026 words)</w:t>
      </w:r>
    </w:p>
    <w:p w14:paraId="5C9EC34E" w14:textId="0453FECC" w:rsidR="008962DF" w:rsidRPr="002D6DC7" w:rsidRDefault="008962DF">
      <w:pPr>
        <w:rPr>
          <w:rFonts w:cstheme="minorHAnsi"/>
        </w:rPr>
      </w:pPr>
    </w:p>
    <w:p w14:paraId="4A9DFCF9" w14:textId="77777777" w:rsidR="008962DF" w:rsidRPr="002D6DC7" w:rsidRDefault="008962DF">
      <w:pPr>
        <w:rPr>
          <w:rFonts w:cstheme="minorHAnsi"/>
        </w:rPr>
      </w:pPr>
    </w:p>
    <w:p w14:paraId="5528EB99" w14:textId="6948AF14" w:rsidR="008962DF" w:rsidRPr="002D6DC7" w:rsidRDefault="008962DF" w:rsidP="008962DF">
      <w:pPr>
        <w:pStyle w:val="NormalWeb"/>
        <w:rPr>
          <w:rFonts w:asciiTheme="minorHAnsi" w:hAnsiTheme="minorHAnsi" w:cstheme="minorHAnsi"/>
          <w:u w:val="single"/>
        </w:rPr>
      </w:pPr>
      <w:r w:rsidRPr="002D6DC7">
        <w:rPr>
          <w:rFonts w:asciiTheme="minorHAnsi" w:hAnsiTheme="minorHAnsi" w:cstheme="minorHAnsi"/>
          <w:b/>
          <w:bCs/>
          <w:u w:val="single"/>
        </w:rPr>
        <w:t xml:space="preserve">Essay three – Vulnerability &amp; Risk </w:t>
      </w:r>
    </w:p>
    <w:p w14:paraId="1DE33CE7" w14:textId="77777777" w:rsidR="008962DF" w:rsidRPr="002D6DC7" w:rsidRDefault="008962DF" w:rsidP="008962DF">
      <w:pPr>
        <w:rPr>
          <w:rFonts w:cstheme="minorHAnsi"/>
          <w:color w:val="000000"/>
        </w:rPr>
      </w:pPr>
      <w:r w:rsidRPr="002D6DC7">
        <w:rPr>
          <w:rFonts w:cstheme="minorHAnsi"/>
        </w:rPr>
        <w:t xml:space="preserve">In this essay, I will explore early intervention and whether it prevents young people from offending. When proactive and prompt techniques, programmes, or services are implemented for young people in danger of participating in criminal or delinquent behaviour, they can prevent or mitigate harmful effects. This is known as early intervention. </w:t>
      </w:r>
      <w:r w:rsidRPr="002D6DC7">
        <w:rPr>
          <w:rFonts w:cstheme="minorHAnsi"/>
          <w:color w:val="000000"/>
        </w:rPr>
        <w:t xml:space="preserve">(Daelmans et al.) Early intervention is necessary to guide young people to understand the clear and stagnant line between good and bad. It can also identify social implications and refer to essential services for young people when required. This tactic would be best implemented on young people showing behavioural signs indicating they will commit crimes / offend. </w:t>
      </w:r>
    </w:p>
    <w:p w14:paraId="31A4281C" w14:textId="77777777" w:rsidR="008962DF" w:rsidRPr="002D6DC7" w:rsidRDefault="008962DF" w:rsidP="008962DF">
      <w:pPr>
        <w:rPr>
          <w:rFonts w:cstheme="minorHAnsi"/>
          <w:color w:val="000000"/>
        </w:rPr>
      </w:pPr>
    </w:p>
    <w:p w14:paraId="01A38AE0" w14:textId="77777777" w:rsidR="008962DF" w:rsidRPr="002D6DC7" w:rsidRDefault="008962DF" w:rsidP="008962DF">
      <w:pPr>
        <w:rPr>
          <w:rFonts w:cstheme="minorHAnsi"/>
          <w:color w:val="000000"/>
        </w:rPr>
      </w:pPr>
      <w:r w:rsidRPr="002D6DC7">
        <w:rPr>
          <w:rFonts w:cstheme="minorHAnsi"/>
        </w:rPr>
        <w:lastRenderedPageBreak/>
        <w:t xml:space="preserve">One behavioural sign that can be recognised when implementing early prevention is </w:t>
      </w:r>
      <w:r w:rsidRPr="002D6DC7">
        <w:rPr>
          <w:rFonts w:eastAsia="Times New Roman" w:cstheme="minorHAnsi"/>
          <w:kern w:val="0"/>
          <w:lang w:eastAsia="en-GB"/>
          <w14:ligatures w14:val="none"/>
        </w:rPr>
        <w:t xml:space="preserve">gang involvement. Children who associate with street gangs or organised crime groups may be at risk. Joining a gang can lead to criminal conduct, including selling drugs and committing violent crimes. </w:t>
      </w:r>
      <w:r w:rsidRPr="002D6DC7">
        <w:rPr>
          <w:rFonts w:cstheme="minorHAnsi"/>
          <w:color w:val="000000"/>
        </w:rPr>
        <w:t xml:space="preserve">(NSPCC) Another behavioural sign would be if a young person is easily coerced into peer pressure. </w:t>
      </w:r>
      <w:r w:rsidRPr="002D6DC7">
        <w:rPr>
          <w:rFonts w:eastAsia="Times New Roman" w:cstheme="minorHAnsi"/>
          <w:kern w:val="0"/>
          <w:lang w:eastAsia="en-GB"/>
          <w14:ligatures w14:val="none"/>
        </w:rPr>
        <w:t xml:space="preserve">If a young person sees their peers participating in unlawful activities, they may feel under pressure to follow suit. The last behavioural indicator I found was the most accurate would-be young people showing aggressive and impulsive behaviour. Young people who behave violently, impulsively, or without self-control may have a higher chance of becoming criminals. </w:t>
      </w:r>
      <w:r w:rsidRPr="002D6DC7">
        <w:rPr>
          <w:rFonts w:cstheme="minorHAnsi"/>
          <w:color w:val="000000"/>
        </w:rPr>
        <w:t>(Kanter)</w:t>
      </w:r>
    </w:p>
    <w:p w14:paraId="7A135889" w14:textId="77777777" w:rsidR="008962DF" w:rsidRPr="002D6DC7" w:rsidRDefault="008962DF" w:rsidP="008962DF">
      <w:pPr>
        <w:rPr>
          <w:rFonts w:cstheme="minorHAnsi"/>
          <w:color w:val="000000"/>
        </w:rPr>
      </w:pPr>
    </w:p>
    <w:p w14:paraId="53388392" w14:textId="77777777" w:rsidR="008962DF" w:rsidRPr="002D6DC7" w:rsidRDefault="008962DF" w:rsidP="008962DF">
      <w:pPr>
        <w:rPr>
          <w:rFonts w:cstheme="minorHAnsi"/>
          <w:color w:val="000000"/>
        </w:rPr>
      </w:pPr>
    </w:p>
    <w:p w14:paraId="3A1C4A63" w14:textId="77777777" w:rsidR="008962DF" w:rsidRPr="002D6DC7" w:rsidRDefault="008962DF" w:rsidP="008962DF">
      <w:pPr>
        <w:rPr>
          <w:rFonts w:cstheme="minorHAnsi"/>
          <w:color w:val="000000"/>
        </w:rPr>
      </w:pPr>
      <w:r w:rsidRPr="002D6DC7">
        <w:rPr>
          <w:rFonts w:cstheme="minorHAnsi"/>
          <w:color w:val="000000"/>
        </w:rPr>
        <w:t xml:space="preserve">The most common indicator, as dictated in this study (The University of Edinburgh), comes from young adults who have experienced adverse childhood experiences (ACEs) and </w:t>
      </w:r>
      <w:r w:rsidRPr="002D6DC7">
        <w:rPr>
          <w:rFonts w:cstheme="minorHAnsi"/>
        </w:rPr>
        <w:t>are more likely to engage in criminal activity. According to studies, those who experienced severe childhood traumas, including abuse, poverty, being kicked out of school, or running into the police, are more likely to commit serious crimes and get convicted of them repeatedly as adults.</w:t>
      </w:r>
    </w:p>
    <w:p w14:paraId="6A5E8357" w14:textId="77777777" w:rsidR="008962DF" w:rsidRPr="002D6DC7" w:rsidRDefault="008962DF" w:rsidP="008962DF">
      <w:pPr>
        <w:rPr>
          <w:rFonts w:eastAsia="Times New Roman" w:cstheme="minorHAnsi"/>
          <w:kern w:val="0"/>
          <w:lang w:eastAsia="en-GB"/>
          <w14:ligatures w14:val="none"/>
        </w:rPr>
      </w:pPr>
    </w:p>
    <w:p w14:paraId="46E19678" w14:textId="77777777" w:rsidR="008962DF" w:rsidRPr="002D6DC7" w:rsidRDefault="008962DF" w:rsidP="008962DF">
      <w:pPr>
        <w:rPr>
          <w:rFonts w:cstheme="minorHAnsi"/>
        </w:rPr>
      </w:pPr>
    </w:p>
    <w:p w14:paraId="575648B8" w14:textId="77777777" w:rsidR="008962DF" w:rsidRPr="002D6DC7" w:rsidRDefault="008962DF" w:rsidP="008962DF">
      <w:pPr>
        <w:rPr>
          <w:rFonts w:cstheme="minorHAnsi"/>
        </w:rPr>
      </w:pPr>
      <w:r w:rsidRPr="002D6DC7">
        <w:rPr>
          <w:rFonts w:cstheme="minorHAnsi"/>
        </w:rPr>
        <w:t xml:space="preserve">There are many more indicators of young people, some of which can be briefly exposed as substance/drug misuse and learning difficulties / mental health struggles, which will subdue their likelihood of committing crimes and how vital early intervention is. Some examples of early intervention could be: </w:t>
      </w:r>
    </w:p>
    <w:p w14:paraId="24308D7E" w14:textId="77777777" w:rsidR="008962DF" w:rsidRPr="002D6DC7" w:rsidRDefault="008962DF" w:rsidP="008962DF">
      <w:pPr>
        <w:rPr>
          <w:rFonts w:cstheme="minorHAnsi"/>
        </w:rPr>
      </w:pPr>
    </w:p>
    <w:p w14:paraId="75B0DBA9" w14:textId="77777777" w:rsidR="008962DF" w:rsidRPr="002D6DC7" w:rsidRDefault="008962DF" w:rsidP="008962DF">
      <w:pPr>
        <w:rPr>
          <w:rFonts w:cstheme="minorHAnsi"/>
          <w:kern w:val="0"/>
        </w:rPr>
      </w:pPr>
      <w:r w:rsidRPr="002D6DC7">
        <w:rPr>
          <w:rFonts w:cstheme="minorHAnsi"/>
          <w:kern w:val="0"/>
        </w:rPr>
        <w:t xml:space="preserve">When a variety of local organisations band together to help stop children from offending and from offending again, the effectiveness of early intervention is heightened. These include the police, local government agencies, youth offending teams, health and justice teams, community safety partnerships, and other multi-agency collaborations in the area. </w:t>
      </w:r>
      <w:r w:rsidRPr="002D6DC7">
        <w:rPr>
          <w:rFonts w:cstheme="minorHAnsi"/>
          <w:color w:val="000000"/>
        </w:rPr>
        <w:t>(Youth.Gov)</w:t>
      </w:r>
    </w:p>
    <w:p w14:paraId="1CE7C7C6" w14:textId="77777777" w:rsidR="008962DF" w:rsidRPr="002D6DC7" w:rsidRDefault="008962DF" w:rsidP="008962DF">
      <w:pPr>
        <w:rPr>
          <w:rFonts w:cstheme="minorHAnsi"/>
          <w:kern w:val="0"/>
        </w:rPr>
      </w:pPr>
    </w:p>
    <w:p w14:paraId="02E7C7A2" w14:textId="77777777" w:rsidR="008962DF" w:rsidRPr="002D6DC7" w:rsidRDefault="008962DF" w:rsidP="008962DF">
      <w:pPr>
        <w:rPr>
          <w:rFonts w:cstheme="minorHAnsi"/>
          <w:kern w:val="0"/>
        </w:rPr>
      </w:pPr>
      <w:r w:rsidRPr="002D6DC7">
        <w:rPr>
          <w:rFonts w:cstheme="minorHAnsi"/>
          <w:kern w:val="0"/>
        </w:rPr>
        <w:t xml:space="preserve">Another would be interventions directed explicitly towards young people who exhibit problematic behaviours or many of the risk factors that lead to the development of offending behaviour, which are more effective than programmes that are applied universally. </w:t>
      </w:r>
      <w:r w:rsidRPr="002D6DC7">
        <w:rPr>
          <w:rFonts w:cstheme="minorHAnsi"/>
          <w:color w:val="000000"/>
        </w:rPr>
        <w:t>(Youth.Gov)</w:t>
      </w:r>
      <w:r w:rsidRPr="002D6DC7">
        <w:rPr>
          <w:rFonts w:cstheme="minorHAnsi"/>
          <w:kern w:val="0"/>
        </w:rPr>
        <w:t xml:space="preserve"> This would be a social worker working 1-1 with a young person, offering advice, safeguarding and putting referrals in place when they’re required, such as referrals to mental health services should that be needed or referrals to local social services for the potential of re-location if that young person has passed the threshold of early intervention and needs to be located to a safe area where they are not so quickly taken advantage of. More examples of interventions would be encouraging peer mentoring, fostering family-based interventions, fortifying fundamental life skills, fostering responsive connections, and developing</w:t>
      </w:r>
      <w:r w:rsidRPr="002D6DC7">
        <w:rPr>
          <w:rFonts w:cstheme="minorHAnsi"/>
        </w:rPr>
        <w:t xml:space="preserve"> life skills</w:t>
      </w:r>
      <w:r w:rsidRPr="002D6DC7">
        <w:rPr>
          <w:rFonts w:cstheme="minorHAnsi"/>
          <w:kern w:val="0"/>
        </w:rPr>
        <w:t xml:space="preserve"> </w:t>
      </w:r>
      <w:r w:rsidRPr="002D6DC7">
        <w:rPr>
          <w:rFonts w:cstheme="minorHAnsi"/>
          <w:color w:val="000000"/>
        </w:rPr>
        <w:t>(Public Health England).</w:t>
      </w:r>
    </w:p>
    <w:p w14:paraId="10E23705" w14:textId="77777777" w:rsidR="008962DF" w:rsidRPr="002D6DC7" w:rsidRDefault="008962DF" w:rsidP="008962DF">
      <w:pPr>
        <w:rPr>
          <w:rFonts w:cstheme="minorHAnsi"/>
          <w:color w:val="000000"/>
        </w:rPr>
      </w:pPr>
    </w:p>
    <w:p w14:paraId="516571E4" w14:textId="77777777" w:rsidR="008962DF" w:rsidRPr="002D6DC7" w:rsidRDefault="008962DF" w:rsidP="008962DF">
      <w:pPr>
        <w:rPr>
          <w:rFonts w:cstheme="minorHAnsi"/>
          <w:color w:val="000000"/>
        </w:rPr>
      </w:pPr>
      <w:r w:rsidRPr="002D6DC7">
        <w:rPr>
          <w:rFonts w:cstheme="minorHAnsi"/>
        </w:rPr>
        <w:t xml:space="preserve">Some community-level interventions would be identifying children at risk of reoffending, supporting access to mental health services, collaborating with substance misuse services, preventing violence and exploitation, addressing substance misuse and mental health needs, building communities, giving priority to looked after children, decreasing poverty and deprivation, offering trauma-informed services, encouraging nurturing environments, </w:t>
      </w:r>
      <w:r w:rsidRPr="002D6DC7">
        <w:rPr>
          <w:rFonts w:cstheme="minorHAnsi"/>
        </w:rPr>
        <w:lastRenderedPageBreak/>
        <w:t xml:space="preserve">ensuring that school exclusion is only used as a last resort, and establishing links with housing </w:t>
      </w:r>
      <w:r w:rsidRPr="002D6DC7">
        <w:rPr>
          <w:rFonts w:cstheme="minorHAnsi"/>
          <w:color w:val="000000"/>
        </w:rPr>
        <w:t>(Public Health England).</w:t>
      </w:r>
    </w:p>
    <w:p w14:paraId="3BCF15B7" w14:textId="77777777" w:rsidR="008962DF" w:rsidRPr="002D6DC7" w:rsidRDefault="008962DF" w:rsidP="008962DF">
      <w:pPr>
        <w:rPr>
          <w:rFonts w:cstheme="minorHAnsi"/>
          <w:color w:val="000000"/>
        </w:rPr>
      </w:pPr>
    </w:p>
    <w:p w14:paraId="1280D7D0" w14:textId="77777777" w:rsidR="008962DF" w:rsidRPr="002D6DC7" w:rsidRDefault="008962DF" w:rsidP="008962DF">
      <w:pPr>
        <w:rPr>
          <w:rFonts w:cstheme="minorHAnsi"/>
          <w:color w:val="000000"/>
        </w:rPr>
      </w:pPr>
      <w:r w:rsidRPr="002D6DC7">
        <w:rPr>
          <w:rFonts w:cstheme="minorHAnsi"/>
          <w:color w:val="000000"/>
        </w:rPr>
        <w:t>These are all great examples of early intervention in young people; however, some do not feel encouraged to take this route when seeking help. I will explore how early intervention can have a negative effect on young people.</w:t>
      </w:r>
    </w:p>
    <w:p w14:paraId="73E4013A" w14:textId="77777777" w:rsidR="008962DF" w:rsidRPr="002D6DC7" w:rsidRDefault="008962DF" w:rsidP="008962DF">
      <w:pPr>
        <w:rPr>
          <w:rFonts w:cstheme="minorHAnsi"/>
          <w:color w:val="000000"/>
        </w:rPr>
      </w:pPr>
    </w:p>
    <w:p w14:paraId="0D1016E5" w14:textId="77777777" w:rsidR="008962DF" w:rsidRPr="002D6DC7" w:rsidRDefault="008962DF" w:rsidP="008962DF">
      <w:pPr>
        <w:rPr>
          <w:rFonts w:cstheme="minorHAnsi"/>
          <w:color w:val="000000"/>
        </w:rPr>
      </w:pPr>
      <w:r w:rsidRPr="002D6DC7">
        <w:rPr>
          <w:rFonts w:cstheme="minorHAnsi"/>
          <w:kern w:val="0"/>
        </w:rPr>
        <w:t xml:space="preserve">The efficacy of early intervention may be harmed by a lack of consensus regarding the degree of risk present in a school. This can make a young person unable to reach out due to a lowered level of understanding and inability to process such information. </w:t>
      </w:r>
      <w:r w:rsidRPr="002D6DC7">
        <w:rPr>
          <w:rFonts w:cstheme="minorHAnsi"/>
          <w:color w:val="000000"/>
        </w:rPr>
        <w:t xml:space="preserve">(Intervening early to prevent gang and youth violence: The role of primary schools) </w:t>
      </w:r>
      <w:r w:rsidRPr="002D6DC7">
        <w:rPr>
          <w:rFonts w:cstheme="minorHAnsi"/>
          <w:kern w:val="0"/>
        </w:rPr>
        <w:t>Following this, compared to better-off communities, areas experiencing economic and social disadvantage tend to have fewer chances for pro-social engagement and often have weaker social controls, which contribute to most of the antisocial behaviour and juvenile offending. With this consensus and social deprivation, although it will be easier to identify behavioural factors in areas like this, young people may not be used to reaching out and with early intervention not likely to be a standard scheme in such areas, these people will feel less likely to support and work with the social workers running the intervention schemes. </w:t>
      </w:r>
      <w:r w:rsidRPr="002D6DC7">
        <w:rPr>
          <w:rFonts w:cstheme="minorHAnsi"/>
          <w:color w:val="000000"/>
        </w:rPr>
        <w:t>(Youth.Gov)</w:t>
      </w:r>
    </w:p>
    <w:p w14:paraId="3D4AF63B" w14:textId="77777777" w:rsidR="008962DF" w:rsidRPr="002D6DC7" w:rsidRDefault="008962DF" w:rsidP="008962DF">
      <w:pPr>
        <w:rPr>
          <w:rFonts w:cstheme="minorHAnsi"/>
        </w:rPr>
      </w:pPr>
    </w:p>
    <w:p w14:paraId="7FD50142" w14:textId="77777777" w:rsidR="008962DF" w:rsidRPr="002D6DC7" w:rsidRDefault="008962DF" w:rsidP="008962DF">
      <w:pPr>
        <w:rPr>
          <w:rFonts w:cstheme="minorHAnsi"/>
        </w:rPr>
      </w:pPr>
    </w:p>
    <w:p w14:paraId="299E3A4A" w14:textId="77777777" w:rsidR="008962DF" w:rsidRPr="002D6DC7" w:rsidRDefault="008962DF" w:rsidP="008962DF">
      <w:pPr>
        <w:rPr>
          <w:rFonts w:cstheme="minorHAnsi"/>
        </w:rPr>
      </w:pPr>
      <w:r w:rsidRPr="002D6DC7">
        <w:rPr>
          <w:rFonts w:cstheme="minorHAnsi"/>
        </w:rPr>
        <w:t>Early intervention helps young people build their assets and resilience while also averting the onset of delinquent behaviour. When young people eventually interact with the legal system, their chances of recidivism are also significantly reduced by 16 per cent. Studies have indicated that early detection and prevention work better than correcting apparent or persistently disruptive behaviour. Since young people are exceptionally responsive to supportive and enriching situations, early interventions are thought to be more effective at developing well-being and competence than treatments carried out later in life. Thus, from exploring and researching different factors in this essay, I believe that early intervention is a vital and vivid scheme to help young people get the help they require.</w:t>
      </w:r>
    </w:p>
    <w:p w14:paraId="362EDF5B" w14:textId="77777777" w:rsidR="008962DF" w:rsidRPr="002D6DC7" w:rsidRDefault="008962DF" w:rsidP="008962DF">
      <w:pPr>
        <w:rPr>
          <w:rFonts w:cstheme="minorHAnsi"/>
        </w:rPr>
      </w:pPr>
    </w:p>
    <w:p w14:paraId="3F3B81EC" w14:textId="77777777" w:rsidR="008962DF" w:rsidRPr="002D6DC7" w:rsidRDefault="008962DF" w:rsidP="008962DF">
      <w:pPr>
        <w:rPr>
          <w:rFonts w:cstheme="minorHAnsi"/>
          <w:b/>
          <w:bCs/>
        </w:rPr>
      </w:pPr>
      <w:r w:rsidRPr="002D6DC7">
        <w:rPr>
          <w:rFonts w:cstheme="minorHAnsi"/>
          <w:b/>
          <w:bCs/>
        </w:rPr>
        <w:t>(907 words)</w:t>
      </w:r>
    </w:p>
    <w:p w14:paraId="40BE408F" w14:textId="77777777" w:rsidR="008962DF" w:rsidRPr="002D6DC7" w:rsidRDefault="008962DF">
      <w:pPr>
        <w:rPr>
          <w:rFonts w:cstheme="minorHAnsi"/>
        </w:rPr>
      </w:pPr>
    </w:p>
    <w:p w14:paraId="32B6C6A8" w14:textId="77777777" w:rsidR="008962DF" w:rsidRPr="002D6DC7" w:rsidRDefault="008962DF">
      <w:pPr>
        <w:rPr>
          <w:rFonts w:cstheme="minorHAnsi"/>
        </w:rPr>
      </w:pPr>
    </w:p>
    <w:p w14:paraId="17418FD1" w14:textId="77777777" w:rsidR="008962DF" w:rsidRPr="002D6DC7" w:rsidRDefault="008962DF">
      <w:pPr>
        <w:rPr>
          <w:rFonts w:cstheme="minorHAnsi"/>
        </w:rPr>
      </w:pPr>
    </w:p>
    <w:p w14:paraId="6017943B" w14:textId="77777777" w:rsidR="008962DF" w:rsidRPr="002D6DC7" w:rsidRDefault="008962DF">
      <w:pPr>
        <w:rPr>
          <w:rFonts w:cstheme="minorHAnsi"/>
        </w:rPr>
      </w:pPr>
    </w:p>
    <w:p w14:paraId="146ECC6F" w14:textId="732AD766" w:rsidR="008962DF" w:rsidRPr="002D6DC7" w:rsidRDefault="008962DF" w:rsidP="008962DF">
      <w:pPr>
        <w:pStyle w:val="NormalWeb"/>
        <w:rPr>
          <w:rFonts w:asciiTheme="minorHAnsi" w:hAnsiTheme="minorHAnsi" w:cstheme="minorHAnsi"/>
          <w:u w:val="single"/>
        </w:rPr>
      </w:pPr>
      <w:r w:rsidRPr="002D6DC7">
        <w:rPr>
          <w:rFonts w:asciiTheme="minorHAnsi" w:hAnsiTheme="minorHAnsi" w:cstheme="minorHAnsi"/>
          <w:b/>
          <w:bCs/>
          <w:u w:val="single"/>
        </w:rPr>
        <w:t xml:space="preserve">Essay four – Valuing Difference &amp; Inclusion </w:t>
      </w:r>
    </w:p>
    <w:p w14:paraId="79A582A8" w14:textId="77777777" w:rsidR="008962DF" w:rsidRPr="002D6DC7" w:rsidRDefault="008962DF" w:rsidP="008962DF">
      <w:pPr>
        <w:rPr>
          <w:rFonts w:eastAsia="Times New Roman" w:cstheme="minorHAnsi"/>
          <w:kern w:val="0"/>
          <w:lang w:eastAsia="en-GB"/>
          <w14:ligatures w14:val="none"/>
        </w:rPr>
      </w:pPr>
      <w:r w:rsidRPr="007F014A">
        <w:rPr>
          <w:rFonts w:eastAsia="Times New Roman" w:cstheme="minorHAnsi"/>
          <w:kern w:val="0"/>
          <w:lang w:eastAsia="en-GB"/>
          <w14:ligatures w14:val="none"/>
        </w:rPr>
        <w:t xml:space="preserve">Britain's police force has </w:t>
      </w:r>
      <w:r w:rsidRPr="002D6DC7">
        <w:rPr>
          <w:rFonts w:eastAsia="Times New Roman" w:cstheme="minorHAnsi"/>
          <w:kern w:val="0"/>
          <w:lang w:eastAsia="en-GB"/>
          <w14:ligatures w14:val="none"/>
        </w:rPr>
        <w:t>difficulties</w:t>
      </w:r>
      <w:r w:rsidRPr="007F014A">
        <w:rPr>
          <w:rFonts w:eastAsia="Times New Roman" w:cstheme="minorHAnsi"/>
          <w:kern w:val="0"/>
          <w:lang w:eastAsia="en-GB"/>
          <w14:ligatures w14:val="none"/>
        </w:rPr>
        <w:t xml:space="preserve"> because of its heterogeneous community. Sustaining public confidence and guaranteeing efficient law enforcement depend heavily on how well the police force adjusts to this diversity. This essay looks at the adjustments made by the UK police force to promote diversity inside the force and in its interactions with other populations.</w:t>
      </w:r>
    </w:p>
    <w:p w14:paraId="5D925A0B" w14:textId="77777777" w:rsidR="008962DF" w:rsidRPr="002D6DC7" w:rsidRDefault="008962DF" w:rsidP="008962DF">
      <w:pPr>
        <w:rPr>
          <w:rFonts w:eastAsia="Times New Roman" w:cstheme="minorHAnsi"/>
          <w:kern w:val="0"/>
          <w:lang w:eastAsia="en-GB"/>
          <w14:ligatures w14:val="none"/>
        </w:rPr>
      </w:pPr>
    </w:p>
    <w:p w14:paraId="5295514E" w14:textId="77777777" w:rsidR="008962DF" w:rsidRPr="002D6DC7" w:rsidRDefault="008962DF" w:rsidP="008962DF">
      <w:pPr>
        <w:rPr>
          <w:rFonts w:eastAsia="Times New Roman" w:cstheme="minorHAnsi"/>
          <w:kern w:val="0"/>
          <w:lang w:eastAsia="en-GB"/>
          <w14:ligatures w14:val="none"/>
        </w:rPr>
      </w:pPr>
      <w:r w:rsidRPr="007F014A">
        <w:rPr>
          <w:rFonts w:eastAsia="Times New Roman" w:cstheme="minorHAnsi"/>
          <w:kern w:val="0"/>
          <w:lang w:eastAsia="en-GB"/>
          <w14:ligatures w14:val="none"/>
        </w:rPr>
        <w:t xml:space="preserve">In the past, men and white people made up </w:t>
      </w:r>
      <w:r w:rsidRPr="002D6DC7">
        <w:rPr>
          <w:rFonts w:eastAsia="Times New Roman" w:cstheme="minorHAnsi"/>
          <w:kern w:val="0"/>
          <w:lang w:eastAsia="en-GB"/>
          <w14:ligatures w14:val="none"/>
        </w:rPr>
        <w:t>much of</w:t>
      </w:r>
      <w:r w:rsidRPr="007F014A">
        <w:rPr>
          <w:rFonts w:eastAsia="Times New Roman" w:cstheme="minorHAnsi"/>
          <w:kern w:val="0"/>
          <w:lang w:eastAsia="en-GB"/>
          <w14:ligatures w14:val="none"/>
        </w:rPr>
        <w:t xml:space="preserve"> the UK police force. But the terrain has been shifting. 91.9% of the 140,288 full-time equivalent police officers in England and Wales </w:t>
      </w:r>
      <w:r w:rsidRPr="007F014A">
        <w:rPr>
          <w:rFonts w:eastAsia="Times New Roman" w:cstheme="minorHAnsi"/>
          <w:kern w:val="0"/>
          <w:lang w:eastAsia="en-GB"/>
          <w14:ligatures w14:val="none"/>
        </w:rPr>
        <w:lastRenderedPageBreak/>
        <w:t>as of March 2022 were white, and 8.1% were from backgrounds related to Asian, Black, Mixed, and 'other' ethnic minorities. Comparing this to less than 2% in 1997, there has been a notable increase.</w:t>
      </w:r>
      <w:r w:rsidRPr="002D6DC7">
        <w:rPr>
          <w:rFonts w:eastAsia="Times New Roman" w:cstheme="minorHAnsi"/>
          <w:kern w:val="0"/>
          <w:lang w:eastAsia="en-GB"/>
          <w14:ligatures w14:val="none"/>
        </w:rPr>
        <w:t xml:space="preserve"> </w:t>
      </w:r>
      <w:r w:rsidRPr="002D6DC7">
        <w:rPr>
          <w:rFonts w:cstheme="minorHAnsi"/>
        </w:rPr>
        <w:t>(College of Policing)</w:t>
      </w:r>
    </w:p>
    <w:p w14:paraId="455CFA19" w14:textId="77777777" w:rsidR="008962DF" w:rsidRPr="002D6DC7" w:rsidRDefault="008962DF" w:rsidP="008962DF">
      <w:pPr>
        <w:rPr>
          <w:rFonts w:cstheme="minorHAnsi"/>
        </w:rPr>
      </w:pPr>
    </w:p>
    <w:p w14:paraId="1AF365FA" w14:textId="77777777" w:rsidR="008962DF" w:rsidRPr="002D6DC7" w:rsidRDefault="008962DF" w:rsidP="008962DF">
      <w:pPr>
        <w:rPr>
          <w:rFonts w:cstheme="minorHAnsi"/>
        </w:rPr>
      </w:pPr>
      <w:r w:rsidRPr="002D6DC7">
        <w:rPr>
          <w:rFonts w:cstheme="minorHAnsi"/>
        </w:rPr>
        <w:t>The percentage of ethnic minorities in the police force is still below the 18.3% national average, even with these advancements. In addition, the combined percentage of senior officers (Chief Inspector or higher) who belonged to the Asian, Black, Mixed, and 'other' ethnic groupings was only 5.5%. This suggests that senior-level work must still be done despite progress in broadening diversity at the entry-level. (Bhugowandeen)</w:t>
      </w:r>
    </w:p>
    <w:p w14:paraId="069BF9F2" w14:textId="77777777" w:rsidR="008962DF" w:rsidRPr="002D6DC7" w:rsidRDefault="008962DF" w:rsidP="008962DF">
      <w:pPr>
        <w:pStyle w:val="ParagraphTextStyle"/>
        <w:rPr>
          <w:rFonts w:asciiTheme="minorHAnsi" w:hAnsiTheme="minorHAnsi" w:cstheme="minorHAnsi"/>
          <w:sz w:val="24"/>
          <w:szCs w:val="24"/>
        </w:rPr>
      </w:pPr>
      <w:r w:rsidRPr="002D6DC7">
        <w:rPr>
          <w:rFonts w:asciiTheme="minorHAnsi" w:hAnsiTheme="minorHAnsi" w:cstheme="minorHAnsi"/>
          <w:sz w:val="24"/>
          <w:szCs w:val="24"/>
        </w:rPr>
        <w:t>Known by other names as the Brixton Uprising or the Brixton Riot, it was a sequence of altercations in Brixton, London, between April 10 and 12, 1981, between predominantly African adolescents and the Metropolitan Police. (Lawteacher.net)</w:t>
      </w:r>
    </w:p>
    <w:p w14:paraId="28D06F64" w14:textId="77777777" w:rsidR="008962DF" w:rsidRPr="002D6DC7" w:rsidRDefault="008962DF" w:rsidP="008962DF">
      <w:pPr>
        <w:pStyle w:val="ParagraphTextStyle"/>
        <w:rPr>
          <w:rFonts w:asciiTheme="minorHAnsi" w:hAnsiTheme="minorHAnsi" w:cstheme="minorHAnsi"/>
          <w:sz w:val="24"/>
          <w:szCs w:val="24"/>
        </w:rPr>
      </w:pPr>
      <w:r w:rsidRPr="002D6DC7">
        <w:rPr>
          <w:rFonts w:asciiTheme="minorHAnsi" w:hAnsiTheme="minorHAnsi" w:cstheme="minorHAnsi"/>
          <w:sz w:val="24"/>
          <w:szCs w:val="24"/>
        </w:rPr>
        <w:t xml:space="preserve">Several things led to the riot: </w:t>
      </w:r>
    </w:p>
    <w:p w14:paraId="5F4E04D3" w14:textId="77777777" w:rsidR="008962DF" w:rsidRPr="002D6DC7" w:rsidRDefault="008962DF" w:rsidP="008962DF">
      <w:pPr>
        <w:pStyle w:val="ParagraphTextStyle"/>
        <w:rPr>
          <w:rFonts w:asciiTheme="minorHAnsi" w:hAnsiTheme="minorHAnsi" w:cstheme="minorHAnsi"/>
          <w:sz w:val="24"/>
          <w:szCs w:val="24"/>
        </w:rPr>
      </w:pPr>
      <w:r w:rsidRPr="002D6DC7">
        <w:rPr>
          <w:rFonts w:asciiTheme="minorHAnsi" w:hAnsiTheme="minorHAnsi" w:cstheme="minorHAnsi"/>
          <w:sz w:val="24"/>
          <w:szCs w:val="24"/>
        </w:rPr>
        <w:t>Racist Discrimination: The riot was a reaction to what was thought to be racist discrimination by the predominately white police force against the African population. (Lawteacher.net)</w:t>
      </w:r>
    </w:p>
    <w:p w14:paraId="4F1C0704" w14:textId="77777777" w:rsidR="008962DF" w:rsidRPr="002D6DC7" w:rsidRDefault="008962DF" w:rsidP="008962DF">
      <w:pPr>
        <w:pStyle w:val="ParagraphTextStyle"/>
        <w:rPr>
          <w:rFonts w:asciiTheme="minorHAnsi" w:hAnsiTheme="minorHAnsi" w:cstheme="minorHAnsi"/>
          <w:sz w:val="24"/>
          <w:szCs w:val="24"/>
        </w:rPr>
      </w:pPr>
      <w:r w:rsidRPr="002D6DC7">
        <w:rPr>
          <w:rFonts w:asciiTheme="minorHAnsi" w:hAnsiTheme="minorHAnsi" w:cstheme="minorHAnsi"/>
          <w:sz w:val="24"/>
          <w:szCs w:val="24"/>
        </w:rPr>
        <w:t>Increased Use of Stop-and-Search Techniques: One crucial catalyst was the police department's increased use of stop-and-search techniques in the region. Many young Black people believed that because of the colour of their skin, they were the focus of these searches. (Home Office)</w:t>
      </w:r>
    </w:p>
    <w:p w14:paraId="014601AB" w14:textId="77777777" w:rsidR="008962DF" w:rsidRPr="002D6DC7" w:rsidRDefault="008962DF" w:rsidP="008962DF">
      <w:pPr>
        <w:pStyle w:val="ParagraphTextStyle"/>
        <w:rPr>
          <w:rFonts w:asciiTheme="minorHAnsi" w:hAnsiTheme="minorHAnsi" w:cstheme="minorHAnsi"/>
          <w:sz w:val="24"/>
          <w:szCs w:val="24"/>
        </w:rPr>
      </w:pPr>
      <w:r w:rsidRPr="002D6DC7">
        <w:rPr>
          <w:rFonts w:asciiTheme="minorHAnsi" w:hAnsiTheme="minorHAnsi" w:cstheme="minorHAnsi"/>
          <w:sz w:val="24"/>
          <w:szCs w:val="24"/>
        </w:rPr>
        <w:t>New Cross House Fire: The rioting was also influenced by ongoing tensions stemming from the deaths of thirteen black teenagers and young adults in the suspected New Cross house fire that occurred in January 1981. (Home Office)</w:t>
      </w:r>
      <w:r w:rsidRPr="002D6DC7">
        <w:rPr>
          <w:rFonts w:asciiTheme="minorHAnsi" w:hAnsiTheme="minorHAnsi" w:cstheme="minorHAnsi"/>
          <w:sz w:val="24"/>
          <w:szCs w:val="24"/>
        </w:rPr>
        <w:br/>
      </w:r>
      <w:r w:rsidRPr="002D6DC7">
        <w:rPr>
          <w:rFonts w:asciiTheme="minorHAnsi" w:hAnsiTheme="minorHAnsi" w:cstheme="minorHAnsi"/>
          <w:sz w:val="24"/>
          <w:szCs w:val="24"/>
        </w:rPr>
        <w:br/>
        <w:t>Social and Economic Issues: Brixton, a South London neighbourhood, was experiencing significant social and economic issues. Elevated rates of violence, substandard housing, and high unemployment disproportionately impacted the local African Caribbean community. (Home Office)</w:t>
      </w:r>
    </w:p>
    <w:p w14:paraId="75BAAF18" w14:textId="77777777" w:rsidR="008962DF" w:rsidRPr="002D6DC7" w:rsidRDefault="008962DF" w:rsidP="008962DF">
      <w:pPr>
        <w:pStyle w:val="ParagraphTextStyle"/>
        <w:rPr>
          <w:rFonts w:asciiTheme="minorHAnsi" w:hAnsiTheme="minorHAnsi" w:cstheme="minorHAnsi"/>
          <w:sz w:val="24"/>
          <w:szCs w:val="24"/>
        </w:rPr>
      </w:pPr>
      <w:r w:rsidRPr="002D6DC7">
        <w:rPr>
          <w:rFonts w:asciiTheme="minorHAnsi" w:hAnsiTheme="minorHAnsi" w:cstheme="minorHAnsi"/>
          <w:sz w:val="24"/>
          <w:szCs w:val="24"/>
        </w:rPr>
        <w:t>The public's increasing belief that the English criminal justice system was untrustworthy led to introducing the Police and Criminal Evidence Act 1984 (PACE). The Act's passing was primarily influenced by the Scarman report following the Brixton riots in 1981. (Wikipedia Contributors)</w:t>
      </w:r>
    </w:p>
    <w:p w14:paraId="15DC31D8" w14:textId="77777777" w:rsidR="008962DF" w:rsidRPr="002D6DC7" w:rsidRDefault="008962DF" w:rsidP="008962DF">
      <w:pPr>
        <w:pStyle w:val="ParagraphTextStyle"/>
        <w:rPr>
          <w:rFonts w:asciiTheme="minorHAnsi" w:hAnsiTheme="minorHAnsi" w:cstheme="minorHAnsi"/>
          <w:sz w:val="24"/>
          <w:szCs w:val="24"/>
        </w:rPr>
      </w:pPr>
      <w:r w:rsidRPr="002D6DC7">
        <w:rPr>
          <w:rFonts w:asciiTheme="minorHAnsi" w:hAnsiTheme="minorHAnsi" w:cstheme="minorHAnsi"/>
          <w:sz w:val="24"/>
          <w:szCs w:val="24"/>
        </w:rPr>
        <w:t>The primary objective of the Act was to rectify the public's view of an inept and corrupt police force by standardising and professionalising police work. PACE has had a mixed effect on ethnic faith in law enforcement, nevertheless. (CPS)</w:t>
      </w:r>
      <w:r w:rsidRPr="002D6DC7">
        <w:rPr>
          <w:rFonts w:asciiTheme="minorHAnsi" w:hAnsiTheme="minorHAnsi" w:cstheme="minorHAnsi"/>
          <w:b/>
          <w:bCs/>
          <w:sz w:val="24"/>
          <w:szCs w:val="24"/>
        </w:rPr>
        <w:t xml:space="preserve">. </w:t>
      </w:r>
      <w:r w:rsidRPr="002D6DC7">
        <w:rPr>
          <w:rFonts w:asciiTheme="minorHAnsi" w:hAnsiTheme="minorHAnsi" w:cstheme="minorHAnsi"/>
          <w:sz w:val="24"/>
          <w:szCs w:val="24"/>
        </w:rPr>
        <w:t>Although the goal of PACE was to rebuild public trust, evidence points to the police's expanded stop and search powers as a contributing factor to the decline in public confidence, especially among racial and ethnic minorities. (Lawteacher.net)</w:t>
      </w:r>
    </w:p>
    <w:p w14:paraId="3B70EFBB" w14:textId="77777777" w:rsidR="008962DF" w:rsidRPr="002D6DC7" w:rsidRDefault="008962DF" w:rsidP="008962DF">
      <w:pPr>
        <w:pStyle w:val="ParagraphTextStyle"/>
        <w:rPr>
          <w:rFonts w:asciiTheme="minorHAnsi" w:hAnsiTheme="minorHAnsi" w:cstheme="minorHAnsi"/>
          <w:sz w:val="24"/>
          <w:szCs w:val="24"/>
        </w:rPr>
      </w:pPr>
      <w:r w:rsidRPr="002D6DC7">
        <w:rPr>
          <w:rFonts w:asciiTheme="minorHAnsi" w:hAnsiTheme="minorHAnsi" w:cstheme="minorHAnsi"/>
          <w:sz w:val="24"/>
          <w:szCs w:val="24"/>
        </w:rPr>
        <w:lastRenderedPageBreak/>
        <w:t>The police force in the United Kingdom has also endeavoured to enhance its interaction with various populations. A vital component of the College of Policing's 2021–2024 plan is its dedication to comprehending the multiple communities that make up England and Wales' working populations. Targeting underrepresentation in all roles and levels of the workforce is another goal of the approach. (GOV.UK)</w:t>
      </w:r>
    </w:p>
    <w:p w14:paraId="76A99E9D" w14:textId="77777777" w:rsidR="008962DF" w:rsidRPr="002D6DC7" w:rsidRDefault="008962DF" w:rsidP="008962DF">
      <w:pPr>
        <w:pStyle w:val="ParagraphTextStyle"/>
        <w:rPr>
          <w:rFonts w:asciiTheme="minorHAnsi" w:hAnsiTheme="minorHAnsi" w:cstheme="minorHAnsi"/>
          <w:sz w:val="24"/>
          <w:szCs w:val="24"/>
        </w:rPr>
      </w:pPr>
      <w:r w:rsidRPr="001E7F1B">
        <w:rPr>
          <w:rFonts w:asciiTheme="minorHAnsi" w:eastAsia="Times New Roman" w:hAnsiTheme="minorHAnsi" w:cstheme="minorHAnsi"/>
          <w:sz w:val="24"/>
          <w:szCs w:val="24"/>
        </w:rPr>
        <w:t xml:space="preserve">The Police Race Action Plan was also published in 2022 by the College of Policing and the National Police Chiefs' Council (NPCC). This proposal attempts to address the racial inequities that Black people experience and the far lower levels of trust and confidence among some Black people in the public that policing is now unable </w:t>
      </w:r>
      <w:r w:rsidRPr="002D6DC7">
        <w:rPr>
          <w:rFonts w:asciiTheme="minorHAnsi" w:eastAsia="Times New Roman" w:hAnsiTheme="minorHAnsi" w:cstheme="minorHAnsi"/>
          <w:sz w:val="24"/>
          <w:szCs w:val="24"/>
        </w:rPr>
        <w:t>to explain adequately</w:t>
      </w:r>
      <w:r w:rsidRPr="001E7F1B">
        <w:rPr>
          <w:rFonts w:asciiTheme="minorHAnsi" w:eastAsia="Times New Roman" w:hAnsiTheme="minorHAnsi" w:cstheme="minorHAnsi"/>
          <w:sz w:val="24"/>
          <w:szCs w:val="24"/>
        </w:rPr>
        <w:t>.</w:t>
      </w:r>
      <w:r w:rsidRPr="002D6DC7">
        <w:rPr>
          <w:rFonts w:asciiTheme="minorHAnsi" w:eastAsia="Times New Roman" w:hAnsiTheme="minorHAnsi" w:cstheme="minorHAnsi"/>
          <w:sz w:val="24"/>
          <w:szCs w:val="24"/>
        </w:rPr>
        <w:t xml:space="preserve"> </w:t>
      </w:r>
      <w:r w:rsidRPr="002D6DC7">
        <w:rPr>
          <w:rFonts w:asciiTheme="minorHAnsi" w:hAnsiTheme="minorHAnsi" w:cstheme="minorHAnsi"/>
          <w:sz w:val="24"/>
          <w:szCs w:val="24"/>
        </w:rPr>
        <w:t>(Police UK)</w:t>
      </w:r>
    </w:p>
    <w:p w14:paraId="6436EA63" w14:textId="77777777" w:rsidR="008962DF" w:rsidRPr="002D6DC7" w:rsidRDefault="008962DF" w:rsidP="008962DF">
      <w:pPr>
        <w:pStyle w:val="ParagraphTextStyle"/>
        <w:rPr>
          <w:rFonts w:asciiTheme="minorHAnsi" w:hAnsiTheme="minorHAnsi" w:cstheme="minorHAnsi"/>
          <w:sz w:val="24"/>
          <w:szCs w:val="24"/>
        </w:rPr>
      </w:pPr>
      <w:r w:rsidRPr="002D6DC7">
        <w:rPr>
          <w:rFonts w:asciiTheme="minorHAnsi" w:hAnsiTheme="minorHAnsi" w:cstheme="minorHAnsi"/>
          <w:sz w:val="24"/>
          <w:szCs w:val="24"/>
        </w:rPr>
        <w:t xml:space="preserve">The Police force has accommodated and adapted to diversity, which has been ongoing for years. Different minorities challenge the integrity of the Police force in the UK every day as they bring experiences and traditions from their cultures to ours, and we are trying to accommodate and amalgamate to ensure public trust. It is an ongoing challenge that the Home Office tackles and deals with promptly and affordably. An example would be introducing the Police and Criminal Evidence Act in 1984 because of the Brixton riots, which were initiated by black people as they were targeted by British officers as there were increased stop-searchers towards them. This was acted upon swiftly, and new laws were put in place. </w:t>
      </w:r>
    </w:p>
    <w:p w14:paraId="29CAD3D3" w14:textId="77777777" w:rsidR="008962DF" w:rsidRPr="002D6DC7" w:rsidRDefault="008962DF" w:rsidP="008962DF">
      <w:pPr>
        <w:pStyle w:val="ParagraphTextStyle"/>
        <w:rPr>
          <w:rFonts w:asciiTheme="minorHAnsi" w:hAnsiTheme="minorHAnsi" w:cstheme="minorHAnsi"/>
          <w:sz w:val="24"/>
          <w:szCs w:val="24"/>
        </w:rPr>
      </w:pPr>
      <w:r w:rsidRPr="002D6DC7">
        <w:rPr>
          <w:rFonts w:asciiTheme="minorHAnsi" w:hAnsiTheme="minorHAnsi" w:cstheme="minorHAnsi"/>
          <w:sz w:val="24"/>
          <w:szCs w:val="24"/>
        </w:rPr>
        <w:t xml:space="preserve">As part of a significant race action plan, the London Metropolitan Police have established a target to hire 40% of new recruits from BAME backgrounds better to reflect the racial mix of London's Police community. This has nothing to do with decreasing standards; instead, it's about helping and ensuring that the hiring procedure is impartial and provides every applicant with an equal opportunity to succeed (Dodd). </w:t>
      </w:r>
    </w:p>
    <w:p w14:paraId="652D02CB" w14:textId="77777777" w:rsidR="008962DF" w:rsidRPr="002D6DC7" w:rsidRDefault="008962DF" w:rsidP="008962DF">
      <w:pPr>
        <w:pStyle w:val="ParagraphTextStyle"/>
        <w:rPr>
          <w:rFonts w:asciiTheme="minorHAnsi" w:hAnsiTheme="minorHAnsi" w:cstheme="minorHAnsi"/>
          <w:sz w:val="24"/>
          <w:szCs w:val="24"/>
        </w:rPr>
      </w:pPr>
      <w:r w:rsidRPr="002D6DC7">
        <w:rPr>
          <w:rFonts w:asciiTheme="minorHAnsi" w:hAnsiTheme="minorHAnsi" w:cstheme="minorHAnsi"/>
          <w:sz w:val="24"/>
          <w:szCs w:val="24"/>
        </w:rPr>
        <w:t>There is still more work to be done, even though the UK police force has dramatically progressed in diversifying its ranks and enhancing its interactions with various communities. There are differences in how police powers are used for multiple ethnic groups, and the representation of ethnic minorities in the police force is still below the national average. On the other hand, the UK police force's policies and action plans, which show a commitment to diversity and inclusion, are a step in the right direction towards creating a more inclusive and varied police force. Sustaining these endeavours will not only augment the inclusion of heterogeneous communities in the police force but also elevate the force's interaction with these communities, consequently cultivating increased confidence and collaboration. (Police UK)</w:t>
      </w:r>
    </w:p>
    <w:p w14:paraId="0AD107FB" w14:textId="77777777" w:rsidR="008962DF" w:rsidRPr="002D6DC7" w:rsidRDefault="008962DF" w:rsidP="008962DF">
      <w:pPr>
        <w:pStyle w:val="ParagraphTextStyle"/>
        <w:rPr>
          <w:rFonts w:asciiTheme="minorHAnsi" w:hAnsiTheme="minorHAnsi" w:cstheme="minorHAnsi"/>
          <w:sz w:val="24"/>
          <w:szCs w:val="24"/>
        </w:rPr>
      </w:pPr>
    </w:p>
    <w:p w14:paraId="102BE0AF" w14:textId="77777777" w:rsidR="008962DF" w:rsidRPr="002D6DC7" w:rsidRDefault="008962DF" w:rsidP="008962DF">
      <w:pPr>
        <w:pStyle w:val="ParagraphTextStyle"/>
        <w:rPr>
          <w:rFonts w:asciiTheme="minorHAnsi" w:hAnsiTheme="minorHAnsi" w:cstheme="minorHAnsi"/>
          <w:b/>
          <w:bCs/>
          <w:sz w:val="24"/>
          <w:szCs w:val="24"/>
        </w:rPr>
      </w:pPr>
      <w:r w:rsidRPr="002D6DC7">
        <w:rPr>
          <w:rFonts w:asciiTheme="minorHAnsi" w:hAnsiTheme="minorHAnsi" w:cstheme="minorHAnsi"/>
          <w:b/>
          <w:bCs/>
          <w:sz w:val="24"/>
          <w:szCs w:val="24"/>
        </w:rPr>
        <w:t>(918 Words)</w:t>
      </w:r>
    </w:p>
    <w:p w14:paraId="79089CC0" w14:textId="730ED4DF" w:rsidR="002D6DC7" w:rsidRPr="002D6DC7" w:rsidRDefault="002D6DC7">
      <w:pPr>
        <w:rPr>
          <w:rFonts w:cstheme="minorHAnsi"/>
        </w:rPr>
      </w:pPr>
    </w:p>
    <w:p w14:paraId="0C3201F5" w14:textId="77777777" w:rsidR="002D6DC7" w:rsidRPr="002D6DC7" w:rsidRDefault="002D6DC7">
      <w:pPr>
        <w:rPr>
          <w:rFonts w:cstheme="minorHAnsi"/>
        </w:rPr>
      </w:pPr>
    </w:p>
    <w:p w14:paraId="6F1BC4C4" w14:textId="38577665" w:rsidR="002D6DC7" w:rsidRPr="002D6DC7" w:rsidRDefault="002D6DC7" w:rsidP="002D6DC7">
      <w:pPr>
        <w:pStyle w:val="NormalWeb"/>
        <w:rPr>
          <w:rFonts w:asciiTheme="minorHAnsi" w:hAnsiTheme="minorHAnsi" w:cstheme="minorHAnsi"/>
          <w:b/>
          <w:bCs/>
          <w:i/>
          <w:iCs/>
          <w:color w:val="000000"/>
          <w:u w:val="single"/>
          <w:shd w:val="clear" w:color="auto" w:fill="FFFFFF"/>
        </w:rPr>
      </w:pPr>
      <w:r w:rsidRPr="002D6DC7">
        <w:rPr>
          <w:rFonts w:asciiTheme="minorHAnsi" w:hAnsiTheme="minorHAnsi" w:cstheme="minorHAnsi"/>
          <w:b/>
          <w:bCs/>
          <w:i/>
          <w:iCs/>
          <w:color w:val="000000"/>
          <w:u w:val="single"/>
          <w:shd w:val="clear" w:color="auto" w:fill="FFFFFF"/>
        </w:rPr>
        <w:lastRenderedPageBreak/>
        <w:t>Reference List:</w:t>
      </w:r>
    </w:p>
    <w:p w14:paraId="17587E34" w14:textId="77777777" w:rsidR="002D6DC7" w:rsidRPr="002D6DC7" w:rsidRDefault="002D6DC7" w:rsidP="002D6DC7">
      <w:pPr>
        <w:pStyle w:val="NormalWeb"/>
        <w:rPr>
          <w:rFonts w:asciiTheme="minorHAnsi" w:hAnsiTheme="minorHAnsi" w:cstheme="minorHAnsi"/>
          <w:color w:val="000000"/>
          <w:shd w:val="clear" w:color="auto" w:fill="FFFFFF"/>
        </w:rPr>
      </w:pPr>
      <w:r w:rsidRPr="002D6DC7">
        <w:rPr>
          <w:rFonts w:asciiTheme="minorHAnsi" w:hAnsiTheme="minorHAnsi" w:cstheme="minorHAnsi"/>
          <w:color w:val="000000"/>
          <w:shd w:val="clear" w:color="auto" w:fill="FFFFFF"/>
        </w:rPr>
        <w:t>Harrison, K., L’Hoiry, X. and Santorso, S. (2021). Exploring the impact of body-worn video on the everyday behaviours of police officers.</w:t>
      </w:r>
      <w:r w:rsidRPr="002D6DC7">
        <w:rPr>
          <w:rStyle w:val="apple-converted-space"/>
          <w:rFonts w:asciiTheme="minorHAnsi" w:hAnsiTheme="minorHAnsi" w:cstheme="minorHAnsi"/>
          <w:color w:val="000000"/>
          <w:shd w:val="clear" w:color="auto" w:fill="FFFFFF"/>
        </w:rPr>
        <w:t> </w:t>
      </w:r>
      <w:r w:rsidRPr="002D6DC7">
        <w:rPr>
          <w:rFonts w:asciiTheme="minorHAnsi" w:hAnsiTheme="minorHAnsi" w:cstheme="minorHAnsi"/>
          <w:color w:val="000000"/>
          <w:bdr w:val="single" w:sz="2" w:space="0" w:color="E5E7EB" w:frame="1"/>
        </w:rPr>
        <w:t>The Police Journal: Theory, Practice and Principles</w:t>
      </w:r>
      <w:r w:rsidRPr="002D6DC7">
        <w:rPr>
          <w:rFonts w:asciiTheme="minorHAnsi" w:hAnsiTheme="minorHAnsi" w:cstheme="minorHAnsi"/>
          <w:color w:val="000000"/>
          <w:shd w:val="clear" w:color="auto" w:fill="FFFFFF"/>
        </w:rPr>
        <w:t>, [online] 95(2), p.0032258X2110008. Doi:https://doi.org/10.1177/0032258x211000834.</w:t>
      </w:r>
    </w:p>
    <w:p w14:paraId="38EE530E"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r w:rsidRPr="002D6DC7">
        <w:rPr>
          <w:rFonts w:asciiTheme="minorHAnsi" w:hAnsiTheme="minorHAnsi" w:cstheme="minorHAnsi"/>
          <w:color w:val="000000"/>
        </w:rPr>
        <w:t>College of Policing. “Code of Ethics Launched | College of Policing.”</w:t>
      </w:r>
      <w:r w:rsidRPr="002D6DC7">
        <w:rPr>
          <w:rStyle w:val="apple-converted-space"/>
          <w:rFonts w:asciiTheme="minorHAnsi" w:hAnsiTheme="minorHAnsi" w:cstheme="minorHAnsi"/>
          <w:color w:val="000000"/>
        </w:rPr>
        <w:t> </w:t>
      </w:r>
      <w:r w:rsidRPr="002D6DC7">
        <w:rPr>
          <w:rFonts w:asciiTheme="minorHAnsi" w:hAnsiTheme="minorHAnsi" w:cstheme="minorHAnsi"/>
          <w:color w:val="000000"/>
        </w:rPr>
        <w:t>Www.college.police.uk, 24 Jan. 2024, www.college.police.uk/article/code-of-ethics.</w:t>
      </w:r>
    </w:p>
    <w:p w14:paraId="29F50279"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p>
    <w:p w14:paraId="376CB340"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r w:rsidRPr="002D6DC7">
        <w:rPr>
          <w:rFonts w:asciiTheme="minorHAnsi" w:hAnsiTheme="minorHAnsi" w:cstheme="minorHAnsi"/>
          <w:color w:val="000000"/>
        </w:rPr>
        <w:t>---.</w:t>
      </w:r>
      <w:r w:rsidRPr="002D6DC7">
        <w:rPr>
          <w:rStyle w:val="apple-converted-space"/>
          <w:rFonts w:asciiTheme="minorHAnsi" w:hAnsiTheme="minorHAnsi" w:cstheme="minorHAnsi"/>
          <w:color w:val="000000"/>
        </w:rPr>
        <w:t> </w:t>
      </w:r>
      <w:r w:rsidRPr="002D6DC7">
        <w:rPr>
          <w:rFonts w:asciiTheme="minorHAnsi" w:hAnsiTheme="minorHAnsi" w:cstheme="minorHAnsi"/>
          <w:i/>
          <w:iCs/>
          <w:color w:val="000000"/>
        </w:rPr>
        <w:t>Code of Ethics: Supporting Documents: The Code of Ethics -Assessment Guide is the PROFESSIONAL BODY for POLICING</w:t>
      </w:r>
      <w:r w:rsidRPr="002D6DC7">
        <w:rPr>
          <w:rFonts w:asciiTheme="minorHAnsi" w:hAnsiTheme="minorHAnsi" w:cstheme="minorHAnsi"/>
          <w:color w:val="000000"/>
        </w:rPr>
        <w:t>. Home Office, July 2014.</w:t>
      </w:r>
    </w:p>
    <w:p w14:paraId="6025692D"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p>
    <w:p w14:paraId="1640D5C4"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r w:rsidRPr="002D6DC7">
        <w:rPr>
          <w:rFonts w:asciiTheme="minorHAnsi" w:hAnsiTheme="minorHAnsi" w:cstheme="minorHAnsi"/>
          <w:color w:val="000000"/>
        </w:rPr>
        <w:t>---. “Competency and Values - College of Policing.”</w:t>
      </w:r>
      <w:r w:rsidRPr="002D6DC7">
        <w:rPr>
          <w:rStyle w:val="apple-converted-space"/>
          <w:rFonts w:asciiTheme="minorHAnsi" w:hAnsiTheme="minorHAnsi" w:cstheme="minorHAnsi"/>
          <w:color w:val="000000"/>
        </w:rPr>
        <w:t> </w:t>
      </w:r>
      <w:r w:rsidRPr="002D6DC7">
        <w:rPr>
          <w:rFonts w:asciiTheme="minorHAnsi" w:hAnsiTheme="minorHAnsi" w:cstheme="minorHAnsi"/>
          <w:color w:val="000000"/>
        </w:rPr>
        <w:t>College of Policing, College of Policing, 2017, profdev.college.police.uk/competency-values/.</w:t>
      </w:r>
    </w:p>
    <w:p w14:paraId="505581B1" w14:textId="77777777" w:rsidR="002D6DC7" w:rsidRPr="002D6DC7" w:rsidRDefault="002D6DC7" w:rsidP="002D6DC7">
      <w:pPr>
        <w:pStyle w:val="NormalWeb"/>
        <w:rPr>
          <w:rFonts w:asciiTheme="minorHAnsi" w:hAnsiTheme="minorHAnsi" w:cstheme="minorHAnsi"/>
        </w:rPr>
      </w:pPr>
    </w:p>
    <w:p w14:paraId="7B5D33B2"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r w:rsidRPr="002D6DC7">
        <w:rPr>
          <w:rFonts w:asciiTheme="minorHAnsi" w:hAnsiTheme="minorHAnsi" w:cstheme="minorHAnsi"/>
          <w:color w:val="000000"/>
        </w:rPr>
        <w:t>GOV.UK. “Police Reform Act 2002 - Explanatory Notes.”</w:t>
      </w:r>
      <w:r w:rsidRPr="002D6DC7">
        <w:rPr>
          <w:rStyle w:val="apple-converted-space"/>
          <w:rFonts w:asciiTheme="minorHAnsi" w:hAnsiTheme="minorHAnsi" w:cstheme="minorHAnsi"/>
          <w:color w:val="000000"/>
        </w:rPr>
        <w:t> </w:t>
      </w:r>
      <w:r w:rsidRPr="002D6DC7">
        <w:rPr>
          <w:rFonts w:asciiTheme="minorHAnsi" w:hAnsiTheme="minorHAnsi" w:cstheme="minorHAnsi"/>
          <w:color w:val="000000"/>
        </w:rPr>
        <w:t>Legislation.gov.uk, 2021, www.legislation.gov.uk/ukpga/2002/30/notes/division/4/1/18/2?view=plain.</w:t>
      </w:r>
    </w:p>
    <w:p w14:paraId="4195300C" w14:textId="77777777" w:rsidR="002D6DC7" w:rsidRPr="002D6DC7" w:rsidRDefault="002D6DC7" w:rsidP="002D6DC7">
      <w:pPr>
        <w:pStyle w:val="NormalWeb"/>
        <w:rPr>
          <w:rFonts w:asciiTheme="minorHAnsi" w:hAnsiTheme="minorHAnsi" w:cstheme="minorHAnsi"/>
        </w:rPr>
      </w:pPr>
    </w:p>
    <w:p w14:paraId="136103EB"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r w:rsidRPr="002D6DC7">
        <w:rPr>
          <w:rFonts w:asciiTheme="minorHAnsi" w:hAnsiTheme="minorHAnsi" w:cstheme="minorHAnsi"/>
          <w:color w:val="000000"/>
        </w:rPr>
        <w:t>The Office of Constable. www.polfed.org/wilts/about-us/the-office-of-constable/.</w:t>
      </w:r>
    </w:p>
    <w:p w14:paraId="0BE013C2" w14:textId="77777777" w:rsidR="002D6DC7" w:rsidRPr="002D6DC7" w:rsidRDefault="002D6DC7" w:rsidP="002D6DC7">
      <w:pPr>
        <w:pStyle w:val="NormalWeb"/>
        <w:rPr>
          <w:rFonts w:asciiTheme="minorHAnsi" w:hAnsiTheme="minorHAnsi" w:cstheme="minorHAnsi"/>
        </w:rPr>
      </w:pPr>
    </w:p>
    <w:p w14:paraId="2E62B499"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r w:rsidRPr="002D6DC7">
        <w:rPr>
          <w:rFonts w:asciiTheme="minorHAnsi" w:hAnsiTheme="minorHAnsi" w:cstheme="minorHAnsi"/>
          <w:color w:val="000000"/>
        </w:rPr>
        <w:t>Maile, Andrew, et al. “Professional Policing and the Role of Autonomy and Discretion in Decision-Making: A Qualitative Study from a Virtue Ethical Perspective.”</w:t>
      </w:r>
      <w:r w:rsidRPr="002D6DC7">
        <w:rPr>
          <w:rStyle w:val="apple-converted-space"/>
          <w:rFonts w:asciiTheme="minorHAnsi" w:hAnsiTheme="minorHAnsi" w:cstheme="minorHAnsi"/>
          <w:color w:val="000000"/>
        </w:rPr>
        <w:t> </w:t>
      </w:r>
      <w:r w:rsidRPr="002D6DC7">
        <w:rPr>
          <w:rFonts w:asciiTheme="minorHAnsi" w:hAnsiTheme="minorHAnsi" w:cstheme="minorHAnsi"/>
          <w:i/>
          <w:iCs/>
          <w:color w:val="000000"/>
        </w:rPr>
        <w:t>Policing: A Journal of Policy and Practice</w:t>
      </w:r>
      <w:r w:rsidRPr="002D6DC7">
        <w:rPr>
          <w:rFonts w:asciiTheme="minorHAnsi" w:hAnsiTheme="minorHAnsi" w:cstheme="minorHAnsi"/>
          <w:color w:val="000000"/>
        </w:rPr>
        <w:t>, vol. 17, no. 1, 26 Oct. 2022, https://doi.org/10.1093/police/paac086.</w:t>
      </w:r>
    </w:p>
    <w:p w14:paraId="11C28959" w14:textId="77777777" w:rsidR="002D6DC7" w:rsidRPr="002D6DC7" w:rsidRDefault="002D6DC7">
      <w:pPr>
        <w:rPr>
          <w:rFonts w:cstheme="minorHAnsi"/>
        </w:rPr>
      </w:pPr>
    </w:p>
    <w:p w14:paraId="0DD8E211"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r w:rsidRPr="002D6DC7">
        <w:rPr>
          <w:rFonts w:asciiTheme="minorHAnsi" w:hAnsiTheme="minorHAnsi" w:cstheme="minorHAnsi"/>
          <w:color w:val="000000"/>
        </w:rPr>
        <w:t>---. “The Variable and Evolving Nature of “Cuckooing” as a Form of Criminal Exploitation in Street Level Drug Markets.”</w:t>
      </w:r>
      <w:r w:rsidRPr="002D6DC7">
        <w:rPr>
          <w:rStyle w:val="apple-converted-space"/>
          <w:rFonts w:asciiTheme="minorHAnsi" w:hAnsiTheme="minorHAnsi" w:cstheme="minorHAnsi"/>
          <w:color w:val="000000"/>
        </w:rPr>
        <w:t> </w:t>
      </w:r>
      <w:r w:rsidRPr="002D6DC7">
        <w:rPr>
          <w:rFonts w:asciiTheme="minorHAnsi" w:hAnsiTheme="minorHAnsi" w:cstheme="minorHAnsi"/>
          <w:i/>
          <w:iCs/>
          <w:color w:val="000000"/>
        </w:rPr>
        <w:t>Trends in Organized Crime</w:t>
      </w:r>
      <w:r w:rsidRPr="002D6DC7">
        <w:rPr>
          <w:rFonts w:asciiTheme="minorHAnsi" w:hAnsiTheme="minorHAnsi" w:cstheme="minorHAnsi"/>
          <w:color w:val="000000"/>
        </w:rPr>
        <w:t>, vol. 23, 21 June 2019, https://doi.org/10.1007/s12117-019-09368-5.</w:t>
      </w:r>
    </w:p>
    <w:p w14:paraId="54654CC3" w14:textId="77777777" w:rsidR="002D6DC7" w:rsidRPr="002D6DC7" w:rsidRDefault="002D6DC7" w:rsidP="002D6DC7">
      <w:pPr>
        <w:rPr>
          <w:rFonts w:cstheme="minorHAnsi"/>
          <w:b/>
          <w:bCs/>
          <w:u w:val="single"/>
        </w:rPr>
      </w:pPr>
    </w:p>
    <w:p w14:paraId="4D3EC395" w14:textId="77777777" w:rsidR="002D6DC7" w:rsidRPr="002D6DC7" w:rsidRDefault="002D6DC7" w:rsidP="002D6DC7">
      <w:pPr>
        <w:rPr>
          <w:rFonts w:cstheme="minorHAnsi"/>
          <w:b/>
          <w:bCs/>
          <w:u w:val="single"/>
        </w:rPr>
      </w:pPr>
    </w:p>
    <w:p w14:paraId="7BE216CC"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r w:rsidRPr="002D6DC7">
        <w:rPr>
          <w:rFonts w:asciiTheme="minorHAnsi" w:hAnsiTheme="minorHAnsi" w:cstheme="minorHAnsi"/>
          <w:color w:val="000000"/>
        </w:rPr>
        <w:t>Spicer, Jack. “The Policing of Cuckooing in “County Lines” Drug Dealing: An Ethnographic Study of an Amplification Spiral.”</w:t>
      </w:r>
      <w:r w:rsidRPr="002D6DC7">
        <w:rPr>
          <w:rStyle w:val="apple-converted-space"/>
          <w:rFonts w:asciiTheme="minorHAnsi" w:hAnsiTheme="minorHAnsi" w:cstheme="minorHAnsi"/>
          <w:color w:val="000000"/>
        </w:rPr>
        <w:t> </w:t>
      </w:r>
      <w:r w:rsidRPr="002D6DC7">
        <w:rPr>
          <w:rFonts w:asciiTheme="minorHAnsi" w:hAnsiTheme="minorHAnsi" w:cstheme="minorHAnsi"/>
          <w:i/>
          <w:iCs/>
          <w:color w:val="000000"/>
        </w:rPr>
        <w:t>British Journal of Criminology</w:t>
      </w:r>
      <w:r w:rsidRPr="002D6DC7">
        <w:rPr>
          <w:rFonts w:asciiTheme="minorHAnsi" w:hAnsiTheme="minorHAnsi" w:cstheme="minorHAnsi"/>
          <w:color w:val="000000"/>
        </w:rPr>
        <w:t>, vol. 61, no. 5, 2021, https://doi.org/10.1093/bjc/azab027.</w:t>
      </w:r>
    </w:p>
    <w:p w14:paraId="2B9190FD" w14:textId="77777777" w:rsidR="002D6DC7" w:rsidRPr="002D6DC7" w:rsidRDefault="002D6DC7" w:rsidP="002D6DC7">
      <w:pPr>
        <w:rPr>
          <w:rFonts w:cstheme="minorHAnsi"/>
          <w:b/>
          <w:bCs/>
          <w:u w:val="single"/>
        </w:rPr>
      </w:pPr>
    </w:p>
    <w:p w14:paraId="0A73FD93" w14:textId="77777777" w:rsidR="002D6DC7" w:rsidRPr="002D6DC7" w:rsidRDefault="002D6DC7" w:rsidP="002D6DC7">
      <w:pPr>
        <w:rPr>
          <w:rFonts w:cstheme="minorHAnsi"/>
          <w:b/>
          <w:bCs/>
          <w:u w:val="single"/>
        </w:rPr>
      </w:pPr>
    </w:p>
    <w:p w14:paraId="1ED3A4B4"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r w:rsidRPr="002D6DC7">
        <w:rPr>
          <w:rFonts w:asciiTheme="minorHAnsi" w:hAnsiTheme="minorHAnsi" w:cstheme="minorHAnsi"/>
          <w:color w:val="000000"/>
        </w:rPr>
        <w:t>Ioannou, Maria, et al.</w:t>
      </w:r>
      <w:r w:rsidRPr="002D6DC7">
        <w:rPr>
          <w:rStyle w:val="apple-converted-space"/>
          <w:rFonts w:asciiTheme="minorHAnsi" w:hAnsiTheme="minorHAnsi" w:cstheme="minorHAnsi"/>
          <w:color w:val="000000"/>
        </w:rPr>
        <w:t> </w:t>
      </w:r>
      <w:r w:rsidRPr="002D6DC7">
        <w:rPr>
          <w:rFonts w:asciiTheme="minorHAnsi" w:hAnsiTheme="minorHAnsi" w:cstheme="minorHAnsi"/>
          <w:i/>
          <w:iCs/>
          <w:color w:val="000000"/>
        </w:rPr>
        <w:t>An Examination of the Insights and Experiences of Cuckooing Experts Kirklees Council</w:t>
      </w:r>
      <w:r w:rsidRPr="002D6DC7">
        <w:rPr>
          <w:rFonts w:asciiTheme="minorHAnsi" w:hAnsiTheme="minorHAnsi" w:cstheme="minorHAnsi"/>
          <w:color w:val="000000"/>
        </w:rPr>
        <w:t>. 2023.</w:t>
      </w:r>
    </w:p>
    <w:p w14:paraId="38625EFD" w14:textId="77777777" w:rsidR="002D6DC7" w:rsidRPr="002D6DC7" w:rsidRDefault="002D6DC7" w:rsidP="002D6DC7">
      <w:pPr>
        <w:rPr>
          <w:rFonts w:cstheme="minorHAnsi"/>
          <w:b/>
          <w:bCs/>
          <w:u w:val="single"/>
        </w:rPr>
      </w:pPr>
    </w:p>
    <w:p w14:paraId="30E2E255" w14:textId="77777777" w:rsidR="002D6DC7" w:rsidRPr="002D6DC7" w:rsidRDefault="002D6DC7" w:rsidP="002D6DC7">
      <w:pPr>
        <w:rPr>
          <w:rFonts w:cstheme="minorHAnsi"/>
          <w:b/>
          <w:bCs/>
          <w:u w:val="single"/>
        </w:rPr>
      </w:pPr>
    </w:p>
    <w:p w14:paraId="0B11A93B"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r w:rsidRPr="002D6DC7">
        <w:rPr>
          <w:rFonts w:asciiTheme="minorHAnsi" w:hAnsiTheme="minorHAnsi" w:cstheme="minorHAnsi"/>
          <w:color w:val="000000"/>
        </w:rPr>
        <w:t>Neagu, Mariela. “Conceptualising Care in Children’s Social Services.”</w:t>
      </w:r>
      <w:r w:rsidRPr="002D6DC7">
        <w:rPr>
          <w:rStyle w:val="apple-converted-space"/>
          <w:rFonts w:asciiTheme="minorHAnsi" w:hAnsiTheme="minorHAnsi" w:cstheme="minorHAnsi"/>
          <w:color w:val="000000"/>
        </w:rPr>
        <w:t> </w:t>
      </w:r>
      <w:r w:rsidRPr="002D6DC7">
        <w:rPr>
          <w:rFonts w:asciiTheme="minorHAnsi" w:hAnsiTheme="minorHAnsi" w:cstheme="minorHAnsi"/>
          <w:i/>
          <w:iCs/>
          <w:color w:val="000000"/>
        </w:rPr>
        <w:t>The British Journal of Social Work</w:t>
      </w:r>
      <w:r w:rsidRPr="002D6DC7">
        <w:rPr>
          <w:rFonts w:asciiTheme="minorHAnsi" w:hAnsiTheme="minorHAnsi" w:cstheme="minorHAnsi"/>
          <w:color w:val="000000"/>
        </w:rPr>
        <w:t>, vol. 51, no. 6, 6 Apr. 2021, https://doi.org/10.1093/bjsw/bcab060.</w:t>
      </w:r>
    </w:p>
    <w:p w14:paraId="3F95E173" w14:textId="77777777" w:rsidR="002D6DC7" w:rsidRPr="002D6DC7" w:rsidRDefault="002D6DC7" w:rsidP="002D6DC7">
      <w:pPr>
        <w:rPr>
          <w:rFonts w:cstheme="minorHAnsi"/>
        </w:rPr>
      </w:pPr>
    </w:p>
    <w:p w14:paraId="73F6C846"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r w:rsidRPr="002D6DC7">
        <w:rPr>
          <w:rFonts w:asciiTheme="minorHAnsi" w:hAnsiTheme="minorHAnsi" w:cstheme="minorHAnsi"/>
          <w:color w:val="000000"/>
        </w:rPr>
        <w:t>Government, HM. “Ending Gang Violence and Exploitation.” Home Office, Jan. 2016.</w:t>
      </w:r>
    </w:p>
    <w:p w14:paraId="5D6E1AEA" w14:textId="77777777" w:rsidR="002D6DC7" w:rsidRPr="002D6DC7" w:rsidRDefault="002D6DC7" w:rsidP="002D6DC7">
      <w:pPr>
        <w:rPr>
          <w:rFonts w:cstheme="minorHAnsi"/>
        </w:rPr>
      </w:pPr>
    </w:p>
    <w:p w14:paraId="640B7C04" w14:textId="77777777" w:rsidR="002D6DC7" w:rsidRPr="002D6DC7" w:rsidRDefault="002D6DC7" w:rsidP="002D6DC7">
      <w:pPr>
        <w:rPr>
          <w:rFonts w:cstheme="minorHAnsi"/>
        </w:rPr>
      </w:pPr>
    </w:p>
    <w:p w14:paraId="27A18CB5"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r w:rsidRPr="002D6DC7">
        <w:rPr>
          <w:rFonts w:asciiTheme="minorHAnsi" w:hAnsiTheme="minorHAnsi" w:cstheme="minorHAnsi"/>
          <w:color w:val="000000"/>
        </w:rPr>
        <w:t>O’Hagan, Andrew, and Amy Long. “The Socioeconomic Effects of Organised Crimes County Lines on the United Kingdom Community.”</w:t>
      </w:r>
      <w:r w:rsidRPr="002D6DC7">
        <w:rPr>
          <w:rStyle w:val="apple-converted-space"/>
          <w:rFonts w:asciiTheme="minorHAnsi" w:hAnsiTheme="minorHAnsi" w:cstheme="minorHAnsi"/>
          <w:color w:val="000000"/>
        </w:rPr>
        <w:t> </w:t>
      </w:r>
      <w:r w:rsidRPr="002D6DC7">
        <w:rPr>
          <w:rFonts w:asciiTheme="minorHAnsi" w:hAnsiTheme="minorHAnsi" w:cstheme="minorHAnsi"/>
          <w:i/>
          <w:iCs/>
          <w:color w:val="000000"/>
        </w:rPr>
        <w:t>Forensic Research &amp; Criminology International Journal</w:t>
      </w:r>
      <w:r w:rsidRPr="002D6DC7">
        <w:rPr>
          <w:rFonts w:asciiTheme="minorHAnsi" w:hAnsiTheme="minorHAnsi" w:cstheme="minorHAnsi"/>
          <w:color w:val="000000"/>
        </w:rPr>
        <w:t xml:space="preserve">, vol. Volume 7, no. Issue 5, 4 Oct. 2019, medcraveonline.com/FRCIJ/the-socioeconomic-effects-of-organised-crimes-county-lines-on-the-united-kingdom-community.html, </w:t>
      </w:r>
      <w:hyperlink r:id="rId9" w:history="1">
        <w:r w:rsidRPr="002D6DC7">
          <w:rPr>
            <w:rStyle w:val="Hyperlink"/>
            <w:rFonts w:asciiTheme="minorHAnsi" w:hAnsiTheme="minorHAnsi" w:cstheme="minorHAnsi"/>
          </w:rPr>
          <w:t>https://doi.org/10.15406/frcij.2019.07.00293</w:t>
        </w:r>
      </w:hyperlink>
      <w:r w:rsidRPr="002D6DC7">
        <w:rPr>
          <w:rFonts w:asciiTheme="minorHAnsi" w:hAnsiTheme="minorHAnsi" w:cstheme="minorHAnsi"/>
          <w:color w:val="000000"/>
        </w:rPr>
        <w:t>.</w:t>
      </w:r>
    </w:p>
    <w:p w14:paraId="7B9FBAC4"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p>
    <w:p w14:paraId="39CCE831"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r w:rsidRPr="002D6DC7">
        <w:rPr>
          <w:rFonts w:asciiTheme="minorHAnsi" w:hAnsiTheme="minorHAnsi" w:cstheme="minorHAnsi"/>
          <w:color w:val="000000"/>
        </w:rPr>
        <w:t>National Crime Agency.</w:t>
      </w:r>
      <w:r w:rsidRPr="002D6DC7">
        <w:rPr>
          <w:rStyle w:val="apple-converted-space"/>
          <w:rFonts w:asciiTheme="minorHAnsi" w:hAnsiTheme="minorHAnsi" w:cstheme="minorHAnsi"/>
          <w:color w:val="000000"/>
        </w:rPr>
        <w:t> </w:t>
      </w:r>
      <w:r w:rsidRPr="002D6DC7">
        <w:rPr>
          <w:rFonts w:asciiTheme="minorHAnsi" w:hAnsiTheme="minorHAnsi" w:cstheme="minorHAnsi"/>
          <w:i/>
          <w:iCs/>
          <w:color w:val="000000"/>
        </w:rPr>
        <w:t>Of Serious and Organised Crime National Strategic Assessment</w:t>
      </w:r>
      <w:r w:rsidRPr="002D6DC7">
        <w:rPr>
          <w:rFonts w:asciiTheme="minorHAnsi" w:hAnsiTheme="minorHAnsi" w:cstheme="minorHAnsi"/>
          <w:color w:val="000000"/>
        </w:rPr>
        <w:t>. 2019.</w:t>
      </w:r>
    </w:p>
    <w:p w14:paraId="04F4645D"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p>
    <w:p w14:paraId="2EBAFEFB"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r w:rsidRPr="002D6DC7">
        <w:rPr>
          <w:rFonts w:asciiTheme="minorHAnsi" w:hAnsiTheme="minorHAnsi" w:cstheme="minorHAnsi"/>
          <w:color w:val="000000"/>
        </w:rPr>
        <w:t>College of Policing. “Code of Ethics Launched | College of Policing.”</w:t>
      </w:r>
      <w:r w:rsidRPr="002D6DC7">
        <w:rPr>
          <w:rStyle w:val="apple-converted-space"/>
          <w:rFonts w:asciiTheme="minorHAnsi" w:hAnsiTheme="minorHAnsi" w:cstheme="minorHAnsi"/>
          <w:color w:val="000000"/>
        </w:rPr>
        <w:t> </w:t>
      </w:r>
      <w:r w:rsidRPr="002D6DC7">
        <w:rPr>
          <w:rFonts w:asciiTheme="minorHAnsi" w:hAnsiTheme="minorHAnsi" w:cstheme="minorHAnsi"/>
          <w:i/>
          <w:iCs/>
          <w:color w:val="000000"/>
        </w:rPr>
        <w:t>Www.college.police.uk</w:t>
      </w:r>
      <w:r w:rsidRPr="002D6DC7">
        <w:rPr>
          <w:rFonts w:asciiTheme="minorHAnsi" w:hAnsiTheme="minorHAnsi" w:cstheme="minorHAnsi"/>
          <w:color w:val="000000"/>
        </w:rPr>
        <w:t>, 24 Jan. 2024, www.college.police.uk/article/code-of-ethics.</w:t>
      </w:r>
    </w:p>
    <w:p w14:paraId="56D4A9B1"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p>
    <w:p w14:paraId="377EC238"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r w:rsidRPr="002D6DC7">
        <w:rPr>
          <w:rFonts w:asciiTheme="minorHAnsi" w:hAnsiTheme="minorHAnsi" w:cstheme="minorHAnsi"/>
          <w:color w:val="000000"/>
        </w:rPr>
        <w:t>GOV.UK. “Police Reform Act 2002 - Explanatory Notes.”</w:t>
      </w:r>
      <w:r w:rsidRPr="002D6DC7">
        <w:rPr>
          <w:rStyle w:val="apple-converted-space"/>
          <w:rFonts w:asciiTheme="minorHAnsi" w:hAnsiTheme="minorHAnsi" w:cstheme="minorHAnsi"/>
          <w:color w:val="000000"/>
        </w:rPr>
        <w:t> </w:t>
      </w:r>
      <w:r w:rsidRPr="002D6DC7">
        <w:rPr>
          <w:rFonts w:asciiTheme="minorHAnsi" w:hAnsiTheme="minorHAnsi" w:cstheme="minorHAnsi"/>
          <w:i/>
          <w:iCs/>
          <w:color w:val="000000"/>
        </w:rPr>
        <w:t>Legislation.gov.uk</w:t>
      </w:r>
      <w:r w:rsidRPr="002D6DC7">
        <w:rPr>
          <w:rFonts w:asciiTheme="minorHAnsi" w:hAnsiTheme="minorHAnsi" w:cstheme="minorHAnsi"/>
          <w:color w:val="000000"/>
        </w:rPr>
        <w:t>, 2021, www.legislation.gov.uk/ukpga/2002/30/notes/division/4/1/18/2?view=plain.</w:t>
      </w:r>
    </w:p>
    <w:p w14:paraId="4A0C1E83"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r w:rsidRPr="002D6DC7">
        <w:rPr>
          <w:rFonts w:asciiTheme="minorHAnsi" w:hAnsiTheme="minorHAnsi" w:cstheme="minorHAnsi"/>
          <w:color w:val="000000"/>
        </w:rPr>
        <w:lastRenderedPageBreak/>
        <w:t>Daelmans, Bernadette, et al. “Effective Interventions and Strategies for Improving Early Child Development.”</w:t>
      </w:r>
      <w:r w:rsidRPr="002D6DC7">
        <w:rPr>
          <w:rStyle w:val="apple-converted-space"/>
          <w:rFonts w:asciiTheme="minorHAnsi" w:hAnsiTheme="minorHAnsi" w:cstheme="minorHAnsi"/>
          <w:color w:val="000000"/>
        </w:rPr>
        <w:t> </w:t>
      </w:r>
      <w:r w:rsidRPr="002D6DC7">
        <w:rPr>
          <w:rFonts w:asciiTheme="minorHAnsi" w:hAnsiTheme="minorHAnsi" w:cstheme="minorHAnsi"/>
          <w:i/>
          <w:iCs/>
          <w:color w:val="000000"/>
        </w:rPr>
        <w:t>BMJ</w:t>
      </w:r>
      <w:r w:rsidRPr="002D6DC7">
        <w:rPr>
          <w:rFonts w:asciiTheme="minorHAnsi" w:hAnsiTheme="minorHAnsi" w:cstheme="minorHAnsi"/>
          <w:color w:val="000000"/>
        </w:rPr>
        <w:t>, vol. 351, no. 351, 14 Sept. 2015, p. h4029, www.bmj.com/content/351/bmj.h4029, https://doi.org/10.1136/bmj.h4029.</w:t>
      </w:r>
    </w:p>
    <w:p w14:paraId="4DFB71EA" w14:textId="77777777" w:rsidR="002D6DC7" w:rsidRPr="002D6DC7" w:rsidRDefault="002D6DC7" w:rsidP="002D6DC7">
      <w:pPr>
        <w:rPr>
          <w:rFonts w:cstheme="minorHAnsi"/>
        </w:rPr>
      </w:pPr>
    </w:p>
    <w:p w14:paraId="424DEE2E" w14:textId="77777777" w:rsidR="002D6DC7" w:rsidRPr="002D6DC7" w:rsidRDefault="002D6DC7" w:rsidP="002D6DC7">
      <w:pPr>
        <w:rPr>
          <w:rFonts w:cstheme="minorHAnsi"/>
        </w:rPr>
      </w:pPr>
    </w:p>
    <w:p w14:paraId="42B74230" w14:textId="77777777" w:rsidR="002D6DC7" w:rsidRPr="002D6DC7" w:rsidRDefault="002D6DC7" w:rsidP="002D6DC7">
      <w:pPr>
        <w:rPr>
          <w:rFonts w:cstheme="minorHAnsi"/>
        </w:rPr>
      </w:pPr>
    </w:p>
    <w:p w14:paraId="0B72FF5C"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r w:rsidRPr="002D6DC7">
        <w:rPr>
          <w:rFonts w:asciiTheme="minorHAnsi" w:hAnsiTheme="minorHAnsi" w:cstheme="minorHAnsi"/>
          <w:color w:val="000000"/>
        </w:rPr>
        <w:t>Intervening early to prevent gang and youth violence: The role of primary schools. “Intervening Early to Prevent Gang and Youth Violence: The Role of Primary Schools.”</w:t>
      </w:r>
      <w:r w:rsidRPr="002D6DC7">
        <w:rPr>
          <w:rStyle w:val="apple-converted-space"/>
          <w:rFonts w:asciiTheme="minorHAnsi" w:hAnsiTheme="minorHAnsi" w:cstheme="minorHAnsi"/>
          <w:color w:val="000000"/>
        </w:rPr>
        <w:t> </w:t>
      </w:r>
      <w:r w:rsidRPr="002D6DC7">
        <w:rPr>
          <w:rFonts w:asciiTheme="minorHAnsi" w:hAnsiTheme="minorHAnsi" w:cstheme="minorHAnsi"/>
          <w:i/>
          <w:iCs/>
          <w:color w:val="000000"/>
        </w:rPr>
        <w:t>Early Intervention Foundation</w:t>
      </w:r>
      <w:r w:rsidRPr="002D6DC7">
        <w:rPr>
          <w:rFonts w:asciiTheme="minorHAnsi" w:hAnsiTheme="minorHAnsi" w:cstheme="minorHAnsi"/>
          <w:color w:val="000000"/>
        </w:rPr>
        <w:t>, 21 Aug. 2018, www.eif.org.uk/report/intervening-early-to-prevent-gang-and-youth-violence-the-role-of-primary-schools.</w:t>
      </w:r>
    </w:p>
    <w:p w14:paraId="55BB30AE" w14:textId="77777777" w:rsidR="002D6DC7" w:rsidRPr="002D6DC7" w:rsidRDefault="002D6DC7" w:rsidP="002D6DC7">
      <w:pPr>
        <w:rPr>
          <w:rFonts w:cstheme="minorHAnsi"/>
        </w:rPr>
      </w:pPr>
    </w:p>
    <w:p w14:paraId="09476F43" w14:textId="77777777" w:rsidR="002D6DC7" w:rsidRPr="002D6DC7" w:rsidRDefault="002D6DC7" w:rsidP="002D6DC7">
      <w:pPr>
        <w:rPr>
          <w:rFonts w:cstheme="minorHAnsi"/>
        </w:rPr>
      </w:pPr>
    </w:p>
    <w:p w14:paraId="14840DF9" w14:textId="77777777" w:rsidR="002D6DC7" w:rsidRPr="002D6DC7" w:rsidRDefault="002D6DC7" w:rsidP="002D6DC7">
      <w:pPr>
        <w:rPr>
          <w:rFonts w:cstheme="minorHAnsi"/>
        </w:rPr>
      </w:pPr>
    </w:p>
    <w:p w14:paraId="2918B884"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r w:rsidRPr="002D6DC7">
        <w:rPr>
          <w:rFonts w:asciiTheme="minorHAnsi" w:hAnsiTheme="minorHAnsi" w:cstheme="minorHAnsi"/>
          <w:color w:val="000000"/>
        </w:rPr>
        <w:t>Kanter, Elliott. “Why Do Children Commit Crimes?”</w:t>
      </w:r>
      <w:r w:rsidRPr="002D6DC7">
        <w:rPr>
          <w:rStyle w:val="apple-converted-space"/>
          <w:rFonts w:asciiTheme="minorHAnsi" w:hAnsiTheme="minorHAnsi" w:cstheme="minorHAnsi"/>
          <w:color w:val="000000"/>
        </w:rPr>
        <w:t> </w:t>
      </w:r>
      <w:r w:rsidRPr="002D6DC7">
        <w:rPr>
          <w:rFonts w:asciiTheme="minorHAnsi" w:hAnsiTheme="minorHAnsi" w:cstheme="minorHAnsi"/>
          <w:i/>
          <w:iCs/>
          <w:color w:val="000000"/>
        </w:rPr>
        <w:t>PACEsConnection</w:t>
      </w:r>
      <w:r w:rsidRPr="002D6DC7">
        <w:rPr>
          <w:rFonts w:asciiTheme="minorHAnsi" w:hAnsiTheme="minorHAnsi" w:cstheme="minorHAnsi"/>
          <w:color w:val="000000"/>
        </w:rPr>
        <w:t>, 19 Nov. 2016, www.pacesconnection.com/blog/why-do-children-commit-crimes.</w:t>
      </w:r>
    </w:p>
    <w:p w14:paraId="346B5621" w14:textId="77777777" w:rsidR="002D6DC7" w:rsidRPr="002D6DC7" w:rsidRDefault="002D6DC7" w:rsidP="002D6DC7">
      <w:pPr>
        <w:rPr>
          <w:rFonts w:cstheme="minorHAnsi"/>
        </w:rPr>
      </w:pPr>
    </w:p>
    <w:p w14:paraId="14D3EFFB" w14:textId="77777777" w:rsidR="002D6DC7" w:rsidRPr="002D6DC7" w:rsidRDefault="002D6DC7" w:rsidP="002D6DC7">
      <w:pPr>
        <w:rPr>
          <w:rFonts w:cstheme="minorHAnsi"/>
        </w:rPr>
      </w:pPr>
    </w:p>
    <w:p w14:paraId="21AA284F" w14:textId="77777777" w:rsidR="002D6DC7" w:rsidRPr="002D6DC7" w:rsidRDefault="002D6DC7" w:rsidP="002D6DC7">
      <w:pPr>
        <w:rPr>
          <w:rFonts w:cstheme="minorHAnsi"/>
        </w:rPr>
      </w:pPr>
    </w:p>
    <w:p w14:paraId="17D9140D"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r w:rsidRPr="002D6DC7">
        <w:rPr>
          <w:rFonts w:asciiTheme="minorHAnsi" w:hAnsiTheme="minorHAnsi" w:cstheme="minorHAnsi"/>
          <w:color w:val="000000"/>
        </w:rPr>
        <w:t>NSPCC. “Criminal Exploitation and Gangs.”</w:t>
      </w:r>
      <w:r w:rsidRPr="002D6DC7">
        <w:rPr>
          <w:rStyle w:val="apple-converted-space"/>
          <w:rFonts w:asciiTheme="minorHAnsi" w:hAnsiTheme="minorHAnsi" w:cstheme="minorHAnsi"/>
          <w:color w:val="000000"/>
        </w:rPr>
        <w:t> </w:t>
      </w:r>
      <w:r w:rsidRPr="002D6DC7">
        <w:rPr>
          <w:rFonts w:asciiTheme="minorHAnsi" w:hAnsiTheme="minorHAnsi" w:cstheme="minorHAnsi"/>
          <w:i/>
          <w:iCs/>
          <w:color w:val="000000"/>
        </w:rPr>
        <w:t>NSPCC</w:t>
      </w:r>
      <w:r w:rsidRPr="002D6DC7">
        <w:rPr>
          <w:rFonts w:asciiTheme="minorHAnsi" w:hAnsiTheme="minorHAnsi" w:cstheme="minorHAnsi"/>
          <w:color w:val="000000"/>
        </w:rPr>
        <w:t xml:space="preserve">, NSPCC, Feb. 2019, </w:t>
      </w:r>
      <w:hyperlink r:id="rId10" w:history="1">
        <w:r w:rsidRPr="002D6DC7">
          <w:rPr>
            <w:rStyle w:val="Hyperlink"/>
            <w:rFonts w:asciiTheme="minorHAnsi" w:hAnsiTheme="minorHAnsi" w:cstheme="minorHAnsi"/>
          </w:rPr>
          <w:t>www.nspcc.org.uk/what-is-child-abuse/types-of-abuse/gangs-criminal-exploitation/</w:t>
        </w:r>
      </w:hyperlink>
      <w:r w:rsidRPr="002D6DC7">
        <w:rPr>
          <w:rFonts w:asciiTheme="minorHAnsi" w:hAnsiTheme="minorHAnsi" w:cstheme="minorHAnsi"/>
          <w:color w:val="000000"/>
        </w:rPr>
        <w:t>.</w:t>
      </w:r>
    </w:p>
    <w:p w14:paraId="7DE2F6C8"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p>
    <w:p w14:paraId="0722627A"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p>
    <w:p w14:paraId="4D28938C"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r w:rsidRPr="002D6DC7">
        <w:rPr>
          <w:rFonts w:asciiTheme="minorHAnsi" w:hAnsiTheme="minorHAnsi" w:cstheme="minorHAnsi"/>
          <w:color w:val="000000"/>
        </w:rPr>
        <w:t>Public Health England. “Collaborative Approaches to Preventing Offending and Re-Offending by Children (CAPRICORN): Summary.”</w:t>
      </w:r>
      <w:r w:rsidRPr="002D6DC7">
        <w:rPr>
          <w:rStyle w:val="apple-converted-space"/>
          <w:rFonts w:asciiTheme="minorHAnsi" w:hAnsiTheme="minorHAnsi" w:cstheme="minorHAnsi"/>
          <w:color w:val="000000"/>
        </w:rPr>
        <w:t> </w:t>
      </w:r>
      <w:r w:rsidRPr="002D6DC7">
        <w:rPr>
          <w:rFonts w:asciiTheme="minorHAnsi" w:hAnsiTheme="minorHAnsi" w:cstheme="minorHAnsi"/>
          <w:i/>
          <w:iCs/>
          <w:color w:val="000000"/>
        </w:rPr>
        <w:t>GOV.UK</w:t>
      </w:r>
      <w:r w:rsidRPr="002D6DC7">
        <w:rPr>
          <w:rFonts w:asciiTheme="minorHAnsi" w:hAnsiTheme="minorHAnsi" w:cstheme="minorHAnsi"/>
          <w:color w:val="000000"/>
        </w:rPr>
        <w:t>, 14 Aug. 2019, www.gov.uk/government/publications/preventing-offending-and-re-offending-by-children/collaborative-approaches-to-preventing-offending-and-re-offending-by-children-capricorn-summary.</w:t>
      </w:r>
    </w:p>
    <w:p w14:paraId="28B148AA" w14:textId="77777777" w:rsidR="002D6DC7" w:rsidRPr="002D6DC7" w:rsidRDefault="002D6DC7" w:rsidP="002D6DC7">
      <w:pPr>
        <w:rPr>
          <w:rFonts w:cstheme="minorHAnsi"/>
        </w:rPr>
      </w:pPr>
    </w:p>
    <w:p w14:paraId="343D5D54" w14:textId="77777777" w:rsidR="002D6DC7" w:rsidRPr="002D6DC7" w:rsidRDefault="002D6DC7" w:rsidP="002D6DC7">
      <w:pPr>
        <w:rPr>
          <w:rFonts w:cstheme="minorHAnsi"/>
        </w:rPr>
      </w:pPr>
    </w:p>
    <w:p w14:paraId="31322281"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r w:rsidRPr="002D6DC7">
        <w:rPr>
          <w:rFonts w:asciiTheme="minorHAnsi" w:hAnsiTheme="minorHAnsi" w:cstheme="minorHAnsi"/>
          <w:color w:val="000000"/>
        </w:rPr>
        <w:t>The University of Edinburgh. “Childhood Trauma Linked to Risk of Adult Crime.”</w:t>
      </w:r>
      <w:r w:rsidRPr="002D6DC7">
        <w:rPr>
          <w:rStyle w:val="apple-converted-space"/>
          <w:rFonts w:asciiTheme="minorHAnsi" w:hAnsiTheme="minorHAnsi" w:cstheme="minorHAnsi"/>
          <w:color w:val="000000"/>
        </w:rPr>
        <w:t> </w:t>
      </w:r>
      <w:r w:rsidRPr="002D6DC7">
        <w:rPr>
          <w:rFonts w:asciiTheme="minorHAnsi" w:hAnsiTheme="minorHAnsi" w:cstheme="minorHAnsi"/>
          <w:i/>
          <w:iCs/>
          <w:color w:val="000000"/>
        </w:rPr>
        <w:t>The University of Edinburgh</w:t>
      </w:r>
      <w:r w:rsidRPr="002D6DC7">
        <w:rPr>
          <w:rFonts w:asciiTheme="minorHAnsi" w:hAnsiTheme="minorHAnsi" w:cstheme="minorHAnsi"/>
          <w:color w:val="000000"/>
        </w:rPr>
        <w:t xml:space="preserve">, 9 Mar. 2022, </w:t>
      </w:r>
      <w:hyperlink r:id="rId11" w:history="1">
        <w:r w:rsidRPr="002D6DC7">
          <w:rPr>
            <w:rStyle w:val="Hyperlink"/>
            <w:rFonts w:asciiTheme="minorHAnsi" w:hAnsiTheme="minorHAnsi" w:cstheme="minorHAnsi"/>
          </w:rPr>
          <w:t>www.ed.ac.uk/news/2022/vulnerable-children-more-likely-to-offend-as-adult</w:t>
        </w:r>
      </w:hyperlink>
      <w:r w:rsidRPr="002D6DC7">
        <w:rPr>
          <w:rFonts w:asciiTheme="minorHAnsi" w:hAnsiTheme="minorHAnsi" w:cstheme="minorHAnsi"/>
          <w:color w:val="000000"/>
        </w:rPr>
        <w:t>.</w:t>
      </w:r>
    </w:p>
    <w:p w14:paraId="6B62712C"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p>
    <w:p w14:paraId="3A9C9BAC" w14:textId="77777777" w:rsidR="002D6DC7" w:rsidRPr="002D6DC7" w:rsidRDefault="002D6DC7" w:rsidP="002D6DC7">
      <w:pPr>
        <w:rPr>
          <w:rFonts w:cstheme="minorHAnsi"/>
        </w:rPr>
      </w:pPr>
    </w:p>
    <w:p w14:paraId="250CE489" w14:textId="77777777" w:rsidR="002D6DC7" w:rsidRPr="002D6DC7" w:rsidRDefault="002D6DC7" w:rsidP="002D6DC7">
      <w:pPr>
        <w:pStyle w:val="NormalWeb"/>
        <w:spacing w:before="0" w:beforeAutospacing="0" w:after="0" w:afterAutospacing="0" w:line="480" w:lineRule="atLeast"/>
        <w:ind w:left="720" w:hanging="720"/>
        <w:rPr>
          <w:rFonts w:asciiTheme="minorHAnsi" w:hAnsiTheme="minorHAnsi" w:cstheme="minorHAnsi"/>
          <w:color w:val="000000"/>
        </w:rPr>
      </w:pPr>
      <w:r w:rsidRPr="002D6DC7">
        <w:rPr>
          <w:rFonts w:asciiTheme="minorHAnsi" w:hAnsiTheme="minorHAnsi" w:cstheme="minorHAnsi"/>
          <w:color w:val="000000"/>
        </w:rPr>
        <w:t>Youth.Gov. “Prevention &amp; Early Intervention | Youth.gov.”</w:t>
      </w:r>
      <w:r w:rsidRPr="002D6DC7">
        <w:rPr>
          <w:rStyle w:val="apple-converted-space"/>
          <w:rFonts w:asciiTheme="minorHAnsi" w:hAnsiTheme="minorHAnsi" w:cstheme="minorHAnsi"/>
          <w:color w:val="000000"/>
        </w:rPr>
        <w:t> </w:t>
      </w:r>
      <w:r w:rsidRPr="002D6DC7">
        <w:rPr>
          <w:rFonts w:asciiTheme="minorHAnsi" w:hAnsiTheme="minorHAnsi" w:cstheme="minorHAnsi"/>
          <w:i/>
          <w:iCs/>
          <w:color w:val="000000"/>
        </w:rPr>
        <w:t>Youth.gov</w:t>
      </w:r>
      <w:r w:rsidRPr="002D6DC7">
        <w:rPr>
          <w:rFonts w:asciiTheme="minorHAnsi" w:hAnsiTheme="minorHAnsi" w:cstheme="minorHAnsi"/>
          <w:color w:val="000000"/>
        </w:rPr>
        <w:t>, 2023, youth.gov/youth-topics/juvenile-justice/prevention-and-early-intervention.</w:t>
      </w:r>
    </w:p>
    <w:p w14:paraId="695C1D76" w14:textId="77777777" w:rsidR="002D6DC7" w:rsidRPr="002D6DC7" w:rsidRDefault="002D6DC7" w:rsidP="002D6DC7">
      <w:pPr>
        <w:pStyle w:val="ParagraphTextStyle"/>
        <w:rPr>
          <w:rFonts w:asciiTheme="minorHAnsi" w:hAnsiTheme="minorHAnsi" w:cstheme="minorHAnsi"/>
          <w:sz w:val="24"/>
          <w:szCs w:val="24"/>
        </w:rPr>
      </w:pPr>
      <w:r w:rsidRPr="002D6DC7">
        <w:rPr>
          <w:rFonts w:asciiTheme="minorHAnsi" w:hAnsiTheme="minorHAnsi" w:cstheme="minorHAnsi"/>
          <w:sz w:val="24"/>
          <w:szCs w:val="24"/>
        </w:rPr>
        <w:t>All Answers ltd, 'Police and Criminal Evidence Act 1984' (Lawteacher.net, May 2024) &lt;https://www.lawteacher.net/acts/police-and-criminal-evidence-act.php?vref=1&gt; accessed 12 May 2024</w:t>
      </w:r>
    </w:p>
    <w:p w14:paraId="0DE31588" w14:textId="77777777" w:rsidR="002D6DC7" w:rsidRPr="002D6DC7" w:rsidRDefault="002D6DC7" w:rsidP="002D6DC7">
      <w:pPr>
        <w:pStyle w:val="ParagraphTextStyle"/>
        <w:rPr>
          <w:rFonts w:asciiTheme="minorHAnsi" w:hAnsiTheme="minorHAnsi" w:cstheme="minorHAnsi"/>
          <w:sz w:val="24"/>
          <w:szCs w:val="24"/>
        </w:rPr>
      </w:pPr>
    </w:p>
    <w:p w14:paraId="5BBDB7D4" w14:textId="77777777" w:rsidR="002D6DC7" w:rsidRPr="002D6DC7" w:rsidRDefault="002D6DC7" w:rsidP="002D6DC7">
      <w:pPr>
        <w:pStyle w:val="NormalWeb"/>
        <w:spacing w:before="0" w:beforeAutospacing="0" w:after="0" w:afterAutospacing="0" w:line="480" w:lineRule="auto"/>
        <w:ind w:left="720" w:hanging="720"/>
        <w:rPr>
          <w:rFonts w:asciiTheme="minorHAnsi" w:hAnsiTheme="minorHAnsi" w:cstheme="minorHAnsi"/>
        </w:rPr>
      </w:pPr>
      <w:r w:rsidRPr="002D6DC7">
        <w:rPr>
          <w:rFonts w:asciiTheme="minorHAnsi" w:hAnsiTheme="minorHAnsi" w:cstheme="minorHAnsi"/>
        </w:rPr>
        <w:t xml:space="preserve">Bhugowandeen, Bela. “Diversity in the British Police : Adapting to a Multicultural Society.” </w:t>
      </w:r>
      <w:r w:rsidRPr="002D6DC7">
        <w:rPr>
          <w:rFonts w:asciiTheme="minorHAnsi" w:hAnsiTheme="minorHAnsi" w:cstheme="minorHAnsi"/>
          <w:i/>
          <w:iCs/>
        </w:rPr>
        <w:t>Mémoire(S), Identité(S), Marginalité(S) Dans Le Monde Occidental Contemporain. Cahiers Du MIMMOC</w:t>
      </w:r>
      <w:r w:rsidRPr="002D6DC7">
        <w:rPr>
          <w:rFonts w:asciiTheme="minorHAnsi" w:hAnsiTheme="minorHAnsi" w:cstheme="minorHAnsi"/>
        </w:rPr>
        <w:t>, vol. 1, no. 10, 25 July 2013, journals.openedition.org/mimmoc/1340?lang=en, http://journals.openedition.org/mimmoc/1340.</w:t>
      </w:r>
    </w:p>
    <w:p w14:paraId="18422D6A" w14:textId="77777777" w:rsidR="002D6DC7" w:rsidRPr="002D6DC7" w:rsidRDefault="002D6DC7" w:rsidP="002D6DC7">
      <w:pPr>
        <w:pStyle w:val="ParagraphTextStyle"/>
        <w:rPr>
          <w:rFonts w:asciiTheme="minorHAnsi" w:hAnsiTheme="minorHAnsi" w:cstheme="minorHAnsi"/>
          <w:sz w:val="24"/>
          <w:szCs w:val="24"/>
        </w:rPr>
      </w:pPr>
    </w:p>
    <w:p w14:paraId="3DD4F67A" w14:textId="77777777" w:rsidR="002D6DC7" w:rsidRPr="002D6DC7" w:rsidRDefault="002D6DC7" w:rsidP="002D6DC7">
      <w:pPr>
        <w:pStyle w:val="NormalWeb"/>
        <w:spacing w:before="0" w:beforeAutospacing="0" w:after="0" w:afterAutospacing="0" w:line="480" w:lineRule="auto"/>
        <w:ind w:left="720" w:hanging="720"/>
        <w:rPr>
          <w:rFonts w:asciiTheme="minorHAnsi" w:hAnsiTheme="minorHAnsi" w:cstheme="minorHAnsi"/>
        </w:rPr>
      </w:pPr>
      <w:r w:rsidRPr="002D6DC7">
        <w:rPr>
          <w:rFonts w:asciiTheme="minorHAnsi" w:hAnsiTheme="minorHAnsi" w:cstheme="minorHAnsi"/>
        </w:rPr>
        <w:t xml:space="preserve">College of Policing. “Diversity and Inclusion.” </w:t>
      </w:r>
      <w:r w:rsidRPr="002D6DC7">
        <w:rPr>
          <w:rFonts w:asciiTheme="minorHAnsi" w:hAnsiTheme="minorHAnsi" w:cstheme="minorHAnsi"/>
          <w:i/>
          <w:iCs/>
        </w:rPr>
        <w:t>College of Policing</w:t>
      </w:r>
      <w:r w:rsidRPr="002D6DC7">
        <w:rPr>
          <w:rFonts w:asciiTheme="minorHAnsi" w:hAnsiTheme="minorHAnsi" w:cstheme="minorHAnsi"/>
        </w:rPr>
        <w:t>, 2022, www.college.police.uk/support-forces/diversity-and-inclusion.</w:t>
      </w:r>
    </w:p>
    <w:p w14:paraId="2E007E4A" w14:textId="77777777" w:rsidR="002D6DC7" w:rsidRPr="002D6DC7" w:rsidRDefault="002D6DC7" w:rsidP="002D6DC7">
      <w:pPr>
        <w:pStyle w:val="ParagraphTextStyle"/>
        <w:rPr>
          <w:rFonts w:asciiTheme="minorHAnsi" w:hAnsiTheme="minorHAnsi" w:cstheme="minorHAnsi"/>
          <w:sz w:val="24"/>
          <w:szCs w:val="24"/>
        </w:rPr>
      </w:pPr>
    </w:p>
    <w:p w14:paraId="63F999CC" w14:textId="77777777" w:rsidR="002D6DC7" w:rsidRPr="002D6DC7" w:rsidRDefault="002D6DC7" w:rsidP="002D6DC7">
      <w:pPr>
        <w:pStyle w:val="NormalWeb"/>
        <w:spacing w:before="0" w:beforeAutospacing="0" w:after="0" w:afterAutospacing="0" w:line="480" w:lineRule="auto"/>
        <w:ind w:left="720" w:hanging="720"/>
        <w:rPr>
          <w:rFonts w:asciiTheme="minorHAnsi" w:hAnsiTheme="minorHAnsi" w:cstheme="minorHAnsi"/>
        </w:rPr>
      </w:pPr>
      <w:r w:rsidRPr="002D6DC7">
        <w:rPr>
          <w:rFonts w:asciiTheme="minorHAnsi" w:hAnsiTheme="minorHAnsi" w:cstheme="minorHAnsi"/>
        </w:rPr>
        <w:t xml:space="preserve">CPS. “Confessions, Unfairly Obtained Evidence and Breaches of PACE | the Crown Prosecution Service.” </w:t>
      </w:r>
      <w:r w:rsidRPr="002D6DC7">
        <w:rPr>
          <w:rFonts w:asciiTheme="minorHAnsi" w:hAnsiTheme="minorHAnsi" w:cstheme="minorHAnsi"/>
          <w:i/>
          <w:iCs/>
        </w:rPr>
        <w:t>Www.cps.gov.uk</w:t>
      </w:r>
      <w:r w:rsidRPr="002D6DC7">
        <w:rPr>
          <w:rFonts w:asciiTheme="minorHAnsi" w:hAnsiTheme="minorHAnsi" w:cstheme="minorHAnsi"/>
        </w:rPr>
        <w:t>, 31 Mar. 2022, www.cps.gov.uk/legal-guidance/confessions-unfairly-obtained-evidence-and-breaches-pace.</w:t>
      </w:r>
    </w:p>
    <w:p w14:paraId="798E1ACC" w14:textId="77777777" w:rsidR="002D6DC7" w:rsidRPr="002D6DC7" w:rsidRDefault="002D6DC7" w:rsidP="002D6DC7">
      <w:pPr>
        <w:pStyle w:val="ParagraphTextStyle"/>
        <w:rPr>
          <w:rFonts w:asciiTheme="minorHAnsi" w:hAnsiTheme="minorHAnsi" w:cstheme="minorHAnsi"/>
          <w:sz w:val="24"/>
          <w:szCs w:val="24"/>
        </w:rPr>
      </w:pPr>
    </w:p>
    <w:p w14:paraId="5BA6EF55" w14:textId="77777777" w:rsidR="002D6DC7" w:rsidRPr="002D6DC7" w:rsidRDefault="002D6DC7" w:rsidP="002D6DC7">
      <w:pPr>
        <w:pStyle w:val="NormalWeb"/>
        <w:spacing w:before="0" w:beforeAutospacing="0" w:after="0" w:afterAutospacing="0" w:line="480" w:lineRule="auto"/>
        <w:ind w:left="720" w:hanging="720"/>
        <w:rPr>
          <w:rFonts w:asciiTheme="minorHAnsi" w:hAnsiTheme="minorHAnsi" w:cstheme="minorHAnsi"/>
        </w:rPr>
      </w:pPr>
      <w:r w:rsidRPr="002D6DC7">
        <w:rPr>
          <w:rFonts w:asciiTheme="minorHAnsi" w:hAnsiTheme="minorHAnsi" w:cstheme="minorHAnsi"/>
        </w:rPr>
        <w:t xml:space="preserve">Dodd, Vikram. “Met Police Told 40% of Recruits Must Be from BAME Backgrounds.” </w:t>
      </w:r>
      <w:r w:rsidRPr="002D6DC7">
        <w:rPr>
          <w:rFonts w:asciiTheme="minorHAnsi" w:hAnsiTheme="minorHAnsi" w:cstheme="minorHAnsi"/>
          <w:i/>
          <w:iCs/>
        </w:rPr>
        <w:t>The Guardian</w:t>
      </w:r>
      <w:r w:rsidRPr="002D6DC7">
        <w:rPr>
          <w:rFonts w:asciiTheme="minorHAnsi" w:hAnsiTheme="minorHAnsi" w:cstheme="minorHAnsi"/>
        </w:rPr>
        <w:t>, 13 Nov. 2020, www.theguardian.com/uk-news/2020/nov/13/met-police-told-40-of-recruits-must-be-from-bame-backgrounds.</w:t>
      </w:r>
    </w:p>
    <w:p w14:paraId="2E386706" w14:textId="77777777" w:rsidR="002D6DC7" w:rsidRPr="002D6DC7" w:rsidRDefault="002D6DC7" w:rsidP="002D6DC7">
      <w:pPr>
        <w:pStyle w:val="ParagraphTextStyle"/>
        <w:rPr>
          <w:rFonts w:asciiTheme="minorHAnsi" w:hAnsiTheme="minorHAnsi" w:cstheme="minorHAnsi"/>
          <w:sz w:val="24"/>
          <w:szCs w:val="24"/>
        </w:rPr>
      </w:pPr>
    </w:p>
    <w:p w14:paraId="44D50E2C" w14:textId="77777777" w:rsidR="002D6DC7" w:rsidRPr="002D6DC7" w:rsidRDefault="002D6DC7" w:rsidP="002D6DC7">
      <w:pPr>
        <w:pStyle w:val="NormalWeb"/>
        <w:spacing w:before="0" w:beforeAutospacing="0" w:after="0" w:afterAutospacing="0" w:line="480" w:lineRule="auto"/>
        <w:ind w:left="720" w:hanging="720"/>
        <w:rPr>
          <w:rFonts w:asciiTheme="minorHAnsi" w:hAnsiTheme="minorHAnsi" w:cstheme="minorHAnsi"/>
        </w:rPr>
      </w:pPr>
      <w:r w:rsidRPr="002D6DC7">
        <w:rPr>
          <w:rFonts w:asciiTheme="minorHAnsi" w:hAnsiTheme="minorHAnsi" w:cstheme="minorHAnsi"/>
        </w:rPr>
        <w:lastRenderedPageBreak/>
        <w:t xml:space="preserve">GOV.UK. “Police Workforce.” </w:t>
      </w:r>
      <w:r w:rsidRPr="002D6DC7">
        <w:rPr>
          <w:rFonts w:asciiTheme="minorHAnsi" w:hAnsiTheme="minorHAnsi" w:cstheme="minorHAnsi"/>
          <w:i/>
          <w:iCs/>
        </w:rPr>
        <w:t>Www.ethnicity-Facts-Figures.service.gov.uk</w:t>
      </w:r>
      <w:r w:rsidRPr="002D6DC7">
        <w:rPr>
          <w:rFonts w:asciiTheme="minorHAnsi" w:hAnsiTheme="minorHAnsi" w:cstheme="minorHAnsi"/>
        </w:rPr>
        <w:t>, 26 May 2023, www.ethnicity-facts-figures.service.gov.uk/workforce-and-business/workforce-diversity/police-workforce/latest/.</w:t>
      </w:r>
    </w:p>
    <w:p w14:paraId="3C8D8247" w14:textId="77777777" w:rsidR="002D6DC7" w:rsidRPr="002D6DC7" w:rsidRDefault="002D6DC7" w:rsidP="002D6DC7">
      <w:pPr>
        <w:pStyle w:val="ParagraphTextStyle"/>
        <w:rPr>
          <w:rFonts w:asciiTheme="minorHAnsi" w:hAnsiTheme="minorHAnsi" w:cstheme="minorHAnsi"/>
          <w:sz w:val="24"/>
          <w:szCs w:val="24"/>
        </w:rPr>
      </w:pPr>
    </w:p>
    <w:p w14:paraId="1BCBC4E6" w14:textId="77777777" w:rsidR="002D6DC7" w:rsidRPr="002D6DC7" w:rsidRDefault="002D6DC7" w:rsidP="002D6DC7">
      <w:pPr>
        <w:pStyle w:val="NormalWeb"/>
        <w:spacing w:before="0" w:beforeAutospacing="0" w:after="0" w:afterAutospacing="0" w:line="480" w:lineRule="auto"/>
        <w:ind w:left="720" w:hanging="720"/>
        <w:rPr>
          <w:rFonts w:asciiTheme="minorHAnsi" w:hAnsiTheme="minorHAnsi" w:cstheme="minorHAnsi"/>
        </w:rPr>
      </w:pPr>
      <w:r w:rsidRPr="002D6DC7">
        <w:rPr>
          <w:rFonts w:asciiTheme="minorHAnsi" w:hAnsiTheme="minorHAnsi" w:cstheme="minorHAnsi"/>
        </w:rPr>
        <w:t xml:space="preserve">Home Office. “Police and Criminal Evidence Act 1984 (PACE) Codes of Practice.” </w:t>
      </w:r>
      <w:r w:rsidRPr="002D6DC7">
        <w:rPr>
          <w:rFonts w:asciiTheme="minorHAnsi" w:hAnsiTheme="minorHAnsi" w:cstheme="minorHAnsi"/>
          <w:i/>
          <w:iCs/>
        </w:rPr>
        <w:t>GOV.UK</w:t>
      </w:r>
      <w:r w:rsidRPr="002D6DC7">
        <w:rPr>
          <w:rFonts w:asciiTheme="minorHAnsi" w:hAnsiTheme="minorHAnsi" w:cstheme="minorHAnsi"/>
        </w:rPr>
        <w:t>, Home Office , 26 Mar. 2013, www.gov.uk/guidance/police-and-criminal-evidence-act-1984-pace-codes-of-practice.</w:t>
      </w:r>
    </w:p>
    <w:p w14:paraId="734D5CA1" w14:textId="77777777" w:rsidR="002D6DC7" w:rsidRPr="002D6DC7" w:rsidRDefault="002D6DC7" w:rsidP="002D6DC7">
      <w:pPr>
        <w:pStyle w:val="ParagraphTextStyle"/>
        <w:rPr>
          <w:rFonts w:asciiTheme="minorHAnsi" w:hAnsiTheme="minorHAnsi" w:cstheme="minorHAnsi"/>
          <w:sz w:val="24"/>
          <w:szCs w:val="24"/>
        </w:rPr>
      </w:pPr>
    </w:p>
    <w:p w14:paraId="79E78BB7" w14:textId="77777777" w:rsidR="002D6DC7" w:rsidRPr="002D6DC7" w:rsidRDefault="002D6DC7" w:rsidP="002D6DC7">
      <w:pPr>
        <w:pStyle w:val="NormalWeb"/>
        <w:spacing w:before="0" w:beforeAutospacing="0" w:after="0" w:afterAutospacing="0" w:line="480" w:lineRule="auto"/>
        <w:ind w:left="720" w:hanging="720"/>
        <w:rPr>
          <w:rFonts w:asciiTheme="minorHAnsi" w:hAnsiTheme="minorHAnsi" w:cstheme="minorHAnsi"/>
        </w:rPr>
      </w:pPr>
      <w:r w:rsidRPr="002D6DC7">
        <w:rPr>
          <w:rFonts w:asciiTheme="minorHAnsi" w:hAnsiTheme="minorHAnsi" w:cstheme="minorHAnsi"/>
        </w:rPr>
        <w:t xml:space="preserve">Police UK. “Workforce Diversity.” </w:t>
      </w:r>
      <w:r w:rsidRPr="002D6DC7">
        <w:rPr>
          <w:rFonts w:asciiTheme="minorHAnsi" w:hAnsiTheme="minorHAnsi" w:cstheme="minorHAnsi"/>
          <w:i/>
          <w:iCs/>
        </w:rPr>
        <w:t>Www.police.uk</w:t>
      </w:r>
      <w:r w:rsidRPr="002D6DC7">
        <w:rPr>
          <w:rFonts w:asciiTheme="minorHAnsi" w:hAnsiTheme="minorHAnsi" w:cstheme="minorHAnsi"/>
        </w:rPr>
        <w:t>, 2021, www.police.uk/pu/your-area/metropolitan-police-service/performance/workforce-diversity/.</w:t>
      </w:r>
    </w:p>
    <w:p w14:paraId="42E7D5A7" w14:textId="77777777" w:rsidR="002D6DC7" w:rsidRPr="002D6DC7" w:rsidRDefault="002D6DC7" w:rsidP="002D6DC7">
      <w:pPr>
        <w:pStyle w:val="NormalWeb"/>
        <w:spacing w:before="0" w:beforeAutospacing="0" w:after="0" w:afterAutospacing="0" w:line="480" w:lineRule="auto"/>
        <w:ind w:left="720" w:hanging="720"/>
        <w:rPr>
          <w:rFonts w:asciiTheme="minorHAnsi" w:hAnsiTheme="minorHAnsi" w:cstheme="minorHAnsi"/>
        </w:rPr>
      </w:pPr>
      <w:r w:rsidRPr="002D6DC7">
        <w:rPr>
          <w:rFonts w:asciiTheme="minorHAnsi" w:hAnsiTheme="minorHAnsi" w:cstheme="minorHAnsi"/>
        </w:rPr>
        <w:t xml:space="preserve">Wikipedia Contributors. “Police and Criminal Evidence Act 1984.” </w:t>
      </w:r>
      <w:r w:rsidRPr="002D6DC7">
        <w:rPr>
          <w:rFonts w:asciiTheme="minorHAnsi" w:hAnsiTheme="minorHAnsi" w:cstheme="minorHAnsi"/>
          <w:i/>
          <w:iCs/>
        </w:rPr>
        <w:t>Wikipedia</w:t>
      </w:r>
      <w:r w:rsidRPr="002D6DC7">
        <w:rPr>
          <w:rFonts w:asciiTheme="minorHAnsi" w:hAnsiTheme="minorHAnsi" w:cstheme="minorHAnsi"/>
        </w:rPr>
        <w:t>, Wikimedia Foundation, 15 Oct. 2019, en.wikipedia.org/wiki/Police_and_Criminal_Evidence_Act_1984.</w:t>
      </w:r>
    </w:p>
    <w:p w14:paraId="52FC5058" w14:textId="77777777" w:rsidR="002D6DC7" w:rsidRPr="002D6DC7" w:rsidRDefault="002D6DC7" w:rsidP="002D6DC7">
      <w:pPr>
        <w:pStyle w:val="ParagraphTextStyle"/>
        <w:rPr>
          <w:rFonts w:asciiTheme="minorHAnsi" w:hAnsiTheme="minorHAnsi" w:cstheme="minorHAnsi"/>
          <w:sz w:val="24"/>
          <w:szCs w:val="24"/>
        </w:rPr>
      </w:pPr>
    </w:p>
    <w:p w14:paraId="6AF9D7CE" w14:textId="77777777" w:rsidR="002D6DC7" w:rsidRPr="002D6DC7" w:rsidRDefault="002D6DC7">
      <w:pPr>
        <w:rPr>
          <w:rFonts w:cstheme="minorHAnsi"/>
        </w:rPr>
      </w:pPr>
    </w:p>
    <w:sectPr w:rsidR="002D6DC7" w:rsidRPr="002D6DC7">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44F80" w14:textId="77777777" w:rsidR="00736F7A" w:rsidRDefault="00736F7A" w:rsidP="008962DF">
      <w:r>
        <w:separator/>
      </w:r>
    </w:p>
  </w:endnote>
  <w:endnote w:type="continuationSeparator" w:id="0">
    <w:p w14:paraId="7B420C7D" w14:textId="77777777" w:rsidR="00736F7A" w:rsidRDefault="00736F7A" w:rsidP="008962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dvP7B6C">
    <w:altName w:val="Cambria"/>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7F34A" w14:textId="77777777" w:rsidR="00736F7A" w:rsidRDefault="00736F7A" w:rsidP="008962DF">
      <w:r>
        <w:separator/>
      </w:r>
    </w:p>
  </w:footnote>
  <w:footnote w:type="continuationSeparator" w:id="0">
    <w:p w14:paraId="6A66AA47" w14:textId="77777777" w:rsidR="00736F7A" w:rsidRDefault="00736F7A" w:rsidP="008962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3DD05C" w14:textId="77777777" w:rsidR="008962DF" w:rsidRPr="000A0BE7" w:rsidRDefault="008962DF" w:rsidP="008962DF">
    <w:pPr>
      <w:pStyle w:val="Header"/>
      <w:rPr>
        <w:sz w:val="15"/>
        <w:szCs w:val="15"/>
      </w:rPr>
    </w:pPr>
    <w:r w:rsidRPr="000A0BE7">
      <w:rPr>
        <w:sz w:val="15"/>
        <w:szCs w:val="15"/>
      </w:rPr>
      <w:t>BSc Professional Policing Practice</w:t>
    </w:r>
  </w:p>
  <w:p w14:paraId="196F5641" w14:textId="77777777" w:rsidR="008962DF" w:rsidRPr="000A0BE7" w:rsidRDefault="008962DF" w:rsidP="008962DF">
    <w:pPr>
      <w:pStyle w:val="Header"/>
      <w:rPr>
        <w:sz w:val="15"/>
        <w:szCs w:val="15"/>
      </w:rPr>
    </w:pPr>
    <w:r w:rsidRPr="000A0BE7">
      <w:rPr>
        <w:sz w:val="15"/>
        <w:szCs w:val="15"/>
      </w:rPr>
      <w:t>Module code: BMOO5002D</w:t>
    </w:r>
  </w:p>
  <w:p w14:paraId="5F4CC69D" w14:textId="77777777" w:rsidR="008962DF" w:rsidRPr="000A0BE7" w:rsidRDefault="008962DF" w:rsidP="008962DF">
    <w:pPr>
      <w:pStyle w:val="Header"/>
      <w:rPr>
        <w:sz w:val="15"/>
        <w:szCs w:val="15"/>
      </w:rPr>
    </w:pPr>
    <w:r w:rsidRPr="000A0BE7">
      <w:rPr>
        <w:sz w:val="15"/>
        <w:szCs w:val="15"/>
      </w:rPr>
      <w:t>Miles Olding – 2236899</w:t>
    </w:r>
  </w:p>
  <w:p w14:paraId="2F332729" w14:textId="77777777" w:rsidR="008962DF" w:rsidRPr="008962DF" w:rsidRDefault="008962DF" w:rsidP="008962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029ED"/>
    <w:multiLevelType w:val="hybridMultilevel"/>
    <w:tmpl w:val="149272F8"/>
    <w:lvl w:ilvl="0" w:tplc="10B668D4">
      <w:numFmt w:val="bullet"/>
      <w:lvlText w:val="-"/>
      <w:lvlJc w:val="left"/>
      <w:pPr>
        <w:ind w:left="720" w:hanging="360"/>
      </w:pPr>
      <w:rPr>
        <w:rFonts w:ascii="AdvP7B6C" w:eastAsia="Times New Roman" w:hAnsi="AdvP7B6C" w:cs="Times New Roman"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5680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2DF"/>
    <w:rsid w:val="002D6DC7"/>
    <w:rsid w:val="00736F7A"/>
    <w:rsid w:val="008962DF"/>
    <w:rsid w:val="009727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7381A"/>
  <w15:chartTrackingRefBased/>
  <w15:docId w15:val="{4FDEE353-92F3-6740-8F5C-0FADEB386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62DF"/>
    <w:pPr>
      <w:tabs>
        <w:tab w:val="center" w:pos="4513"/>
        <w:tab w:val="right" w:pos="9026"/>
      </w:tabs>
    </w:pPr>
  </w:style>
  <w:style w:type="character" w:customStyle="1" w:styleId="HeaderChar">
    <w:name w:val="Header Char"/>
    <w:basedOn w:val="DefaultParagraphFont"/>
    <w:link w:val="Header"/>
    <w:uiPriority w:val="99"/>
    <w:rsid w:val="008962DF"/>
  </w:style>
  <w:style w:type="paragraph" w:styleId="Footer">
    <w:name w:val="footer"/>
    <w:basedOn w:val="Normal"/>
    <w:link w:val="FooterChar"/>
    <w:uiPriority w:val="99"/>
    <w:unhideWhenUsed/>
    <w:rsid w:val="008962DF"/>
    <w:pPr>
      <w:tabs>
        <w:tab w:val="center" w:pos="4513"/>
        <w:tab w:val="right" w:pos="9026"/>
      </w:tabs>
    </w:pPr>
  </w:style>
  <w:style w:type="character" w:customStyle="1" w:styleId="FooterChar">
    <w:name w:val="Footer Char"/>
    <w:basedOn w:val="DefaultParagraphFont"/>
    <w:link w:val="Footer"/>
    <w:uiPriority w:val="99"/>
    <w:rsid w:val="008962DF"/>
  </w:style>
  <w:style w:type="paragraph" w:styleId="NormalWeb">
    <w:name w:val="Normal (Web)"/>
    <w:basedOn w:val="Normal"/>
    <w:uiPriority w:val="99"/>
    <w:unhideWhenUsed/>
    <w:rsid w:val="008962D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962DF"/>
  </w:style>
  <w:style w:type="character" w:styleId="Strong">
    <w:name w:val="Strong"/>
    <w:basedOn w:val="DefaultParagraphFont"/>
    <w:uiPriority w:val="22"/>
    <w:qFormat/>
    <w:rsid w:val="008962DF"/>
    <w:rPr>
      <w:b/>
      <w:bCs/>
    </w:rPr>
  </w:style>
  <w:style w:type="paragraph" w:customStyle="1" w:styleId="ParagraphTextStyle">
    <w:name w:val="Paragraph Text Style"/>
    <w:rsid w:val="008962DF"/>
    <w:pPr>
      <w:spacing w:before="144" w:after="72" w:line="276" w:lineRule="auto"/>
    </w:pPr>
    <w:rPr>
      <w:rFonts w:ascii="Segoe UI" w:eastAsia="Segoe UI" w:hAnsi="Segoe UI" w:cs="Segoe UI"/>
      <w:color w:val="000000"/>
      <w:kern w:val="0"/>
      <w:sz w:val="26"/>
      <w:szCs w:val="26"/>
      <w:lang w:eastAsia="en-GB"/>
      <w14:ligatures w14:val="none"/>
    </w:rPr>
  </w:style>
  <w:style w:type="character" w:styleId="Hyperlink">
    <w:name w:val="Hyperlink"/>
    <w:basedOn w:val="DefaultParagraphFont"/>
    <w:uiPriority w:val="99"/>
    <w:unhideWhenUsed/>
    <w:rsid w:val="002D6D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edcraveonline.com/FRCIJ/images/FRCIJ-07-00293-g003.png"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d.ac.uk/news/2022/vulnerable-children-more-likely-to-offend-as-adult" TargetMode="External"/><Relationship Id="rId5" Type="http://schemas.openxmlformats.org/officeDocument/2006/relationships/footnotes" Target="footnotes.xml"/><Relationship Id="rId10" Type="http://schemas.openxmlformats.org/officeDocument/2006/relationships/hyperlink" Target="http://www.nspcc.org.uk/what-is-child-abuse/types-of-abuse/gangs-criminal-exploitation/" TargetMode="External"/><Relationship Id="rId4" Type="http://schemas.openxmlformats.org/officeDocument/2006/relationships/webSettings" Target="webSettings.xml"/><Relationship Id="rId9" Type="http://schemas.openxmlformats.org/officeDocument/2006/relationships/hyperlink" Target="https://doi.org/10.15406/frcij.2019.07.0029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4801</Words>
  <Characters>27368</Characters>
  <Application>Microsoft Office Word</Application>
  <DocSecurity>4</DocSecurity>
  <Lines>228</Lines>
  <Paragraphs>64</Paragraphs>
  <ScaleCrop>false</ScaleCrop>
  <Company/>
  <LinksUpToDate>false</LinksUpToDate>
  <CharactersWithSpaces>32105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Miles Olding</dc:creator>
  <cp:keywords/>
  <dc:description/>
  <cp:lastModifiedBy>Miles Olding</cp:lastModifiedBy>
  <cp:revision>2</cp:revision>
  <dcterms:created xsi:type="dcterms:W3CDTF">2024-05-12T21:54:00Z</dcterms:created>
  <dcterms:modified xsi:type="dcterms:W3CDTF">2024-05-12T21:54:00Z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2024-05-12T21:54:01Z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f2a8139d-4fa3-4317-a852-b1b1969d9a44</vt:lpwstr>
  </property>
  <property fmtid="{D5CDD505-2E9C-101B-9397-08002B2CF9AE}" pid="8" name="MSIP_Label_f2acd28b-79a3-4a0f-b0ff-4b75658b1549_ContentBits">
    <vt:lpwstr>0</vt:lpwstr>
  </property>
</Properties>
</file>