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A7C30" w14:textId="77777777" w:rsidR="002F3376" w:rsidRPr="008B39BA" w:rsidRDefault="002F3376" w:rsidP="00692131">
      <w:pPr>
        <w:spacing w:line="360" w:lineRule="auto"/>
        <w:jc w:val="center"/>
        <w:rPr>
          <w:rFonts w:ascii="Arial" w:hAnsi="Arial" w:cs="Arial"/>
          <w:sz w:val="24"/>
          <w:szCs w:val="24"/>
        </w:rPr>
      </w:pPr>
    </w:p>
    <w:p w14:paraId="24469255" w14:textId="77777777" w:rsidR="002F3376" w:rsidRPr="008B39BA" w:rsidRDefault="002F3376" w:rsidP="00692131">
      <w:pPr>
        <w:spacing w:line="360" w:lineRule="auto"/>
        <w:jc w:val="center"/>
        <w:rPr>
          <w:rFonts w:ascii="Arial" w:hAnsi="Arial" w:cs="Arial"/>
          <w:sz w:val="24"/>
          <w:szCs w:val="24"/>
        </w:rPr>
      </w:pPr>
    </w:p>
    <w:p w14:paraId="42AE273B" w14:textId="77777777" w:rsidR="002F3376" w:rsidRPr="008B39BA" w:rsidRDefault="002F3376" w:rsidP="00692131">
      <w:pPr>
        <w:spacing w:line="360" w:lineRule="auto"/>
        <w:jc w:val="center"/>
        <w:rPr>
          <w:rFonts w:ascii="Arial" w:hAnsi="Arial" w:cs="Arial"/>
          <w:sz w:val="24"/>
          <w:szCs w:val="24"/>
        </w:rPr>
      </w:pPr>
    </w:p>
    <w:p w14:paraId="322D8AF0" w14:textId="77777777" w:rsidR="002F3376" w:rsidRPr="008B39BA" w:rsidRDefault="002F3376" w:rsidP="00692131">
      <w:pPr>
        <w:spacing w:line="360" w:lineRule="auto"/>
        <w:jc w:val="center"/>
        <w:rPr>
          <w:rFonts w:ascii="Arial" w:hAnsi="Arial" w:cs="Arial"/>
          <w:sz w:val="24"/>
          <w:szCs w:val="24"/>
        </w:rPr>
      </w:pPr>
    </w:p>
    <w:p w14:paraId="60ECE19F" w14:textId="77777777" w:rsidR="00EB30B5" w:rsidRPr="008B39BA" w:rsidRDefault="00EB30B5" w:rsidP="00EB30B5">
      <w:pPr>
        <w:spacing w:line="360" w:lineRule="auto"/>
        <w:jc w:val="center"/>
        <w:rPr>
          <w:rFonts w:ascii="Arial" w:hAnsi="Arial" w:cs="Arial"/>
          <w:b/>
          <w:sz w:val="24"/>
          <w:szCs w:val="24"/>
        </w:rPr>
      </w:pPr>
      <w:r w:rsidRPr="008B39BA">
        <w:rPr>
          <w:rFonts w:ascii="Arial" w:hAnsi="Arial" w:cs="Arial"/>
          <w:sz w:val="24"/>
          <w:szCs w:val="24"/>
        </w:rPr>
        <w:t xml:space="preserve">Assignment title: </w:t>
      </w:r>
      <w:r w:rsidRPr="008B39BA">
        <w:rPr>
          <w:rFonts w:ascii="Arial" w:hAnsi="Arial" w:cs="Arial"/>
          <w:b/>
          <w:sz w:val="24"/>
          <w:szCs w:val="24"/>
        </w:rPr>
        <w:t>Task 1: Individual Written Business Plan</w:t>
      </w:r>
    </w:p>
    <w:p w14:paraId="32EC6250" w14:textId="77777777" w:rsidR="002F3376" w:rsidRPr="008B39BA" w:rsidRDefault="002F3376" w:rsidP="00692131">
      <w:pPr>
        <w:spacing w:line="360" w:lineRule="auto"/>
        <w:jc w:val="center"/>
        <w:rPr>
          <w:rFonts w:ascii="Arial" w:hAnsi="Arial" w:cs="Arial"/>
          <w:sz w:val="24"/>
          <w:szCs w:val="24"/>
        </w:rPr>
      </w:pPr>
    </w:p>
    <w:p w14:paraId="41D4F51D" w14:textId="77777777" w:rsidR="002F3376" w:rsidRPr="008B39BA" w:rsidRDefault="002F3376" w:rsidP="00692131">
      <w:pPr>
        <w:spacing w:line="360" w:lineRule="auto"/>
        <w:jc w:val="center"/>
        <w:rPr>
          <w:rFonts w:ascii="Arial" w:hAnsi="Arial" w:cs="Arial"/>
          <w:sz w:val="24"/>
          <w:szCs w:val="24"/>
        </w:rPr>
      </w:pPr>
    </w:p>
    <w:p w14:paraId="0EE804EB" w14:textId="004FEEA7" w:rsidR="005757F0" w:rsidRPr="008B39BA" w:rsidRDefault="005757F0" w:rsidP="00692131">
      <w:pPr>
        <w:spacing w:line="360" w:lineRule="auto"/>
        <w:jc w:val="center"/>
        <w:rPr>
          <w:rFonts w:ascii="Arial" w:hAnsi="Arial" w:cs="Arial"/>
          <w:sz w:val="24"/>
          <w:szCs w:val="24"/>
        </w:rPr>
      </w:pPr>
      <w:r w:rsidRPr="008B39BA">
        <w:rPr>
          <w:rFonts w:ascii="Arial" w:hAnsi="Arial" w:cs="Arial"/>
          <w:sz w:val="24"/>
          <w:szCs w:val="24"/>
        </w:rPr>
        <w:t xml:space="preserve">Name: </w:t>
      </w:r>
      <w:r w:rsidR="00EB30B5" w:rsidRPr="00EB30B5">
        <w:rPr>
          <w:rFonts w:ascii="Arial" w:hAnsi="Arial" w:cs="Arial"/>
          <w:sz w:val="24"/>
          <w:szCs w:val="24"/>
        </w:rPr>
        <w:t>Robert Andrei Filip</w:t>
      </w:r>
    </w:p>
    <w:p w14:paraId="76115780" w14:textId="6EB4E408" w:rsidR="005757F0" w:rsidRPr="008B39BA" w:rsidRDefault="005757F0" w:rsidP="00692131">
      <w:pPr>
        <w:spacing w:line="360" w:lineRule="auto"/>
        <w:jc w:val="center"/>
        <w:rPr>
          <w:rFonts w:ascii="Arial" w:hAnsi="Arial" w:cs="Arial"/>
          <w:sz w:val="24"/>
          <w:szCs w:val="24"/>
        </w:rPr>
      </w:pPr>
      <w:r w:rsidRPr="008B39BA">
        <w:rPr>
          <w:rFonts w:ascii="Arial" w:hAnsi="Arial" w:cs="Arial"/>
          <w:sz w:val="24"/>
          <w:szCs w:val="24"/>
        </w:rPr>
        <w:t>Student number:</w:t>
      </w:r>
      <w:r w:rsidR="00EB30B5">
        <w:rPr>
          <w:rFonts w:ascii="Arial" w:hAnsi="Arial" w:cs="Arial"/>
          <w:sz w:val="24"/>
          <w:szCs w:val="24"/>
        </w:rPr>
        <w:t xml:space="preserve"> </w:t>
      </w:r>
      <w:r w:rsidR="00EB30B5" w:rsidRPr="00EB30B5">
        <w:rPr>
          <w:rFonts w:ascii="Arial" w:hAnsi="Arial" w:cs="Arial"/>
          <w:sz w:val="24"/>
          <w:szCs w:val="24"/>
        </w:rPr>
        <w:t>2439387</w:t>
      </w:r>
    </w:p>
    <w:p w14:paraId="1256C92E" w14:textId="4D8B4FFA" w:rsidR="005757F0" w:rsidRPr="008B39BA" w:rsidRDefault="005757F0" w:rsidP="00692131">
      <w:pPr>
        <w:spacing w:line="360" w:lineRule="auto"/>
        <w:jc w:val="center"/>
        <w:rPr>
          <w:rFonts w:ascii="Arial" w:hAnsi="Arial" w:cs="Arial"/>
          <w:sz w:val="24"/>
          <w:szCs w:val="24"/>
        </w:rPr>
      </w:pPr>
      <w:r w:rsidRPr="008B39BA">
        <w:rPr>
          <w:rFonts w:ascii="Arial" w:hAnsi="Arial" w:cs="Arial"/>
          <w:sz w:val="24"/>
          <w:szCs w:val="24"/>
        </w:rPr>
        <w:t>Module title and code:</w:t>
      </w:r>
      <w:r w:rsidR="002F3376" w:rsidRPr="008B39BA">
        <w:rPr>
          <w:rFonts w:ascii="Arial" w:hAnsi="Arial" w:cs="Arial"/>
          <w:sz w:val="24"/>
          <w:szCs w:val="24"/>
        </w:rPr>
        <w:t xml:space="preserve"> Enterprise and Entrepreneurship; LCLM4006</w:t>
      </w:r>
    </w:p>
    <w:p w14:paraId="2670B0F8" w14:textId="1295B1BD" w:rsidR="005757F0" w:rsidRPr="008B39BA" w:rsidRDefault="005757F0" w:rsidP="00692131">
      <w:pPr>
        <w:spacing w:line="360" w:lineRule="auto"/>
        <w:jc w:val="center"/>
        <w:rPr>
          <w:rFonts w:ascii="Arial" w:hAnsi="Arial" w:cs="Arial"/>
          <w:sz w:val="24"/>
          <w:szCs w:val="24"/>
        </w:rPr>
      </w:pPr>
      <w:r w:rsidRPr="008B39BA">
        <w:rPr>
          <w:rFonts w:ascii="Arial" w:hAnsi="Arial" w:cs="Arial"/>
          <w:sz w:val="24"/>
          <w:szCs w:val="24"/>
        </w:rPr>
        <w:t>Lecturer’s name:</w:t>
      </w:r>
      <w:r w:rsidR="002F3376" w:rsidRPr="008B39BA">
        <w:rPr>
          <w:rFonts w:ascii="Arial" w:hAnsi="Arial" w:cs="Arial"/>
          <w:sz w:val="24"/>
          <w:szCs w:val="24"/>
        </w:rPr>
        <w:t xml:space="preserve"> Dr Chung Lai Johnny Wan</w:t>
      </w:r>
    </w:p>
    <w:p w14:paraId="5721B9BE" w14:textId="77777777" w:rsidR="00486AC8" w:rsidRPr="008B39BA" w:rsidRDefault="00486AC8" w:rsidP="002F3376">
      <w:pPr>
        <w:spacing w:line="360" w:lineRule="auto"/>
        <w:rPr>
          <w:rFonts w:ascii="Arial" w:hAnsi="Arial" w:cs="Arial"/>
          <w:b/>
          <w:sz w:val="24"/>
          <w:szCs w:val="24"/>
        </w:rPr>
      </w:pPr>
    </w:p>
    <w:p w14:paraId="43DF8AB6" w14:textId="77777777" w:rsidR="00486AC8" w:rsidRPr="008B39BA" w:rsidRDefault="00486AC8" w:rsidP="00692131">
      <w:pPr>
        <w:spacing w:line="360" w:lineRule="auto"/>
        <w:jc w:val="center"/>
        <w:rPr>
          <w:rFonts w:ascii="Arial" w:hAnsi="Arial" w:cs="Arial"/>
          <w:b/>
          <w:sz w:val="24"/>
          <w:szCs w:val="24"/>
        </w:rPr>
      </w:pPr>
    </w:p>
    <w:p w14:paraId="71D9360A" w14:textId="77777777" w:rsidR="00486AC8" w:rsidRPr="008B39BA" w:rsidRDefault="00486AC8" w:rsidP="00692131">
      <w:pPr>
        <w:spacing w:line="360" w:lineRule="auto"/>
        <w:jc w:val="center"/>
        <w:rPr>
          <w:rFonts w:ascii="Arial" w:hAnsi="Arial" w:cs="Arial"/>
          <w:b/>
          <w:sz w:val="24"/>
          <w:szCs w:val="24"/>
        </w:rPr>
      </w:pPr>
    </w:p>
    <w:p w14:paraId="34FB1A3D" w14:textId="77777777" w:rsidR="00486AC8" w:rsidRPr="008B39BA" w:rsidRDefault="00486AC8" w:rsidP="00692131">
      <w:pPr>
        <w:spacing w:line="360" w:lineRule="auto"/>
        <w:jc w:val="center"/>
        <w:rPr>
          <w:rFonts w:ascii="Arial" w:hAnsi="Arial" w:cs="Arial"/>
          <w:b/>
          <w:sz w:val="24"/>
          <w:szCs w:val="24"/>
        </w:rPr>
      </w:pPr>
    </w:p>
    <w:p w14:paraId="202A72B3" w14:textId="77777777" w:rsidR="00486AC8" w:rsidRPr="008B39BA" w:rsidRDefault="00486AC8" w:rsidP="00692131">
      <w:pPr>
        <w:spacing w:line="360" w:lineRule="auto"/>
        <w:jc w:val="center"/>
        <w:rPr>
          <w:rFonts w:ascii="Arial" w:hAnsi="Arial" w:cs="Arial"/>
          <w:b/>
          <w:sz w:val="24"/>
          <w:szCs w:val="24"/>
        </w:rPr>
      </w:pPr>
    </w:p>
    <w:p w14:paraId="177EFD05" w14:textId="77777777" w:rsidR="00486AC8" w:rsidRPr="008B39BA" w:rsidRDefault="00486AC8" w:rsidP="00692131">
      <w:pPr>
        <w:spacing w:line="360" w:lineRule="auto"/>
        <w:jc w:val="center"/>
        <w:rPr>
          <w:rFonts w:ascii="Arial" w:hAnsi="Arial" w:cs="Arial"/>
          <w:b/>
          <w:sz w:val="24"/>
          <w:szCs w:val="24"/>
        </w:rPr>
      </w:pPr>
    </w:p>
    <w:p w14:paraId="7DBD60EF" w14:textId="77777777" w:rsidR="00486AC8" w:rsidRPr="008B39BA" w:rsidRDefault="00486AC8" w:rsidP="00692131">
      <w:pPr>
        <w:spacing w:line="360" w:lineRule="auto"/>
        <w:jc w:val="center"/>
        <w:rPr>
          <w:rFonts w:ascii="Arial" w:hAnsi="Arial" w:cs="Arial"/>
          <w:b/>
          <w:sz w:val="24"/>
          <w:szCs w:val="24"/>
        </w:rPr>
      </w:pPr>
    </w:p>
    <w:p w14:paraId="653CB2E6" w14:textId="77777777" w:rsidR="00486AC8" w:rsidRPr="008B39BA" w:rsidRDefault="00486AC8" w:rsidP="00692131">
      <w:pPr>
        <w:spacing w:line="360" w:lineRule="auto"/>
        <w:jc w:val="center"/>
        <w:rPr>
          <w:rFonts w:ascii="Arial" w:hAnsi="Arial" w:cs="Arial"/>
          <w:b/>
          <w:sz w:val="24"/>
          <w:szCs w:val="24"/>
        </w:rPr>
      </w:pPr>
    </w:p>
    <w:p w14:paraId="64A807FB" w14:textId="77777777" w:rsidR="00486AC8" w:rsidRPr="008B39BA" w:rsidRDefault="00486AC8" w:rsidP="00692131">
      <w:pPr>
        <w:spacing w:line="360" w:lineRule="auto"/>
        <w:jc w:val="center"/>
        <w:rPr>
          <w:rFonts w:ascii="Arial" w:hAnsi="Arial" w:cs="Arial"/>
          <w:b/>
          <w:sz w:val="24"/>
          <w:szCs w:val="24"/>
        </w:rPr>
      </w:pPr>
    </w:p>
    <w:p w14:paraId="1D470DA4" w14:textId="77777777" w:rsidR="00486AC8" w:rsidRPr="008B39BA" w:rsidRDefault="00486AC8" w:rsidP="00692131">
      <w:pPr>
        <w:spacing w:line="360" w:lineRule="auto"/>
        <w:jc w:val="center"/>
        <w:rPr>
          <w:rFonts w:ascii="Arial" w:hAnsi="Arial" w:cs="Arial"/>
          <w:b/>
          <w:sz w:val="24"/>
          <w:szCs w:val="24"/>
        </w:rPr>
      </w:pPr>
    </w:p>
    <w:p w14:paraId="49E2FDCE" w14:textId="77777777" w:rsidR="00486AC8" w:rsidRPr="008B39BA" w:rsidRDefault="00486AC8" w:rsidP="00692131">
      <w:pPr>
        <w:spacing w:line="360" w:lineRule="auto"/>
        <w:jc w:val="center"/>
        <w:rPr>
          <w:rFonts w:ascii="Arial" w:hAnsi="Arial" w:cs="Arial"/>
          <w:b/>
          <w:sz w:val="24"/>
          <w:szCs w:val="24"/>
        </w:rPr>
      </w:pPr>
    </w:p>
    <w:p w14:paraId="5993BF0E" w14:textId="77777777" w:rsidR="001C452C" w:rsidRPr="008B39BA" w:rsidRDefault="001C452C" w:rsidP="002F3376">
      <w:pPr>
        <w:spacing w:line="360" w:lineRule="auto"/>
        <w:rPr>
          <w:rFonts w:ascii="Arial" w:hAnsi="Arial" w:cs="Arial"/>
          <w:b/>
          <w:sz w:val="24"/>
          <w:szCs w:val="24"/>
        </w:rPr>
      </w:pPr>
    </w:p>
    <w:p w14:paraId="141572DA" w14:textId="59507CD4" w:rsidR="001C452C" w:rsidRPr="008B39BA" w:rsidRDefault="001C452C" w:rsidP="002F3376">
      <w:pPr>
        <w:spacing w:line="360" w:lineRule="auto"/>
        <w:rPr>
          <w:rFonts w:ascii="Arial" w:hAnsi="Arial" w:cs="Arial"/>
          <w:b/>
          <w:sz w:val="24"/>
          <w:szCs w:val="24"/>
        </w:rPr>
      </w:pPr>
    </w:p>
    <w:p w14:paraId="2B6BD006" w14:textId="77777777" w:rsidR="002F3376" w:rsidRPr="008B39BA" w:rsidRDefault="002F3376" w:rsidP="00340B73">
      <w:pPr>
        <w:pStyle w:val="Heading1"/>
        <w:spacing w:line="360" w:lineRule="auto"/>
        <w:jc w:val="center"/>
        <w:rPr>
          <w:rFonts w:ascii="Arial" w:hAnsi="Arial" w:cs="Arial"/>
          <w:szCs w:val="24"/>
        </w:rPr>
      </w:pPr>
      <w:bookmarkStart w:id="0" w:name="_Toc225154751"/>
      <w:r w:rsidRPr="008B39BA">
        <w:rPr>
          <w:rFonts w:ascii="Arial" w:hAnsi="Arial" w:cs="Arial"/>
          <w:szCs w:val="24"/>
        </w:rPr>
        <w:t>Executive Summary</w:t>
      </w:r>
      <w:bookmarkEnd w:id="0"/>
    </w:p>
    <w:p w14:paraId="6218380A" w14:textId="669365D5" w:rsidR="002F3376" w:rsidRPr="008B39BA" w:rsidRDefault="002F3376" w:rsidP="002F3376">
      <w:pPr>
        <w:spacing w:line="360" w:lineRule="auto"/>
        <w:ind w:firstLine="720"/>
        <w:rPr>
          <w:rFonts w:ascii="Arial" w:hAnsi="Arial" w:cs="Arial"/>
          <w:sz w:val="24"/>
          <w:szCs w:val="24"/>
        </w:rPr>
      </w:pPr>
      <w:r w:rsidRPr="008B39BA">
        <w:rPr>
          <w:rFonts w:ascii="Arial" w:hAnsi="Arial" w:cs="Arial"/>
          <w:sz w:val="24"/>
          <w:szCs w:val="24"/>
        </w:rPr>
        <w:t xml:space="preserve">The business plan illustrates the project of Green Verdant Kitchen UK, a multicultural restaurant in London that aims at being sustainable. Evidence by its zero-waste and community-based cafe, this restaurant will demonstrate that a customer can enjoy a good meal without destroying the environment. The demand of the sustainability of the food options in the diet of people will rise as they are becoming more aware of the impact of their diets on the environment. Its brand will be a unique combination of plant-based and globally oriented dishes with a concise vision of local sourcing and zero-waste business, targeting both the residents of the UK who are environmentally conscious and international tourists who want to spend a responsible vacation in the </w:t>
      </w:r>
      <w:r w:rsidR="00CA5B2C" w:rsidRPr="008B39BA">
        <w:rPr>
          <w:rFonts w:ascii="Arial" w:hAnsi="Arial" w:cs="Arial"/>
          <w:sz w:val="24"/>
          <w:szCs w:val="24"/>
        </w:rPr>
        <w:t>country. The</w:t>
      </w:r>
      <w:r w:rsidRPr="008B39BA">
        <w:rPr>
          <w:rFonts w:ascii="Arial" w:hAnsi="Arial" w:cs="Arial"/>
          <w:sz w:val="24"/>
          <w:szCs w:val="24"/>
        </w:rPr>
        <w:t xml:space="preserve"> restaurant will be operated as a Private Limited Company (Ltd) and a lean management structure. The PESTEL-based market research provides evidence that consumer demand to eat sustainably is high, and more and more people are ready to pay more to use ethical brands (Statista, 2024). Competitive environment shows that there is a definite gap between the traditional farm-to-table British restaurants and international cuisine restaurants, which Green Verdant Kitchen UK will fill with its exclusive positioning. The restaurant will adopt digital storytelling and experiential marketing strategies as well as collaboration with the complementary local businesses whose brand ethos and message align with theirs. A startup capital of £150,000 will be required by this restaurant, which will be raised through equity investment as well as through UK government loan facility to small businesses. The initial monthly expenses comprise lease deposits, kitchen equipment and a marketing launch campaign. Breakeven analysis shows that the business is profitable at 33 to 34 customers per day, and positive cash flow is expected by Month 4. This business plan shows a differentiated idea that can be successful in the expanding sustainable foodservice market.</w:t>
      </w:r>
      <w:r w:rsidR="00CA5B2C">
        <w:rPr>
          <w:rFonts w:ascii="Arial" w:hAnsi="Arial" w:cs="Arial"/>
          <w:sz w:val="24"/>
          <w:szCs w:val="24"/>
        </w:rPr>
        <w:t xml:space="preserve"> </w:t>
      </w:r>
    </w:p>
    <w:p w14:paraId="7FD1B724" w14:textId="562ACADF" w:rsidR="002F3376" w:rsidRPr="008B39BA" w:rsidRDefault="002F3376" w:rsidP="002F3376">
      <w:pPr>
        <w:spacing w:line="360" w:lineRule="auto"/>
        <w:rPr>
          <w:rFonts w:ascii="Arial" w:hAnsi="Arial" w:cs="Arial"/>
          <w:b/>
          <w:sz w:val="24"/>
          <w:szCs w:val="24"/>
        </w:rPr>
      </w:pPr>
    </w:p>
    <w:p w14:paraId="42B5B4CA" w14:textId="4FE572D0" w:rsidR="002F3376" w:rsidRPr="008B39BA" w:rsidRDefault="002F3376" w:rsidP="002F3376">
      <w:pPr>
        <w:spacing w:line="360" w:lineRule="auto"/>
        <w:rPr>
          <w:rFonts w:ascii="Arial" w:hAnsi="Arial" w:cs="Arial"/>
          <w:b/>
          <w:sz w:val="24"/>
          <w:szCs w:val="24"/>
        </w:rPr>
      </w:pPr>
    </w:p>
    <w:p w14:paraId="30726FB4" w14:textId="31341393" w:rsidR="002F3376" w:rsidRPr="008B39BA" w:rsidRDefault="002F3376" w:rsidP="002F3376">
      <w:pPr>
        <w:spacing w:line="360" w:lineRule="auto"/>
        <w:rPr>
          <w:rFonts w:ascii="Arial" w:hAnsi="Arial" w:cs="Arial"/>
          <w:b/>
          <w:sz w:val="24"/>
          <w:szCs w:val="24"/>
        </w:rPr>
      </w:pPr>
    </w:p>
    <w:p w14:paraId="35DFB74F" w14:textId="6288216C" w:rsidR="002F3376" w:rsidRPr="008B39BA" w:rsidRDefault="002F3376" w:rsidP="002F3376">
      <w:pPr>
        <w:spacing w:line="360" w:lineRule="auto"/>
        <w:rPr>
          <w:rFonts w:ascii="Arial" w:hAnsi="Arial" w:cs="Arial"/>
          <w:b/>
          <w:sz w:val="24"/>
          <w:szCs w:val="24"/>
        </w:rPr>
      </w:pPr>
    </w:p>
    <w:p w14:paraId="1B771044" w14:textId="77777777" w:rsidR="002F3376" w:rsidRPr="008B39BA" w:rsidRDefault="002F3376" w:rsidP="002F3376">
      <w:pPr>
        <w:spacing w:line="360" w:lineRule="auto"/>
        <w:rPr>
          <w:rFonts w:ascii="Arial" w:hAnsi="Arial" w:cs="Arial"/>
          <w:b/>
          <w:sz w:val="24"/>
          <w:szCs w:val="24"/>
        </w:rPr>
      </w:pPr>
    </w:p>
    <w:sdt>
      <w:sdtPr>
        <w:rPr>
          <w:rFonts w:ascii="Arial" w:eastAsiaTheme="minorHAnsi" w:hAnsi="Arial" w:cs="Arial"/>
          <w:color w:val="auto"/>
          <w:sz w:val="24"/>
          <w:szCs w:val="24"/>
          <w:lang w:val="en-GB"/>
        </w:rPr>
        <w:id w:val="840431828"/>
        <w:docPartObj>
          <w:docPartGallery w:val="Table of Contents"/>
          <w:docPartUnique/>
        </w:docPartObj>
      </w:sdtPr>
      <w:sdtEndPr>
        <w:rPr>
          <w:b/>
          <w:bCs/>
          <w:noProof/>
        </w:rPr>
      </w:sdtEndPr>
      <w:sdtContent>
        <w:p w14:paraId="15E3C4DA" w14:textId="77777777" w:rsidR="001C452C" w:rsidRPr="008B39BA" w:rsidRDefault="001C452C" w:rsidP="00692131">
          <w:pPr>
            <w:pStyle w:val="TOCHeading"/>
            <w:spacing w:line="360" w:lineRule="auto"/>
            <w:rPr>
              <w:rFonts w:ascii="Arial" w:hAnsi="Arial" w:cs="Arial"/>
              <w:b/>
              <w:color w:val="auto"/>
              <w:sz w:val="24"/>
              <w:szCs w:val="24"/>
              <w:lang w:val="en-GB"/>
            </w:rPr>
          </w:pPr>
          <w:r w:rsidRPr="008B39BA">
            <w:rPr>
              <w:rFonts w:ascii="Arial" w:hAnsi="Arial" w:cs="Arial"/>
              <w:b/>
              <w:color w:val="auto"/>
              <w:sz w:val="24"/>
              <w:szCs w:val="24"/>
              <w:lang w:val="en-GB"/>
            </w:rPr>
            <w:t>Table of Contents</w:t>
          </w:r>
        </w:p>
        <w:p w14:paraId="5E03A6C0" w14:textId="0272CD8D" w:rsidR="001C452C" w:rsidRPr="008B39BA" w:rsidRDefault="001C452C" w:rsidP="00692131">
          <w:pPr>
            <w:pStyle w:val="TOC1"/>
            <w:tabs>
              <w:tab w:val="right" w:leader="dot" w:pos="9016"/>
            </w:tabs>
            <w:spacing w:line="360" w:lineRule="auto"/>
            <w:rPr>
              <w:rFonts w:ascii="Arial" w:hAnsi="Arial" w:cs="Arial"/>
              <w:noProof/>
              <w:sz w:val="24"/>
              <w:szCs w:val="24"/>
            </w:rPr>
          </w:pPr>
          <w:r w:rsidRPr="008B39BA">
            <w:rPr>
              <w:rFonts w:ascii="Arial" w:hAnsi="Arial" w:cs="Arial"/>
              <w:sz w:val="24"/>
              <w:szCs w:val="24"/>
            </w:rPr>
            <w:fldChar w:fldCharType="begin"/>
          </w:r>
          <w:r w:rsidRPr="008B39BA">
            <w:rPr>
              <w:rFonts w:ascii="Arial" w:hAnsi="Arial" w:cs="Arial"/>
              <w:sz w:val="24"/>
              <w:szCs w:val="24"/>
            </w:rPr>
            <w:instrText xml:space="preserve"> TOC \o "1-3" \h \z \u </w:instrText>
          </w:r>
          <w:r w:rsidRPr="008B39BA">
            <w:rPr>
              <w:rFonts w:ascii="Arial" w:hAnsi="Arial" w:cs="Arial"/>
              <w:sz w:val="24"/>
              <w:szCs w:val="24"/>
            </w:rPr>
            <w:fldChar w:fldCharType="separate"/>
          </w:r>
          <w:hyperlink w:anchor="_Toc225154751" w:history="1">
            <w:r w:rsidRPr="008B39BA">
              <w:rPr>
                <w:rStyle w:val="Hyperlink"/>
                <w:rFonts w:ascii="Arial" w:hAnsi="Arial" w:cs="Arial"/>
                <w:noProof/>
                <w:sz w:val="24"/>
                <w:szCs w:val="24"/>
              </w:rPr>
              <w:t>Executive Summary</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_Toc225154751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2</w:t>
            </w:r>
            <w:r w:rsidRPr="008B39BA">
              <w:rPr>
                <w:rFonts w:ascii="Arial" w:hAnsi="Arial" w:cs="Arial"/>
                <w:noProof/>
                <w:webHidden/>
                <w:sz w:val="24"/>
                <w:szCs w:val="24"/>
              </w:rPr>
              <w:fldChar w:fldCharType="end"/>
            </w:r>
          </w:hyperlink>
        </w:p>
        <w:p w14:paraId="4D20FF7F" w14:textId="3E473C1A" w:rsidR="001C452C" w:rsidRPr="008B39BA" w:rsidRDefault="001C452C" w:rsidP="00692131">
          <w:pPr>
            <w:pStyle w:val="TOC1"/>
            <w:tabs>
              <w:tab w:val="right" w:leader="dot" w:pos="9016"/>
            </w:tabs>
            <w:spacing w:line="360" w:lineRule="auto"/>
            <w:rPr>
              <w:rFonts w:ascii="Arial" w:hAnsi="Arial" w:cs="Arial"/>
              <w:noProof/>
              <w:sz w:val="24"/>
              <w:szCs w:val="24"/>
            </w:rPr>
          </w:pPr>
          <w:hyperlink w:anchor="_Toc225154752" w:history="1">
            <w:r w:rsidRPr="008B39BA">
              <w:rPr>
                <w:rStyle w:val="Hyperlink"/>
                <w:rFonts w:ascii="Arial" w:hAnsi="Arial" w:cs="Arial"/>
                <w:noProof/>
                <w:sz w:val="24"/>
                <w:szCs w:val="24"/>
              </w:rPr>
              <w:t>1.0 Overview of the Business Idea</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_Toc225154752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4</w:t>
            </w:r>
            <w:r w:rsidRPr="008B39BA">
              <w:rPr>
                <w:rFonts w:ascii="Arial" w:hAnsi="Arial" w:cs="Arial"/>
                <w:noProof/>
                <w:webHidden/>
                <w:sz w:val="24"/>
                <w:szCs w:val="24"/>
              </w:rPr>
              <w:fldChar w:fldCharType="end"/>
            </w:r>
          </w:hyperlink>
        </w:p>
        <w:p w14:paraId="05F68C9F" w14:textId="0D8F3623"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53" w:history="1">
            <w:r w:rsidRPr="008B39BA">
              <w:rPr>
                <w:rStyle w:val="Hyperlink"/>
                <w:rFonts w:ascii="Arial" w:hAnsi="Arial" w:cs="Arial"/>
                <w:noProof/>
                <w:sz w:val="24"/>
                <w:szCs w:val="24"/>
              </w:rPr>
              <w:t>1.1 Product and Service Offering</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_Toc225154753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4</w:t>
            </w:r>
            <w:r w:rsidRPr="008B39BA">
              <w:rPr>
                <w:rFonts w:ascii="Arial" w:hAnsi="Arial" w:cs="Arial"/>
                <w:noProof/>
                <w:webHidden/>
                <w:sz w:val="24"/>
                <w:szCs w:val="24"/>
              </w:rPr>
              <w:fldChar w:fldCharType="end"/>
            </w:r>
          </w:hyperlink>
        </w:p>
        <w:p w14:paraId="5E7D6F4D" w14:textId="3F9A16B6"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54" w:history="1">
            <w:r w:rsidRPr="008B39BA">
              <w:rPr>
                <w:rStyle w:val="Hyperlink"/>
                <w:rFonts w:ascii="Arial" w:hAnsi="Arial" w:cs="Arial"/>
                <w:noProof/>
                <w:sz w:val="24"/>
                <w:szCs w:val="24"/>
              </w:rPr>
              <w:t>1.2 Management Structure and Legal Format</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_Toc225154754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4</w:t>
            </w:r>
            <w:r w:rsidRPr="008B39BA">
              <w:rPr>
                <w:rFonts w:ascii="Arial" w:hAnsi="Arial" w:cs="Arial"/>
                <w:noProof/>
                <w:webHidden/>
                <w:sz w:val="24"/>
                <w:szCs w:val="24"/>
              </w:rPr>
              <w:fldChar w:fldCharType="end"/>
            </w:r>
          </w:hyperlink>
        </w:p>
        <w:p w14:paraId="0D23B804" w14:textId="571ECDFD" w:rsidR="001C452C" w:rsidRPr="008B39BA" w:rsidRDefault="001C452C" w:rsidP="00692131">
          <w:pPr>
            <w:pStyle w:val="TOC1"/>
            <w:tabs>
              <w:tab w:val="right" w:leader="dot" w:pos="9016"/>
            </w:tabs>
            <w:spacing w:line="360" w:lineRule="auto"/>
            <w:rPr>
              <w:rFonts w:ascii="Arial" w:hAnsi="Arial" w:cs="Arial"/>
              <w:noProof/>
              <w:sz w:val="24"/>
              <w:szCs w:val="24"/>
            </w:rPr>
          </w:pPr>
          <w:hyperlink w:anchor="_Toc225154755" w:history="1">
            <w:r w:rsidRPr="008B39BA">
              <w:rPr>
                <w:rStyle w:val="Hyperlink"/>
                <w:rFonts w:ascii="Arial" w:hAnsi="Arial" w:cs="Arial"/>
                <w:noProof/>
                <w:sz w:val="24"/>
                <w:szCs w:val="24"/>
              </w:rPr>
              <w:t>2.0 Market Research</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_Toc225154755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5</w:t>
            </w:r>
            <w:r w:rsidRPr="008B39BA">
              <w:rPr>
                <w:rFonts w:ascii="Arial" w:hAnsi="Arial" w:cs="Arial"/>
                <w:noProof/>
                <w:webHidden/>
                <w:sz w:val="24"/>
                <w:szCs w:val="24"/>
              </w:rPr>
              <w:fldChar w:fldCharType="end"/>
            </w:r>
          </w:hyperlink>
        </w:p>
        <w:p w14:paraId="2E57192B" w14:textId="4F982854"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56" w:history="1">
            <w:r w:rsidRPr="008B39BA">
              <w:rPr>
                <w:rStyle w:val="Hyperlink"/>
                <w:rFonts w:ascii="Arial" w:hAnsi="Arial" w:cs="Arial"/>
                <w:noProof/>
                <w:sz w:val="24"/>
                <w:szCs w:val="24"/>
              </w:rPr>
              <w:t>2.1 Environmental Analysis (PESTEL)</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_Toc225154756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5</w:t>
            </w:r>
            <w:r w:rsidRPr="008B39BA">
              <w:rPr>
                <w:rFonts w:ascii="Arial" w:hAnsi="Arial" w:cs="Arial"/>
                <w:noProof/>
                <w:webHidden/>
                <w:sz w:val="24"/>
                <w:szCs w:val="24"/>
              </w:rPr>
              <w:fldChar w:fldCharType="end"/>
            </w:r>
          </w:hyperlink>
        </w:p>
        <w:p w14:paraId="5E6D446F" w14:textId="332269CE" w:rsidR="001C452C" w:rsidRPr="008B39BA" w:rsidRDefault="001C452C" w:rsidP="00692131">
          <w:pPr>
            <w:pStyle w:val="TOC1"/>
            <w:tabs>
              <w:tab w:val="right" w:leader="dot" w:pos="9016"/>
            </w:tabs>
            <w:spacing w:line="360" w:lineRule="auto"/>
            <w:rPr>
              <w:rFonts w:ascii="Arial" w:hAnsi="Arial" w:cs="Arial"/>
              <w:noProof/>
              <w:sz w:val="24"/>
              <w:szCs w:val="24"/>
            </w:rPr>
          </w:pPr>
          <w:hyperlink w:anchor="_Toc225154757" w:history="1">
            <w:r w:rsidRPr="008B39BA">
              <w:rPr>
                <w:rStyle w:val="Hyperlink"/>
                <w:rFonts w:ascii="Arial" w:hAnsi="Arial" w:cs="Arial"/>
                <w:noProof/>
                <w:sz w:val="24"/>
                <w:szCs w:val="24"/>
              </w:rPr>
              <w:t>3.0 Marketing Communications</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_Toc225154757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7</w:t>
            </w:r>
            <w:r w:rsidRPr="008B39BA">
              <w:rPr>
                <w:rFonts w:ascii="Arial" w:hAnsi="Arial" w:cs="Arial"/>
                <w:noProof/>
                <w:webHidden/>
                <w:sz w:val="24"/>
                <w:szCs w:val="24"/>
              </w:rPr>
              <w:fldChar w:fldCharType="end"/>
            </w:r>
          </w:hyperlink>
        </w:p>
        <w:p w14:paraId="20E750E9" w14:textId="257C45FE"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58" w:history="1">
            <w:r w:rsidRPr="008B39BA">
              <w:rPr>
                <w:rStyle w:val="Hyperlink"/>
                <w:rFonts w:ascii="Arial" w:hAnsi="Arial" w:cs="Arial"/>
                <w:noProof/>
                <w:sz w:val="24"/>
                <w:szCs w:val="24"/>
              </w:rPr>
              <w:t>3.1 Digital Storytelling and Social Media</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_Toc225154758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7</w:t>
            </w:r>
            <w:r w:rsidRPr="008B39BA">
              <w:rPr>
                <w:rFonts w:ascii="Arial" w:hAnsi="Arial" w:cs="Arial"/>
                <w:noProof/>
                <w:webHidden/>
                <w:sz w:val="24"/>
                <w:szCs w:val="24"/>
              </w:rPr>
              <w:fldChar w:fldCharType="end"/>
            </w:r>
          </w:hyperlink>
        </w:p>
        <w:p w14:paraId="6517B46A" w14:textId="23801B12"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59" w:history="1">
            <w:r w:rsidRPr="008B39BA">
              <w:rPr>
                <w:rStyle w:val="Hyperlink"/>
                <w:rFonts w:ascii="Arial" w:hAnsi="Arial" w:cs="Arial"/>
                <w:noProof/>
                <w:sz w:val="24"/>
                <w:szCs w:val="24"/>
              </w:rPr>
              <w:t>3.2 Experiential Marketing and Public Relations</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_Toc225154759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7</w:t>
            </w:r>
            <w:r w:rsidRPr="008B39BA">
              <w:rPr>
                <w:rFonts w:ascii="Arial" w:hAnsi="Arial" w:cs="Arial"/>
                <w:noProof/>
                <w:webHidden/>
                <w:sz w:val="24"/>
                <w:szCs w:val="24"/>
              </w:rPr>
              <w:fldChar w:fldCharType="end"/>
            </w:r>
          </w:hyperlink>
        </w:p>
        <w:p w14:paraId="59712212" w14:textId="44E80D2A"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60" w:history="1">
            <w:r w:rsidRPr="008B39BA">
              <w:rPr>
                <w:rStyle w:val="Hyperlink"/>
                <w:rFonts w:ascii="Arial" w:hAnsi="Arial" w:cs="Arial"/>
                <w:noProof/>
                <w:sz w:val="24"/>
                <w:szCs w:val="24"/>
              </w:rPr>
              <w:t>3.3 Strategic Partnerships and Loyalty</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_Toc225154760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8</w:t>
            </w:r>
            <w:r w:rsidRPr="008B39BA">
              <w:rPr>
                <w:rFonts w:ascii="Arial" w:hAnsi="Arial" w:cs="Arial"/>
                <w:noProof/>
                <w:webHidden/>
                <w:sz w:val="24"/>
                <w:szCs w:val="24"/>
              </w:rPr>
              <w:fldChar w:fldCharType="end"/>
            </w:r>
          </w:hyperlink>
        </w:p>
        <w:p w14:paraId="6434E507" w14:textId="5DC0532A" w:rsidR="001C452C" w:rsidRPr="008B39BA" w:rsidRDefault="001C452C" w:rsidP="00692131">
          <w:pPr>
            <w:pStyle w:val="TOC1"/>
            <w:tabs>
              <w:tab w:val="right" w:leader="dot" w:pos="9016"/>
            </w:tabs>
            <w:spacing w:line="360" w:lineRule="auto"/>
            <w:rPr>
              <w:rFonts w:ascii="Arial" w:hAnsi="Arial" w:cs="Arial"/>
              <w:noProof/>
              <w:sz w:val="24"/>
              <w:szCs w:val="24"/>
            </w:rPr>
          </w:pPr>
          <w:hyperlink w:anchor="_Toc225154761" w:history="1">
            <w:r w:rsidRPr="008B39BA">
              <w:rPr>
                <w:rStyle w:val="Hyperlink"/>
                <w:rFonts w:ascii="Arial" w:hAnsi="Arial" w:cs="Arial"/>
                <w:noProof/>
                <w:sz w:val="24"/>
                <w:szCs w:val="24"/>
              </w:rPr>
              <w:t>4.0 Financials</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_Toc225154761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8</w:t>
            </w:r>
            <w:r w:rsidRPr="008B39BA">
              <w:rPr>
                <w:rFonts w:ascii="Arial" w:hAnsi="Arial" w:cs="Arial"/>
                <w:noProof/>
                <w:webHidden/>
                <w:sz w:val="24"/>
                <w:szCs w:val="24"/>
              </w:rPr>
              <w:fldChar w:fldCharType="end"/>
            </w:r>
          </w:hyperlink>
        </w:p>
        <w:p w14:paraId="5C432B3D" w14:textId="2DD78AC0"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62" w:history="1">
            <w:r w:rsidRPr="008B39BA">
              <w:rPr>
                <w:rStyle w:val="Hyperlink"/>
                <w:rFonts w:ascii="Arial" w:hAnsi="Arial" w:cs="Arial"/>
                <w:noProof/>
                <w:sz w:val="24"/>
                <w:szCs w:val="24"/>
              </w:rPr>
              <w:t>4.1 Funding Requirements and Sources</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_Toc225154762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8</w:t>
            </w:r>
            <w:r w:rsidRPr="008B39BA">
              <w:rPr>
                <w:rFonts w:ascii="Arial" w:hAnsi="Arial" w:cs="Arial"/>
                <w:noProof/>
                <w:webHidden/>
                <w:sz w:val="24"/>
                <w:szCs w:val="24"/>
              </w:rPr>
              <w:fldChar w:fldCharType="end"/>
            </w:r>
          </w:hyperlink>
        </w:p>
        <w:p w14:paraId="17DE9A01" w14:textId="7898808A"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63" w:history="1">
            <w:r w:rsidRPr="008B39BA">
              <w:rPr>
                <w:rStyle w:val="Hyperlink"/>
                <w:rFonts w:ascii="Arial" w:hAnsi="Arial" w:cs="Arial"/>
                <w:noProof/>
                <w:sz w:val="24"/>
                <w:szCs w:val="24"/>
              </w:rPr>
              <w:t>4.2 First Month Startup Expenses</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_Toc225154763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8</w:t>
            </w:r>
            <w:r w:rsidRPr="008B39BA">
              <w:rPr>
                <w:rFonts w:ascii="Arial" w:hAnsi="Arial" w:cs="Arial"/>
                <w:noProof/>
                <w:webHidden/>
                <w:sz w:val="24"/>
                <w:szCs w:val="24"/>
              </w:rPr>
              <w:fldChar w:fldCharType="end"/>
            </w:r>
          </w:hyperlink>
        </w:p>
        <w:p w14:paraId="51C6DFD8" w14:textId="59B3CCFA" w:rsidR="001C452C" w:rsidRPr="008B39BA" w:rsidRDefault="001C452C" w:rsidP="00692131">
          <w:pPr>
            <w:pStyle w:val="TOC2"/>
            <w:tabs>
              <w:tab w:val="right" w:leader="dot" w:pos="9016"/>
            </w:tabs>
            <w:spacing w:line="360" w:lineRule="auto"/>
            <w:rPr>
              <w:rFonts w:ascii="Arial" w:hAnsi="Arial" w:cs="Arial"/>
              <w:noProof/>
              <w:sz w:val="24"/>
              <w:szCs w:val="24"/>
            </w:rPr>
          </w:pPr>
          <w:hyperlink w:anchor="_Toc225154764" w:history="1">
            <w:r w:rsidRPr="008B39BA">
              <w:rPr>
                <w:rStyle w:val="Hyperlink"/>
                <w:rFonts w:ascii="Arial" w:hAnsi="Arial" w:cs="Arial"/>
                <w:noProof/>
                <w:sz w:val="24"/>
                <w:szCs w:val="24"/>
              </w:rPr>
              <w:t>4.3 Budgets, Cash Flow and Breakeven</w:t>
            </w:r>
            <w:r w:rsidRPr="008B39BA">
              <w:rPr>
                <w:rFonts w:ascii="Arial" w:hAnsi="Arial" w:cs="Arial"/>
                <w:noProof/>
                <w:webHidden/>
                <w:sz w:val="24"/>
                <w:szCs w:val="24"/>
              </w:rPr>
              <w:tab/>
            </w:r>
            <w:r w:rsidRPr="008B39BA">
              <w:rPr>
                <w:rFonts w:ascii="Arial" w:hAnsi="Arial" w:cs="Arial"/>
                <w:noProof/>
                <w:webHidden/>
                <w:sz w:val="24"/>
                <w:szCs w:val="24"/>
              </w:rPr>
              <w:fldChar w:fldCharType="begin"/>
            </w:r>
            <w:r w:rsidRPr="008B39BA">
              <w:rPr>
                <w:rFonts w:ascii="Arial" w:hAnsi="Arial" w:cs="Arial"/>
                <w:noProof/>
                <w:webHidden/>
                <w:sz w:val="24"/>
                <w:szCs w:val="24"/>
              </w:rPr>
              <w:instrText xml:space="preserve"> PAGEREF _Toc225154764 \h </w:instrText>
            </w:r>
            <w:r w:rsidRPr="008B39BA">
              <w:rPr>
                <w:rFonts w:ascii="Arial" w:hAnsi="Arial" w:cs="Arial"/>
                <w:noProof/>
                <w:webHidden/>
                <w:sz w:val="24"/>
                <w:szCs w:val="24"/>
              </w:rPr>
            </w:r>
            <w:r w:rsidRPr="008B39BA">
              <w:rPr>
                <w:rFonts w:ascii="Arial" w:hAnsi="Arial" w:cs="Arial"/>
                <w:noProof/>
                <w:webHidden/>
                <w:sz w:val="24"/>
                <w:szCs w:val="24"/>
              </w:rPr>
              <w:fldChar w:fldCharType="separate"/>
            </w:r>
            <w:r w:rsidR="002F3376" w:rsidRPr="008B39BA">
              <w:rPr>
                <w:rFonts w:ascii="Arial" w:hAnsi="Arial" w:cs="Arial"/>
                <w:noProof/>
                <w:webHidden/>
                <w:sz w:val="24"/>
                <w:szCs w:val="24"/>
              </w:rPr>
              <w:t>9</w:t>
            </w:r>
            <w:r w:rsidRPr="008B39BA">
              <w:rPr>
                <w:rFonts w:ascii="Arial" w:hAnsi="Arial" w:cs="Arial"/>
                <w:noProof/>
                <w:webHidden/>
                <w:sz w:val="24"/>
                <w:szCs w:val="24"/>
              </w:rPr>
              <w:fldChar w:fldCharType="end"/>
            </w:r>
          </w:hyperlink>
        </w:p>
        <w:p w14:paraId="5586463F" w14:textId="77777777" w:rsidR="001C452C" w:rsidRPr="008B39BA" w:rsidRDefault="001C452C" w:rsidP="00692131">
          <w:pPr>
            <w:spacing w:line="360" w:lineRule="auto"/>
            <w:rPr>
              <w:rFonts w:ascii="Arial" w:hAnsi="Arial" w:cs="Arial"/>
              <w:sz w:val="24"/>
              <w:szCs w:val="24"/>
            </w:rPr>
          </w:pPr>
          <w:r w:rsidRPr="008B39BA">
            <w:rPr>
              <w:rFonts w:ascii="Arial" w:hAnsi="Arial" w:cs="Arial"/>
              <w:b/>
              <w:bCs/>
              <w:noProof/>
              <w:sz w:val="24"/>
              <w:szCs w:val="24"/>
            </w:rPr>
            <w:fldChar w:fldCharType="end"/>
          </w:r>
        </w:p>
      </w:sdtContent>
    </w:sdt>
    <w:p w14:paraId="1B41C47E" w14:textId="77777777" w:rsidR="001C452C" w:rsidRPr="008B39BA" w:rsidRDefault="001C452C" w:rsidP="00692131">
      <w:pPr>
        <w:spacing w:line="360" w:lineRule="auto"/>
        <w:jc w:val="center"/>
        <w:rPr>
          <w:rFonts w:ascii="Arial" w:hAnsi="Arial" w:cs="Arial"/>
          <w:b/>
          <w:sz w:val="24"/>
          <w:szCs w:val="24"/>
        </w:rPr>
      </w:pPr>
    </w:p>
    <w:p w14:paraId="451BD4F0" w14:textId="77777777" w:rsidR="001C452C" w:rsidRPr="008B39BA" w:rsidRDefault="001C452C" w:rsidP="00692131">
      <w:pPr>
        <w:spacing w:line="360" w:lineRule="auto"/>
        <w:jc w:val="center"/>
        <w:rPr>
          <w:rFonts w:ascii="Arial" w:hAnsi="Arial" w:cs="Arial"/>
          <w:b/>
          <w:sz w:val="24"/>
          <w:szCs w:val="24"/>
        </w:rPr>
      </w:pPr>
    </w:p>
    <w:p w14:paraId="57C4D9BF" w14:textId="5E8152C0" w:rsidR="001C452C" w:rsidRPr="008B39BA" w:rsidRDefault="001C452C" w:rsidP="002F3376">
      <w:pPr>
        <w:spacing w:line="360" w:lineRule="auto"/>
        <w:rPr>
          <w:rFonts w:ascii="Arial" w:hAnsi="Arial" w:cs="Arial"/>
          <w:b/>
          <w:sz w:val="24"/>
          <w:szCs w:val="24"/>
        </w:rPr>
      </w:pPr>
    </w:p>
    <w:p w14:paraId="22508B02" w14:textId="06F19DDA" w:rsidR="002F3376" w:rsidRPr="008B39BA" w:rsidRDefault="002F3376" w:rsidP="002F3376">
      <w:pPr>
        <w:spacing w:line="360" w:lineRule="auto"/>
        <w:rPr>
          <w:rFonts w:ascii="Arial" w:hAnsi="Arial" w:cs="Arial"/>
          <w:b/>
          <w:sz w:val="24"/>
          <w:szCs w:val="24"/>
        </w:rPr>
      </w:pPr>
    </w:p>
    <w:p w14:paraId="7E416AAA" w14:textId="2EA5FDFC" w:rsidR="002F3376" w:rsidRPr="008B39BA" w:rsidRDefault="002F3376" w:rsidP="002F3376">
      <w:pPr>
        <w:spacing w:line="360" w:lineRule="auto"/>
        <w:rPr>
          <w:rFonts w:ascii="Arial" w:hAnsi="Arial" w:cs="Arial"/>
          <w:b/>
          <w:sz w:val="24"/>
          <w:szCs w:val="24"/>
        </w:rPr>
      </w:pPr>
    </w:p>
    <w:p w14:paraId="310D7AB3" w14:textId="77777777" w:rsidR="002F3376" w:rsidRPr="008B39BA" w:rsidRDefault="002F3376" w:rsidP="002F3376">
      <w:pPr>
        <w:spacing w:line="360" w:lineRule="auto"/>
        <w:rPr>
          <w:rFonts w:ascii="Arial" w:hAnsi="Arial" w:cs="Arial"/>
          <w:b/>
          <w:sz w:val="24"/>
          <w:szCs w:val="24"/>
        </w:rPr>
      </w:pPr>
    </w:p>
    <w:p w14:paraId="0DF2C798" w14:textId="77777777" w:rsidR="00486AC8" w:rsidRPr="008B39BA" w:rsidRDefault="00486AC8" w:rsidP="00692131">
      <w:pPr>
        <w:spacing w:line="360" w:lineRule="auto"/>
        <w:rPr>
          <w:rFonts w:ascii="Arial" w:hAnsi="Arial" w:cs="Arial"/>
          <w:b/>
          <w:sz w:val="24"/>
          <w:szCs w:val="24"/>
        </w:rPr>
      </w:pPr>
    </w:p>
    <w:p w14:paraId="35DFCFA9" w14:textId="77777777" w:rsidR="0096781D" w:rsidRPr="008B39BA" w:rsidRDefault="0096781D" w:rsidP="00692131">
      <w:pPr>
        <w:spacing w:line="360" w:lineRule="auto"/>
        <w:rPr>
          <w:rFonts w:ascii="Arial" w:hAnsi="Arial" w:cs="Arial"/>
          <w:b/>
          <w:sz w:val="24"/>
          <w:szCs w:val="24"/>
        </w:rPr>
      </w:pPr>
    </w:p>
    <w:p w14:paraId="365AD30C" w14:textId="77777777" w:rsidR="009C565C" w:rsidRPr="008B39BA" w:rsidRDefault="009C565C" w:rsidP="00692131">
      <w:pPr>
        <w:spacing w:line="360" w:lineRule="auto"/>
        <w:jc w:val="center"/>
        <w:rPr>
          <w:rFonts w:ascii="Arial" w:hAnsi="Arial" w:cs="Arial"/>
          <w:b/>
          <w:sz w:val="24"/>
          <w:szCs w:val="24"/>
        </w:rPr>
      </w:pPr>
    </w:p>
    <w:p w14:paraId="3E8FCB2C" w14:textId="77777777" w:rsidR="00C367BD" w:rsidRPr="008B39BA" w:rsidRDefault="00C367BD" w:rsidP="002F3376">
      <w:pPr>
        <w:spacing w:line="360" w:lineRule="auto"/>
        <w:rPr>
          <w:rFonts w:ascii="Arial" w:hAnsi="Arial" w:cs="Arial"/>
          <w:b/>
          <w:sz w:val="24"/>
          <w:szCs w:val="24"/>
        </w:rPr>
      </w:pPr>
    </w:p>
    <w:p w14:paraId="2D7229C8" w14:textId="77777777" w:rsidR="008506EB" w:rsidRPr="008B39BA" w:rsidRDefault="008D3640" w:rsidP="00692131">
      <w:pPr>
        <w:pStyle w:val="Heading1"/>
        <w:spacing w:line="360" w:lineRule="auto"/>
        <w:rPr>
          <w:rFonts w:ascii="Arial" w:hAnsi="Arial" w:cs="Arial"/>
          <w:szCs w:val="24"/>
        </w:rPr>
      </w:pPr>
      <w:bookmarkStart w:id="1" w:name="_Toc225154752"/>
      <w:r w:rsidRPr="008B39BA">
        <w:rPr>
          <w:rFonts w:ascii="Arial" w:hAnsi="Arial" w:cs="Arial"/>
          <w:szCs w:val="24"/>
        </w:rPr>
        <w:t>1.0 Overview of the Business Idea</w:t>
      </w:r>
      <w:bookmarkEnd w:id="1"/>
    </w:p>
    <w:p w14:paraId="0FB9AC7C" w14:textId="77777777" w:rsidR="00685228" w:rsidRPr="008B39BA" w:rsidRDefault="008D3640" w:rsidP="00692131">
      <w:pPr>
        <w:spacing w:line="360" w:lineRule="auto"/>
        <w:ind w:firstLine="720"/>
        <w:rPr>
          <w:rFonts w:ascii="Arial" w:hAnsi="Arial" w:cs="Arial"/>
          <w:color w:val="0F1115"/>
          <w:sz w:val="24"/>
          <w:szCs w:val="24"/>
        </w:rPr>
      </w:pPr>
      <w:bookmarkStart w:id="2" w:name="_Toc225154753"/>
      <w:r w:rsidRPr="008B39BA">
        <w:rPr>
          <w:rStyle w:val="Heading2Char"/>
          <w:rFonts w:ascii="Arial" w:hAnsi="Arial" w:cs="Arial"/>
          <w:szCs w:val="24"/>
        </w:rPr>
        <w:t xml:space="preserve">1.1 </w:t>
      </w:r>
      <w:r w:rsidR="008506EB" w:rsidRPr="008B39BA">
        <w:rPr>
          <w:rStyle w:val="Heading2Char"/>
          <w:rFonts w:ascii="Arial" w:hAnsi="Arial" w:cs="Arial"/>
          <w:szCs w:val="24"/>
        </w:rPr>
        <w:t>Product and Service Offering</w:t>
      </w:r>
      <w:bookmarkEnd w:id="2"/>
    </w:p>
    <w:p w14:paraId="611AC7D1" w14:textId="487EB40B"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sz w:val="24"/>
          <w:szCs w:val="24"/>
          <w:lang w:eastAsia=""/>
        </w:rPr>
        <w:t xml:space="preserve">Green Verdant Kitchen UK will provide a distinctive dining experience that focuses on sustainable gastronomy. Its central offering is a menu of internationally inspired dishes made entirely using British ingredients, which are in-season and locally available. This model, sometimes referred to as locavorism, has been shown to help a business considerably decrease its carbon footprint by reducing supply chains and boosting the local economy (Celso, Dutra and Dalmoro, 2025). </w:t>
      </w:r>
      <w:r w:rsidR="00567DBF" w:rsidRPr="008B39BA">
        <w:rPr>
          <w:rFonts w:ascii="Arial" w:eastAsia="Times New Roman" w:hAnsi="Arial" w:cs="Arial"/>
          <w:sz w:val="24"/>
          <w:szCs w:val="24"/>
          <w:lang w:eastAsia=""/>
        </w:rPr>
        <w:t>A plant-</w:t>
      </w:r>
      <w:r w:rsidR="00EB30B5" w:rsidRPr="008B39BA">
        <w:rPr>
          <w:rFonts w:ascii="Arial" w:eastAsia="Times New Roman" w:hAnsi="Arial" w:cs="Arial"/>
          <w:sz w:val="24"/>
          <w:szCs w:val="24"/>
          <w:lang w:eastAsia=""/>
        </w:rPr>
        <w:t>centred</w:t>
      </w:r>
      <w:r w:rsidR="00567DBF" w:rsidRPr="008B39BA">
        <w:rPr>
          <w:rFonts w:ascii="Arial" w:eastAsia="Times New Roman" w:hAnsi="Arial" w:cs="Arial"/>
          <w:sz w:val="24"/>
          <w:szCs w:val="24"/>
          <w:lang w:eastAsia=""/>
        </w:rPr>
        <w:t xml:space="preserve"> philosophy will also be incorporated into the restaurant, which will help to raise the level of interest in conscientious food among consumers (Weijers et al., 2025). The offer will include plant-based topped with morally sourced meat and fish. The plate is not exclusive to this service, which is why it is more of a zero-waste development philosophy, where sustainable packaging and energy-efficient kitchen technology help realise the core statement that the brand is all about: eco-consciousness (Zaman, 2022).</w:t>
      </w:r>
    </w:p>
    <w:p w14:paraId="5B7094A9" w14:textId="77777777" w:rsidR="00B9640B" w:rsidRPr="008B39BA" w:rsidRDefault="00B9640B" w:rsidP="00692131">
      <w:pPr>
        <w:keepNext/>
        <w:spacing w:line="360" w:lineRule="auto"/>
        <w:ind w:firstLine="720"/>
        <w:rPr>
          <w:rFonts w:ascii="Arial" w:hAnsi="Arial" w:cs="Arial"/>
          <w:sz w:val="24"/>
          <w:szCs w:val="24"/>
        </w:rPr>
      </w:pPr>
      <w:r w:rsidRPr="008B39BA">
        <w:rPr>
          <w:rFonts w:ascii="Arial" w:hAnsi="Arial" w:cs="Arial"/>
          <w:noProof/>
          <w:sz w:val="24"/>
          <w:szCs w:val="24"/>
        </w:rPr>
        <w:drawing>
          <wp:inline distT="0" distB="0" distL="0" distR="0" wp14:anchorId="57E43780" wp14:editId="6932116C">
            <wp:extent cx="3581400" cy="2387600"/>
            <wp:effectExtent l="152400" t="152400" r="361950" b="355600"/>
            <wp:docPr id="2" name="Picture 2" descr="C:\Users\ADMIN\Downloads\ChatGPT Image Mar 22, 2026, 08_12_29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Downloads\ChatGPT Image Mar 22, 2026, 08_12_29 PM.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1400" cy="2387600"/>
                    </a:xfrm>
                    <a:prstGeom prst="rect">
                      <a:avLst/>
                    </a:prstGeom>
                    <a:ln>
                      <a:noFill/>
                    </a:ln>
                    <a:effectLst>
                      <a:outerShdw blurRad="292100" dist="139700" dir="2700000" algn="tl" rotWithShape="0">
                        <a:srgbClr val="333333">
                          <a:alpha val="65000"/>
                        </a:srgbClr>
                      </a:outerShdw>
                    </a:effectLst>
                  </pic:spPr>
                </pic:pic>
              </a:graphicData>
            </a:graphic>
          </wp:inline>
        </w:drawing>
      </w:r>
    </w:p>
    <w:p w14:paraId="0903FB47" w14:textId="77777777" w:rsidR="00B9640B" w:rsidRPr="008B39BA" w:rsidRDefault="00B9640B" w:rsidP="00692131">
      <w:pPr>
        <w:pStyle w:val="Caption"/>
        <w:spacing w:line="360" w:lineRule="auto"/>
        <w:rPr>
          <w:rFonts w:ascii="Arial" w:eastAsia="Times New Roman" w:hAnsi="Arial" w:cs="Arial"/>
          <w:sz w:val="24"/>
          <w:szCs w:val="24"/>
          <w:lang w:eastAsia=""/>
        </w:rPr>
      </w:pPr>
      <w:r w:rsidRPr="008B39BA">
        <w:rPr>
          <w:rFonts w:ascii="Arial" w:hAnsi="Arial" w:cs="Arial"/>
          <w:sz w:val="24"/>
          <w:szCs w:val="24"/>
        </w:rPr>
        <w:t xml:space="preserve">Figure </w:t>
      </w:r>
      <w:r w:rsidRPr="008B39BA">
        <w:rPr>
          <w:rFonts w:ascii="Arial" w:hAnsi="Arial" w:cs="Arial"/>
          <w:sz w:val="24"/>
          <w:szCs w:val="24"/>
        </w:rPr>
        <w:fldChar w:fldCharType="begin"/>
      </w:r>
      <w:r w:rsidRPr="008B39BA">
        <w:rPr>
          <w:rFonts w:ascii="Arial" w:hAnsi="Arial" w:cs="Arial"/>
          <w:sz w:val="24"/>
          <w:szCs w:val="24"/>
        </w:rPr>
        <w:instrText xml:space="preserve"> SEQ Figure \* ARABIC </w:instrText>
      </w:r>
      <w:r w:rsidRPr="008B39BA">
        <w:rPr>
          <w:rFonts w:ascii="Arial" w:hAnsi="Arial" w:cs="Arial"/>
          <w:sz w:val="24"/>
          <w:szCs w:val="24"/>
        </w:rPr>
        <w:fldChar w:fldCharType="separate"/>
      </w:r>
      <w:r w:rsidRPr="008B39BA">
        <w:rPr>
          <w:rFonts w:ascii="Arial" w:hAnsi="Arial" w:cs="Arial"/>
          <w:noProof/>
          <w:sz w:val="24"/>
          <w:szCs w:val="24"/>
        </w:rPr>
        <w:t>1</w:t>
      </w:r>
      <w:r w:rsidRPr="008B39BA">
        <w:rPr>
          <w:rFonts w:ascii="Arial" w:hAnsi="Arial" w:cs="Arial"/>
          <w:sz w:val="24"/>
          <w:szCs w:val="24"/>
        </w:rPr>
        <w:fldChar w:fldCharType="end"/>
      </w:r>
      <w:r w:rsidRPr="008B39BA">
        <w:rPr>
          <w:rFonts w:ascii="Arial" w:hAnsi="Arial" w:cs="Arial"/>
          <w:sz w:val="24"/>
          <w:szCs w:val="24"/>
        </w:rPr>
        <w:t>:Logo</w:t>
      </w:r>
    </w:p>
    <w:p w14:paraId="78CB8B23" w14:textId="77777777" w:rsidR="00685228" w:rsidRPr="008B39BA" w:rsidRDefault="008D3640" w:rsidP="00692131">
      <w:pPr>
        <w:pStyle w:val="Heading2"/>
        <w:spacing w:line="360" w:lineRule="auto"/>
        <w:rPr>
          <w:rFonts w:ascii="Arial" w:hAnsi="Arial" w:cs="Arial"/>
          <w:szCs w:val="24"/>
        </w:rPr>
      </w:pPr>
      <w:bookmarkStart w:id="3" w:name="_Toc225154754"/>
      <w:r w:rsidRPr="008B39BA">
        <w:rPr>
          <w:rFonts w:ascii="Arial" w:hAnsi="Arial" w:cs="Arial"/>
          <w:szCs w:val="24"/>
        </w:rPr>
        <w:t>1.2 Management Structure and Legal Format</w:t>
      </w:r>
      <w:bookmarkEnd w:id="3"/>
      <w:r w:rsidRPr="008B39BA">
        <w:rPr>
          <w:rFonts w:ascii="Arial" w:hAnsi="Arial" w:cs="Arial"/>
          <w:szCs w:val="24"/>
        </w:rPr>
        <w:t xml:space="preserve"> </w:t>
      </w:r>
    </w:p>
    <w:p w14:paraId="33A5AE55" w14:textId="77777777" w:rsidR="00685228" w:rsidRPr="008B39BA" w:rsidRDefault="00E2057A"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sz w:val="24"/>
          <w:szCs w:val="24"/>
          <w:lang w:eastAsia=""/>
        </w:rPr>
        <w:t xml:space="preserve">Green Verdant Kitchen UK will adopt a </w:t>
      </w:r>
      <w:r w:rsidR="00D04AB5" w:rsidRPr="008B39BA">
        <w:rPr>
          <w:rFonts w:ascii="Arial" w:eastAsia="Times New Roman" w:hAnsi="Arial" w:cs="Arial"/>
          <w:sz w:val="24"/>
          <w:szCs w:val="24"/>
          <w:lang w:eastAsia=""/>
        </w:rPr>
        <w:t>flat and lean</w:t>
      </w:r>
      <w:r w:rsidRPr="008B39BA">
        <w:rPr>
          <w:rFonts w:ascii="Arial" w:eastAsia="Times New Roman" w:hAnsi="Arial" w:cs="Arial"/>
          <w:sz w:val="24"/>
          <w:szCs w:val="24"/>
          <w:lang w:eastAsia=""/>
        </w:rPr>
        <w:t xml:space="preserve"> structure </w:t>
      </w:r>
      <w:r w:rsidR="00D04AB5" w:rsidRPr="008B39BA">
        <w:rPr>
          <w:rFonts w:ascii="Arial" w:eastAsia="Times New Roman" w:hAnsi="Arial" w:cs="Arial"/>
          <w:sz w:val="24"/>
          <w:szCs w:val="24"/>
          <w:lang w:eastAsia=""/>
        </w:rPr>
        <w:t>in order to promote agility</w:t>
      </w:r>
      <w:r w:rsidRPr="008B39BA">
        <w:rPr>
          <w:rFonts w:ascii="Arial" w:eastAsia="Times New Roman" w:hAnsi="Arial" w:cs="Arial"/>
          <w:sz w:val="24"/>
          <w:szCs w:val="24"/>
          <w:lang w:eastAsia=""/>
        </w:rPr>
        <w:t>, as it has few management tiers between the top business management and ground-level workers</w:t>
      </w:r>
      <w:r w:rsidR="00D04AB5" w:rsidRPr="008B39BA">
        <w:rPr>
          <w:rFonts w:ascii="Arial" w:eastAsia="Times New Roman" w:hAnsi="Arial" w:cs="Arial"/>
          <w:sz w:val="24"/>
          <w:szCs w:val="24"/>
          <w:lang w:eastAsia=""/>
        </w:rPr>
        <w:t xml:space="preserve"> (EBSCO, 2021). </w:t>
      </w:r>
      <w:r w:rsidRPr="008B39BA">
        <w:rPr>
          <w:rFonts w:ascii="Arial" w:eastAsia="Times New Roman" w:hAnsi="Arial" w:cs="Arial"/>
          <w:sz w:val="24"/>
          <w:szCs w:val="24"/>
          <w:lang w:eastAsia=""/>
        </w:rPr>
        <w:t xml:space="preserve">The three major employees will include </w:t>
      </w:r>
      <w:r w:rsidR="00D04AB5" w:rsidRPr="008B39BA">
        <w:rPr>
          <w:rFonts w:ascii="Arial" w:eastAsia="Times New Roman" w:hAnsi="Arial" w:cs="Arial"/>
          <w:sz w:val="24"/>
          <w:szCs w:val="24"/>
          <w:lang w:eastAsia=""/>
        </w:rPr>
        <w:t>General Manager</w:t>
      </w:r>
      <w:r w:rsidRPr="008B39BA">
        <w:rPr>
          <w:rFonts w:ascii="Arial" w:eastAsia="Times New Roman" w:hAnsi="Arial" w:cs="Arial"/>
          <w:sz w:val="24"/>
          <w:szCs w:val="24"/>
          <w:lang w:eastAsia=""/>
        </w:rPr>
        <w:t xml:space="preserve"> responsible for supervising</w:t>
      </w:r>
      <w:r w:rsidR="00D04AB5" w:rsidRPr="008B39BA">
        <w:rPr>
          <w:rFonts w:ascii="Arial" w:eastAsia="Times New Roman" w:hAnsi="Arial" w:cs="Arial"/>
          <w:sz w:val="24"/>
          <w:szCs w:val="24"/>
          <w:lang w:eastAsia=""/>
        </w:rPr>
        <w:t xml:space="preserve"> operations and sustainability imperativ</w:t>
      </w:r>
      <w:r w:rsidRPr="008B39BA">
        <w:rPr>
          <w:rFonts w:ascii="Arial" w:eastAsia="Times New Roman" w:hAnsi="Arial" w:cs="Arial"/>
          <w:sz w:val="24"/>
          <w:szCs w:val="24"/>
          <w:lang w:eastAsia=""/>
        </w:rPr>
        <w:t xml:space="preserve">e; </w:t>
      </w:r>
      <w:r w:rsidR="00D04AB5" w:rsidRPr="008B39BA">
        <w:rPr>
          <w:rFonts w:ascii="Arial" w:eastAsia="Times New Roman" w:hAnsi="Arial" w:cs="Arial"/>
          <w:sz w:val="24"/>
          <w:szCs w:val="24"/>
          <w:lang w:eastAsia=""/>
        </w:rPr>
        <w:t xml:space="preserve">Head Chef will </w:t>
      </w:r>
      <w:r w:rsidRPr="008B39BA">
        <w:rPr>
          <w:rFonts w:ascii="Arial" w:eastAsia="Times New Roman" w:hAnsi="Arial" w:cs="Arial"/>
          <w:sz w:val="24"/>
          <w:szCs w:val="24"/>
          <w:lang w:eastAsia=""/>
        </w:rPr>
        <w:t>ensure m</w:t>
      </w:r>
      <w:r w:rsidR="00D04AB5" w:rsidRPr="008B39BA">
        <w:rPr>
          <w:rFonts w:ascii="Arial" w:eastAsia="Times New Roman" w:hAnsi="Arial" w:cs="Arial"/>
          <w:sz w:val="24"/>
          <w:szCs w:val="24"/>
          <w:lang w:eastAsia=""/>
        </w:rPr>
        <w:t>enu development and ethical sourcing</w:t>
      </w:r>
      <w:r w:rsidRPr="008B39BA">
        <w:rPr>
          <w:rFonts w:ascii="Arial" w:eastAsia="Times New Roman" w:hAnsi="Arial" w:cs="Arial"/>
          <w:sz w:val="24"/>
          <w:szCs w:val="24"/>
          <w:lang w:eastAsia=""/>
        </w:rPr>
        <w:t xml:space="preserve">; </w:t>
      </w:r>
      <w:r w:rsidR="00D04AB5" w:rsidRPr="008B39BA">
        <w:rPr>
          <w:rFonts w:ascii="Arial" w:eastAsia="Times New Roman" w:hAnsi="Arial" w:cs="Arial"/>
          <w:sz w:val="24"/>
          <w:szCs w:val="24"/>
          <w:lang w:eastAsia=""/>
        </w:rPr>
        <w:t>an</w:t>
      </w:r>
      <w:r w:rsidRPr="008B39BA">
        <w:rPr>
          <w:rFonts w:ascii="Arial" w:eastAsia="Times New Roman" w:hAnsi="Arial" w:cs="Arial"/>
          <w:sz w:val="24"/>
          <w:szCs w:val="24"/>
          <w:lang w:eastAsia=""/>
        </w:rPr>
        <w:t>d</w:t>
      </w:r>
      <w:r w:rsidR="00D04AB5" w:rsidRPr="008B39BA">
        <w:rPr>
          <w:rFonts w:ascii="Arial" w:eastAsia="Times New Roman" w:hAnsi="Arial" w:cs="Arial"/>
          <w:sz w:val="24"/>
          <w:szCs w:val="24"/>
          <w:lang w:eastAsia=""/>
        </w:rPr>
        <w:t xml:space="preserve"> Marketing and Communications</w:t>
      </w:r>
      <w:r w:rsidRPr="008B39BA">
        <w:rPr>
          <w:rFonts w:ascii="Arial" w:eastAsia="Times New Roman" w:hAnsi="Arial" w:cs="Arial"/>
          <w:sz w:val="24"/>
          <w:szCs w:val="24"/>
          <w:lang w:eastAsia=""/>
        </w:rPr>
        <w:t xml:space="preserve"> personnel will ensure </w:t>
      </w:r>
      <w:r w:rsidR="00D04AB5" w:rsidRPr="008B39BA">
        <w:rPr>
          <w:rFonts w:ascii="Arial" w:eastAsia="Times New Roman" w:hAnsi="Arial" w:cs="Arial"/>
          <w:sz w:val="24"/>
          <w:szCs w:val="24"/>
          <w:lang w:eastAsia=""/>
        </w:rPr>
        <w:t>establishment of brand storytelling and community.</w:t>
      </w:r>
      <w:r w:rsidRPr="008B39BA">
        <w:rPr>
          <w:rFonts w:ascii="Arial" w:eastAsia="Times New Roman" w:hAnsi="Arial" w:cs="Arial"/>
          <w:sz w:val="24"/>
          <w:szCs w:val="24"/>
          <w:lang w:eastAsia=""/>
        </w:rPr>
        <w:t xml:space="preserve"> </w:t>
      </w:r>
      <w:r w:rsidR="008D3640" w:rsidRPr="008B39BA">
        <w:rPr>
          <w:rFonts w:ascii="Arial" w:eastAsia="Times New Roman" w:hAnsi="Arial" w:cs="Arial"/>
          <w:sz w:val="24"/>
          <w:szCs w:val="24"/>
          <w:lang w:eastAsia=""/>
        </w:rPr>
        <w:t>The company will be registered as a Private Limited Company (Ltd) (Government of the UK, 2024). New ventures should use this form of law because it is less risky regarding liability and personal property, and it shows a more responsible and reliable picture to prospective investors.</w:t>
      </w:r>
    </w:p>
    <w:p w14:paraId="761DCD04" w14:textId="77777777" w:rsidR="008506EB" w:rsidRPr="008B39BA" w:rsidRDefault="008D3640" w:rsidP="00692131">
      <w:pPr>
        <w:pStyle w:val="Heading1"/>
        <w:spacing w:line="360" w:lineRule="auto"/>
        <w:rPr>
          <w:rFonts w:ascii="Arial" w:hAnsi="Arial" w:cs="Arial"/>
          <w:szCs w:val="24"/>
        </w:rPr>
      </w:pPr>
      <w:bookmarkStart w:id="4" w:name="_Toc225154755"/>
      <w:r w:rsidRPr="008B39BA">
        <w:rPr>
          <w:rFonts w:ascii="Arial" w:hAnsi="Arial" w:cs="Arial"/>
          <w:szCs w:val="24"/>
        </w:rPr>
        <w:t>2.</w:t>
      </w:r>
      <w:r w:rsidR="00685228" w:rsidRPr="008B39BA">
        <w:rPr>
          <w:rFonts w:ascii="Arial" w:hAnsi="Arial" w:cs="Arial"/>
          <w:szCs w:val="24"/>
        </w:rPr>
        <w:t>0</w:t>
      </w:r>
      <w:r w:rsidRPr="008B39BA">
        <w:rPr>
          <w:rFonts w:ascii="Arial" w:hAnsi="Arial" w:cs="Arial"/>
          <w:szCs w:val="24"/>
        </w:rPr>
        <w:t xml:space="preserve"> Market Research</w:t>
      </w:r>
      <w:bookmarkEnd w:id="4"/>
    </w:p>
    <w:p w14:paraId="704EFFFF" w14:textId="77777777" w:rsidR="008506EB" w:rsidRPr="008B39BA" w:rsidRDefault="008D3640" w:rsidP="00692131">
      <w:pPr>
        <w:pStyle w:val="Heading2"/>
        <w:spacing w:line="360" w:lineRule="auto"/>
        <w:ind w:firstLine="720"/>
        <w:rPr>
          <w:rFonts w:ascii="Arial" w:hAnsi="Arial" w:cs="Arial"/>
          <w:szCs w:val="24"/>
        </w:rPr>
      </w:pPr>
      <w:bookmarkStart w:id="5" w:name="_Toc225154756"/>
      <w:r w:rsidRPr="008B39BA">
        <w:rPr>
          <w:rFonts w:ascii="Arial" w:hAnsi="Arial" w:cs="Arial"/>
          <w:szCs w:val="24"/>
        </w:rPr>
        <w:t>2.1 Environmental Analysis (PESTEL)</w:t>
      </w:r>
      <w:bookmarkEnd w:id="5"/>
      <w:r w:rsidRPr="008B39BA">
        <w:rPr>
          <w:rFonts w:ascii="Arial" w:hAnsi="Arial" w:cs="Arial"/>
          <w:szCs w:val="24"/>
        </w:rPr>
        <w:t xml:space="preserve"> </w:t>
      </w:r>
    </w:p>
    <w:p w14:paraId="21BFC90F" w14:textId="77777777"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sz w:val="24"/>
          <w:szCs w:val="24"/>
          <w:lang w:eastAsia=""/>
        </w:rPr>
        <w:t>Peterdy (2025) notes that the macro-environmental factors that influence a business are analysed through a PESTEL analysis. In the case of Green Verdant Kitchen UK, there are some opportunities and challenges.</w:t>
      </w:r>
    </w:p>
    <w:p w14:paraId="5590FBD2" w14:textId="77777777" w:rsidR="002E4558" w:rsidRPr="008B39BA" w:rsidRDefault="008D3640" w:rsidP="00692131">
      <w:pPr>
        <w:spacing w:line="360" w:lineRule="auto"/>
        <w:ind w:firstLine="720"/>
        <w:rPr>
          <w:rFonts w:ascii="Arial" w:hAnsi="Arial" w:cs="Arial"/>
          <w:sz w:val="24"/>
          <w:szCs w:val="24"/>
          <w:lang w:eastAsia=""/>
        </w:rPr>
      </w:pPr>
      <w:r w:rsidRPr="008B39BA">
        <w:rPr>
          <w:rFonts w:ascii="Arial" w:eastAsia="Times New Roman" w:hAnsi="Arial" w:cs="Arial"/>
          <w:b/>
          <w:sz w:val="24"/>
          <w:szCs w:val="24"/>
          <w:lang w:eastAsia=""/>
        </w:rPr>
        <w:t xml:space="preserve">Political: </w:t>
      </w:r>
      <w:r w:rsidR="002E4558" w:rsidRPr="008B39BA">
        <w:rPr>
          <w:rFonts w:ascii="Arial" w:eastAsia="Times New Roman" w:hAnsi="Arial" w:cs="Arial"/>
          <w:sz w:val="24"/>
          <w:szCs w:val="24"/>
          <w:lang w:eastAsia=""/>
        </w:rPr>
        <w:t>With reference to Brexit, UK government policy, and especially the Environmental Land Management (ELM) program in particular, has shown that it has been keen on ensuring sustainable farming methods (Cooke and Barling, 2025). This will open direct avenues to this restaurant like collaboration with existing local farms that may be availed of these subsidies which will guarantee availability of sustainable and quality ingredients.</w:t>
      </w:r>
    </w:p>
    <w:p w14:paraId="36198A0C" w14:textId="77777777" w:rsidR="00512EC6" w:rsidRPr="008B39BA" w:rsidRDefault="008D3640" w:rsidP="00692131">
      <w:pPr>
        <w:spacing w:line="360" w:lineRule="auto"/>
        <w:ind w:firstLine="720"/>
        <w:rPr>
          <w:rFonts w:ascii="Arial" w:eastAsia="Times New Roman" w:hAnsi="Arial" w:cs="Arial"/>
          <w:b/>
          <w:sz w:val="24"/>
          <w:szCs w:val="24"/>
          <w:lang w:eastAsia=""/>
        </w:rPr>
      </w:pPr>
      <w:r w:rsidRPr="008B39BA">
        <w:rPr>
          <w:rFonts w:ascii="Arial" w:eastAsia="Times New Roman" w:hAnsi="Arial" w:cs="Arial"/>
          <w:b/>
          <w:sz w:val="24"/>
          <w:szCs w:val="24"/>
          <w:lang w:eastAsia=""/>
        </w:rPr>
        <w:t xml:space="preserve">Economic: </w:t>
      </w:r>
      <w:r w:rsidRPr="008B39BA">
        <w:rPr>
          <w:rFonts w:ascii="Arial" w:hAnsi="Arial" w:cs="Arial"/>
          <w:sz w:val="24"/>
          <w:szCs w:val="24"/>
          <w:lang w:eastAsia=""/>
        </w:rPr>
        <w:t>The sustainable goods market remains strong despite economic cracks. Statista (2024) finds that consumers across the UK would be ready to spend more on companies that are ethical and responsible in their business operations in the year 2022-2024. This demonstrates an evident understanding of ethical and environmental concerns. It implies that the high price of Green Verdant Kitchen UK caused by its sustainable business model will not be tolerated by the target market.</w:t>
      </w:r>
    </w:p>
    <w:p w14:paraId="0CD1B146" w14:textId="77777777"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b/>
          <w:sz w:val="24"/>
          <w:szCs w:val="24"/>
          <w:lang w:eastAsia=""/>
        </w:rPr>
        <w:t>Social:</w:t>
      </w:r>
      <w:r w:rsidRPr="008B39BA">
        <w:rPr>
          <w:rFonts w:ascii="Arial" w:eastAsia="Times New Roman" w:hAnsi="Arial" w:cs="Arial"/>
          <w:sz w:val="24"/>
          <w:szCs w:val="24"/>
          <w:lang w:eastAsia=""/>
        </w:rPr>
        <w:t xml:space="preserve"> A strong, sustained cultural change towards health-conscious and environmentally friendly lifestyles exists. Gym and fitness expenditure in the UK is increasing, and 18-34-year-olds are the leading spenders, with the 8 % growth contributed by this group because they are more health-conscious than nightlife (BRC, 2024). The emergence of social media trends such as Meat-Free Mondays and the overall trend of wanting to see the origin of their food would be very much in line with the restaurant philosophy of being plant-forward and local (Żakowska-Biemans, 2025).</w:t>
      </w:r>
    </w:p>
    <w:p w14:paraId="638A85C5" w14:textId="77777777"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b/>
          <w:sz w:val="24"/>
          <w:szCs w:val="24"/>
          <w:lang w:eastAsia=""/>
        </w:rPr>
        <w:t>Technological</w:t>
      </w:r>
      <w:r w:rsidRPr="008B39BA">
        <w:rPr>
          <w:rFonts w:ascii="Arial" w:eastAsia="Times New Roman" w:hAnsi="Arial" w:cs="Arial"/>
          <w:sz w:val="24"/>
          <w:szCs w:val="24"/>
          <w:lang w:eastAsia=""/>
        </w:rPr>
        <w:t xml:space="preserve">: </w:t>
      </w:r>
      <w:r w:rsidR="004934B8" w:rsidRPr="008B39BA">
        <w:rPr>
          <w:rFonts w:ascii="Arial" w:eastAsia="Times New Roman" w:hAnsi="Arial" w:cs="Arial"/>
          <w:sz w:val="24"/>
          <w:szCs w:val="24"/>
          <w:lang w:eastAsia=""/>
        </w:rPr>
        <w:t xml:space="preserve"> The current technological advancements like </w:t>
      </w:r>
      <w:r w:rsidR="00512EC6" w:rsidRPr="008B39BA">
        <w:rPr>
          <w:rFonts w:ascii="Arial" w:eastAsia="Times New Roman" w:hAnsi="Arial" w:cs="Arial"/>
          <w:sz w:val="24"/>
          <w:szCs w:val="24"/>
          <w:lang w:eastAsia=""/>
        </w:rPr>
        <w:t>AI-based inventory management systems</w:t>
      </w:r>
      <w:r w:rsidR="004934B8" w:rsidRPr="008B39BA">
        <w:rPr>
          <w:rFonts w:ascii="Arial" w:eastAsia="Times New Roman" w:hAnsi="Arial" w:cs="Arial"/>
          <w:sz w:val="24"/>
          <w:szCs w:val="24"/>
          <w:lang w:eastAsia=""/>
        </w:rPr>
        <w:t xml:space="preserve"> </w:t>
      </w:r>
      <w:r w:rsidR="00512EC6" w:rsidRPr="008B39BA">
        <w:rPr>
          <w:rFonts w:ascii="Arial" w:eastAsia="Times New Roman" w:hAnsi="Arial" w:cs="Arial"/>
          <w:sz w:val="24"/>
          <w:szCs w:val="24"/>
          <w:lang w:eastAsia=""/>
        </w:rPr>
        <w:t xml:space="preserve">in food waste management can significantly aid in achieving the zero-waste goal (Onyeaka et al., 2023). </w:t>
      </w:r>
      <w:r w:rsidR="004934B8" w:rsidRPr="008B39BA">
        <w:rPr>
          <w:rFonts w:ascii="Arial" w:eastAsia="Times New Roman" w:hAnsi="Arial" w:cs="Arial"/>
          <w:sz w:val="24"/>
          <w:szCs w:val="24"/>
          <w:lang w:eastAsia=""/>
        </w:rPr>
        <w:t xml:space="preserve">For </w:t>
      </w:r>
      <w:r w:rsidR="004934B8" w:rsidRPr="008B39BA">
        <w:rPr>
          <w:rFonts w:ascii="Arial" w:hAnsi="Arial" w:cs="Arial"/>
          <w:sz w:val="24"/>
          <w:szCs w:val="24"/>
          <w:lang w:eastAsia=""/>
        </w:rPr>
        <w:t>Green Verdant Kitchen UK, t</w:t>
      </w:r>
      <w:r w:rsidR="00512EC6" w:rsidRPr="008B39BA">
        <w:rPr>
          <w:rFonts w:ascii="Arial" w:eastAsia="Times New Roman" w:hAnsi="Arial" w:cs="Arial"/>
          <w:sz w:val="24"/>
          <w:szCs w:val="24"/>
          <w:lang w:eastAsia=""/>
        </w:rPr>
        <w:t>hese systems</w:t>
      </w:r>
      <w:r w:rsidR="004934B8" w:rsidRPr="008B39BA">
        <w:rPr>
          <w:rFonts w:ascii="Arial" w:eastAsia="Times New Roman" w:hAnsi="Arial" w:cs="Arial"/>
          <w:sz w:val="24"/>
          <w:szCs w:val="24"/>
          <w:lang w:eastAsia=""/>
        </w:rPr>
        <w:t xml:space="preserve"> will be necessary in ensuring </w:t>
      </w:r>
      <w:r w:rsidR="00512EC6" w:rsidRPr="008B39BA">
        <w:rPr>
          <w:rFonts w:ascii="Arial" w:eastAsia="Times New Roman" w:hAnsi="Arial" w:cs="Arial"/>
          <w:sz w:val="24"/>
          <w:szCs w:val="24"/>
          <w:lang w:eastAsia=""/>
        </w:rPr>
        <w:t>precise demand forecasting, reducing overordering and spoiling, two major operational problems in restaurants.</w:t>
      </w:r>
    </w:p>
    <w:p w14:paraId="543AD15F" w14:textId="77777777"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b/>
          <w:sz w:val="24"/>
          <w:szCs w:val="24"/>
          <w:lang w:eastAsia=""/>
        </w:rPr>
        <w:t>Environmental:</w:t>
      </w:r>
      <w:r w:rsidRPr="008B39BA">
        <w:rPr>
          <w:rFonts w:ascii="Arial" w:eastAsia="Times New Roman" w:hAnsi="Arial" w:cs="Arial"/>
          <w:sz w:val="24"/>
          <w:szCs w:val="24"/>
          <w:lang w:eastAsia=""/>
        </w:rPr>
        <w:t xml:space="preserve"> This is the main pillar of the business. The increasing consciousness of climate change and the environmental effects of food production, especially meat, is a leading factor behind consumer interest in sustainable dining (Deksne et al., 2025). The model of Green Verdant Kitchen UK responds to these issues directly.</w:t>
      </w:r>
    </w:p>
    <w:p w14:paraId="6F7F1E8C" w14:textId="77777777" w:rsidR="00685228"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b/>
          <w:sz w:val="24"/>
          <w:szCs w:val="24"/>
          <w:lang w:eastAsia=""/>
        </w:rPr>
        <w:t>Legal:</w:t>
      </w:r>
      <w:r w:rsidRPr="008B39BA">
        <w:rPr>
          <w:rFonts w:ascii="Arial" w:eastAsia="Times New Roman" w:hAnsi="Arial" w:cs="Arial"/>
          <w:sz w:val="24"/>
          <w:szCs w:val="24"/>
          <w:lang w:eastAsia=""/>
        </w:rPr>
        <w:t xml:space="preserve"> Some legal aspects should be observed in the UK because of the stringent food safety and labelling standards (Food Standards Agency, 2026; Food Standards Agency, 2024). Furthermore, the company should make sure that its sustainability claims are proper and supported to adhere to the consumer protection legislation on greenwashing.</w:t>
      </w:r>
    </w:p>
    <w:p w14:paraId="7AC3D66B" w14:textId="77777777" w:rsidR="00537F28" w:rsidRPr="008B39BA" w:rsidRDefault="008D3640" w:rsidP="00692131">
      <w:pPr>
        <w:spacing w:line="360" w:lineRule="auto"/>
        <w:rPr>
          <w:rFonts w:ascii="Arial" w:eastAsia="Times New Roman" w:hAnsi="Arial" w:cs="Arial"/>
          <w:color w:val="0F1115"/>
          <w:sz w:val="24"/>
          <w:szCs w:val="24"/>
          <w:lang w:eastAsia=""/>
        </w:rPr>
      </w:pPr>
      <w:r w:rsidRPr="008B39BA">
        <w:rPr>
          <w:rFonts w:ascii="Arial" w:hAnsi="Arial" w:cs="Arial"/>
          <w:b/>
          <w:sz w:val="24"/>
          <w:szCs w:val="24"/>
        </w:rPr>
        <w:t>Competitor Analysis</w:t>
      </w:r>
    </w:p>
    <w:p w14:paraId="4605C6EC" w14:textId="730F2C4C" w:rsidR="00E2057A" w:rsidRPr="008B39BA" w:rsidRDefault="004934B8" w:rsidP="00692131">
      <w:pPr>
        <w:spacing w:line="360" w:lineRule="auto"/>
        <w:ind w:firstLine="720"/>
        <w:rPr>
          <w:rFonts w:ascii="Arial" w:hAnsi="Arial" w:cs="Arial"/>
          <w:color w:val="0F1115"/>
          <w:sz w:val="24"/>
          <w:szCs w:val="24"/>
        </w:rPr>
      </w:pPr>
      <w:r w:rsidRPr="008B39BA">
        <w:rPr>
          <w:rFonts w:ascii="Arial" w:hAnsi="Arial" w:cs="Arial"/>
          <w:color w:val="0F1115"/>
          <w:sz w:val="24"/>
          <w:szCs w:val="24"/>
        </w:rPr>
        <w:t xml:space="preserve">The two primary competitive environments are traditional farm-to-table restaurants, which have competitive restaurants such as Ethicurean in Bristol and The Glasshouse in London (Blair, 2023). Though these are comparable, in that they emphasize local sourcing, they may not have a clear sustainability brand, and the menu size and menu is usually smaller and British oriented and hence limits their attractiveness to international patrons. The other category is international cuisine restaurants, and Dishoom (Indian) and Padella (Italian) in London (Dishoom, 2024). </w:t>
      </w:r>
      <w:r w:rsidR="008D3640" w:rsidRPr="008B39BA">
        <w:rPr>
          <w:rFonts w:ascii="Arial" w:hAnsi="Arial" w:cs="Arial"/>
          <w:color w:val="0F1115"/>
          <w:sz w:val="24"/>
          <w:szCs w:val="24"/>
        </w:rPr>
        <w:t xml:space="preserve">These establishments can serve the multicultural tastes of the diverse population of the capital, but tend not to focus on local or sustainable sourcing, but rather to serve authentic flavours at the expense of environmental certification. Green Verdant Kitchen UK has developed a blue ocean strategy by effectively filling this gap. </w:t>
      </w:r>
      <w:r w:rsidR="00E2057A" w:rsidRPr="008B39BA">
        <w:rPr>
          <w:rFonts w:ascii="Arial" w:hAnsi="Arial" w:cs="Arial"/>
          <w:color w:val="0F1115"/>
          <w:sz w:val="24"/>
          <w:szCs w:val="24"/>
        </w:rPr>
        <w:t xml:space="preserve">This will cover the underutilised UK market by integrating multicultural flavours with a basic concern of sustainability and local sourcing. Local sourcing is a technique to improve </w:t>
      </w:r>
      <w:r w:rsidR="00EB30B5" w:rsidRPr="008B39BA">
        <w:rPr>
          <w:rFonts w:ascii="Arial" w:hAnsi="Arial" w:cs="Arial"/>
          <w:color w:val="0F1115"/>
          <w:sz w:val="24"/>
          <w:szCs w:val="24"/>
        </w:rPr>
        <w:t>flavour</w:t>
      </w:r>
      <w:r w:rsidR="00E2057A" w:rsidRPr="008B39BA">
        <w:rPr>
          <w:rFonts w:ascii="Arial" w:hAnsi="Arial" w:cs="Arial"/>
          <w:color w:val="0F1115"/>
          <w:sz w:val="24"/>
          <w:szCs w:val="24"/>
        </w:rPr>
        <w:t xml:space="preserve">, mainly due to high freshness and harvest ripeness, which are translated into a more </w:t>
      </w:r>
      <w:r w:rsidR="00EB30B5" w:rsidRPr="008B39BA">
        <w:rPr>
          <w:rFonts w:ascii="Arial" w:hAnsi="Arial" w:cs="Arial"/>
          <w:color w:val="0F1115"/>
          <w:sz w:val="24"/>
          <w:szCs w:val="24"/>
        </w:rPr>
        <w:t>colourful</w:t>
      </w:r>
      <w:r w:rsidR="00E2057A" w:rsidRPr="008B39BA">
        <w:rPr>
          <w:rFonts w:ascii="Arial" w:hAnsi="Arial" w:cs="Arial"/>
          <w:color w:val="0F1115"/>
          <w:sz w:val="24"/>
          <w:szCs w:val="24"/>
        </w:rPr>
        <w:t xml:space="preserve"> and sophisticated taste experience. This is its primary competitive advantage because it can not only appeal to locals, who desire to have an ethical meal, but also to foreigners, who desire to </w:t>
      </w:r>
      <w:r w:rsidR="00EB30B5" w:rsidRPr="008B39BA">
        <w:rPr>
          <w:rFonts w:ascii="Arial" w:hAnsi="Arial" w:cs="Arial"/>
          <w:color w:val="0F1115"/>
          <w:sz w:val="24"/>
          <w:szCs w:val="24"/>
        </w:rPr>
        <w:t>savour</w:t>
      </w:r>
      <w:r w:rsidR="00E2057A" w:rsidRPr="008B39BA">
        <w:rPr>
          <w:rFonts w:ascii="Arial" w:hAnsi="Arial" w:cs="Arial"/>
          <w:color w:val="0F1115"/>
          <w:sz w:val="24"/>
          <w:szCs w:val="24"/>
        </w:rPr>
        <w:t xml:space="preserve"> the worldly flavours in a sustainable setting (Tang and Chin, 2024).</w:t>
      </w:r>
    </w:p>
    <w:p w14:paraId="66AD35E8" w14:textId="77777777" w:rsidR="00BC3662" w:rsidRPr="008B39BA" w:rsidRDefault="008D3640" w:rsidP="00692131">
      <w:pPr>
        <w:pStyle w:val="Heading1"/>
        <w:spacing w:line="360" w:lineRule="auto"/>
        <w:rPr>
          <w:rFonts w:ascii="Arial" w:hAnsi="Arial" w:cs="Arial"/>
          <w:szCs w:val="24"/>
        </w:rPr>
      </w:pPr>
      <w:bookmarkStart w:id="6" w:name="_Toc225154757"/>
      <w:r w:rsidRPr="008B39BA">
        <w:rPr>
          <w:rFonts w:ascii="Arial" w:hAnsi="Arial" w:cs="Arial"/>
          <w:szCs w:val="24"/>
        </w:rPr>
        <w:t>3.0 Marketing Communications</w:t>
      </w:r>
      <w:bookmarkEnd w:id="6"/>
    </w:p>
    <w:p w14:paraId="1DF9EDE2" w14:textId="77777777" w:rsidR="00BC3662"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sz w:val="24"/>
          <w:szCs w:val="24"/>
          <w:lang w:eastAsia=""/>
        </w:rPr>
        <w:t xml:space="preserve">The main objective </w:t>
      </w:r>
      <w:r w:rsidR="00AF4447" w:rsidRPr="008B39BA">
        <w:rPr>
          <w:rFonts w:ascii="Arial" w:eastAsia="Times New Roman" w:hAnsi="Arial" w:cs="Arial"/>
          <w:sz w:val="24"/>
          <w:szCs w:val="24"/>
          <w:lang w:eastAsia=""/>
        </w:rPr>
        <w:t xml:space="preserve">of Green Verdant Kitchen UK </w:t>
      </w:r>
      <w:r w:rsidRPr="008B39BA">
        <w:rPr>
          <w:rFonts w:ascii="Arial" w:eastAsia="Times New Roman" w:hAnsi="Arial" w:cs="Arial"/>
          <w:sz w:val="24"/>
          <w:szCs w:val="24"/>
          <w:lang w:eastAsia=""/>
        </w:rPr>
        <w:t xml:space="preserve">is to create a robust brand image which appeals to the sustainability-focused local population and to the culturally curious foreign tourists. </w:t>
      </w:r>
      <w:r w:rsidR="00692131" w:rsidRPr="008B39BA">
        <w:rPr>
          <w:rFonts w:ascii="Arial" w:eastAsia="Times New Roman" w:hAnsi="Arial" w:cs="Arial"/>
          <w:sz w:val="24"/>
          <w:szCs w:val="24"/>
          <w:lang w:eastAsia=""/>
        </w:rPr>
        <w:t>The marketing communication will be enhanced through collaborations, d</w:t>
      </w:r>
      <w:r w:rsidRPr="008B39BA">
        <w:rPr>
          <w:rFonts w:ascii="Arial" w:eastAsia="Times New Roman" w:hAnsi="Arial" w:cs="Arial"/>
          <w:sz w:val="24"/>
          <w:szCs w:val="24"/>
          <w:lang w:eastAsia=""/>
        </w:rPr>
        <w:t>igital stories</w:t>
      </w:r>
      <w:r w:rsidR="00692131" w:rsidRPr="008B39BA">
        <w:rPr>
          <w:rFonts w:ascii="Arial" w:eastAsia="Times New Roman" w:hAnsi="Arial" w:cs="Arial"/>
          <w:sz w:val="24"/>
          <w:szCs w:val="24"/>
          <w:lang w:eastAsia=""/>
        </w:rPr>
        <w:t xml:space="preserve"> and </w:t>
      </w:r>
      <w:r w:rsidRPr="008B39BA">
        <w:rPr>
          <w:rFonts w:ascii="Arial" w:eastAsia="Times New Roman" w:hAnsi="Arial" w:cs="Arial"/>
          <w:sz w:val="24"/>
          <w:szCs w:val="24"/>
          <w:lang w:eastAsia=""/>
        </w:rPr>
        <w:t>experiential marketing</w:t>
      </w:r>
      <w:r w:rsidR="00692131" w:rsidRPr="008B39BA">
        <w:rPr>
          <w:rFonts w:ascii="Arial" w:eastAsia="Times New Roman" w:hAnsi="Arial" w:cs="Arial"/>
          <w:sz w:val="24"/>
          <w:szCs w:val="24"/>
          <w:lang w:eastAsia=""/>
        </w:rPr>
        <w:t>, and hence making culturally relevant visual storytelling essential for effective engagement.</w:t>
      </w:r>
    </w:p>
    <w:p w14:paraId="1827C076" w14:textId="77777777" w:rsidR="00BC3662" w:rsidRPr="008B39BA" w:rsidRDefault="008D3640" w:rsidP="00692131">
      <w:pPr>
        <w:pStyle w:val="Heading2"/>
        <w:spacing w:line="360" w:lineRule="auto"/>
        <w:ind w:firstLine="720"/>
        <w:rPr>
          <w:rFonts w:ascii="Arial" w:hAnsi="Arial" w:cs="Arial"/>
          <w:szCs w:val="24"/>
        </w:rPr>
      </w:pPr>
      <w:bookmarkStart w:id="7" w:name="_Toc225154758"/>
      <w:r w:rsidRPr="008B39BA">
        <w:rPr>
          <w:rFonts w:ascii="Arial" w:hAnsi="Arial" w:cs="Arial"/>
          <w:szCs w:val="24"/>
        </w:rPr>
        <w:t>3.1 Digital Storytelling and Social Media</w:t>
      </w:r>
      <w:bookmarkEnd w:id="7"/>
      <w:r w:rsidRPr="008B39BA">
        <w:rPr>
          <w:rFonts w:ascii="Arial" w:hAnsi="Arial" w:cs="Arial"/>
          <w:szCs w:val="24"/>
        </w:rPr>
        <w:t xml:space="preserve"> </w:t>
      </w:r>
    </w:p>
    <w:p w14:paraId="480F1BAD" w14:textId="713373E4" w:rsidR="004934B8" w:rsidRPr="008B39BA" w:rsidRDefault="004934B8"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sz w:val="24"/>
          <w:szCs w:val="24"/>
          <w:lang w:eastAsia=""/>
        </w:rPr>
        <w:t xml:space="preserve">The online presence will form the basis of brand communication, whereby a more transparent and narrative approach will be adopted, rather than merely the presentation of food photography (Mandung, 2024). Prasanna and Priyanka (2024) support this as they not that modern consumers, particularly the Millennials and Gen Z, demand authenticity and would be more apt to believe in the brands that do not hide its sourcing and ethical practices. Social media platforms like including Instagram and Tik Tok will be used by Green Verdant Kitchen UK to ensure </w:t>
      </w:r>
      <w:r w:rsidR="00EB30B5" w:rsidRPr="008B39BA">
        <w:rPr>
          <w:rFonts w:ascii="Arial" w:eastAsia="Times New Roman" w:hAnsi="Arial" w:cs="Arial"/>
          <w:sz w:val="24"/>
          <w:szCs w:val="24"/>
          <w:lang w:eastAsia=""/>
        </w:rPr>
        <w:t>efficient</w:t>
      </w:r>
      <w:r w:rsidRPr="008B39BA">
        <w:rPr>
          <w:rFonts w:ascii="Arial" w:eastAsia="Times New Roman" w:hAnsi="Arial" w:cs="Arial"/>
          <w:sz w:val="24"/>
          <w:szCs w:val="24"/>
          <w:lang w:eastAsia=""/>
        </w:rPr>
        <w:t xml:space="preserve"> reach to target customers through creation of short-video contents that </w:t>
      </w:r>
      <w:r w:rsidR="008B39BA" w:rsidRPr="008B39BA">
        <w:rPr>
          <w:rFonts w:ascii="Arial" w:eastAsia="Times New Roman" w:hAnsi="Arial" w:cs="Arial"/>
          <w:sz w:val="24"/>
          <w:szCs w:val="24"/>
          <w:lang w:eastAsia=""/>
        </w:rPr>
        <w:t>includes partner</w:t>
      </w:r>
      <w:r w:rsidRPr="008B39BA">
        <w:rPr>
          <w:rFonts w:ascii="Arial" w:eastAsia="Times New Roman" w:hAnsi="Arial" w:cs="Arial"/>
          <w:sz w:val="24"/>
          <w:szCs w:val="24"/>
          <w:lang w:eastAsia=""/>
        </w:rPr>
        <w:t xml:space="preserve"> farms, interviews with local suppliers, and back-of-the-scene shots of how the kitchen handles zero waste (Lewis, Addison-Smith and Middha, 2025). This digital and social media strategy ensures efficient credibility and can convey the essence of the brand directly as opposed to its competitors who offer nothing but sell on looks. </w:t>
      </w:r>
    </w:p>
    <w:p w14:paraId="06A58728" w14:textId="77777777" w:rsidR="00BC3662" w:rsidRPr="008B39BA" w:rsidRDefault="008D3640" w:rsidP="00692131">
      <w:pPr>
        <w:pStyle w:val="Heading2"/>
        <w:spacing w:line="360" w:lineRule="auto"/>
        <w:ind w:firstLine="720"/>
        <w:rPr>
          <w:rFonts w:ascii="Arial" w:hAnsi="Arial" w:cs="Arial"/>
          <w:szCs w:val="24"/>
        </w:rPr>
      </w:pPr>
      <w:bookmarkStart w:id="8" w:name="_Toc225154759"/>
      <w:r w:rsidRPr="008B39BA">
        <w:rPr>
          <w:rFonts w:ascii="Arial" w:hAnsi="Arial" w:cs="Arial"/>
          <w:szCs w:val="24"/>
        </w:rPr>
        <w:t>3.2 Experiential Marketing and Public Relations</w:t>
      </w:r>
      <w:bookmarkEnd w:id="8"/>
      <w:r w:rsidRPr="008B39BA">
        <w:rPr>
          <w:rFonts w:ascii="Arial" w:hAnsi="Arial" w:cs="Arial"/>
          <w:szCs w:val="24"/>
        </w:rPr>
        <w:t xml:space="preserve"> </w:t>
      </w:r>
    </w:p>
    <w:p w14:paraId="173EABB4" w14:textId="77777777" w:rsidR="00123FDF" w:rsidRPr="008B39BA" w:rsidRDefault="00123FDF" w:rsidP="00692131">
      <w:pPr>
        <w:spacing w:line="360" w:lineRule="auto"/>
        <w:ind w:firstLine="720"/>
        <w:rPr>
          <w:rFonts w:ascii="Arial" w:eastAsia="Times New Roman" w:hAnsi="Arial" w:cs="Arial"/>
          <w:color w:val="0F1115"/>
          <w:sz w:val="24"/>
          <w:szCs w:val="24"/>
          <w:lang w:eastAsia=""/>
        </w:rPr>
      </w:pPr>
      <w:r w:rsidRPr="008B39BA">
        <w:rPr>
          <w:rFonts w:ascii="Arial" w:eastAsia="Times New Roman" w:hAnsi="Arial" w:cs="Arial"/>
          <w:color w:val="0F1115"/>
          <w:sz w:val="24"/>
          <w:szCs w:val="24"/>
          <w:lang w:eastAsia=""/>
        </w:rPr>
        <w:t xml:space="preserve">The concept of experiential marketing will be incorporated by </w:t>
      </w:r>
      <w:r w:rsidR="008D3640" w:rsidRPr="008B39BA">
        <w:rPr>
          <w:rFonts w:ascii="Arial" w:eastAsia="Times New Roman" w:hAnsi="Arial" w:cs="Arial"/>
          <w:color w:val="0F1115"/>
          <w:sz w:val="24"/>
          <w:szCs w:val="24"/>
          <w:lang w:eastAsia=""/>
        </w:rPr>
        <w:t xml:space="preserve">Green Verdant Kitchen UK to attract local and international customers. Monthly events like Meet the Farmer dinners will be held in the restaurant, where the guests can meet the local producers themselves, who provide the ingredients (Magx, 2025). This forms a memorable and distinctive dining experience that gives a strong competitive edge. </w:t>
      </w:r>
      <w:r w:rsidRPr="008B39BA">
        <w:rPr>
          <w:rFonts w:ascii="Arial" w:eastAsia="Times New Roman" w:hAnsi="Arial" w:cs="Arial"/>
          <w:color w:val="0F1115"/>
          <w:sz w:val="24"/>
          <w:szCs w:val="24"/>
          <w:lang w:eastAsia=""/>
        </w:rPr>
        <w:t xml:space="preserve">In the case of foreigners, the cooperation with local tourism boards and the appearance when it comes to sustainable tourism directories will be considered a priority. Ducker (2025) indicated that sustainability is one of the aspects that are increasingly becoming prominent among travellers in their selection of dining experiences. Putting the business in magazines like </w:t>
      </w:r>
      <w:r w:rsidR="001C452C" w:rsidRPr="008B39BA">
        <w:rPr>
          <w:rFonts w:ascii="Arial" w:eastAsia="Times New Roman" w:hAnsi="Arial" w:cs="Arial"/>
          <w:color w:val="0F1115"/>
          <w:sz w:val="24"/>
          <w:szCs w:val="24"/>
          <w:lang w:eastAsia=""/>
        </w:rPr>
        <w:t>“</w:t>
      </w:r>
      <w:r w:rsidRPr="008B39BA">
        <w:rPr>
          <w:rFonts w:ascii="Arial" w:eastAsia="Times New Roman" w:hAnsi="Arial" w:cs="Arial"/>
          <w:color w:val="0F1115"/>
          <w:sz w:val="24"/>
          <w:szCs w:val="24"/>
          <w:lang w:eastAsia=""/>
        </w:rPr>
        <w:t>The Ethical Foodies Guide to London</w:t>
      </w:r>
      <w:r w:rsidR="001C452C" w:rsidRPr="008B39BA">
        <w:rPr>
          <w:rFonts w:ascii="Arial" w:eastAsia="Times New Roman" w:hAnsi="Arial" w:cs="Arial"/>
          <w:color w:val="0F1115"/>
          <w:sz w:val="24"/>
          <w:szCs w:val="24"/>
          <w:lang w:eastAsia=""/>
        </w:rPr>
        <w:t>”</w:t>
      </w:r>
      <w:r w:rsidRPr="008B39BA">
        <w:rPr>
          <w:rFonts w:ascii="Arial" w:eastAsia="Times New Roman" w:hAnsi="Arial" w:cs="Arial"/>
          <w:color w:val="0F1115"/>
          <w:sz w:val="24"/>
          <w:szCs w:val="24"/>
          <w:lang w:eastAsia=""/>
        </w:rPr>
        <w:t xml:space="preserve"> will be a good way to reach the target market of international tourists who require to experience authentic and responsible food.</w:t>
      </w:r>
    </w:p>
    <w:p w14:paraId="5A4DC545" w14:textId="77777777" w:rsidR="00BC3662" w:rsidRPr="008B39BA" w:rsidRDefault="008D3640" w:rsidP="00692131">
      <w:pPr>
        <w:pStyle w:val="Heading2"/>
        <w:spacing w:line="360" w:lineRule="auto"/>
        <w:ind w:firstLine="720"/>
        <w:rPr>
          <w:rFonts w:ascii="Arial" w:hAnsi="Arial" w:cs="Arial"/>
          <w:szCs w:val="24"/>
        </w:rPr>
      </w:pPr>
      <w:bookmarkStart w:id="9" w:name="_Toc225154760"/>
      <w:r w:rsidRPr="008B39BA">
        <w:rPr>
          <w:rFonts w:ascii="Arial" w:hAnsi="Arial" w:cs="Arial"/>
          <w:szCs w:val="24"/>
        </w:rPr>
        <w:t>3.3 Strategic Partnerships and Loyalty</w:t>
      </w:r>
      <w:bookmarkEnd w:id="9"/>
    </w:p>
    <w:p w14:paraId="7495E0B3" w14:textId="77777777" w:rsidR="00123FDF" w:rsidRPr="008B39BA" w:rsidRDefault="00123FDF" w:rsidP="00692131">
      <w:pPr>
        <w:spacing w:line="360" w:lineRule="auto"/>
        <w:rPr>
          <w:rFonts w:ascii="Arial" w:eastAsia="Times New Roman" w:hAnsi="Arial" w:cs="Arial"/>
          <w:color w:val="0F1115"/>
          <w:sz w:val="24"/>
          <w:szCs w:val="24"/>
          <w:lang w:eastAsia=""/>
        </w:rPr>
      </w:pPr>
      <w:r w:rsidRPr="008B39BA">
        <w:rPr>
          <w:rFonts w:ascii="Arial" w:eastAsia="Times New Roman" w:hAnsi="Arial" w:cs="Arial"/>
          <w:color w:val="0F1115"/>
          <w:sz w:val="24"/>
          <w:szCs w:val="24"/>
          <w:lang w:eastAsia=""/>
        </w:rPr>
        <w:t xml:space="preserve">The marketing strategy will be focused on building a community of loyal customers through strategic alliances and value-based loyalty program as well. Collaboration with local environmental organisations or urban gardening projects will also underpin the sustainability strategy of the brand and could lead to favourable publicity and jointly branded events (Palakshappa, Bulmer and Dodds, 2024). A digital loyalty program will reward repeat customers not only with discounts, but with more useful sustainability projects, such as a tree planted with every ten visits. This approach transcends transactional marketing to its way of establishing a sense of emotional connection to the customer that results in longer brand loyalty. These three pillars will ensure that Green Verdant Kitchen UK </w:t>
      </w:r>
      <w:r w:rsidR="00C6147C" w:rsidRPr="008B39BA">
        <w:rPr>
          <w:rFonts w:ascii="Arial" w:eastAsia="Times New Roman" w:hAnsi="Arial" w:cs="Arial"/>
          <w:color w:val="0F1115"/>
          <w:sz w:val="24"/>
          <w:szCs w:val="24"/>
          <w:lang w:eastAsia=""/>
        </w:rPr>
        <w:t xml:space="preserve">ensure efficient </w:t>
      </w:r>
      <w:r w:rsidRPr="008B39BA">
        <w:rPr>
          <w:rFonts w:ascii="Arial" w:eastAsia="Times New Roman" w:hAnsi="Arial" w:cs="Arial"/>
          <w:color w:val="0F1115"/>
          <w:sz w:val="24"/>
          <w:szCs w:val="24"/>
          <w:lang w:eastAsia=""/>
        </w:rPr>
        <w:t xml:space="preserve">marketing communications </w:t>
      </w:r>
      <w:r w:rsidR="00C6147C" w:rsidRPr="008B39BA">
        <w:rPr>
          <w:rFonts w:ascii="Arial" w:eastAsia="Times New Roman" w:hAnsi="Arial" w:cs="Arial"/>
          <w:color w:val="0F1115"/>
          <w:sz w:val="24"/>
          <w:szCs w:val="24"/>
          <w:lang w:eastAsia=""/>
        </w:rPr>
        <w:t xml:space="preserve">and improved </w:t>
      </w:r>
      <w:r w:rsidRPr="008B39BA">
        <w:rPr>
          <w:rFonts w:ascii="Arial" w:eastAsia="Times New Roman" w:hAnsi="Arial" w:cs="Arial"/>
          <w:color w:val="0F1115"/>
          <w:sz w:val="24"/>
          <w:szCs w:val="24"/>
          <w:lang w:eastAsia=""/>
        </w:rPr>
        <w:t>core brand identity.</w:t>
      </w:r>
    </w:p>
    <w:p w14:paraId="34DA1DCD" w14:textId="77777777" w:rsidR="00971BD9" w:rsidRPr="008B39BA" w:rsidRDefault="008D3640" w:rsidP="00692131">
      <w:pPr>
        <w:pStyle w:val="Heading1"/>
        <w:spacing w:line="360" w:lineRule="auto"/>
        <w:rPr>
          <w:rFonts w:ascii="Arial" w:hAnsi="Arial" w:cs="Arial"/>
          <w:szCs w:val="24"/>
        </w:rPr>
      </w:pPr>
      <w:bookmarkStart w:id="10" w:name="_Toc225154761"/>
      <w:r w:rsidRPr="008B39BA">
        <w:rPr>
          <w:rFonts w:ascii="Arial" w:hAnsi="Arial" w:cs="Arial"/>
          <w:szCs w:val="24"/>
        </w:rPr>
        <w:t>4.</w:t>
      </w:r>
      <w:r w:rsidR="00BC3662" w:rsidRPr="008B39BA">
        <w:rPr>
          <w:rFonts w:ascii="Arial" w:hAnsi="Arial" w:cs="Arial"/>
          <w:szCs w:val="24"/>
        </w:rPr>
        <w:t>0</w:t>
      </w:r>
      <w:r w:rsidRPr="008B39BA">
        <w:rPr>
          <w:rFonts w:ascii="Arial" w:hAnsi="Arial" w:cs="Arial"/>
          <w:szCs w:val="24"/>
        </w:rPr>
        <w:t xml:space="preserve"> Financials</w:t>
      </w:r>
      <w:bookmarkEnd w:id="10"/>
    </w:p>
    <w:p w14:paraId="2EB6152B" w14:textId="77777777" w:rsidR="00803353" w:rsidRPr="008B39BA" w:rsidRDefault="008D3640" w:rsidP="00692131">
      <w:pPr>
        <w:pStyle w:val="Heading2"/>
        <w:spacing w:line="360" w:lineRule="auto"/>
        <w:ind w:firstLine="720"/>
        <w:rPr>
          <w:rFonts w:ascii="Arial" w:hAnsi="Arial" w:cs="Arial"/>
          <w:szCs w:val="24"/>
        </w:rPr>
      </w:pPr>
      <w:bookmarkStart w:id="11" w:name="_Toc225154762"/>
      <w:r w:rsidRPr="008B39BA">
        <w:rPr>
          <w:rFonts w:ascii="Arial" w:hAnsi="Arial" w:cs="Arial"/>
          <w:szCs w:val="24"/>
        </w:rPr>
        <w:t xml:space="preserve">4.1 </w:t>
      </w:r>
      <w:r w:rsidR="00971BD9" w:rsidRPr="008B39BA">
        <w:rPr>
          <w:rFonts w:ascii="Arial" w:hAnsi="Arial" w:cs="Arial"/>
          <w:szCs w:val="24"/>
        </w:rPr>
        <w:t>Funding Requirements and Sources</w:t>
      </w:r>
      <w:bookmarkEnd w:id="11"/>
    </w:p>
    <w:p w14:paraId="1A56E857" w14:textId="6DEECD71" w:rsidR="00201522" w:rsidRPr="008B39BA" w:rsidRDefault="008D3640" w:rsidP="00692131">
      <w:pPr>
        <w:spacing w:line="360" w:lineRule="auto"/>
        <w:ind w:firstLine="720"/>
        <w:rPr>
          <w:rFonts w:ascii="Arial" w:hAnsi="Arial" w:cs="Arial"/>
          <w:sz w:val="24"/>
          <w:szCs w:val="24"/>
        </w:rPr>
      </w:pPr>
      <w:r w:rsidRPr="008B39BA">
        <w:rPr>
          <w:rFonts w:ascii="Arial" w:hAnsi="Arial" w:cs="Arial"/>
          <w:sz w:val="24"/>
          <w:szCs w:val="24"/>
        </w:rPr>
        <w:t>Green Verdant Kitchen UK needs a startup fund of £150,000</w:t>
      </w:r>
      <w:r w:rsidR="00AD7501" w:rsidRPr="008B39BA">
        <w:rPr>
          <w:rFonts w:ascii="Arial" w:hAnsi="Arial" w:cs="Arial"/>
          <w:sz w:val="24"/>
          <w:szCs w:val="24"/>
        </w:rPr>
        <w:t xml:space="preserve">, </w:t>
      </w:r>
      <w:r w:rsidR="00E668E2" w:rsidRPr="008B39BA">
        <w:rPr>
          <w:rFonts w:ascii="Arial" w:hAnsi="Arial" w:cs="Arial"/>
          <w:sz w:val="24"/>
          <w:szCs w:val="24"/>
        </w:rPr>
        <w:t xml:space="preserve">including </w:t>
      </w:r>
      <w:r w:rsidRPr="008B39BA">
        <w:rPr>
          <w:rFonts w:ascii="Arial" w:hAnsi="Arial" w:cs="Arial"/>
          <w:sz w:val="24"/>
          <w:szCs w:val="24"/>
        </w:rPr>
        <w:t xml:space="preserve">equity investment (60%) and a small business loan (40%). </w:t>
      </w:r>
      <w:r w:rsidR="00AD7501" w:rsidRPr="008B39BA">
        <w:rPr>
          <w:rFonts w:ascii="Arial" w:hAnsi="Arial" w:cs="Arial"/>
          <w:sz w:val="24"/>
          <w:szCs w:val="24"/>
        </w:rPr>
        <w:t>Equity investment would come from the a</w:t>
      </w:r>
      <w:r w:rsidRPr="008B39BA">
        <w:rPr>
          <w:rFonts w:ascii="Arial" w:hAnsi="Arial" w:cs="Arial"/>
          <w:sz w:val="24"/>
          <w:szCs w:val="24"/>
        </w:rPr>
        <w:t xml:space="preserve">ngel investors </w:t>
      </w:r>
      <w:r w:rsidR="00AD7501" w:rsidRPr="008B39BA">
        <w:rPr>
          <w:rFonts w:ascii="Arial" w:hAnsi="Arial" w:cs="Arial"/>
          <w:sz w:val="24"/>
          <w:szCs w:val="24"/>
        </w:rPr>
        <w:t xml:space="preserve">with expertise </w:t>
      </w:r>
      <w:r w:rsidRPr="008B39BA">
        <w:rPr>
          <w:rFonts w:ascii="Arial" w:hAnsi="Arial" w:cs="Arial"/>
          <w:sz w:val="24"/>
          <w:szCs w:val="24"/>
        </w:rPr>
        <w:t>in sustainable food ventures</w:t>
      </w:r>
      <w:r w:rsidR="008B39BA">
        <w:rPr>
          <w:rFonts w:ascii="Arial" w:hAnsi="Arial" w:cs="Arial"/>
          <w:sz w:val="24"/>
          <w:szCs w:val="24"/>
        </w:rPr>
        <w:t xml:space="preserve"> </w:t>
      </w:r>
      <w:r w:rsidR="00AD7501" w:rsidRPr="008B39BA">
        <w:rPr>
          <w:rFonts w:ascii="Arial" w:hAnsi="Arial" w:cs="Arial"/>
          <w:sz w:val="24"/>
          <w:szCs w:val="24"/>
        </w:rPr>
        <w:t>(</w:t>
      </w:r>
      <w:r w:rsidRPr="008B39BA">
        <w:rPr>
          <w:rFonts w:ascii="Arial" w:hAnsi="Arial" w:cs="Arial"/>
          <w:sz w:val="24"/>
          <w:szCs w:val="24"/>
        </w:rPr>
        <w:t xml:space="preserve">Lange, Rezepa and Zatrochová, 2024). </w:t>
      </w:r>
      <w:r w:rsidR="00AD7501" w:rsidRPr="008B39BA">
        <w:rPr>
          <w:rFonts w:ascii="Arial" w:hAnsi="Arial" w:cs="Arial"/>
          <w:sz w:val="24"/>
          <w:szCs w:val="24"/>
        </w:rPr>
        <w:t xml:space="preserve">On the other hand, the small business loan would come from British Bank </w:t>
      </w:r>
      <w:r w:rsidRPr="008B39BA">
        <w:rPr>
          <w:rFonts w:ascii="Arial" w:hAnsi="Arial" w:cs="Arial"/>
          <w:sz w:val="24"/>
          <w:szCs w:val="24"/>
        </w:rPr>
        <w:t>Start Up Loans progra</w:t>
      </w:r>
      <w:r w:rsidR="00AD7501" w:rsidRPr="008B39BA">
        <w:rPr>
          <w:rFonts w:ascii="Arial" w:hAnsi="Arial" w:cs="Arial"/>
          <w:sz w:val="24"/>
          <w:szCs w:val="24"/>
        </w:rPr>
        <w:t>m which offers business</w:t>
      </w:r>
      <w:r w:rsidRPr="008B39BA">
        <w:rPr>
          <w:rFonts w:ascii="Arial" w:hAnsi="Arial" w:cs="Arial"/>
          <w:sz w:val="24"/>
          <w:szCs w:val="24"/>
        </w:rPr>
        <w:t xml:space="preserve"> loan with favourable terms and scheduled repayment (British Business Bank, 2025).</w:t>
      </w:r>
    </w:p>
    <w:p w14:paraId="131C23A8" w14:textId="77777777" w:rsidR="00803353" w:rsidRPr="00EB30B5" w:rsidRDefault="008D3640" w:rsidP="00EB30B5">
      <w:pPr>
        <w:pStyle w:val="Heading2"/>
      </w:pPr>
      <w:bookmarkStart w:id="12" w:name="_Toc225154763"/>
      <w:r w:rsidRPr="00EB30B5">
        <w:rPr>
          <w:rStyle w:val="Heading2Char"/>
          <w:b/>
        </w:rPr>
        <w:t xml:space="preserve">4.2 </w:t>
      </w:r>
      <w:r w:rsidR="00971BD9" w:rsidRPr="00EB30B5">
        <w:rPr>
          <w:rStyle w:val="Heading2Char"/>
          <w:b/>
        </w:rPr>
        <w:t>First Month Startup Expenses</w:t>
      </w:r>
      <w:bookmarkEnd w:id="12"/>
    </w:p>
    <w:tbl>
      <w:tblPr>
        <w:tblStyle w:val="TableGrid"/>
        <w:tblW w:w="6799" w:type="dxa"/>
        <w:tblLook w:val="04A0" w:firstRow="1" w:lastRow="0" w:firstColumn="1" w:lastColumn="0" w:noHBand="0" w:noVBand="1"/>
      </w:tblPr>
      <w:tblGrid>
        <w:gridCol w:w="4106"/>
        <w:gridCol w:w="2693"/>
      </w:tblGrid>
      <w:tr w:rsidR="001746C9" w:rsidRPr="008B39BA" w14:paraId="07A08FBE" w14:textId="77777777" w:rsidTr="00E668E2">
        <w:trPr>
          <w:trHeight w:val="438"/>
        </w:trPr>
        <w:tc>
          <w:tcPr>
            <w:tcW w:w="4106" w:type="dxa"/>
          </w:tcPr>
          <w:p w14:paraId="39909389" w14:textId="77777777" w:rsidR="00803353" w:rsidRPr="008B39BA" w:rsidRDefault="008D3640" w:rsidP="00692131">
            <w:pPr>
              <w:spacing w:line="360" w:lineRule="auto"/>
              <w:rPr>
                <w:rFonts w:ascii="Arial" w:hAnsi="Arial" w:cs="Arial"/>
                <w:b/>
                <w:sz w:val="24"/>
                <w:szCs w:val="24"/>
              </w:rPr>
            </w:pPr>
            <w:r w:rsidRPr="008B39BA">
              <w:rPr>
                <w:rFonts w:ascii="Arial" w:hAnsi="Arial" w:cs="Arial"/>
                <w:b/>
                <w:sz w:val="24"/>
                <w:szCs w:val="24"/>
              </w:rPr>
              <w:t>Expense Category</w:t>
            </w:r>
          </w:p>
        </w:tc>
        <w:tc>
          <w:tcPr>
            <w:tcW w:w="2693" w:type="dxa"/>
          </w:tcPr>
          <w:p w14:paraId="7A78CEC0" w14:textId="77777777" w:rsidR="00803353" w:rsidRPr="008B39BA" w:rsidRDefault="008D3640" w:rsidP="00692131">
            <w:pPr>
              <w:spacing w:line="360" w:lineRule="auto"/>
              <w:rPr>
                <w:rFonts w:ascii="Arial" w:hAnsi="Arial" w:cs="Arial"/>
                <w:b/>
                <w:sz w:val="24"/>
                <w:szCs w:val="24"/>
              </w:rPr>
            </w:pPr>
            <w:r w:rsidRPr="008B39BA">
              <w:rPr>
                <w:rFonts w:ascii="Arial" w:hAnsi="Arial" w:cs="Arial"/>
                <w:b/>
                <w:sz w:val="24"/>
                <w:szCs w:val="24"/>
              </w:rPr>
              <w:t>Amount (£)</w:t>
            </w:r>
          </w:p>
        </w:tc>
      </w:tr>
      <w:tr w:rsidR="001746C9" w:rsidRPr="008B39BA" w14:paraId="56ABD650" w14:textId="77777777" w:rsidTr="00E668E2">
        <w:trPr>
          <w:trHeight w:val="419"/>
        </w:trPr>
        <w:tc>
          <w:tcPr>
            <w:tcW w:w="4106" w:type="dxa"/>
            <w:vAlign w:val="center"/>
          </w:tcPr>
          <w:p w14:paraId="35B72665"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Lease Deposit &amp; Renovations</w:t>
            </w:r>
          </w:p>
        </w:tc>
        <w:tc>
          <w:tcPr>
            <w:tcW w:w="2693" w:type="dxa"/>
            <w:vAlign w:val="center"/>
          </w:tcPr>
          <w:p w14:paraId="4E48B746"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60,000</w:t>
            </w:r>
          </w:p>
        </w:tc>
      </w:tr>
      <w:tr w:rsidR="001746C9" w:rsidRPr="008B39BA" w14:paraId="00C629E7" w14:textId="77777777" w:rsidTr="00E668E2">
        <w:trPr>
          <w:trHeight w:val="419"/>
        </w:trPr>
        <w:tc>
          <w:tcPr>
            <w:tcW w:w="4106" w:type="dxa"/>
            <w:vAlign w:val="center"/>
          </w:tcPr>
          <w:p w14:paraId="1949ABC2"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Commercial Kitchen Equipment</w:t>
            </w:r>
          </w:p>
        </w:tc>
        <w:tc>
          <w:tcPr>
            <w:tcW w:w="2693" w:type="dxa"/>
            <w:vAlign w:val="center"/>
          </w:tcPr>
          <w:p w14:paraId="3A4EEC25"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35,000</w:t>
            </w:r>
          </w:p>
        </w:tc>
      </w:tr>
      <w:tr w:rsidR="001746C9" w:rsidRPr="008B39BA" w14:paraId="6DAC34C9" w14:textId="77777777" w:rsidTr="00E668E2">
        <w:trPr>
          <w:trHeight w:val="419"/>
        </w:trPr>
        <w:tc>
          <w:tcPr>
            <w:tcW w:w="4106" w:type="dxa"/>
            <w:vAlign w:val="center"/>
          </w:tcPr>
          <w:p w14:paraId="4D4229F5"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Initial Inventory (Local Sourcing)</w:t>
            </w:r>
          </w:p>
        </w:tc>
        <w:tc>
          <w:tcPr>
            <w:tcW w:w="2693" w:type="dxa"/>
            <w:vAlign w:val="center"/>
          </w:tcPr>
          <w:p w14:paraId="7E5067D4"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15,000</w:t>
            </w:r>
          </w:p>
        </w:tc>
      </w:tr>
      <w:tr w:rsidR="001746C9" w:rsidRPr="008B39BA" w14:paraId="278FE8F0" w14:textId="77777777" w:rsidTr="00E668E2">
        <w:trPr>
          <w:trHeight w:val="419"/>
        </w:trPr>
        <w:tc>
          <w:tcPr>
            <w:tcW w:w="4106" w:type="dxa"/>
            <w:vAlign w:val="center"/>
          </w:tcPr>
          <w:p w14:paraId="0271FE21"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Licensing &amp; Legal Fees</w:t>
            </w:r>
          </w:p>
        </w:tc>
        <w:tc>
          <w:tcPr>
            <w:tcW w:w="2693" w:type="dxa"/>
            <w:vAlign w:val="center"/>
          </w:tcPr>
          <w:p w14:paraId="6A2EFC3F"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5,000</w:t>
            </w:r>
          </w:p>
        </w:tc>
      </w:tr>
      <w:tr w:rsidR="001746C9" w:rsidRPr="008B39BA" w14:paraId="0EECDAF1" w14:textId="77777777" w:rsidTr="00E668E2">
        <w:trPr>
          <w:trHeight w:val="419"/>
        </w:trPr>
        <w:tc>
          <w:tcPr>
            <w:tcW w:w="4106" w:type="dxa"/>
            <w:vAlign w:val="center"/>
          </w:tcPr>
          <w:p w14:paraId="56E806D1"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Marketing Launch Campaign</w:t>
            </w:r>
          </w:p>
        </w:tc>
        <w:tc>
          <w:tcPr>
            <w:tcW w:w="2693" w:type="dxa"/>
            <w:vAlign w:val="center"/>
          </w:tcPr>
          <w:p w14:paraId="1E5A72A5"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20,000</w:t>
            </w:r>
          </w:p>
        </w:tc>
      </w:tr>
      <w:tr w:rsidR="001746C9" w:rsidRPr="008B39BA" w14:paraId="554CC238" w14:textId="77777777" w:rsidTr="00E668E2">
        <w:trPr>
          <w:trHeight w:val="419"/>
        </w:trPr>
        <w:tc>
          <w:tcPr>
            <w:tcW w:w="4106" w:type="dxa"/>
            <w:vAlign w:val="center"/>
          </w:tcPr>
          <w:p w14:paraId="2F980F77"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Working Capital Reserve</w:t>
            </w:r>
          </w:p>
        </w:tc>
        <w:tc>
          <w:tcPr>
            <w:tcW w:w="2693" w:type="dxa"/>
            <w:vAlign w:val="center"/>
          </w:tcPr>
          <w:p w14:paraId="77961FBE" w14:textId="77777777" w:rsidR="00803353" w:rsidRPr="008B39BA" w:rsidRDefault="008D3640" w:rsidP="00692131">
            <w:pPr>
              <w:spacing w:line="360" w:lineRule="auto"/>
              <w:rPr>
                <w:rFonts w:ascii="Arial" w:hAnsi="Arial" w:cs="Arial"/>
                <w:sz w:val="24"/>
                <w:szCs w:val="24"/>
              </w:rPr>
            </w:pPr>
            <w:r w:rsidRPr="008B39BA">
              <w:rPr>
                <w:rFonts w:ascii="Arial" w:hAnsi="Arial" w:cs="Arial"/>
                <w:sz w:val="24"/>
                <w:szCs w:val="24"/>
              </w:rPr>
              <w:t>15,000</w:t>
            </w:r>
          </w:p>
        </w:tc>
      </w:tr>
      <w:tr w:rsidR="001746C9" w:rsidRPr="008B39BA" w14:paraId="45A7B2FF" w14:textId="77777777" w:rsidTr="00E668E2">
        <w:trPr>
          <w:trHeight w:val="419"/>
        </w:trPr>
        <w:tc>
          <w:tcPr>
            <w:tcW w:w="4106" w:type="dxa"/>
            <w:vAlign w:val="center"/>
          </w:tcPr>
          <w:p w14:paraId="7CC3C478" w14:textId="77777777" w:rsidR="00803353" w:rsidRPr="008B39BA" w:rsidRDefault="008D3640" w:rsidP="00692131">
            <w:pPr>
              <w:spacing w:line="360" w:lineRule="auto"/>
              <w:rPr>
                <w:rFonts w:ascii="Arial" w:hAnsi="Arial" w:cs="Arial"/>
                <w:b/>
                <w:sz w:val="24"/>
                <w:szCs w:val="24"/>
              </w:rPr>
            </w:pPr>
            <w:r w:rsidRPr="008B39BA">
              <w:rPr>
                <w:rFonts w:ascii="Arial" w:hAnsi="Arial" w:cs="Arial"/>
                <w:b/>
                <w:sz w:val="24"/>
                <w:szCs w:val="24"/>
              </w:rPr>
              <w:t>Total</w:t>
            </w:r>
          </w:p>
        </w:tc>
        <w:tc>
          <w:tcPr>
            <w:tcW w:w="2693" w:type="dxa"/>
            <w:vAlign w:val="center"/>
          </w:tcPr>
          <w:p w14:paraId="7D551F89" w14:textId="77777777" w:rsidR="00803353" w:rsidRPr="008B39BA" w:rsidRDefault="008D3640" w:rsidP="00692131">
            <w:pPr>
              <w:spacing w:line="360" w:lineRule="auto"/>
              <w:rPr>
                <w:rFonts w:ascii="Arial" w:hAnsi="Arial" w:cs="Arial"/>
                <w:b/>
                <w:sz w:val="24"/>
                <w:szCs w:val="24"/>
              </w:rPr>
            </w:pPr>
            <w:r w:rsidRPr="008B39BA">
              <w:rPr>
                <w:rFonts w:ascii="Arial" w:hAnsi="Arial" w:cs="Arial"/>
                <w:b/>
                <w:sz w:val="24"/>
                <w:szCs w:val="24"/>
              </w:rPr>
              <w:t>£150,000</w:t>
            </w:r>
          </w:p>
        </w:tc>
      </w:tr>
    </w:tbl>
    <w:p w14:paraId="4D8AAD96" w14:textId="77777777" w:rsidR="00201522" w:rsidRPr="008B39BA" w:rsidRDefault="008D3640" w:rsidP="00692131">
      <w:pPr>
        <w:pStyle w:val="Heading2"/>
        <w:spacing w:line="360" w:lineRule="auto"/>
        <w:ind w:firstLine="720"/>
        <w:rPr>
          <w:rFonts w:ascii="Arial" w:hAnsi="Arial" w:cs="Arial"/>
          <w:szCs w:val="24"/>
        </w:rPr>
      </w:pPr>
      <w:bookmarkStart w:id="13" w:name="_Toc225154764"/>
      <w:r w:rsidRPr="008B39BA">
        <w:rPr>
          <w:rFonts w:ascii="Arial" w:hAnsi="Arial" w:cs="Arial"/>
          <w:szCs w:val="24"/>
        </w:rPr>
        <w:t xml:space="preserve">4.3 </w:t>
      </w:r>
      <w:r w:rsidR="00971BD9" w:rsidRPr="008B39BA">
        <w:rPr>
          <w:rFonts w:ascii="Arial" w:hAnsi="Arial" w:cs="Arial"/>
          <w:szCs w:val="24"/>
        </w:rPr>
        <w:t>Budgets, Cash Flow</w:t>
      </w:r>
      <w:r w:rsidR="00EE0CBC" w:rsidRPr="008B39BA">
        <w:rPr>
          <w:rFonts w:ascii="Arial" w:hAnsi="Arial" w:cs="Arial"/>
          <w:szCs w:val="24"/>
        </w:rPr>
        <w:t xml:space="preserve"> </w:t>
      </w:r>
      <w:r w:rsidR="00971BD9" w:rsidRPr="008B39BA">
        <w:rPr>
          <w:rFonts w:ascii="Arial" w:hAnsi="Arial" w:cs="Arial"/>
          <w:szCs w:val="24"/>
        </w:rPr>
        <w:t>and Breakeven</w:t>
      </w:r>
      <w:bookmarkEnd w:id="13"/>
    </w:p>
    <w:p w14:paraId="5C32423C" w14:textId="73C49FE9" w:rsidR="00E668E2" w:rsidRPr="008B39BA" w:rsidRDefault="00D22F97" w:rsidP="00692131">
      <w:pPr>
        <w:shd w:val="clear" w:color="auto" w:fill="FFFFFF"/>
        <w:spacing w:before="240" w:after="240" w:line="360" w:lineRule="auto"/>
        <w:ind w:firstLine="720"/>
        <w:rPr>
          <w:rFonts w:ascii="Arial" w:eastAsia="Times New Roman" w:hAnsi="Arial" w:cs="Arial"/>
          <w:color w:val="0F1115"/>
          <w:sz w:val="24"/>
          <w:szCs w:val="24"/>
          <w:lang w:eastAsia=""/>
        </w:rPr>
      </w:pPr>
      <w:r w:rsidRPr="008B39BA">
        <w:rPr>
          <w:rFonts w:ascii="Arial" w:eastAsia="Times New Roman" w:hAnsi="Arial" w:cs="Arial"/>
          <w:color w:val="0F1115"/>
          <w:sz w:val="24"/>
          <w:szCs w:val="24"/>
          <w:lang w:eastAsia=""/>
        </w:rPr>
        <w:t>According to a</w:t>
      </w:r>
      <w:r w:rsidR="008D3640" w:rsidRPr="008B39BA">
        <w:rPr>
          <w:rFonts w:ascii="Arial" w:eastAsia="Times New Roman" w:hAnsi="Arial" w:cs="Arial"/>
          <w:color w:val="0F1115"/>
          <w:sz w:val="24"/>
          <w:szCs w:val="24"/>
          <w:lang w:eastAsia=""/>
        </w:rPr>
        <w:t xml:space="preserve"> conservative monthly budget</w:t>
      </w:r>
      <w:r w:rsidRPr="008B39BA">
        <w:rPr>
          <w:rFonts w:ascii="Arial" w:eastAsia="Times New Roman" w:hAnsi="Arial" w:cs="Arial"/>
          <w:color w:val="0F1115"/>
          <w:sz w:val="24"/>
          <w:szCs w:val="24"/>
          <w:lang w:eastAsia=""/>
        </w:rPr>
        <w:t xml:space="preserve">, the </w:t>
      </w:r>
      <w:r w:rsidR="008D3640" w:rsidRPr="008B39BA">
        <w:rPr>
          <w:rFonts w:ascii="Arial" w:eastAsia="Times New Roman" w:hAnsi="Arial" w:cs="Arial"/>
          <w:color w:val="0F1115"/>
          <w:sz w:val="24"/>
          <w:szCs w:val="24"/>
          <w:lang w:eastAsia=""/>
        </w:rPr>
        <w:t xml:space="preserve">operational expenses of about £35,000, including salaries of the staff, utilities, replenishment of the ingredients and loan repayment. Assuming that spend is an average of £35 per customer and that there will be 30 working days in a month, the restaurant will need 34 customers per day to break even on the variable costs. In order to break even on total monthly expenses, the number of customers needed on a </w:t>
      </w:r>
      <w:r w:rsidR="008B39BA" w:rsidRPr="008B39BA">
        <w:rPr>
          <w:rFonts w:ascii="Arial" w:eastAsia="Times New Roman" w:hAnsi="Arial" w:cs="Arial"/>
          <w:color w:val="0F1115"/>
          <w:sz w:val="24"/>
          <w:szCs w:val="24"/>
          <w:lang w:eastAsia=""/>
        </w:rPr>
        <w:t>daily basis increase</w:t>
      </w:r>
      <w:r w:rsidR="008D3640" w:rsidRPr="008B39BA">
        <w:rPr>
          <w:rFonts w:ascii="Arial" w:eastAsia="Times New Roman" w:hAnsi="Arial" w:cs="Arial"/>
          <w:color w:val="0F1115"/>
          <w:sz w:val="24"/>
          <w:szCs w:val="24"/>
          <w:lang w:eastAsia=""/>
        </w:rPr>
        <w:t xml:space="preserve"> to 67 customers.</w:t>
      </w:r>
    </w:p>
    <w:p w14:paraId="0F23E379" w14:textId="77777777" w:rsidR="00E668E2" w:rsidRPr="008B39BA" w:rsidRDefault="008D3640" w:rsidP="00692131">
      <w:pPr>
        <w:shd w:val="clear" w:color="auto" w:fill="FFFFFF"/>
        <w:spacing w:before="240" w:after="240" w:line="360" w:lineRule="auto"/>
        <w:ind w:firstLine="720"/>
        <w:rPr>
          <w:rFonts w:ascii="Arial" w:eastAsia="Times New Roman" w:hAnsi="Arial" w:cs="Arial"/>
          <w:color w:val="0F1115"/>
          <w:sz w:val="24"/>
          <w:szCs w:val="24"/>
          <w:lang w:eastAsia=""/>
        </w:rPr>
      </w:pPr>
      <w:r w:rsidRPr="008B39BA">
        <w:rPr>
          <w:rFonts w:ascii="Arial" w:eastAsia="Times New Roman" w:hAnsi="Arial" w:cs="Arial"/>
          <w:color w:val="0F1115"/>
          <w:sz w:val="24"/>
          <w:szCs w:val="24"/>
          <w:lang w:eastAsia=""/>
        </w:rPr>
        <w:t>The breakeven analysis is calculated as follows:</w:t>
      </w:r>
    </w:p>
    <w:p w14:paraId="6EDA4D1B" w14:textId="3DE6F764" w:rsidR="00803353" w:rsidRPr="008B39BA" w:rsidRDefault="008D3640" w:rsidP="00692131">
      <w:pPr>
        <w:shd w:val="clear" w:color="auto" w:fill="FFFFFF"/>
        <w:spacing w:before="240" w:after="240" w:line="360" w:lineRule="auto"/>
        <w:ind w:firstLine="720"/>
        <w:rPr>
          <w:rFonts w:ascii="Arial" w:eastAsia="Times New Roman" w:hAnsi="Arial" w:cs="Arial"/>
          <w:color w:val="0F1115"/>
          <w:sz w:val="24"/>
          <w:szCs w:val="24"/>
          <w:lang w:eastAsia=""/>
        </w:rPr>
      </w:pPr>
      <w:r w:rsidRPr="008B39BA">
        <w:rPr>
          <w:rFonts w:ascii="Arial" w:hAnsi="Arial" w:cs="Arial"/>
          <w:sz w:val="24"/>
          <w:szCs w:val="24"/>
        </w:rPr>
        <w:t>Fixed Monthly Costs</w:t>
      </w:r>
      <w:r w:rsidR="00E668E2" w:rsidRPr="008B39BA">
        <w:rPr>
          <w:rFonts w:ascii="Arial" w:hAnsi="Arial" w:cs="Arial"/>
          <w:sz w:val="24"/>
          <w:szCs w:val="24"/>
        </w:rPr>
        <w:t xml:space="preserve"> excluding cost of goods sold will be </w:t>
      </w:r>
      <w:r w:rsidRPr="008B39BA">
        <w:rPr>
          <w:rFonts w:ascii="Arial" w:hAnsi="Arial" w:cs="Arial"/>
          <w:sz w:val="24"/>
          <w:szCs w:val="24"/>
        </w:rPr>
        <w:t>£23,000</w:t>
      </w:r>
      <w:r w:rsidR="008B39BA" w:rsidRPr="008B39BA">
        <w:rPr>
          <w:rFonts w:ascii="Arial" w:hAnsi="Arial" w:cs="Arial"/>
          <w:sz w:val="24"/>
          <w:szCs w:val="24"/>
        </w:rPr>
        <w:t>; variable</w:t>
      </w:r>
      <w:r w:rsidR="00E668E2" w:rsidRPr="008B39BA">
        <w:rPr>
          <w:rFonts w:ascii="Arial" w:hAnsi="Arial" w:cs="Arial"/>
          <w:sz w:val="24"/>
          <w:szCs w:val="24"/>
        </w:rPr>
        <w:t xml:space="preserve"> c</w:t>
      </w:r>
      <w:r w:rsidRPr="008B39BA">
        <w:rPr>
          <w:rFonts w:ascii="Arial" w:hAnsi="Arial" w:cs="Arial"/>
          <w:sz w:val="24"/>
          <w:szCs w:val="24"/>
        </w:rPr>
        <w:t xml:space="preserve">ost per </w:t>
      </w:r>
      <w:r w:rsidR="00E668E2" w:rsidRPr="008B39BA">
        <w:rPr>
          <w:rFonts w:ascii="Arial" w:hAnsi="Arial" w:cs="Arial"/>
          <w:sz w:val="24"/>
          <w:szCs w:val="24"/>
        </w:rPr>
        <w:t>c</w:t>
      </w:r>
      <w:r w:rsidRPr="008B39BA">
        <w:rPr>
          <w:rFonts w:ascii="Arial" w:hAnsi="Arial" w:cs="Arial"/>
          <w:sz w:val="24"/>
          <w:szCs w:val="24"/>
        </w:rPr>
        <w:t>ustomer</w:t>
      </w:r>
      <w:r w:rsidR="00E668E2" w:rsidRPr="008B39BA">
        <w:rPr>
          <w:rFonts w:ascii="Arial" w:hAnsi="Arial" w:cs="Arial"/>
          <w:sz w:val="24"/>
          <w:szCs w:val="24"/>
        </w:rPr>
        <w:t xml:space="preserve"> inclusive of ingredients and packing will be</w:t>
      </w:r>
      <w:r w:rsidRPr="008B39BA">
        <w:rPr>
          <w:rFonts w:ascii="Arial" w:hAnsi="Arial" w:cs="Arial"/>
          <w:sz w:val="24"/>
          <w:szCs w:val="24"/>
        </w:rPr>
        <w:t> £12</w:t>
      </w:r>
      <w:r w:rsidR="00E668E2" w:rsidRPr="008B39BA">
        <w:rPr>
          <w:rFonts w:ascii="Arial" w:hAnsi="Arial" w:cs="Arial"/>
          <w:sz w:val="24"/>
          <w:szCs w:val="24"/>
        </w:rPr>
        <w:t>. The a</w:t>
      </w:r>
      <w:r w:rsidRPr="008B39BA">
        <w:rPr>
          <w:rFonts w:ascii="Arial" w:hAnsi="Arial" w:cs="Arial"/>
          <w:sz w:val="24"/>
          <w:szCs w:val="24"/>
        </w:rPr>
        <w:t xml:space="preserve">verage </w:t>
      </w:r>
      <w:r w:rsidR="00E668E2" w:rsidRPr="008B39BA">
        <w:rPr>
          <w:rFonts w:ascii="Arial" w:hAnsi="Arial" w:cs="Arial"/>
          <w:sz w:val="24"/>
          <w:szCs w:val="24"/>
        </w:rPr>
        <w:t>r</w:t>
      </w:r>
      <w:r w:rsidRPr="008B39BA">
        <w:rPr>
          <w:rFonts w:ascii="Arial" w:hAnsi="Arial" w:cs="Arial"/>
          <w:sz w:val="24"/>
          <w:szCs w:val="24"/>
        </w:rPr>
        <w:t xml:space="preserve">evenue per </w:t>
      </w:r>
      <w:r w:rsidR="00E668E2" w:rsidRPr="008B39BA">
        <w:rPr>
          <w:rFonts w:ascii="Arial" w:hAnsi="Arial" w:cs="Arial"/>
          <w:sz w:val="24"/>
          <w:szCs w:val="24"/>
        </w:rPr>
        <w:t>c</w:t>
      </w:r>
      <w:r w:rsidRPr="008B39BA">
        <w:rPr>
          <w:rFonts w:ascii="Arial" w:hAnsi="Arial" w:cs="Arial"/>
          <w:sz w:val="24"/>
          <w:szCs w:val="24"/>
        </w:rPr>
        <w:t>ustomer</w:t>
      </w:r>
      <w:r w:rsidR="00E668E2" w:rsidRPr="008B39BA">
        <w:rPr>
          <w:rFonts w:ascii="Arial" w:hAnsi="Arial" w:cs="Arial"/>
          <w:sz w:val="24"/>
          <w:szCs w:val="24"/>
        </w:rPr>
        <w:t xml:space="preserve"> will be</w:t>
      </w:r>
      <w:r w:rsidRPr="008B39BA">
        <w:rPr>
          <w:rFonts w:ascii="Arial" w:hAnsi="Arial" w:cs="Arial"/>
          <w:sz w:val="24"/>
          <w:szCs w:val="24"/>
        </w:rPr>
        <w:t> £35</w:t>
      </w:r>
      <w:r w:rsidR="00E668E2" w:rsidRPr="008B39BA">
        <w:rPr>
          <w:rFonts w:ascii="Arial" w:hAnsi="Arial" w:cs="Arial"/>
          <w:sz w:val="24"/>
          <w:szCs w:val="24"/>
        </w:rPr>
        <w:t>, and therefore, the c</w:t>
      </w:r>
      <w:r w:rsidRPr="008B39BA">
        <w:rPr>
          <w:rFonts w:ascii="Arial" w:hAnsi="Arial" w:cs="Arial"/>
          <w:sz w:val="24"/>
          <w:szCs w:val="24"/>
        </w:rPr>
        <w:t xml:space="preserve">ontribution </w:t>
      </w:r>
      <w:r w:rsidR="00E668E2" w:rsidRPr="008B39BA">
        <w:rPr>
          <w:rFonts w:ascii="Arial" w:hAnsi="Arial" w:cs="Arial"/>
          <w:sz w:val="24"/>
          <w:szCs w:val="24"/>
        </w:rPr>
        <w:t>ma</w:t>
      </w:r>
      <w:r w:rsidRPr="008B39BA">
        <w:rPr>
          <w:rFonts w:ascii="Arial" w:hAnsi="Arial" w:cs="Arial"/>
          <w:sz w:val="24"/>
          <w:szCs w:val="24"/>
        </w:rPr>
        <w:t xml:space="preserve">rgin per </w:t>
      </w:r>
      <w:r w:rsidR="00E668E2" w:rsidRPr="008B39BA">
        <w:rPr>
          <w:rFonts w:ascii="Arial" w:hAnsi="Arial" w:cs="Arial"/>
          <w:sz w:val="24"/>
          <w:szCs w:val="24"/>
        </w:rPr>
        <w:t>c</w:t>
      </w:r>
      <w:r w:rsidRPr="008B39BA">
        <w:rPr>
          <w:rFonts w:ascii="Arial" w:hAnsi="Arial" w:cs="Arial"/>
          <w:sz w:val="24"/>
          <w:szCs w:val="24"/>
        </w:rPr>
        <w:t>ustomer</w:t>
      </w:r>
      <w:r w:rsidR="00E668E2" w:rsidRPr="008B39BA">
        <w:rPr>
          <w:rFonts w:ascii="Arial" w:hAnsi="Arial" w:cs="Arial"/>
          <w:sz w:val="24"/>
          <w:szCs w:val="24"/>
        </w:rPr>
        <w:t xml:space="preserve"> will be</w:t>
      </w:r>
      <w:r w:rsidRPr="008B39BA">
        <w:rPr>
          <w:rFonts w:ascii="Arial" w:hAnsi="Arial" w:cs="Arial"/>
          <w:sz w:val="24"/>
          <w:szCs w:val="24"/>
        </w:rPr>
        <w:t> </w:t>
      </w:r>
      <w:r w:rsidR="008B39BA" w:rsidRPr="008B39BA">
        <w:rPr>
          <w:rFonts w:ascii="Arial" w:hAnsi="Arial" w:cs="Arial"/>
          <w:sz w:val="24"/>
          <w:szCs w:val="24"/>
        </w:rPr>
        <w:t>£ (</w:t>
      </w:r>
      <w:r w:rsidRPr="008B39BA">
        <w:rPr>
          <w:rFonts w:ascii="Arial" w:hAnsi="Arial" w:cs="Arial"/>
          <w:sz w:val="24"/>
          <w:szCs w:val="24"/>
        </w:rPr>
        <w:t>35 – 12</w:t>
      </w:r>
      <w:r w:rsidR="00E668E2" w:rsidRPr="008B39BA">
        <w:rPr>
          <w:rFonts w:ascii="Arial" w:hAnsi="Arial" w:cs="Arial"/>
          <w:sz w:val="24"/>
          <w:szCs w:val="24"/>
        </w:rPr>
        <w:t>)</w:t>
      </w:r>
      <w:r w:rsidRPr="008B39BA">
        <w:rPr>
          <w:rFonts w:ascii="Arial" w:hAnsi="Arial" w:cs="Arial"/>
          <w:sz w:val="24"/>
          <w:szCs w:val="24"/>
        </w:rPr>
        <w:t xml:space="preserve"> = £23</w:t>
      </w:r>
      <w:r w:rsidR="00E668E2" w:rsidRPr="008B39BA">
        <w:rPr>
          <w:rFonts w:ascii="Arial" w:hAnsi="Arial" w:cs="Arial"/>
          <w:sz w:val="24"/>
          <w:szCs w:val="24"/>
        </w:rPr>
        <w:t xml:space="preserve">. </w:t>
      </w:r>
    </w:p>
    <w:p w14:paraId="47CCEED5" w14:textId="63A95FB9" w:rsidR="00803353" w:rsidRPr="008B39BA" w:rsidRDefault="008D3640" w:rsidP="00692131">
      <w:pPr>
        <w:shd w:val="clear" w:color="auto" w:fill="FFFFFF"/>
        <w:spacing w:before="240" w:after="240" w:line="360" w:lineRule="auto"/>
        <w:rPr>
          <w:rFonts w:ascii="Arial" w:eastAsia="Times New Roman" w:hAnsi="Arial" w:cs="Arial"/>
          <w:color w:val="0F1115"/>
          <w:sz w:val="24"/>
          <w:szCs w:val="24"/>
          <w:lang w:eastAsia=""/>
        </w:rPr>
      </w:pPr>
      <w:r w:rsidRPr="008B39BA">
        <w:rPr>
          <w:rFonts w:ascii="Arial" w:eastAsia="Times New Roman" w:hAnsi="Arial" w:cs="Arial"/>
          <w:b/>
          <w:bCs/>
          <w:color w:val="0F1115"/>
          <w:sz w:val="24"/>
          <w:szCs w:val="24"/>
          <w:lang w:eastAsia=""/>
        </w:rPr>
        <w:t>Breakeven Point (Customers per Month)</w:t>
      </w:r>
      <w:r w:rsidR="00E668E2" w:rsidRPr="008B39BA">
        <w:rPr>
          <w:rFonts w:ascii="Arial" w:eastAsia="Times New Roman" w:hAnsi="Arial" w:cs="Arial"/>
          <w:b/>
          <w:bCs/>
          <w:color w:val="0F1115"/>
          <w:sz w:val="24"/>
          <w:szCs w:val="24"/>
          <w:lang w:eastAsia=""/>
        </w:rPr>
        <w:t xml:space="preserve"> </w:t>
      </w:r>
      <w:r w:rsidR="00E668E2" w:rsidRPr="008B39BA">
        <w:rPr>
          <w:rFonts w:ascii="Arial" w:hAnsi="Arial" w:cs="Arial"/>
          <w:sz w:val="24"/>
          <w:szCs w:val="24"/>
        </w:rPr>
        <w:t xml:space="preserve">will be </w:t>
      </w:r>
      <w:r w:rsidR="008B39BA" w:rsidRPr="008B39BA">
        <w:rPr>
          <w:rFonts w:ascii="Arial" w:hAnsi="Arial" w:cs="Arial"/>
          <w:sz w:val="24"/>
          <w:szCs w:val="24"/>
        </w:rPr>
        <w:t>£ (</w:t>
      </w:r>
      <w:r w:rsidRPr="008B39BA">
        <w:rPr>
          <w:rFonts w:ascii="Arial" w:hAnsi="Arial" w:cs="Arial"/>
          <w:sz w:val="24"/>
          <w:szCs w:val="24"/>
        </w:rPr>
        <w:t>23,000 ÷ 23</w:t>
      </w:r>
      <w:r w:rsidR="00E668E2" w:rsidRPr="008B39BA">
        <w:rPr>
          <w:rFonts w:ascii="Arial" w:hAnsi="Arial" w:cs="Arial"/>
          <w:sz w:val="24"/>
          <w:szCs w:val="24"/>
        </w:rPr>
        <w:t>)</w:t>
      </w:r>
      <w:r w:rsidRPr="008B39BA">
        <w:rPr>
          <w:rFonts w:ascii="Arial" w:hAnsi="Arial" w:cs="Arial"/>
          <w:sz w:val="24"/>
          <w:szCs w:val="24"/>
        </w:rPr>
        <w:t xml:space="preserve"> = 1,000 customers</w:t>
      </w:r>
    </w:p>
    <w:p w14:paraId="1BF33C1F" w14:textId="77777777" w:rsidR="00971BD9" w:rsidRPr="008B39BA" w:rsidRDefault="008D3640" w:rsidP="00692131">
      <w:pPr>
        <w:shd w:val="clear" w:color="auto" w:fill="FFFFFF"/>
        <w:spacing w:before="240" w:after="240" w:line="360" w:lineRule="auto"/>
        <w:rPr>
          <w:rFonts w:ascii="Arial" w:eastAsia="Times New Roman" w:hAnsi="Arial" w:cs="Arial"/>
          <w:color w:val="0F1115"/>
          <w:sz w:val="24"/>
          <w:szCs w:val="24"/>
          <w:lang w:eastAsia=""/>
        </w:rPr>
      </w:pPr>
      <w:r w:rsidRPr="008B39BA">
        <w:rPr>
          <w:rFonts w:ascii="Arial" w:eastAsia="Times New Roman" w:hAnsi="Arial" w:cs="Arial"/>
          <w:b/>
          <w:bCs/>
          <w:color w:val="0F1115"/>
          <w:sz w:val="24"/>
          <w:szCs w:val="24"/>
          <w:lang w:eastAsia=""/>
        </w:rPr>
        <w:t>Breakeven Point (Customers per Day):</w:t>
      </w:r>
      <w:r w:rsidRPr="008B39BA">
        <w:rPr>
          <w:rFonts w:ascii="Arial" w:eastAsia="Times New Roman" w:hAnsi="Arial" w:cs="Arial"/>
          <w:color w:val="0F1115"/>
          <w:sz w:val="24"/>
          <w:szCs w:val="24"/>
          <w:lang w:eastAsia=""/>
        </w:rPr>
        <w:t> 1,000 ÷ 30 = </w:t>
      </w:r>
      <w:r w:rsidRPr="008B39BA">
        <w:rPr>
          <w:rFonts w:ascii="Arial" w:eastAsia="Times New Roman" w:hAnsi="Arial" w:cs="Arial"/>
          <w:bCs/>
          <w:color w:val="0F1115"/>
          <w:sz w:val="24"/>
          <w:szCs w:val="24"/>
          <w:lang w:eastAsia=""/>
        </w:rPr>
        <w:t>33–34 customers</w:t>
      </w:r>
    </w:p>
    <w:p w14:paraId="5D562376" w14:textId="67622B6B" w:rsidR="00803353" w:rsidRPr="008B39BA" w:rsidRDefault="008D3640" w:rsidP="00692131">
      <w:pPr>
        <w:spacing w:line="360" w:lineRule="auto"/>
        <w:ind w:firstLine="720"/>
        <w:rPr>
          <w:rFonts w:ascii="Arial" w:eastAsia="Times New Roman" w:hAnsi="Arial" w:cs="Arial"/>
          <w:sz w:val="24"/>
          <w:szCs w:val="24"/>
          <w:lang w:eastAsia=""/>
        </w:rPr>
      </w:pPr>
      <w:r w:rsidRPr="008B39BA">
        <w:rPr>
          <w:rFonts w:ascii="Arial" w:eastAsia="Times New Roman" w:hAnsi="Arial" w:cs="Arial"/>
          <w:color w:val="0F1115"/>
          <w:sz w:val="24"/>
          <w:szCs w:val="24"/>
          <w:lang w:eastAsia=""/>
        </w:rPr>
        <w:t>The initial cash flow analysis shows that net cash flow will be positive by Month 4 with a constant customer acquisition following the marketing strategy.</w:t>
      </w:r>
      <w:r w:rsidR="0050555D" w:rsidRPr="008B39BA">
        <w:rPr>
          <w:rFonts w:ascii="Arial" w:eastAsia="Times New Roman" w:hAnsi="Arial" w:cs="Arial"/>
          <w:color w:val="0F1115"/>
          <w:sz w:val="24"/>
          <w:szCs w:val="24"/>
          <w:lang w:eastAsia=""/>
        </w:rPr>
        <w:t xml:space="preserve"> This </w:t>
      </w:r>
      <w:r w:rsidR="00BD6374" w:rsidRPr="008B39BA">
        <w:rPr>
          <w:rFonts w:ascii="Arial" w:eastAsia="Times New Roman" w:hAnsi="Arial" w:cs="Arial"/>
          <w:color w:val="0F1115"/>
          <w:sz w:val="24"/>
          <w:szCs w:val="24"/>
          <w:lang w:eastAsia=""/>
        </w:rPr>
        <w:t>financial conservatism</w:t>
      </w:r>
      <w:r w:rsidR="0050555D" w:rsidRPr="008B39BA">
        <w:rPr>
          <w:rFonts w:ascii="Arial" w:eastAsia="Times New Roman" w:hAnsi="Arial" w:cs="Arial"/>
          <w:color w:val="0F1115"/>
          <w:sz w:val="24"/>
          <w:szCs w:val="24"/>
          <w:lang w:eastAsia=""/>
        </w:rPr>
        <w:t xml:space="preserve"> model </w:t>
      </w:r>
      <w:r w:rsidR="00253875" w:rsidRPr="008B39BA">
        <w:rPr>
          <w:rFonts w:ascii="Arial" w:eastAsia="Times New Roman" w:hAnsi="Arial" w:cs="Arial"/>
          <w:color w:val="0F1115"/>
          <w:sz w:val="24"/>
          <w:szCs w:val="24"/>
          <w:lang w:eastAsia=""/>
        </w:rPr>
        <w:t xml:space="preserve">provides buffer during the first trading period as it </w:t>
      </w:r>
      <w:r w:rsidR="00BD6374" w:rsidRPr="008B39BA">
        <w:rPr>
          <w:rFonts w:ascii="Arial" w:eastAsia="Times New Roman" w:hAnsi="Arial" w:cs="Arial"/>
          <w:color w:val="0F1115"/>
          <w:sz w:val="24"/>
          <w:szCs w:val="24"/>
          <w:lang w:eastAsia=""/>
        </w:rPr>
        <w:t>minimi</w:t>
      </w:r>
      <w:r w:rsidR="0050555D" w:rsidRPr="008B39BA">
        <w:rPr>
          <w:rFonts w:ascii="Arial" w:eastAsia="Times New Roman" w:hAnsi="Arial" w:cs="Arial"/>
          <w:color w:val="0F1115"/>
          <w:sz w:val="24"/>
          <w:szCs w:val="24"/>
          <w:lang w:eastAsia=""/>
        </w:rPr>
        <w:t>s</w:t>
      </w:r>
      <w:r w:rsidR="00BD6374" w:rsidRPr="008B39BA">
        <w:rPr>
          <w:rFonts w:ascii="Arial" w:eastAsia="Times New Roman" w:hAnsi="Arial" w:cs="Arial"/>
          <w:color w:val="0F1115"/>
          <w:sz w:val="24"/>
          <w:szCs w:val="24"/>
          <w:lang w:eastAsia=""/>
        </w:rPr>
        <w:t xml:space="preserve">es debt capitalization in </w:t>
      </w:r>
      <w:r w:rsidR="008B39BA" w:rsidRPr="008B39BA">
        <w:rPr>
          <w:rFonts w:ascii="Arial" w:eastAsia="Times New Roman" w:hAnsi="Arial" w:cs="Arial"/>
          <w:color w:val="0F1115"/>
          <w:sz w:val="24"/>
          <w:szCs w:val="24"/>
          <w:lang w:eastAsia=""/>
        </w:rPr>
        <w:t>favour</w:t>
      </w:r>
      <w:r w:rsidR="00BD6374" w:rsidRPr="008B39BA">
        <w:rPr>
          <w:rFonts w:ascii="Arial" w:eastAsia="Times New Roman" w:hAnsi="Arial" w:cs="Arial"/>
          <w:color w:val="0F1115"/>
          <w:sz w:val="24"/>
          <w:szCs w:val="24"/>
          <w:lang w:eastAsia=""/>
        </w:rPr>
        <w:t xml:space="preserve"> of equity and retained earnings, </w:t>
      </w:r>
      <w:r w:rsidR="00253875" w:rsidRPr="008B39BA">
        <w:rPr>
          <w:rFonts w:ascii="Arial" w:eastAsia="Times New Roman" w:hAnsi="Arial" w:cs="Arial"/>
          <w:color w:val="0F1115"/>
          <w:sz w:val="24"/>
          <w:szCs w:val="24"/>
          <w:lang w:eastAsia=""/>
        </w:rPr>
        <w:t xml:space="preserve">and hence showing </w:t>
      </w:r>
      <w:r w:rsidR="00BD6374" w:rsidRPr="008B39BA">
        <w:rPr>
          <w:rFonts w:ascii="Arial" w:eastAsia="Times New Roman" w:hAnsi="Arial" w:cs="Arial"/>
          <w:color w:val="0F1115"/>
          <w:sz w:val="24"/>
          <w:szCs w:val="24"/>
          <w:lang w:eastAsia=""/>
        </w:rPr>
        <w:t xml:space="preserve">a </w:t>
      </w:r>
      <w:r w:rsidRPr="008B39BA">
        <w:rPr>
          <w:rFonts w:ascii="Arial" w:eastAsia="Times New Roman" w:hAnsi="Arial" w:cs="Arial"/>
          <w:color w:val="0F1115"/>
          <w:sz w:val="24"/>
          <w:szCs w:val="24"/>
          <w:lang w:eastAsia=""/>
        </w:rPr>
        <w:t>financial feasibility to</w:t>
      </w:r>
      <w:r w:rsidR="00BD6374" w:rsidRPr="008B39BA">
        <w:rPr>
          <w:rFonts w:ascii="Arial" w:eastAsia="Times New Roman" w:hAnsi="Arial" w:cs="Arial"/>
          <w:color w:val="0F1115"/>
          <w:sz w:val="24"/>
          <w:szCs w:val="24"/>
          <w:lang w:eastAsia=""/>
        </w:rPr>
        <w:t xml:space="preserve"> our potential </w:t>
      </w:r>
      <w:r w:rsidRPr="008B39BA">
        <w:rPr>
          <w:rFonts w:ascii="Arial" w:eastAsia="Times New Roman" w:hAnsi="Arial" w:cs="Arial"/>
          <w:color w:val="0F1115"/>
          <w:sz w:val="24"/>
          <w:szCs w:val="24"/>
          <w:lang w:eastAsia=""/>
        </w:rPr>
        <w:t>investor</w:t>
      </w:r>
      <w:r w:rsidR="00BD6374" w:rsidRPr="008B39BA">
        <w:rPr>
          <w:rFonts w:ascii="Arial" w:eastAsia="Times New Roman" w:hAnsi="Arial" w:cs="Arial"/>
          <w:color w:val="0F1115"/>
          <w:sz w:val="24"/>
          <w:szCs w:val="24"/>
          <w:lang w:eastAsia=""/>
        </w:rPr>
        <w:t xml:space="preserve">s </w:t>
      </w:r>
      <w:r w:rsidRPr="008B39BA">
        <w:rPr>
          <w:rFonts w:ascii="Arial" w:eastAsia="Times New Roman" w:hAnsi="Arial" w:cs="Arial"/>
          <w:color w:val="0F1115"/>
          <w:sz w:val="24"/>
          <w:szCs w:val="24"/>
          <w:lang w:eastAsia=""/>
        </w:rPr>
        <w:t>(Maiyo, Cheboi and Limo, 2025).</w:t>
      </w:r>
    </w:p>
    <w:p w14:paraId="4C9B5A88" w14:textId="77777777" w:rsidR="00803353" w:rsidRPr="008B39BA" w:rsidRDefault="00803353" w:rsidP="00692131">
      <w:pPr>
        <w:spacing w:line="360" w:lineRule="auto"/>
        <w:rPr>
          <w:rFonts w:ascii="Arial" w:eastAsia="Times New Roman" w:hAnsi="Arial" w:cs="Arial"/>
          <w:sz w:val="24"/>
          <w:szCs w:val="24"/>
          <w:lang w:eastAsia=""/>
        </w:rPr>
      </w:pPr>
    </w:p>
    <w:p w14:paraId="7EECE620" w14:textId="77777777" w:rsidR="00803353" w:rsidRPr="008B39BA" w:rsidRDefault="00803353" w:rsidP="00692131">
      <w:pPr>
        <w:spacing w:line="360" w:lineRule="auto"/>
        <w:rPr>
          <w:rFonts w:ascii="Arial" w:eastAsia="Times New Roman" w:hAnsi="Arial" w:cs="Arial"/>
          <w:sz w:val="24"/>
          <w:szCs w:val="24"/>
          <w:lang w:eastAsia=""/>
        </w:rPr>
      </w:pPr>
    </w:p>
    <w:p w14:paraId="614547D8" w14:textId="77777777" w:rsidR="00803353" w:rsidRPr="008B39BA" w:rsidRDefault="00803353" w:rsidP="00692131">
      <w:pPr>
        <w:spacing w:line="360" w:lineRule="auto"/>
        <w:rPr>
          <w:rFonts w:ascii="Arial" w:eastAsia="Times New Roman" w:hAnsi="Arial" w:cs="Arial"/>
          <w:sz w:val="24"/>
          <w:szCs w:val="24"/>
          <w:lang w:eastAsia=""/>
        </w:rPr>
      </w:pPr>
    </w:p>
    <w:p w14:paraId="3B2CD5F8" w14:textId="3C289617" w:rsidR="009C5E8B" w:rsidRDefault="009C5E8B" w:rsidP="00692131">
      <w:pPr>
        <w:spacing w:line="360" w:lineRule="auto"/>
        <w:rPr>
          <w:rFonts w:ascii="Arial" w:eastAsia="Times New Roman" w:hAnsi="Arial" w:cs="Arial"/>
          <w:sz w:val="24"/>
          <w:szCs w:val="24"/>
          <w:lang w:eastAsia=""/>
        </w:rPr>
      </w:pPr>
    </w:p>
    <w:p w14:paraId="7C12D19C" w14:textId="77777777" w:rsidR="008B39BA" w:rsidRPr="008B39BA" w:rsidRDefault="008B39BA" w:rsidP="00692131">
      <w:pPr>
        <w:spacing w:line="360" w:lineRule="auto"/>
        <w:rPr>
          <w:rFonts w:ascii="Arial" w:eastAsia="Times New Roman" w:hAnsi="Arial" w:cs="Arial"/>
          <w:sz w:val="24"/>
          <w:szCs w:val="24"/>
          <w:lang w:eastAsia=""/>
        </w:rPr>
      </w:pPr>
    </w:p>
    <w:p w14:paraId="4219586C" w14:textId="77777777" w:rsidR="00803353" w:rsidRPr="008B39BA" w:rsidRDefault="008D3640" w:rsidP="00EB30B5">
      <w:pPr>
        <w:pStyle w:val="Heading1"/>
        <w:rPr>
          <w:rFonts w:eastAsia="Times New Roman"/>
          <w:lang w:eastAsia=""/>
        </w:rPr>
      </w:pPr>
      <w:r w:rsidRPr="008B39BA">
        <w:rPr>
          <w:rFonts w:eastAsia="Times New Roman"/>
          <w:lang w:eastAsia=""/>
        </w:rPr>
        <w:t>References</w:t>
      </w:r>
    </w:p>
    <w:p w14:paraId="354335A2"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Blair, M. (2023) ‘The Ethicurean: a transportive farm-to-table restaurant near Bristol’, </w:t>
      </w:r>
      <w:r w:rsidRPr="00EB30B5">
        <w:rPr>
          <w:rFonts w:ascii="Arial" w:eastAsia="Times New Roman" w:hAnsi="Arial" w:cs="Arial"/>
          <w:i/>
          <w:iCs/>
          <w:sz w:val="24"/>
          <w:szCs w:val="24"/>
          <w:lang w:val="en-US" w:eastAsia=""/>
        </w:rPr>
        <w:t>The Hawkker Blog</w:t>
      </w:r>
      <w:r w:rsidRPr="00EB30B5">
        <w:rPr>
          <w:rFonts w:ascii="Arial" w:eastAsia="Times New Roman" w:hAnsi="Arial" w:cs="Arial"/>
          <w:sz w:val="24"/>
          <w:szCs w:val="24"/>
          <w:lang w:val="en-US" w:eastAsia=""/>
        </w:rPr>
        <w:t xml:space="preserve">. Available at: </w:t>
      </w:r>
      <w:hyperlink r:id="rId9" w:tgtFrame="_new" w:history="1">
        <w:r w:rsidRPr="00EB30B5">
          <w:rPr>
            <w:rStyle w:val="Hyperlink"/>
            <w:rFonts w:ascii="Arial" w:eastAsia="Times New Roman" w:hAnsi="Arial" w:cs="Arial"/>
            <w:sz w:val="24"/>
            <w:szCs w:val="24"/>
            <w:lang w:val="en-US" w:eastAsia=""/>
          </w:rPr>
          <w:t>https://hawkker.com/blog/food/the-ethicurean-bristol-sustainable-restaurant/</w:t>
        </w:r>
      </w:hyperlink>
      <w:r w:rsidRPr="00EB30B5">
        <w:rPr>
          <w:rFonts w:ascii="Arial" w:eastAsia="Times New Roman" w:hAnsi="Arial" w:cs="Arial"/>
          <w:sz w:val="24"/>
          <w:szCs w:val="24"/>
          <w:lang w:val="en-US" w:eastAsia=""/>
        </w:rPr>
        <w:t xml:space="preserve"> (Accessed: 22 March 2026).</w:t>
      </w:r>
    </w:p>
    <w:p w14:paraId="6E6D45AA"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BRC (2024) ‘Health-conscious Britain: the UK’s health and wellness boom revealed’, </w:t>
      </w:r>
      <w:r w:rsidRPr="00EB30B5">
        <w:rPr>
          <w:rFonts w:ascii="Arial" w:eastAsia="Times New Roman" w:hAnsi="Arial" w:cs="Arial"/>
          <w:i/>
          <w:iCs/>
          <w:sz w:val="24"/>
          <w:szCs w:val="24"/>
          <w:lang w:val="en-US" w:eastAsia=""/>
        </w:rPr>
        <w:t>British Retail Consortium</w:t>
      </w:r>
      <w:r w:rsidRPr="00EB30B5">
        <w:rPr>
          <w:rFonts w:ascii="Arial" w:eastAsia="Times New Roman" w:hAnsi="Arial" w:cs="Arial"/>
          <w:sz w:val="24"/>
          <w:szCs w:val="24"/>
          <w:lang w:val="en-US" w:eastAsia=""/>
        </w:rPr>
        <w:t xml:space="preserve">. Available at: </w:t>
      </w:r>
      <w:hyperlink r:id="rId10" w:tgtFrame="_new" w:history="1">
        <w:r w:rsidRPr="00EB30B5">
          <w:rPr>
            <w:rStyle w:val="Hyperlink"/>
            <w:rFonts w:ascii="Arial" w:eastAsia="Times New Roman" w:hAnsi="Arial" w:cs="Arial"/>
            <w:sz w:val="24"/>
            <w:szCs w:val="24"/>
            <w:lang w:val="en-US" w:eastAsia=""/>
          </w:rPr>
          <w:t>https://brc.org.uk/news-and-events/news/associate-insight/2025/health-conscious-britain-the-uk-s-health-wellness-boom-revealed/</w:t>
        </w:r>
      </w:hyperlink>
      <w:r w:rsidRPr="00EB30B5">
        <w:rPr>
          <w:rFonts w:ascii="Arial" w:eastAsia="Times New Roman" w:hAnsi="Arial" w:cs="Arial"/>
          <w:sz w:val="24"/>
          <w:szCs w:val="24"/>
          <w:lang w:val="en-US" w:eastAsia=""/>
        </w:rPr>
        <w:t xml:space="preserve"> (Accessed: 22 March 2026).</w:t>
      </w:r>
    </w:p>
    <w:p w14:paraId="71168556"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British Business Bank (2025) </w:t>
      </w:r>
      <w:r w:rsidRPr="00EB30B5">
        <w:rPr>
          <w:rFonts w:ascii="Arial" w:eastAsia="Times New Roman" w:hAnsi="Arial" w:cs="Arial"/>
          <w:i/>
          <w:iCs/>
          <w:sz w:val="24"/>
          <w:szCs w:val="24"/>
          <w:lang w:val="en-US" w:eastAsia=""/>
        </w:rPr>
        <w:t>Start up company</w:t>
      </w:r>
      <w:r w:rsidRPr="00EB30B5">
        <w:rPr>
          <w:rFonts w:ascii="Arial" w:eastAsia="Times New Roman" w:hAnsi="Arial" w:cs="Arial"/>
          <w:sz w:val="24"/>
          <w:szCs w:val="24"/>
          <w:lang w:val="en-US" w:eastAsia=""/>
        </w:rPr>
        <w:t xml:space="preserve">. Available at: </w:t>
      </w:r>
      <w:hyperlink r:id="rId11" w:tgtFrame="_new" w:history="1">
        <w:r w:rsidRPr="00EB30B5">
          <w:rPr>
            <w:rStyle w:val="Hyperlink"/>
            <w:rFonts w:ascii="Arial" w:eastAsia="Times New Roman" w:hAnsi="Arial" w:cs="Arial"/>
            <w:sz w:val="24"/>
            <w:szCs w:val="24"/>
            <w:lang w:val="en-US" w:eastAsia=""/>
          </w:rPr>
          <w:t>https://www.british-business-bank.co.uk/business-guidance/guidance-articles/finance/start-up-loan</w:t>
        </w:r>
      </w:hyperlink>
      <w:r w:rsidRPr="00EB30B5">
        <w:rPr>
          <w:rFonts w:ascii="Arial" w:eastAsia="Times New Roman" w:hAnsi="Arial" w:cs="Arial"/>
          <w:sz w:val="24"/>
          <w:szCs w:val="24"/>
          <w:lang w:val="en-US" w:eastAsia=""/>
        </w:rPr>
        <w:t xml:space="preserve"> (Accessed: 22 March 2026).</w:t>
      </w:r>
    </w:p>
    <w:p w14:paraId="08063ABE"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Celso, Dutra, M. and Dalmoro, M. (2025) ‘Beyond individual choice: how price sensitivity, locavorism, and convenience shape socially responsible food consumption in developing markets’, </w:t>
      </w:r>
      <w:r w:rsidRPr="00EB30B5">
        <w:rPr>
          <w:rFonts w:ascii="Arial" w:eastAsia="Times New Roman" w:hAnsi="Arial" w:cs="Arial"/>
          <w:i/>
          <w:iCs/>
          <w:sz w:val="24"/>
          <w:szCs w:val="24"/>
          <w:lang w:val="en-US" w:eastAsia=""/>
        </w:rPr>
        <w:t>Social Responsibility Journal</w:t>
      </w:r>
      <w:r w:rsidRPr="00EB30B5">
        <w:rPr>
          <w:rFonts w:ascii="Arial" w:eastAsia="Times New Roman" w:hAnsi="Arial" w:cs="Arial"/>
          <w:sz w:val="24"/>
          <w:szCs w:val="24"/>
          <w:lang w:val="en-US" w:eastAsia=""/>
        </w:rPr>
        <w:t xml:space="preserve">, pp. 1–23. Available at: </w:t>
      </w:r>
      <w:hyperlink r:id="rId12" w:tgtFrame="_new" w:history="1">
        <w:r w:rsidRPr="00EB30B5">
          <w:rPr>
            <w:rStyle w:val="Hyperlink"/>
            <w:rFonts w:ascii="Arial" w:eastAsia="Times New Roman" w:hAnsi="Arial" w:cs="Arial"/>
            <w:sz w:val="24"/>
            <w:szCs w:val="24"/>
            <w:lang w:val="en-US" w:eastAsia=""/>
          </w:rPr>
          <w:t>https://doi.org/10.1108/srj-06-2025-0633</w:t>
        </w:r>
      </w:hyperlink>
      <w:r w:rsidRPr="00EB30B5">
        <w:rPr>
          <w:rFonts w:ascii="Arial" w:eastAsia="Times New Roman" w:hAnsi="Arial" w:cs="Arial"/>
          <w:sz w:val="24"/>
          <w:szCs w:val="24"/>
          <w:lang w:val="en-US" w:eastAsia=""/>
        </w:rPr>
        <w:t>.</w:t>
      </w:r>
    </w:p>
    <w:p w14:paraId="7208404B"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Cooke, R. and Barling, D. (2025) ‘Do England’s new environmental land management support schemes meet the requirements for regenerative farmers?’, </w:t>
      </w:r>
      <w:r w:rsidRPr="00EB30B5">
        <w:rPr>
          <w:rFonts w:ascii="Arial" w:eastAsia="Times New Roman" w:hAnsi="Arial" w:cs="Arial"/>
          <w:i/>
          <w:iCs/>
          <w:sz w:val="24"/>
          <w:szCs w:val="24"/>
          <w:lang w:val="en-US" w:eastAsia=""/>
        </w:rPr>
        <w:t>International Journal of Agricultural Sustainability</w:t>
      </w:r>
      <w:r w:rsidRPr="00EB30B5">
        <w:rPr>
          <w:rFonts w:ascii="Arial" w:eastAsia="Times New Roman" w:hAnsi="Arial" w:cs="Arial"/>
          <w:sz w:val="24"/>
          <w:szCs w:val="24"/>
          <w:lang w:val="en-US" w:eastAsia=""/>
        </w:rPr>
        <w:t xml:space="preserve">, 23(1). Available at: </w:t>
      </w:r>
      <w:hyperlink r:id="rId13" w:tgtFrame="_new" w:history="1">
        <w:r w:rsidRPr="00EB30B5">
          <w:rPr>
            <w:rStyle w:val="Hyperlink"/>
            <w:rFonts w:ascii="Arial" w:eastAsia="Times New Roman" w:hAnsi="Arial" w:cs="Arial"/>
            <w:sz w:val="24"/>
            <w:szCs w:val="24"/>
            <w:lang w:val="en-US" w:eastAsia=""/>
          </w:rPr>
          <w:t>https://doi.org/10.1080/14735903.2025.2594860</w:t>
        </w:r>
      </w:hyperlink>
      <w:r w:rsidRPr="00EB30B5">
        <w:rPr>
          <w:rFonts w:ascii="Arial" w:eastAsia="Times New Roman" w:hAnsi="Arial" w:cs="Arial"/>
          <w:sz w:val="24"/>
          <w:szCs w:val="24"/>
          <w:lang w:val="en-US" w:eastAsia=""/>
        </w:rPr>
        <w:t>.</w:t>
      </w:r>
    </w:p>
    <w:p w14:paraId="41978311"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Deksne, J., Lonska, J., Litavniece, L. and Tambovceva, T. (2025) ‘Shaping sustainability through food consumption: a conceptual perspective’, </w:t>
      </w:r>
      <w:r w:rsidRPr="00EB30B5">
        <w:rPr>
          <w:rFonts w:ascii="Arial" w:eastAsia="Times New Roman" w:hAnsi="Arial" w:cs="Arial"/>
          <w:i/>
          <w:iCs/>
          <w:sz w:val="24"/>
          <w:szCs w:val="24"/>
          <w:lang w:val="en-US" w:eastAsia=""/>
        </w:rPr>
        <w:t>Sustainability</w:t>
      </w:r>
      <w:r w:rsidRPr="00EB30B5">
        <w:rPr>
          <w:rFonts w:ascii="Arial" w:eastAsia="Times New Roman" w:hAnsi="Arial" w:cs="Arial"/>
          <w:sz w:val="24"/>
          <w:szCs w:val="24"/>
          <w:lang w:val="en-US" w:eastAsia=""/>
        </w:rPr>
        <w:t xml:space="preserve">, 17(15), p. 7138. Available at: </w:t>
      </w:r>
      <w:hyperlink r:id="rId14" w:tgtFrame="_new" w:history="1">
        <w:r w:rsidRPr="00EB30B5">
          <w:rPr>
            <w:rStyle w:val="Hyperlink"/>
            <w:rFonts w:ascii="Arial" w:eastAsia="Times New Roman" w:hAnsi="Arial" w:cs="Arial"/>
            <w:sz w:val="24"/>
            <w:szCs w:val="24"/>
            <w:lang w:val="en-US" w:eastAsia=""/>
          </w:rPr>
          <w:t>https://doi.org/10.3390/su17157138</w:t>
        </w:r>
      </w:hyperlink>
      <w:r w:rsidRPr="00EB30B5">
        <w:rPr>
          <w:rFonts w:ascii="Arial" w:eastAsia="Times New Roman" w:hAnsi="Arial" w:cs="Arial"/>
          <w:sz w:val="24"/>
          <w:szCs w:val="24"/>
          <w:lang w:val="en-US" w:eastAsia=""/>
        </w:rPr>
        <w:t>.</w:t>
      </w:r>
    </w:p>
    <w:p w14:paraId="6C8C0CE6"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Dishoom (2024) </w:t>
      </w:r>
      <w:r w:rsidRPr="00EB30B5">
        <w:rPr>
          <w:rFonts w:ascii="Arial" w:eastAsia="Times New Roman" w:hAnsi="Arial" w:cs="Arial"/>
          <w:i/>
          <w:iCs/>
          <w:sz w:val="24"/>
          <w:szCs w:val="24"/>
          <w:lang w:val="en-US" w:eastAsia=""/>
        </w:rPr>
        <w:t>Dishoom | From Bombay with love</w:t>
      </w:r>
      <w:r w:rsidRPr="00EB30B5">
        <w:rPr>
          <w:rFonts w:ascii="Arial" w:eastAsia="Times New Roman" w:hAnsi="Arial" w:cs="Arial"/>
          <w:sz w:val="24"/>
          <w:szCs w:val="24"/>
          <w:lang w:val="en-US" w:eastAsia=""/>
        </w:rPr>
        <w:t xml:space="preserve">. Available at: </w:t>
      </w:r>
      <w:hyperlink r:id="rId15" w:tgtFrame="_new" w:history="1">
        <w:r w:rsidRPr="00EB30B5">
          <w:rPr>
            <w:rStyle w:val="Hyperlink"/>
            <w:rFonts w:ascii="Arial" w:eastAsia="Times New Roman" w:hAnsi="Arial" w:cs="Arial"/>
            <w:sz w:val="24"/>
            <w:szCs w:val="24"/>
            <w:lang w:val="en-US" w:eastAsia=""/>
          </w:rPr>
          <w:t>https://www.dishoom.com/</w:t>
        </w:r>
      </w:hyperlink>
      <w:r w:rsidRPr="00EB30B5">
        <w:rPr>
          <w:rFonts w:ascii="Arial" w:eastAsia="Times New Roman" w:hAnsi="Arial" w:cs="Arial"/>
          <w:sz w:val="24"/>
          <w:szCs w:val="24"/>
          <w:lang w:val="en-US" w:eastAsia=""/>
        </w:rPr>
        <w:t xml:space="preserve"> (Accessed: 22 March 2026).</w:t>
      </w:r>
    </w:p>
    <w:p w14:paraId="53D7B8B5"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Ducker, M. (2025) ‘How London restaurants are championing sustainability’, </w:t>
      </w:r>
      <w:r w:rsidRPr="00EB30B5">
        <w:rPr>
          <w:rFonts w:ascii="Arial" w:eastAsia="Times New Roman" w:hAnsi="Arial" w:cs="Arial"/>
          <w:i/>
          <w:iCs/>
          <w:sz w:val="24"/>
          <w:szCs w:val="24"/>
          <w:lang w:val="en-US" w:eastAsia=""/>
        </w:rPr>
        <w:t>Ourgoodbrands</w:t>
      </w:r>
      <w:r w:rsidRPr="00EB30B5">
        <w:rPr>
          <w:rFonts w:ascii="Arial" w:eastAsia="Times New Roman" w:hAnsi="Arial" w:cs="Arial"/>
          <w:sz w:val="24"/>
          <w:szCs w:val="24"/>
          <w:lang w:val="en-US" w:eastAsia=""/>
        </w:rPr>
        <w:t xml:space="preserve">. Available at: </w:t>
      </w:r>
      <w:hyperlink r:id="rId16" w:tgtFrame="_new" w:history="1">
        <w:r w:rsidRPr="00EB30B5">
          <w:rPr>
            <w:rStyle w:val="Hyperlink"/>
            <w:rFonts w:ascii="Arial" w:eastAsia="Times New Roman" w:hAnsi="Arial" w:cs="Arial"/>
            <w:sz w:val="24"/>
            <w:szCs w:val="24"/>
            <w:lang w:val="en-US" w:eastAsia=""/>
          </w:rPr>
          <w:t>https://ourgoodbrands.com/how-london-restaurants-sustainable-champions/</w:t>
        </w:r>
      </w:hyperlink>
      <w:r w:rsidRPr="00EB30B5">
        <w:rPr>
          <w:rFonts w:ascii="Arial" w:eastAsia="Times New Roman" w:hAnsi="Arial" w:cs="Arial"/>
          <w:sz w:val="24"/>
          <w:szCs w:val="24"/>
          <w:lang w:val="en-US" w:eastAsia=""/>
        </w:rPr>
        <w:t xml:space="preserve"> (Accessed: 22 March 2026).</w:t>
      </w:r>
    </w:p>
    <w:p w14:paraId="15D5D9FD"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EBSCO (2021) </w:t>
      </w:r>
      <w:r w:rsidRPr="00EB30B5">
        <w:rPr>
          <w:rFonts w:ascii="Arial" w:eastAsia="Times New Roman" w:hAnsi="Arial" w:cs="Arial"/>
          <w:i/>
          <w:iCs/>
          <w:sz w:val="24"/>
          <w:szCs w:val="24"/>
          <w:lang w:val="en-US" w:eastAsia=""/>
        </w:rPr>
        <w:t>Flat organisational structure</w:t>
      </w:r>
      <w:r w:rsidRPr="00EB30B5">
        <w:rPr>
          <w:rFonts w:ascii="Arial" w:eastAsia="Times New Roman" w:hAnsi="Arial" w:cs="Arial"/>
          <w:sz w:val="24"/>
          <w:szCs w:val="24"/>
          <w:lang w:val="en-US" w:eastAsia=""/>
        </w:rPr>
        <w:t xml:space="preserve">. Available at: </w:t>
      </w:r>
      <w:hyperlink r:id="rId17" w:tgtFrame="_new" w:history="1">
        <w:r w:rsidRPr="00EB30B5">
          <w:rPr>
            <w:rStyle w:val="Hyperlink"/>
            <w:rFonts w:ascii="Arial" w:eastAsia="Times New Roman" w:hAnsi="Arial" w:cs="Arial"/>
            <w:sz w:val="24"/>
            <w:szCs w:val="24"/>
            <w:lang w:val="en-US" w:eastAsia=""/>
          </w:rPr>
          <w:t>https://www.ebsco.com/research-starters/business-and-management/flat-organisational-structure</w:t>
        </w:r>
      </w:hyperlink>
      <w:r w:rsidRPr="00EB30B5">
        <w:rPr>
          <w:rFonts w:ascii="Arial" w:eastAsia="Times New Roman" w:hAnsi="Arial" w:cs="Arial"/>
          <w:sz w:val="24"/>
          <w:szCs w:val="24"/>
          <w:lang w:val="en-US" w:eastAsia=""/>
        </w:rPr>
        <w:t xml:space="preserve"> (Accessed: 22 March 2026).</w:t>
      </w:r>
    </w:p>
    <w:p w14:paraId="48187768"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Food Standards Agency (2024) </w:t>
      </w:r>
      <w:r w:rsidRPr="00EB30B5">
        <w:rPr>
          <w:rFonts w:ascii="Arial" w:eastAsia="Times New Roman" w:hAnsi="Arial" w:cs="Arial"/>
          <w:i/>
          <w:iCs/>
          <w:sz w:val="24"/>
          <w:szCs w:val="24"/>
          <w:lang w:val="en-US" w:eastAsia=""/>
        </w:rPr>
        <w:t>Food Standards Agency</w:t>
      </w:r>
      <w:r w:rsidRPr="00EB30B5">
        <w:rPr>
          <w:rFonts w:ascii="Arial" w:eastAsia="Times New Roman" w:hAnsi="Arial" w:cs="Arial"/>
          <w:sz w:val="24"/>
          <w:szCs w:val="24"/>
          <w:lang w:val="en-US" w:eastAsia=""/>
        </w:rPr>
        <w:t xml:space="preserve">. Available at: </w:t>
      </w:r>
      <w:hyperlink r:id="rId18" w:tgtFrame="_new" w:history="1">
        <w:r w:rsidRPr="00EB30B5">
          <w:rPr>
            <w:rStyle w:val="Hyperlink"/>
            <w:rFonts w:ascii="Arial" w:eastAsia="Times New Roman" w:hAnsi="Arial" w:cs="Arial"/>
            <w:sz w:val="24"/>
            <w:szCs w:val="24"/>
            <w:lang w:val="en-US" w:eastAsia=""/>
          </w:rPr>
          <w:t>https://www.food.gov.uk/</w:t>
        </w:r>
      </w:hyperlink>
      <w:r w:rsidRPr="00EB30B5">
        <w:rPr>
          <w:rFonts w:ascii="Arial" w:eastAsia="Times New Roman" w:hAnsi="Arial" w:cs="Arial"/>
          <w:sz w:val="24"/>
          <w:szCs w:val="24"/>
          <w:lang w:val="en-US" w:eastAsia=""/>
        </w:rPr>
        <w:t xml:space="preserve"> (Accessed: 22 March 2026).</w:t>
      </w:r>
    </w:p>
    <w:p w14:paraId="6DA9A8F8"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Government of UK (2024) </w:t>
      </w:r>
      <w:r w:rsidRPr="00EB30B5">
        <w:rPr>
          <w:rFonts w:ascii="Arial" w:eastAsia="Times New Roman" w:hAnsi="Arial" w:cs="Arial"/>
          <w:i/>
          <w:iCs/>
          <w:sz w:val="24"/>
          <w:szCs w:val="24"/>
          <w:lang w:val="en-US" w:eastAsia=""/>
        </w:rPr>
        <w:t>Set up a private limited company</w:t>
      </w:r>
      <w:r w:rsidRPr="00EB30B5">
        <w:rPr>
          <w:rFonts w:ascii="Arial" w:eastAsia="Times New Roman" w:hAnsi="Arial" w:cs="Arial"/>
          <w:sz w:val="24"/>
          <w:szCs w:val="24"/>
          <w:lang w:val="en-US" w:eastAsia=""/>
        </w:rPr>
        <w:t xml:space="preserve">. Available at: </w:t>
      </w:r>
      <w:hyperlink r:id="rId19" w:tgtFrame="_new" w:history="1">
        <w:r w:rsidRPr="00EB30B5">
          <w:rPr>
            <w:rStyle w:val="Hyperlink"/>
            <w:rFonts w:ascii="Arial" w:eastAsia="Times New Roman" w:hAnsi="Arial" w:cs="Arial"/>
            <w:sz w:val="24"/>
            <w:szCs w:val="24"/>
            <w:lang w:val="en-US" w:eastAsia=""/>
          </w:rPr>
          <w:t>https://www.gov.uk/limited-company-formation</w:t>
        </w:r>
      </w:hyperlink>
      <w:r w:rsidRPr="00EB30B5">
        <w:rPr>
          <w:rFonts w:ascii="Arial" w:eastAsia="Times New Roman" w:hAnsi="Arial" w:cs="Arial"/>
          <w:sz w:val="24"/>
          <w:szCs w:val="24"/>
          <w:lang w:val="en-US" w:eastAsia=""/>
        </w:rPr>
        <w:t xml:space="preserve"> (Accessed: 22 March 2026).</w:t>
      </w:r>
    </w:p>
    <w:p w14:paraId="20C42A48"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Lange, J., Rezepa, S. and Zatrochová, M. (2024) ‘The role of business angels in the early-stage financing of startups: a systematic literature review’, </w:t>
      </w:r>
      <w:r w:rsidRPr="00EB30B5">
        <w:rPr>
          <w:rFonts w:ascii="Arial" w:eastAsia="Times New Roman" w:hAnsi="Arial" w:cs="Arial"/>
          <w:i/>
          <w:iCs/>
          <w:sz w:val="24"/>
          <w:szCs w:val="24"/>
          <w:lang w:val="en-US" w:eastAsia=""/>
        </w:rPr>
        <w:t>Administrative Sciences</w:t>
      </w:r>
      <w:r w:rsidRPr="00EB30B5">
        <w:rPr>
          <w:rFonts w:ascii="Arial" w:eastAsia="Times New Roman" w:hAnsi="Arial" w:cs="Arial"/>
          <w:sz w:val="24"/>
          <w:szCs w:val="24"/>
          <w:lang w:val="en-US" w:eastAsia=""/>
        </w:rPr>
        <w:t xml:space="preserve">, 14(10), p. 247. Available at: </w:t>
      </w:r>
      <w:hyperlink r:id="rId20" w:tgtFrame="_new" w:history="1">
        <w:r w:rsidRPr="00EB30B5">
          <w:rPr>
            <w:rStyle w:val="Hyperlink"/>
            <w:rFonts w:ascii="Arial" w:eastAsia="Times New Roman" w:hAnsi="Arial" w:cs="Arial"/>
            <w:sz w:val="24"/>
            <w:szCs w:val="24"/>
            <w:lang w:val="en-US" w:eastAsia=""/>
          </w:rPr>
          <w:t>https://doi.org/10.3390/admsci14100247</w:t>
        </w:r>
      </w:hyperlink>
      <w:r w:rsidRPr="00EB30B5">
        <w:rPr>
          <w:rFonts w:ascii="Arial" w:eastAsia="Times New Roman" w:hAnsi="Arial" w:cs="Arial"/>
          <w:sz w:val="24"/>
          <w:szCs w:val="24"/>
          <w:lang w:val="en-US" w:eastAsia=""/>
        </w:rPr>
        <w:t>.</w:t>
      </w:r>
    </w:p>
    <w:p w14:paraId="2096CD1F"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Lewis, T., Addison-Smith, H. and Middha, B. (2025) ‘What’s (not) on the digital food menu: from visual feasts to a sustainable future food imaginary on Instagram’, </w:t>
      </w:r>
      <w:r w:rsidRPr="00EB30B5">
        <w:rPr>
          <w:rFonts w:ascii="Arial" w:eastAsia="Times New Roman" w:hAnsi="Arial" w:cs="Arial"/>
          <w:i/>
          <w:iCs/>
          <w:sz w:val="24"/>
          <w:szCs w:val="24"/>
          <w:lang w:val="en-US" w:eastAsia=""/>
        </w:rPr>
        <w:t>Cultural Studies</w:t>
      </w:r>
      <w:r w:rsidRPr="00EB30B5">
        <w:rPr>
          <w:rFonts w:ascii="Arial" w:eastAsia="Times New Roman" w:hAnsi="Arial" w:cs="Arial"/>
          <w:sz w:val="24"/>
          <w:szCs w:val="24"/>
          <w:lang w:val="en-US" w:eastAsia=""/>
        </w:rPr>
        <w:t xml:space="preserve">, pp. 1–21. Available at: </w:t>
      </w:r>
      <w:hyperlink r:id="rId21" w:tgtFrame="_new" w:history="1">
        <w:r w:rsidRPr="00EB30B5">
          <w:rPr>
            <w:rStyle w:val="Hyperlink"/>
            <w:rFonts w:ascii="Arial" w:eastAsia="Times New Roman" w:hAnsi="Arial" w:cs="Arial"/>
            <w:sz w:val="24"/>
            <w:szCs w:val="24"/>
            <w:lang w:val="en-US" w:eastAsia=""/>
          </w:rPr>
          <w:t>https://doi.org/10.1080/09502386.2025.2576862</w:t>
        </w:r>
      </w:hyperlink>
      <w:r w:rsidRPr="00EB30B5">
        <w:rPr>
          <w:rFonts w:ascii="Arial" w:eastAsia="Times New Roman" w:hAnsi="Arial" w:cs="Arial"/>
          <w:sz w:val="24"/>
          <w:szCs w:val="24"/>
          <w:lang w:val="en-US" w:eastAsia=""/>
        </w:rPr>
        <w:t>.</w:t>
      </w:r>
    </w:p>
    <w:p w14:paraId="5447E43E"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Magx (2025) ‘Top 8 restaurant marketing campaigns that work in 2025’, </w:t>
      </w:r>
      <w:r w:rsidRPr="00EB30B5">
        <w:rPr>
          <w:rFonts w:ascii="Arial" w:eastAsia="Times New Roman" w:hAnsi="Arial" w:cs="Arial"/>
          <w:i/>
          <w:iCs/>
          <w:sz w:val="24"/>
          <w:szCs w:val="24"/>
          <w:lang w:val="en-US" w:eastAsia=""/>
        </w:rPr>
        <w:t>MGX Growth</w:t>
      </w:r>
      <w:r w:rsidRPr="00EB30B5">
        <w:rPr>
          <w:rFonts w:ascii="Arial" w:eastAsia="Times New Roman" w:hAnsi="Arial" w:cs="Arial"/>
          <w:sz w:val="24"/>
          <w:szCs w:val="24"/>
          <w:lang w:val="en-US" w:eastAsia=""/>
        </w:rPr>
        <w:t xml:space="preserve">. Available at: </w:t>
      </w:r>
      <w:hyperlink r:id="rId22" w:tgtFrame="_new" w:history="1">
        <w:r w:rsidRPr="00EB30B5">
          <w:rPr>
            <w:rStyle w:val="Hyperlink"/>
            <w:rFonts w:ascii="Arial" w:eastAsia="Times New Roman" w:hAnsi="Arial" w:cs="Arial"/>
            <w:sz w:val="24"/>
            <w:szCs w:val="24"/>
            <w:lang w:val="en-US" w:eastAsia=""/>
          </w:rPr>
          <w:t>https://mgxgrowth.com/restaurant-marketing-campaigns-that-work/</w:t>
        </w:r>
      </w:hyperlink>
      <w:r w:rsidRPr="00EB30B5">
        <w:rPr>
          <w:rFonts w:ascii="Arial" w:eastAsia="Times New Roman" w:hAnsi="Arial" w:cs="Arial"/>
          <w:sz w:val="24"/>
          <w:szCs w:val="24"/>
          <w:lang w:val="en-US" w:eastAsia=""/>
        </w:rPr>
        <w:t xml:space="preserve"> (Accessed: 22 March 2026).</w:t>
      </w:r>
    </w:p>
    <w:p w14:paraId="650C1163"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Maiyo, R., Cheboi, J. and Limo, P. (2025) ‘Accounting conservatism as a protective mechanism’, </w:t>
      </w:r>
      <w:r w:rsidRPr="00EB30B5">
        <w:rPr>
          <w:rFonts w:ascii="Arial" w:eastAsia="Times New Roman" w:hAnsi="Arial" w:cs="Arial"/>
          <w:i/>
          <w:iCs/>
          <w:sz w:val="24"/>
          <w:szCs w:val="24"/>
          <w:lang w:val="en-US" w:eastAsia=""/>
        </w:rPr>
        <w:t>SEISENSE Journal of Management</w:t>
      </w:r>
      <w:r w:rsidRPr="00EB30B5">
        <w:rPr>
          <w:rFonts w:ascii="Arial" w:eastAsia="Times New Roman" w:hAnsi="Arial" w:cs="Arial"/>
          <w:sz w:val="24"/>
          <w:szCs w:val="24"/>
          <w:lang w:val="en-US" w:eastAsia=""/>
        </w:rPr>
        <w:t xml:space="preserve">, 8(1), pp. 36–58. Available at: </w:t>
      </w:r>
      <w:hyperlink r:id="rId23" w:tgtFrame="_new" w:history="1">
        <w:r w:rsidRPr="00EB30B5">
          <w:rPr>
            <w:rStyle w:val="Hyperlink"/>
            <w:rFonts w:ascii="Arial" w:eastAsia="Times New Roman" w:hAnsi="Arial" w:cs="Arial"/>
            <w:sz w:val="24"/>
            <w:szCs w:val="24"/>
            <w:lang w:val="en-US" w:eastAsia=""/>
          </w:rPr>
          <w:t>https://doi.org/10.33215/v9y9ph37</w:t>
        </w:r>
      </w:hyperlink>
      <w:r w:rsidRPr="00EB30B5">
        <w:rPr>
          <w:rFonts w:ascii="Arial" w:eastAsia="Times New Roman" w:hAnsi="Arial" w:cs="Arial"/>
          <w:sz w:val="24"/>
          <w:szCs w:val="24"/>
          <w:lang w:val="en-US" w:eastAsia=""/>
        </w:rPr>
        <w:t>.</w:t>
      </w:r>
    </w:p>
    <w:p w14:paraId="1B03EE44"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Mandung, F. (2024) ‘The influence of storytelling techniques in digital marketing on brand loyalty: a consumer psychology perspective’, </w:t>
      </w:r>
      <w:r w:rsidRPr="00EB30B5">
        <w:rPr>
          <w:rFonts w:ascii="Arial" w:eastAsia="Times New Roman" w:hAnsi="Arial" w:cs="Arial"/>
          <w:i/>
          <w:iCs/>
          <w:sz w:val="24"/>
          <w:szCs w:val="24"/>
          <w:lang w:val="en-US" w:eastAsia=""/>
        </w:rPr>
        <w:t>Golden Ratio of Marketing and Applied Psychology of Business</w:t>
      </w:r>
      <w:r w:rsidRPr="00EB30B5">
        <w:rPr>
          <w:rFonts w:ascii="Arial" w:eastAsia="Times New Roman" w:hAnsi="Arial" w:cs="Arial"/>
          <w:sz w:val="24"/>
          <w:szCs w:val="24"/>
          <w:lang w:val="en-US" w:eastAsia=""/>
        </w:rPr>
        <w:t xml:space="preserve">, 5(1), pp. 66–78. Available at: </w:t>
      </w:r>
      <w:hyperlink r:id="rId24" w:tgtFrame="_new" w:history="1">
        <w:r w:rsidRPr="00EB30B5">
          <w:rPr>
            <w:rStyle w:val="Hyperlink"/>
            <w:rFonts w:ascii="Arial" w:eastAsia="Times New Roman" w:hAnsi="Arial" w:cs="Arial"/>
            <w:sz w:val="24"/>
            <w:szCs w:val="24"/>
            <w:lang w:val="en-US" w:eastAsia=""/>
          </w:rPr>
          <w:t>https://doi.org/10.52970/grmapb.v5i1.782</w:t>
        </w:r>
      </w:hyperlink>
      <w:r w:rsidRPr="00EB30B5">
        <w:rPr>
          <w:rFonts w:ascii="Arial" w:eastAsia="Times New Roman" w:hAnsi="Arial" w:cs="Arial"/>
          <w:sz w:val="24"/>
          <w:szCs w:val="24"/>
          <w:lang w:val="en-US" w:eastAsia=""/>
        </w:rPr>
        <w:t>.</w:t>
      </w:r>
    </w:p>
    <w:p w14:paraId="00D85E61"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Onyeaka, H. et al. (2023) ‘Using artificial intelligence to tackle food waste and enhance the circular economy: maximising resource efficiency and minimising environmental impact: a review’, </w:t>
      </w:r>
      <w:r w:rsidRPr="00EB30B5">
        <w:rPr>
          <w:rFonts w:ascii="Arial" w:eastAsia="Times New Roman" w:hAnsi="Arial" w:cs="Arial"/>
          <w:i/>
          <w:iCs/>
          <w:sz w:val="24"/>
          <w:szCs w:val="24"/>
          <w:lang w:val="en-US" w:eastAsia=""/>
        </w:rPr>
        <w:t>Sustainability</w:t>
      </w:r>
      <w:r w:rsidRPr="00EB30B5">
        <w:rPr>
          <w:rFonts w:ascii="Arial" w:eastAsia="Times New Roman" w:hAnsi="Arial" w:cs="Arial"/>
          <w:sz w:val="24"/>
          <w:szCs w:val="24"/>
          <w:lang w:val="en-US" w:eastAsia=""/>
        </w:rPr>
        <w:t xml:space="preserve">, 15(13), p. 10482. Available at: </w:t>
      </w:r>
      <w:hyperlink r:id="rId25" w:tgtFrame="_new" w:history="1">
        <w:r w:rsidRPr="00EB30B5">
          <w:rPr>
            <w:rStyle w:val="Hyperlink"/>
            <w:rFonts w:ascii="Arial" w:eastAsia="Times New Roman" w:hAnsi="Arial" w:cs="Arial"/>
            <w:sz w:val="24"/>
            <w:szCs w:val="24"/>
            <w:lang w:val="en-US" w:eastAsia=""/>
          </w:rPr>
          <w:t>https://www.mdpi.com/2071-1050/15/13/10482</w:t>
        </w:r>
      </w:hyperlink>
      <w:r w:rsidRPr="00EB30B5">
        <w:rPr>
          <w:rFonts w:ascii="Arial" w:eastAsia="Times New Roman" w:hAnsi="Arial" w:cs="Arial"/>
          <w:sz w:val="24"/>
          <w:szCs w:val="24"/>
          <w:lang w:val="en-US" w:eastAsia=""/>
        </w:rPr>
        <w:t xml:space="preserve"> (Accessed: 22 March 2026).</w:t>
      </w:r>
    </w:p>
    <w:p w14:paraId="07A96125"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Palakshappa, N., Bulmer, S. and Dodds, S. (2024) ‘Co-creating sustainability: transformative power of the brand’, </w:t>
      </w:r>
      <w:r w:rsidRPr="00EB30B5">
        <w:rPr>
          <w:rFonts w:ascii="Arial" w:eastAsia="Times New Roman" w:hAnsi="Arial" w:cs="Arial"/>
          <w:i/>
          <w:iCs/>
          <w:sz w:val="24"/>
          <w:szCs w:val="24"/>
          <w:lang w:val="en-US" w:eastAsia=""/>
        </w:rPr>
        <w:t>Journal of Marketing Management</w:t>
      </w:r>
      <w:r w:rsidRPr="00EB30B5">
        <w:rPr>
          <w:rFonts w:ascii="Arial" w:eastAsia="Times New Roman" w:hAnsi="Arial" w:cs="Arial"/>
          <w:sz w:val="24"/>
          <w:szCs w:val="24"/>
          <w:lang w:val="en-US" w:eastAsia=""/>
        </w:rPr>
        <w:t xml:space="preserve">, 40(9–10), pp. 1–31. Available at: </w:t>
      </w:r>
      <w:hyperlink r:id="rId26" w:tgtFrame="_new" w:history="1">
        <w:r w:rsidRPr="00EB30B5">
          <w:rPr>
            <w:rStyle w:val="Hyperlink"/>
            <w:rFonts w:ascii="Arial" w:eastAsia="Times New Roman" w:hAnsi="Arial" w:cs="Arial"/>
            <w:sz w:val="24"/>
            <w:szCs w:val="24"/>
            <w:lang w:val="en-US" w:eastAsia=""/>
          </w:rPr>
          <w:t>https://doi.org/10.1080/0267257x.2024.2380261</w:t>
        </w:r>
      </w:hyperlink>
      <w:r w:rsidRPr="00EB30B5">
        <w:rPr>
          <w:rFonts w:ascii="Arial" w:eastAsia="Times New Roman" w:hAnsi="Arial" w:cs="Arial"/>
          <w:sz w:val="24"/>
          <w:szCs w:val="24"/>
          <w:lang w:val="en-US" w:eastAsia=""/>
        </w:rPr>
        <w:t>.</w:t>
      </w:r>
    </w:p>
    <w:p w14:paraId="08007AE0"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Peterdy, K. (2025) ‘PESTEL analysis’, </w:t>
      </w:r>
      <w:r w:rsidRPr="00EB30B5">
        <w:rPr>
          <w:rFonts w:ascii="Arial" w:eastAsia="Times New Roman" w:hAnsi="Arial" w:cs="Arial"/>
          <w:i/>
          <w:iCs/>
          <w:sz w:val="24"/>
          <w:szCs w:val="24"/>
          <w:lang w:val="en-US" w:eastAsia=""/>
        </w:rPr>
        <w:t>Corporate Finance Institute</w:t>
      </w:r>
      <w:r w:rsidRPr="00EB30B5">
        <w:rPr>
          <w:rFonts w:ascii="Arial" w:eastAsia="Times New Roman" w:hAnsi="Arial" w:cs="Arial"/>
          <w:sz w:val="24"/>
          <w:szCs w:val="24"/>
          <w:lang w:val="en-US" w:eastAsia=""/>
        </w:rPr>
        <w:t xml:space="preserve">. Available at: </w:t>
      </w:r>
      <w:hyperlink r:id="rId27" w:tgtFrame="_new" w:history="1">
        <w:r w:rsidRPr="00EB30B5">
          <w:rPr>
            <w:rStyle w:val="Hyperlink"/>
            <w:rFonts w:ascii="Arial" w:eastAsia="Times New Roman" w:hAnsi="Arial" w:cs="Arial"/>
            <w:sz w:val="24"/>
            <w:szCs w:val="24"/>
            <w:lang w:val="en-US" w:eastAsia=""/>
          </w:rPr>
          <w:t>https://corporatefinanceinstitute.com/resources/management/pestel-analysis/</w:t>
        </w:r>
      </w:hyperlink>
      <w:r w:rsidRPr="00EB30B5">
        <w:rPr>
          <w:rFonts w:ascii="Arial" w:eastAsia="Times New Roman" w:hAnsi="Arial" w:cs="Arial"/>
          <w:sz w:val="24"/>
          <w:szCs w:val="24"/>
          <w:lang w:val="en-US" w:eastAsia=""/>
        </w:rPr>
        <w:t xml:space="preserve"> (Accessed: 22 March 2026).</w:t>
      </w:r>
    </w:p>
    <w:p w14:paraId="1576855C"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Prasanna, M. and Priyanka, A.L. (2024) ‘Marketing to Gen Z: understanding the preferences and behaviours of next generation’, </w:t>
      </w:r>
      <w:r w:rsidRPr="00EB30B5">
        <w:rPr>
          <w:rFonts w:ascii="Arial" w:eastAsia="Times New Roman" w:hAnsi="Arial" w:cs="Arial"/>
          <w:i/>
          <w:iCs/>
          <w:sz w:val="24"/>
          <w:szCs w:val="24"/>
          <w:lang w:val="en-US" w:eastAsia=""/>
        </w:rPr>
        <w:t>International Journal for Multidisciplinary Research</w:t>
      </w:r>
      <w:r w:rsidRPr="00EB30B5">
        <w:rPr>
          <w:rFonts w:ascii="Arial" w:eastAsia="Times New Roman" w:hAnsi="Arial" w:cs="Arial"/>
          <w:sz w:val="24"/>
          <w:szCs w:val="24"/>
          <w:lang w:val="en-US" w:eastAsia=""/>
        </w:rPr>
        <w:t xml:space="preserve">, 6(4), pp. 1–8. Available at: </w:t>
      </w:r>
      <w:hyperlink r:id="rId28" w:tgtFrame="_new" w:history="1">
        <w:r w:rsidRPr="00EB30B5">
          <w:rPr>
            <w:rStyle w:val="Hyperlink"/>
            <w:rFonts w:ascii="Arial" w:eastAsia="Times New Roman" w:hAnsi="Arial" w:cs="Arial"/>
            <w:sz w:val="24"/>
            <w:szCs w:val="24"/>
            <w:lang w:val="en-US" w:eastAsia=""/>
          </w:rPr>
          <w:t>https://doi.org/10.36948/ijfmr.2024.v06i04.26612</w:t>
        </w:r>
      </w:hyperlink>
      <w:r w:rsidRPr="00EB30B5">
        <w:rPr>
          <w:rFonts w:ascii="Arial" w:eastAsia="Times New Roman" w:hAnsi="Arial" w:cs="Arial"/>
          <w:sz w:val="24"/>
          <w:szCs w:val="24"/>
          <w:lang w:val="en-US" w:eastAsia=""/>
        </w:rPr>
        <w:t>.</w:t>
      </w:r>
    </w:p>
    <w:p w14:paraId="7EE6C910"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Statista (2024) ‘Shopping behaviour for ethical and sustainable brands UK 2024’, </w:t>
      </w:r>
      <w:r w:rsidRPr="00EB30B5">
        <w:rPr>
          <w:rFonts w:ascii="Arial" w:eastAsia="Times New Roman" w:hAnsi="Arial" w:cs="Arial"/>
          <w:i/>
          <w:iCs/>
          <w:sz w:val="24"/>
          <w:szCs w:val="24"/>
          <w:lang w:val="en-US" w:eastAsia=""/>
        </w:rPr>
        <w:t>Statista</w:t>
      </w:r>
      <w:r w:rsidRPr="00EB30B5">
        <w:rPr>
          <w:rFonts w:ascii="Arial" w:eastAsia="Times New Roman" w:hAnsi="Arial" w:cs="Arial"/>
          <w:sz w:val="24"/>
          <w:szCs w:val="24"/>
          <w:lang w:val="en-US" w:eastAsia=""/>
        </w:rPr>
        <w:t xml:space="preserve">. Available at: </w:t>
      </w:r>
      <w:hyperlink r:id="rId29" w:tgtFrame="_new" w:history="1">
        <w:r w:rsidRPr="00EB30B5">
          <w:rPr>
            <w:rStyle w:val="Hyperlink"/>
            <w:rFonts w:ascii="Arial" w:eastAsia="Times New Roman" w:hAnsi="Arial" w:cs="Arial"/>
            <w:sz w:val="24"/>
            <w:szCs w:val="24"/>
            <w:lang w:val="en-US" w:eastAsia=""/>
          </w:rPr>
          <w:t>https://www.statista.com/statistics/1325387/paying-more-for-sustainable-and-ethical-brands-uk/</w:t>
        </w:r>
      </w:hyperlink>
      <w:r w:rsidRPr="00EB30B5">
        <w:rPr>
          <w:rFonts w:ascii="Arial" w:eastAsia="Times New Roman" w:hAnsi="Arial" w:cs="Arial"/>
          <w:sz w:val="24"/>
          <w:szCs w:val="24"/>
          <w:lang w:val="en-US" w:eastAsia=""/>
        </w:rPr>
        <w:t xml:space="preserve"> (Accessed: 22 March 2026).</w:t>
      </w:r>
    </w:p>
    <w:p w14:paraId="76BC5A91"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Tang, Y. and Chin, T.A. (2024) ‘Review of competitive advantage within restaurants’, </w:t>
      </w:r>
      <w:r w:rsidRPr="00EB30B5">
        <w:rPr>
          <w:rFonts w:ascii="Arial" w:eastAsia="Times New Roman" w:hAnsi="Arial" w:cs="Arial"/>
          <w:i/>
          <w:iCs/>
          <w:sz w:val="24"/>
          <w:szCs w:val="24"/>
          <w:lang w:val="en-US" w:eastAsia=""/>
        </w:rPr>
        <w:t>International Journal of Academic Research in Business and Social Sciences</w:t>
      </w:r>
      <w:r w:rsidRPr="00EB30B5">
        <w:rPr>
          <w:rFonts w:ascii="Arial" w:eastAsia="Times New Roman" w:hAnsi="Arial" w:cs="Arial"/>
          <w:sz w:val="24"/>
          <w:szCs w:val="24"/>
          <w:lang w:val="en-US" w:eastAsia=""/>
        </w:rPr>
        <w:t xml:space="preserve">, 14(1). Available at: </w:t>
      </w:r>
      <w:hyperlink r:id="rId30" w:tgtFrame="_new" w:history="1">
        <w:r w:rsidRPr="00EB30B5">
          <w:rPr>
            <w:rStyle w:val="Hyperlink"/>
            <w:rFonts w:ascii="Arial" w:eastAsia="Times New Roman" w:hAnsi="Arial" w:cs="Arial"/>
            <w:sz w:val="24"/>
            <w:szCs w:val="24"/>
            <w:lang w:val="en-US" w:eastAsia=""/>
          </w:rPr>
          <w:t>https://doi.org/10.6007/ijarbss/v14-i1/20579</w:t>
        </w:r>
      </w:hyperlink>
      <w:r w:rsidRPr="00EB30B5">
        <w:rPr>
          <w:rFonts w:ascii="Arial" w:eastAsia="Times New Roman" w:hAnsi="Arial" w:cs="Arial"/>
          <w:sz w:val="24"/>
          <w:szCs w:val="24"/>
          <w:lang w:val="en-US" w:eastAsia=""/>
        </w:rPr>
        <w:t>.</w:t>
      </w:r>
    </w:p>
    <w:p w14:paraId="32EB568D"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Weijers, R.J. et al. (2025) ‘Together towards sustainable dining – cocreating behavioural change interventions with restaurants’, </w:t>
      </w:r>
      <w:r w:rsidRPr="00EB30B5">
        <w:rPr>
          <w:rFonts w:ascii="Arial" w:eastAsia="Times New Roman" w:hAnsi="Arial" w:cs="Arial"/>
          <w:i/>
          <w:iCs/>
          <w:sz w:val="24"/>
          <w:szCs w:val="24"/>
          <w:lang w:val="en-US" w:eastAsia=""/>
        </w:rPr>
        <w:t>Appetite</w:t>
      </w:r>
      <w:r w:rsidRPr="00EB30B5">
        <w:rPr>
          <w:rFonts w:ascii="Arial" w:eastAsia="Times New Roman" w:hAnsi="Arial" w:cs="Arial"/>
          <w:sz w:val="24"/>
          <w:szCs w:val="24"/>
          <w:lang w:val="en-US" w:eastAsia=""/>
        </w:rPr>
        <w:t xml:space="preserve">, 211, p. 108009. Available at: </w:t>
      </w:r>
      <w:hyperlink r:id="rId31" w:tgtFrame="_new" w:history="1">
        <w:r w:rsidRPr="00EB30B5">
          <w:rPr>
            <w:rStyle w:val="Hyperlink"/>
            <w:rFonts w:ascii="Arial" w:eastAsia="Times New Roman" w:hAnsi="Arial" w:cs="Arial"/>
            <w:sz w:val="24"/>
            <w:szCs w:val="24"/>
            <w:lang w:val="en-US" w:eastAsia=""/>
          </w:rPr>
          <w:t>https://doi.org/10.1016/j.appet.2025.108009</w:t>
        </w:r>
      </w:hyperlink>
      <w:r w:rsidRPr="00EB30B5">
        <w:rPr>
          <w:rFonts w:ascii="Arial" w:eastAsia="Times New Roman" w:hAnsi="Arial" w:cs="Arial"/>
          <w:sz w:val="24"/>
          <w:szCs w:val="24"/>
          <w:lang w:val="en-US" w:eastAsia=""/>
        </w:rPr>
        <w:t>.</w:t>
      </w:r>
    </w:p>
    <w:p w14:paraId="09642C07"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Żakowska-Biemans, S. (2025) ‘Meatless momentum: food-related lifestyle drivers of plant-based meat alternative adoption’, </w:t>
      </w:r>
      <w:r w:rsidRPr="00EB30B5">
        <w:rPr>
          <w:rFonts w:ascii="Arial" w:eastAsia="Times New Roman" w:hAnsi="Arial" w:cs="Arial"/>
          <w:i/>
          <w:iCs/>
          <w:sz w:val="24"/>
          <w:szCs w:val="24"/>
          <w:lang w:val="en-US" w:eastAsia=""/>
        </w:rPr>
        <w:t>Nutrients</w:t>
      </w:r>
      <w:r w:rsidRPr="00EB30B5">
        <w:rPr>
          <w:rFonts w:ascii="Arial" w:eastAsia="Times New Roman" w:hAnsi="Arial" w:cs="Arial"/>
          <w:sz w:val="24"/>
          <w:szCs w:val="24"/>
          <w:lang w:val="en-US" w:eastAsia=""/>
        </w:rPr>
        <w:t xml:space="preserve">, 17(22), p. 3628. Available at: </w:t>
      </w:r>
      <w:hyperlink r:id="rId32" w:tgtFrame="_new" w:history="1">
        <w:r w:rsidRPr="00EB30B5">
          <w:rPr>
            <w:rStyle w:val="Hyperlink"/>
            <w:rFonts w:ascii="Arial" w:eastAsia="Times New Roman" w:hAnsi="Arial" w:cs="Arial"/>
            <w:sz w:val="24"/>
            <w:szCs w:val="24"/>
            <w:lang w:val="en-US" w:eastAsia=""/>
          </w:rPr>
          <w:t>https://doi.org/10.3390/nu17223628</w:t>
        </w:r>
      </w:hyperlink>
      <w:r w:rsidRPr="00EB30B5">
        <w:rPr>
          <w:rFonts w:ascii="Arial" w:eastAsia="Times New Roman" w:hAnsi="Arial" w:cs="Arial"/>
          <w:sz w:val="24"/>
          <w:szCs w:val="24"/>
          <w:lang w:val="en-US" w:eastAsia=""/>
        </w:rPr>
        <w:t>.</w:t>
      </w:r>
    </w:p>
    <w:p w14:paraId="62F9C2FC" w14:textId="77777777" w:rsidR="00EB30B5" w:rsidRPr="00EB30B5" w:rsidRDefault="00EB30B5" w:rsidP="00EB30B5">
      <w:pPr>
        <w:spacing w:after="0" w:line="360" w:lineRule="auto"/>
        <w:ind w:left="720" w:hanging="720"/>
        <w:rPr>
          <w:rFonts w:ascii="Arial" w:eastAsia="Times New Roman" w:hAnsi="Arial" w:cs="Arial"/>
          <w:sz w:val="24"/>
          <w:szCs w:val="24"/>
          <w:lang w:val="en-US" w:eastAsia=""/>
        </w:rPr>
      </w:pPr>
      <w:r w:rsidRPr="00EB30B5">
        <w:rPr>
          <w:rFonts w:ascii="Arial" w:eastAsia="Times New Roman" w:hAnsi="Arial" w:cs="Arial"/>
          <w:sz w:val="24"/>
          <w:szCs w:val="24"/>
          <w:lang w:val="en-US" w:eastAsia=""/>
        </w:rPr>
        <w:t xml:space="preserve">Zaman, A. (2022) ‘Zero-waste: a new sustainability paradigm for addressing the global waste problem’, in </w:t>
      </w:r>
      <w:r w:rsidRPr="00EB30B5">
        <w:rPr>
          <w:rFonts w:ascii="Arial" w:eastAsia="Times New Roman" w:hAnsi="Arial" w:cs="Arial"/>
          <w:i/>
          <w:iCs/>
          <w:sz w:val="24"/>
          <w:szCs w:val="24"/>
          <w:lang w:val="en-US" w:eastAsia=""/>
        </w:rPr>
        <w:t>The Vision Zero Handbook</w:t>
      </w:r>
      <w:r w:rsidRPr="00EB30B5">
        <w:rPr>
          <w:rFonts w:ascii="Arial" w:eastAsia="Times New Roman" w:hAnsi="Arial" w:cs="Arial"/>
          <w:sz w:val="24"/>
          <w:szCs w:val="24"/>
          <w:lang w:val="en-US" w:eastAsia=""/>
        </w:rPr>
        <w:t xml:space="preserve">, pp. 1–24. Available at: </w:t>
      </w:r>
      <w:hyperlink r:id="rId33" w:tgtFrame="_new" w:history="1">
        <w:r w:rsidRPr="00EB30B5">
          <w:rPr>
            <w:rStyle w:val="Hyperlink"/>
            <w:rFonts w:ascii="Arial" w:eastAsia="Times New Roman" w:hAnsi="Arial" w:cs="Arial"/>
            <w:sz w:val="24"/>
            <w:szCs w:val="24"/>
            <w:lang w:val="en-US" w:eastAsia=""/>
          </w:rPr>
          <w:t>https://doi.org/10.1007/978-3-030-23176-7_46-1</w:t>
        </w:r>
      </w:hyperlink>
    </w:p>
    <w:p w14:paraId="7BA025D5" w14:textId="77777777" w:rsidR="00803353" w:rsidRPr="008B39BA" w:rsidRDefault="00803353" w:rsidP="00692131">
      <w:pPr>
        <w:spacing w:after="0" w:line="360" w:lineRule="auto"/>
        <w:ind w:left="720" w:hanging="720"/>
        <w:rPr>
          <w:rFonts w:ascii="Arial" w:eastAsia="Times New Roman" w:hAnsi="Arial" w:cs="Arial"/>
          <w:b/>
          <w:sz w:val="24"/>
          <w:szCs w:val="24"/>
          <w:lang w:eastAsia=""/>
        </w:rPr>
      </w:pPr>
    </w:p>
    <w:p w14:paraId="49D856E3" w14:textId="77777777" w:rsidR="008E6C81" w:rsidRPr="008B39BA" w:rsidRDefault="008E6C81" w:rsidP="00692131">
      <w:pPr>
        <w:spacing w:after="0" w:line="360" w:lineRule="auto"/>
        <w:ind w:left="720" w:hanging="720"/>
        <w:rPr>
          <w:rFonts w:ascii="Arial" w:eastAsia="Times New Roman" w:hAnsi="Arial" w:cs="Arial"/>
          <w:b/>
          <w:sz w:val="24"/>
          <w:szCs w:val="24"/>
          <w:lang w:eastAsia=""/>
        </w:rPr>
      </w:pPr>
    </w:p>
    <w:p w14:paraId="0B8A1BB5" w14:textId="77777777" w:rsidR="008E6C81" w:rsidRPr="008B39BA" w:rsidRDefault="008E6C81" w:rsidP="00692131">
      <w:pPr>
        <w:spacing w:after="0" w:line="360" w:lineRule="auto"/>
        <w:ind w:left="720" w:hanging="720"/>
        <w:rPr>
          <w:rFonts w:ascii="Arial" w:eastAsia="Times New Roman" w:hAnsi="Arial" w:cs="Arial"/>
          <w:b/>
          <w:sz w:val="24"/>
          <w:szCs w:val="24"/>
          <w:lang w:eastAsia=""/>
        </w:rPr>
      </w:pPr>
    </w:p>
    <w:p w14:paraId="4C55AF0B" w14:textId="77777777" w:rsidR="008E6C81" w:rsidRPr="008B39BA" w:rsidRDefault="008E6C81" w:rsidP="00692131">
      <w:pPr>
        <w:spacing w:after="0" w:line="360" w:lineRule="auto"/>
        <w:ind w:left="720" w:hanging="720"/>
        <w:rPr>
          <w:rFonts w:ascii="Arial" w:eastAsia="Times New Roman" w:hAnsi="Arial" w:cs="Arial"/>
          <w:b/>
          <w:sz w:val="24"/>
          <w:szCs w:val="24"/>
          <w:lang w:eastAsia=""/>
        </w:rPr>
      </w:pPr>
    </w:p>
    <w:p w14:paraId="0E290CFE" w14:textId="77777777" w:rsidR="008E6C81" w:rsidRPr="008B39BA" w:rsidRDefault="008E6C81" w:rsidP="00692131">
      <w:pPr>
        <w:spacing w:after="0" w:line="360" w:lineRule="auto"/>
        <w:ind w:left="720" w:hanging="720"/>
        <w:rPr>
          <w:rFonts w:ascii="Arial" w:eastAsia="Times New Roman" w:hAnsi="Arial" w:cs="Arial"/>
          <w:b/>
          <w:sz w:val="24"/>
          <w:szCs w:val="24"/>
          <w:lang w:eastAsia=""/>
        </w:rPr>
      </w:pPr>
    </w:p>
    <w:sectPr w:rsidR="008E6C81" w:rsidRPr="008B39BA">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507A9" w14:textId="77777777" w:rsidR="00183F0F" w:rsidRDefault="00183F0F">
      <w:pPr>
        <w:spacing w:after="0" w:line="240" w:lineRule="auto"/>
      </w:pPr>
      <w:r>
        <w:separator/>
      </w:r>
    </w:p>
  </w:endnote>
  <w:endnote w:type="continuationSeparator" w:id="0">
    <w:p w14:paraId="778697C8" w14:textId="77777777" w:rsidR="00183F0F" w:rsidRDefault="00183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E69F2" w14:textId="77777777" w:rsidR="00183F0F" w:rsidRDefault="00183F0F">
      <w:pPr>
        <w:spacing w:after="0" w:line="240" w:lineRule="auto"/>
      </w:pPr>
      <w:r>
        <w:separator/>
      </w:r>
    </w:p>
  </w:footnote>
  <w:footnote w:type="continuationSeparator" w:id="0">
    <w:p w14:paraId="410DD3C7" w14:textId="77777777" w:rsidR="00183F0F" w:rsidRDefault="00183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6670627"/>
      <w:docPartObj>
        <w:docPartGallery w:val="Page Numbers (Top of Page)"/>
        <w:docPartUnique/>
      </w:docPartObj>
    </w:sdtPr>
    <w:sdtEndPr>
      <w:rPr>
        <w:rFonts w:ascii="Times New Roman" w:hAnsi="Times New Roman" w:cs="Times New Roman"/>
        <w:noProof/>
        <w:sz w:val="24"/>
        <w:szCs w:val="24"/>
      </w:rPr>
    </w:sdtEndPr>
    <w:sdtContent>
      <w:p w14:paraId="1B5EE3DC" w14:textId="77777777" w:rsidR="009C565C" w:rsidRPr="009C565C" w:rsidRDefault="008D3640">
        <w:pPr>
          <w:pStyle w:val="Header"/>
          <w:jc w:val="right"/>
          <w:rPr>
            <w:rFonts w:ascii="Times New Roman" w:hAnsi="Times New Roman" w:cs="Times New Roman"/>
            <w:sz w:val="24"/>
            <w:szCs w:val="24"/>
          </w:rPr>
        </w:pPr>
        <w:r w:rsidRPr="009C565C">
          <w:rPr>
            <w:rFonts w:ascii="Times New Roman" w:hAnsi="Times New Roman" w:cs="Times New Roman"/>
            <w:sz w:val="24"/>
            <w:szCs w:val="24"/>
          </w:rPr>
          <w:fldChar w:fldCharType="begin"/>
        </w:r>
        <w:r w:rsidRPr="009C565C">
          <w:rPr>
            <w:rFonts w:ascii="Times New Roman" w:hAnsi="Times New Roman" w:cs="Times New Roman"/>
            <w:sz w:val="24"/>
            <w:szCs w:val="24"/>
          </w:rPr>
          <w:instrText xml:space="preserve"> PAGE   \* MERGEFORMAT </w:instrText>
        </w:r>
        <w:r w:rsidRPr="009C565C">
          <w:rPr>
            <w:rFonts w:ascii="Times New Roman" w:hAnsi="Times New Roman" w:cs="Times New Roman"/>
            <w:sz w:val="24"/>
            <w:szCs w:val="24"/>
          </w:rPr>
          <w:fldChar w:fldCharType="separate"/>
        </w:r>
        <w:r w:rsidRPr="009C565C">
          <w:rPr>
            <w:rFonts w:ascii="Times New Roman" w:hAnsi="Times New Roman" w:cs="Times New Roman"/>
            <w:noProof/>
            <w:sz w:val="24"/>
            <w:szCs w:val="24"/>
          </w:rPr>
          <w:t>2</w:t>
        </w:r>
        <w:r w:rsidRPr="009C565C">
          <w:rPr>
            <w:rFonts w:ascii="Times New Roman" w:hAnsi="Times New Roman" w:cs="Times New Roman"/>
            <w:noProof/>
            <w:sz w:val="24"/>
            <w:szCs w:val="24"/>
          </w:rPr>
          <w:fldChar w:fldCharType="end"/>
        </w:r>
      </w:p>
    </w:sdtContent>
  </w:sdt>
  <w:p w14:paraId="225826D2" w14:textId="77777777" w:rsidR="009C565C" w:rsidRDefault="009C5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C6D52"/>
    <w:multiLevelType w:val="multilevel"/>
    <w:tmpl w:val="6ADE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8111C"/>
    <w:multiLevelType w:val="multilevel"/>
    <w:tmpl w:val="278CA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D6DE7"/>
    <w:multiLevelType w:val="multilevel"/>
    <w:tmpl w:val="1AC07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62E34"/>
    <w:multiLevelType w:val="multilevel"/>
    <w:tmpl w:val="5A167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A0F84"/>
    <w:multiLevelType w:val="multilevel"/>
    <w:tmpl w:val="C764F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8C2786"/>
    <w:multiLevelType w:val="multilevel"/>
    <w:tmpl w:val="D18EB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0831103">
    <w:abstractNumId w:val="0"/>
  </w:num>
  <w:num w:numId="2" w16cid:durableId="877544267">
    <w:abstractNumId w:val="5"/>
  </w:num>
  <w:num w:numId="3" w16cid:durableId="90976926">
    <w:abstractNumId w:val="3"/>
  </w:num>
  <w:num w:numId="4" w16cid:durableId="1306855841">
    <w:abstractNumId w:val="1"/>
  </w:num>
  <w:num w:numId="5" w16cid:durableId="1521628588">
    <w:abstractNumId w:val="4"/>
  </w:num>
  <w:num w:numId="6" w16cid:durableId="1182664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675"/>
    <w:rsid w:val="000B745E"/>
    <w:rsid w:val="00123FDF"/>
    <w:rsid w:val="00132F8F"/>
    <w:rsid w:val="001746C9"/>
    <w:rsid w:val="00183F0F"/>
    <w:rsid w:val="001C452C"/>
    <w:rsid w:val="00201522"/>
    <w:rsid w:val="00217B2C"/>
    <w:rsid w:val="00234644"/>
    <w:rsid w:val="00253875"/>
    <w:rsid w:val="002E4558"/>
    <w:rsid w:val="002E7183"/>
    <w:rsid w:val="002F0FC9"/>
    <w:rsid w:val="002F3376"/>
    <w:rsid w:val="00340B73"/>
    <w:rsid w:val="00381055"/>
    <w:rsid w:val="0045158C"/>
    <w:rsid w:val="00475EFF"/>
    <w:rsid w:val="00477EFF"/>
    <w:rsid w:val="00486AC8"/>
    <w:rsid w:val="004934B8"/>
    <w:rsid w:val="004F4EA7"/>
    <w:rsid w:val="0050555D"/>
    <w:rsid w:val="00512EC6"/>
    <w:rsid w:val="00526A0A"/>
    <w:rsid w:val="00537F28"/>
    <w:rsid w:val="00567DBF"/>
    <w:rsid w:val="005757F0"/>
    <w:rsid w:val="005D636A"/>
    <w:rsid w:val="00685228"/>
    <w:rsid w:val="00692131"/>
    <w:rsid w:val="007D2949"/>
    <w:rsid w:val="00803353"/>
    <w:rsid w:val="00807280"/>
    <w:rsid w:val="00847E60"/>
    <w:rsid w:val="008506EB"/>
    <w:rsid w:val="00882F47"/>
    <w:rsid w:val="00894E40"/>
    <w:rsid w:val="008960B3"/>
    <w:rsid w:val="008B39BA"/>
    <w:rsid w:val="008D3640"/>
    <w:rsid w:val="008E6C81"/>
    <w:rsid w:val="00955FAE"/>
    <w:rsid w:val="0096781D"/>
    <w:rsid w:val="00971BD9"/>
    <w:rsid w:val="009C565C"/>
    <w:rsid w:val="009C5E8B"/>
    <w:rsid w:val="00A77613"/>
    <w:rsid w:val="00A85F9E"/>
    <w:rsid w:val="00AD7501"/>
    <w:rsid w:val="00AE1BBA"/>
    <w:rsid w:val="00AF4447"/>
    <w:rsid w:val="00B02AB8"/>
    <w:rsid w:val="00B9640B"/>
    <w:rsid w:val="00BC3662"/>
    <w:rsid w:val="00BD6374"/>
    <w:rsid w:val="00C3554E"/>
    <w:rsid w:val="00C367BD"/>
    <w:rsid w:val="00C6147C"/>
    <w:rsid w:val="00CA5B2C"/>
    <w:rsid w:val="00D04AB5"/>
    <w:rsid w:val="00D22F05"/>
    <w:rsid w:val="00D22F97"/>
    <w:rsid w:val="00D25675"/>
    <w:rsid w:val="00D556CA"/>
    <w:rsid w:val="00DB63FC"/>
    <w:rsid w:val="00DD466C"/>
    <w:rsid w:val="00DD7436"/>
    <w:rsid w:val="00E14438"/>
    <w:rsid w:val="00E2057A"/>
    <w:rsid w:val="00E507A1"/>
    <w:rsid w:val="00E668E2"/>
    <w:rsid w:val="00EB30B5"/>
    <w:rsid w:val="00EE0CBC"/>
    <w:rsid w:val="00F604B0"/>
    <w:rsid w:val="00F809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110D1"/>
  <w15:chartTrackingRefBased/>
  <w15:docId w15:val="{B6D4C5E4-DE1A-4C67-A625-E3AEBD6C5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8522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85228"/>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D25675"/>
    <w:pPr>
      <w:spacing w:before="100" w:beforeAutospacing="1" w:after="100" w:afterAutospacing="1" w:line="240" w:lineRule="auto"/>
      <w:outlineLvl w:val="2"/>
    </w:pPr>
    <w:rPr>
      <w:rFonts w:ascii="Times New Roman" w:eastAsia="Times New Roman" w:hAnsi="Times New Roman" w:cs="Times New Roman"/>
      <w:b/>
      <w:bCs/>
      <w:sz w:val="27"/>
      <w:szCs w:val="27"/>
      <w:lang w:eastAsia=""/>
    </w:rPr>
  </w:style>
  <w:style w:type="paragraph" w:styleId="Heading4">
    <w:name w:val="heading 4"/>
    <w:basedOn w:val="Normal"/>
    <w:next w:val="Normal"/>
    <w:link w:val="Heading4Char"/>
    <w:uiPriority w:val="9"/>
    <w:semiHidden/>
    <w:unhideWhenUsed/>
    <w:qFormat/>
    <w:rsid w:val="008E6C8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25675"/>
    <w:rPr>
      <w:rFonts w:ascii="Times New Roman" w:eastAsia="Times New Roman" w:hAnsi="Times New Roman" w:cs="Times New Roman"/>
      <w:b/>
      <w:bCs/>
      <w:sz w:val="27"/>
      <w:szCs w:val="27"/>
      <w:lang w:val="" w:eastAsia=""/>
    </w:rPr>
  </w:style>
  <w:style w:type="paragraph" w:styleId="NormalWeb">
    <w:name w:val="Normal (Web)"/>
    <w:basedOn w:val="Normal"/>
    <w:uiPriority w:val="99"/>
    <w:semiHidden/>
    <w:unhideWhenUsed/>
    <w:rsid w:val="00D25675"/>
    <w:pPr>
      <w:spacing w:before="100" w:beforeAutospacing="1" w:after="100" w:afterAutospacing="1" w:line="240" w:lineRule="auto"/>
    </w:pPr>
    <w:rPr>
      <w:rFonts w:ascii="Times New Roman" w:eastAsia="Times New Roman" w:hAnsi="Times New Roman" w:cs="Times New Roman"/>
      <w:sz w:val="24"/>
      <w:szCs w:val="24"/>
      <w:lang w:eastAsia=""/>
    </w:rPr>
  </w:style>
  <w:style w:type="character" w:styleId="Strong">
    <w:name w:val="Strong"/>
    <w:basedOn w:val="DefaultParagraphFont"/>
    <w:uiPriority w:val="22"/>
    <w:qFormat/>
    <w:rsid w:val="00D25675"/>
    <w:rPr>
      <w:b/>
      <w:bCs/>
    </w:rPr>
  </w:style>
  <w:style w:type="character" w:styleId="Emphasis">
    <w:name w:val="Emphasis"/>
    <w:basedOn w:val="DefaultParagraphFont"/>
    <w:uiPriority w:val="20"/>
    <w:qFormat/>
    <w:rsid w:val="00D25675"/>
    <w:rPr>
      <w:i/>
      <w:iCs/>
    </w:rPr>
  </w:style>
  <w:style w:type="paragraph" w:customStyle="1" w:styleId="ds-markdown-paragraph">
    <w:name w:val="ds-markdown-paragraph"/>
    <w:basedOn w:val="Normal"/>
    <w:rsid w:val="008506EB"/>
    <w:pPr>
      <w:spacing w:before="100" w:beforeAutospacing="1" w:after="100" w:afterAutospacing="1" w:line="240" w:lineRule="auto"/>
    </w:pPr>
    <w:rPr>
      <w:rFonts w:ascii="Times New Roman" w:eastAsia="Times New Roman" w:hAnsi="Times New Roman" w:cs="Times New Roman"/>
      <w:sz w:val="24"/>
      <w:szCs w:val="24"/>
      <w:lang w:eastAsia=""/>
    </w:rPr>
  </w:style>
  <w:style w:type="character" w:styleId="Hyperlink">
    <w:name w:val="Hyperlink"/>
    <w:basedOn w:val="DefaultParagraphFont"/>
    <w:uiPriority w:val="99"/>
    <w:unhideWhenUsed/>
    <w:rsid w:val="008506EB"/>
    <w:rPr>
      <w:color w:val="0000FF"/>
      <w:u w:val="single"/>
    </w:rPr>
  </w:style>
  <w:style w:type="character" w:styleId="FollowedHyperlink">
    <w:name w:val="FollowedHyperlink"/>
    <w:basedOn w:val="DefaultParagraphFont"/>
    <w:uiPriority w:val="99"/>
    <w:semiHidden/>
    <w:unhideWhenUsed/>
    <w:rsid w:val="00E507A1"/>
    <w:rPr>
      <w:color w:val="954F72" w:themeColor="followedHyperlink"/>
      <w:u w:val="single"/>
    </w:rPr>
  </w:style>
  <w:style w:type="table" w:styleId="TableGrid">
    <w:name w:val="Table Grid"/>
    <w:basedOn w:val="TableNormal"/>
    <w:uiPriority w:val="39"/>
    <w:rsid w:val="00803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03353"/>
    <w:rPr>
      <w:color w:val="605E5C"/>
      <w:shd w:val="clear" w:color="auto" w:fill="E1DFDD"/>
    </w:rPr>
  </w:style>
  <w:style w:type="paragraph" w:styleId="Header">
    <w:name w:val="header"/>
    <w:basedOn w:val="Normal"/>
    <w:link w:val="HeaderChar"/>
    <w:uiPriority w:val="99"/>
    <w:unhideWhenUsed/>
    <w:rsid w:val="009C5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65C"/>
  </w:style>
  <w:style w:type="paragraph" w:styleId="Footer">
    <w:name w:val="footer"/>
    <w:basedOn w:val="Normal"/>
    <w:link w:val="FooterChar"/>
    <w:uiPriority w:val="99"/>
    <w:unhideWhenUsed/>
    <w:rsid w:val="009C5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65C"/>
  </w:style>
  <w:style w:type="character" w:customStyle="1" w:styleId="Heading1Char">
    <w:name w:val="Heading 1 Char"/>
    <w:basedOn w:val="DefaultParagraphFont"/>
    <w:link w:val="Heading1"/>
    <w:uiPriority w:val="9"/>
    <w:rsid w:val="0068522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8522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C452C"/>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C452C"/>
    <w:pPr>
      <w:spacing w:after="100"/>
    </w:pPr>
  </w:style>
  <w:style w:type="paragraph" w:styleId="TOC2">
    <w:name w:val="toc 2"/>
    <w:basedOn w:val="Normal"/>
    <w:next w:val="Normal"/>
    <w:autoRedefine/>
    <w:uiPriority w:val="39"/>
    <w:unhideWhenUsed/>
    <w:rsid w:val="001C452C"/>
    <w:pPr>
      <w:spacing w:after="100"/>
      <w:ind w:left="220"/>
    </w:pPr>
  </w:style>
  <w:style w:type="paragraph" w:styleId="Caption">
    <w:name w:val="caption"/>
    <w:basedOn w:val="Normal"/>
    <w:next w:val="Normal"/>
    <w:uiPriority w:val="35"/>
    <w:unhideWhenUsed/>
    <w:qFormat/>
    <w:rsid w:val="00B9640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8E6C8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56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80/14735903.2025.2594860" TargetMode="External" /><Relationship Id="rId18" Type="http://schemas.openxmlformats.org/officeDocument/2006/relationships/hyperlink" Target="https://www.food.gov.uk/" TargetMode="External" /><Relationship Id="rId26" Type="http://schemas.openxmlformats.org/officeDocument/2006/relationships/hyperlink" Target="https://doi.org/10.1080/0267257x.2024.2380261" TargetMode="External" /><Relationship Id="rId3" Type="http://schemas.openxmlformats.org/officeDocument/2006/relationships/styles" Target="styles.xml" /><Relationship Id="rId21" Type="http://schemas.openxmlformats.org/officeDocument/2006/relationships/hyperlink" Target="https://doi.org/10.1080/09502386.2025.2576862" TargetMode="External" /><Relationship Id="rId34"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doi.org/10.1108/srj-06-2025-0633" TargetMode="External" /><Relationship Id="rId17" Type="http://schemas.openxmlformats.org/officeDocument/2006/relationships/hyperlink" Target="https://www.ebsco.com/research-starters/business-and-management/flat-organisational-structure" TargetMode="External" /><Relationship Id="rId25" Type="http://schemas.openxmlformats.org/officeDocument/2006/relationships/hyperlink" Target="https://www.mdpi.com/2071-1050/15/13/10482" TargetMode="External" /><Relationship Id="rId33" Type="http://schemas.openxmlformats.org/officeDocument/2006/relationships/hyperlink" Target="https://doi.org/10.1007/978-3-030-23176-7_46-1" TargetMode="External" /><Relationship Id="rId2" Type="http://schemas.openxmlformats.org/officeDocument/2006/relationships/numbering" Target="numbering.xml" /><Relationship Id="rId16" Type="http://schemas.openxmlformats.org/officeDocument/2006/relationships/hyperlink" Target="https://ourgoodbrands.com/how-london-restaurants-sustainable-champions/" TargetMode="External" /><Relationship Id="rId20" Type="http://schemas.openxmlformats.org/officeDocument/2006/relationships/hyperlink" Target="https://doi.org/10.3390/admsci14100247" TargetMode="External" /><Relationship Id="rId29" Type="http://schemas.openxmlformats.org/officeDocument/2006/relationships/hyperlink" Target="https://www.statista.com/statistics/1325387/paying-more-for-sustainable-and-ethical-brands-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ritish-business-bank.co.uk/business-guidance/guidance-articles/finance/start-up-loan" TargetMode="External" /><Relationship Id="rId24" Type="http://schemas.openxmlformats.org/officeDocument/2006/relationships/hyperlink" Target="https://doi.org/10.52970/grmapb.v5i1.782" TargetMode="External" /><Relationship Id="rId32" Type="http://schemas.openxmlformats.org/officeDocument/2006/relationships/hyperlink" Target="https://doi.org/10.3390/nu17223628" TargetMode="External" /><Relationship Id="rId5" Type="http://schemas.openxmlformats.org/officeDocument/2006/relationships/webSettings" Target="webSettings.xml" /><Relationship Id="rId15" Type="http://schemas.openxmlformats.org/officeDocument/2006/relationships/hyperlink" Target="https://www.dishoom.com/" TargetMode="External" /><Relationship Id="rId23" Type="http://schemas.openxmlformats.org/officeDocument/2006/relationships/hyperlink" Target="https://doi.org/10.33215/v9y9ph37" TargetMode="External" /><Relationship Id="rId28" Type="http://schemas.openxmlformats.org/officeDocument/2006/relationships/hyperlink" Target="https://doi.org/10.36948/ijfmr.2024.v06i04.26612" TargetMode="External" /><Relationship Id="rId36" Type="http://schemas.openxmlformats.org/officeDocument/2006/relationships/theme" Target="theme/theme1.xml" /><Relationship Id="rId10" Type="http://schemas.openxmlformats.org/officeDocument/2006/relationships/hyperlink" Target="https://brc.org.uk/news-and-events/news/associate-insight/2025/health-conscious-britain-the-uk-s-health-wellness-boom-revealed/" TargetMode="External" /><Relationship Id="rId19" Type="http://schemas.openxmlformats.org/officeDocument/2006/relationships/hyperlink" Target="https://www.gov.uk/limited-company-formation" TargetMode="External" /><Relationship Id="rId31" Type="http://schemas.openxmlformats.org/officeDocument/2006/relationships/hyperlink" Target="https://doi.org/10.1016/j.appet.2025.108009" TargetMode="External" /><Relationship Id="rId4" Type="http://schemas.openxmlformats.org/officeDocument/2006/relationships/settings" Target="settings.xml" /><Relationship Id="rId9" Type="http://schemas.openxmlformats.org/officeDocument/2006/relationships/hyperlink" Target="https://hawkker.com/blog/food/the-ethicurean-bristol-sustainable-restaurant/" TargetMode="External" /><Relationship Id="rId14" Type="http://schemas.openxmlformats.org/officeDocument/2006/relationships/hyperlink" Target="https://doi.org/10.3390/su17157138" TargetMode="External" /><Relationship Id="rId22" Type="http://schemas.openxmlformats.org/officeDocument/2006/relationships/hyperlink" Target="https://mgxgrowth.com/restaurant-marketing-campaigns-that-work/" TargetMode="External" /><Relationship Id="rId27" Type="http://schemas.openxmlformats.org/officeDocument/2006/relationships/hyperlink" Target="https://corporatefinanceinstitute.com/resources/management/pestel-analysis/" TargetMode="External" /><Relationship Id="rId30" Type="http://schemas.openxmlformats.org/officeDocument/2006/relationships/hyperlink" Target="https://doi.org/10.6007/ijarbss/v14-i1/20579"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1834A-D5DF-40C4-8008-D1E66B5FF6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3428</Words>
  <Characters>19544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Andrei Filip</dc:creator>
  <cp:lastModifiedBy>Robert Filip</cp:lastModifiedBy>
  <cp:revision>2</cp:revision>
  <dcterms:created xsi:type="dcterms:W3CDTF">2026-03-28T09:46:00Z</dcterms:created>
  <dcterms:modified xsi:type="dcterms:W3CDTF">2026-03-28T09:46:00Z</dcterms:modified>
</cp:coreProperties>
</file>