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06A" w:rsidRDefault="0036506A" w:rsidP="0053771D">
      <w:pPr>
        <w:jc w:val="center"/>
        <w:rPr>
          <w:rFonts w:ascii="Arial" w:hAnsi="Arial" w:cs="Arial"/>
          <w:sz w:val="36"/>
          <w:szCs w:val="36"/>
        </w:rPr>
      </w:pPr>
    </w:p>
    <w:p w:rsidR="0036506A" w:rsidRDefault="0036506A" w:rsidP="0053771D">
      <w:pPr>
        <w:jc w:val="center"/>
        <w:rPr>
          <w:rFonts w:ascii="Arial" w:hAnsi="Arial" w:cs="Arial"/>
          <w:sz w:val="36"/>
          <w:szCs w:val="36"/>
        </w:rPr>
      </w:pPr>
    </w:p>
    <w:p w:rsidR="0036506A" w:rsidRDefault="0036506A" w:rsidP="0053771D">
      <w:pPr>
        <w:jc w:val="center"/>
        <w:rPr>
          <w:rFonts w:ascii="Arial" w:hAnsi="Arial" w:cs="Arial"/>
          <w:sz w:val="36"/>
          <w:szCs w:val="36"/>
        </w:rPr>
      </w:pPr>
    </w:p>
    <w:p w:rsidR="0036506A" w:rsidRDefault="0036506A" w:rsidP="00EE6C16">
      <w:pPr>
        <w:rPr>
          <w:rFonts w:ascii="Arial" w:hAnsi="Arial" w:cs="Arial"/>
          <w:sz w:val="36"/>
          <w:szCs w:val="36"/>
        </w:rPr>
      </w:pPr>
    </w:p>
    <w:p w:rsidR="0036506A" w:rsidRPr="00EE6C16" w:rsidRDefault="0036506A" w:rsidP="0053771D">
      <w:pPr>
        <w:jc w:val="center"/>
        <w:rPr>
          <w:rFonts w:ascii="Arial" w:hAnsi="Arial" w:cs="Arial"/>
          <w:b/>
          <w:bCs/>
          <w:sz w:val="36"/>
          <w:szCs w:val="36"/>
        </w:rPr>
      </w:pPr>
    </w:p>
    <w:p w:rsidR="00D339C0" w:rsidRPr="00EE6C16" w:rsidRDefault="0053771D" w:rsidP="0053771D">
      <w:pPr>
        <w:jc w:val="center"/>
        <w:rPr>
          <w:rFonts w:ascii="Arial" w:hAnsi="Arial" w:cs="Arial"/>
          <w:b/>
          <w:bCs/>
          <w:sz w:val="36"/>
          <w:szCs w:val="36"/>
        </w:rPr>
      </w:pPr>
      <w:r w:rsidRPr="00EE6C16">
        <w:rPr>
          <w:rFonts w:ascii="Arial" w:hAnsi="Arial" w:cs="Arial"/>
          <w:b/>
          <w:bCs/>
          <w:sz w:val="36"/>
          <w:szCs w:val="36"/>
        </w:rPr>
        <w:t>Evidence Based Policing</w:t>
      </w:r>
    </w:p>
    <w:p w:rsidR="0053771D" w:rsidRDefault="00EE6C16" w:rsidP="0053771D">
      <w:pPr>
        <w:jc w:val="center"/>
        <w:rPr>
          <w:rFonts w:ascii="Arial" w:hAnsi="Arial" w:cs="Arial"/>
          <w:sz w:val="36"/>
          <w:szCs w:val="36"/>
        </w:rPr>
      </w:pPr>
      <w:r>
        <w:rPr>
          <w:rFonts w:ascii="Arial" w:hAnsi="Arial" w:cs="Arial"/>
          <w:sz w:val="36"/>
          <w:szCs w:val="36"/>
        </w:rPr>
        <w:t xml:space="preserve">Assignment 2: </w:t>
      </w:r>
      <w:r w:rsidR="0053771D" w:rsidRPr="0053771D">
        <w:rPr>
          <w:rFonts w:ascii="Arial" w:hAnsi="Arial" w:cs="Arial"/>
          <w:sz w:val="36"/>
          <w:szCs w:val="36"/>
        </w:rPr>
        <w:t>Evidence Based Policing and Applications</w:t>
      </w:r>
    </w:p>
    <w:p w:rsidR="00B40FC3" w:rsidRDefault="00B40FC3" w:rsidP="0053771D">
      <w:pPr>
        <w:jc w:val="center"/>
        <w:rPr>
          <w:rFonts w:ascii="Arial" w:hAnsi="Arial" w:cs="Arial"/>
          <w:sz w:val="36"/>
          <w:szCs w:val="36"/>
        </w:rPr>
      </w:pPr>
    </w:p>
    <w:p w:rsidR="00B40FC3" w:rsidRDefault="00B40FC3" w:rsidP="0053771D">
      <w:pPr>
        <w:jc w:val="center"/>
        <w:rPr>
          <w:rFonts w:ascii="Arial" w:hAnsi="Arial" w:cs="Arial"/>
          <w:sz w:val="36"/>
          <w:szCs w:val="36"/>
        </w:rPr>
      </w:pPr>
      <w:r>
        <w:rPr>
          <w:rFonts w:ascii="Arial" w:hAnsi="Arial" w:cs="Arial"/>
          <w:sz w:val="36"/>
          <w:szCs w:val="36"/>
        </w:rPr>
        <w:t xml:space="preserve">Student Name: </w:t>
      </w:r>
      <w:r w:rsidRPr="00B40FC3">
        <w:rPr>
          <w:rFonts w:ascii="Arial" w:hAnsi="Arial" w:cs="Arial"/>
          <w:sz w:val="36"/>
          <w:szCs w:val="36"/>
        </w:rPr>
        <w:t>Mariana Chitorog</w:t>
      </w:r>
      <w:bookmarkStart w:id="0" w:name="_GoBack"/>
      <w:bookmarkEnd w:id="0"/>
    </w:p>
    <w:p w:rsidR="00B40FC3" w:rsidRDefault="00B40FC3" w:rsidP="0053771D">
      <w:pPr>
        <w:jc w:val="center"/>
        <w:rPr>
          <w:rFonts w:ascii="Arial" w:hAnsi="Arial" w:cs="Arial"/>
          <w:sz w:val="36"/>
          <w:szCs w:val="36"/>
        </w:rPr>
      </w:pPr>
      <w:r>
        <w:rPr>
          <w:rFonts w:ascii="Arial" w:hAnsi="Arial" w:cs="Arial"/>
          <w:sz w:val="36"/>
          <w:szCs w:val="36"/>
        </w:rPr>
        <w:t xml:space="preserve">Student ID: </w:t>
      </w:r>
      <w:r w:rsidRPr="00B40FC3">
        <w:rPr>
          <w:rFonts w:ascii="Arial" w:hAnsi="Arial" w:cs="Arial"/>
          <w:sz w:val="36"/>
          <w:szCs w:val="36"/>
        </w:rPr>
        <w:t>2221813</w:t>
      </w:r>
    </w:p>
    <w:p w:rsidR="00B40FC3" w:rsidRPr="0053771D" w:rsidRDefault="00B40FC3" w:rsidP="0053771D">
      <w:pPr>
        <w:jc w:val="center"/>
        <w:rPr>
          <w:rFonts w:ascii="Arial" w:hAnsi="Arial" w:cs="Arial"/>
          <w:sz w:val="36"/>
          <w:szCs w:val="36"/>
        </w:rPr>
      </w:pPr>
    </w:p>
    <w:p w:rsidR="0053771D" w:rsidRDefault="0053771D" w:rsidP="0053771D">
      <w:pPr>
        <w:jc w:val="center"/>
        <w:rPr>
          <w:sz w:val="36"/>
          <w:szCs w:val="36"/>
        </w:rPr>
      </w:pPr>
    </w:p>
    <w:p w:rsidR="0053771D" w:rsidRDefault="0053771D" w:rsidP="0053771D">
      <w:pPr>
        <w:jc w:val="center"/>
        <w:rPr>
          <w:sz w:val="36"/>
          <w:szCs w:val="36"/>
        </w:rPr>
      </w:pPr>
    </w:p>
    <w:p w:rsidR="0053771D" w:rsidRDefault="0053771D" w:rsidP="0053771D">
      <w:pPr>
        <w:jc w:val="center"/>
        <w:rPr>
          <w:sz w:val="36"/>
          <w:szCs w:val="36"/>
        </w:rPr>
      </w:pPr>
    </w:p>
    <w:p w:rsidR="0053771D" w:rsidRDefault="0053771D" w:rsidP="0053771D">
      <w:pPr>
        <w:jc w:val="center"/>
        <w:rPr>
          <w:sz w:val="36"/>
          <w:szCs w:val="36"/>
        </w:rPr>
      </w:pPr>
    </w:p>
    <w:p w:rsidR="0053771D" w:rsidRDefault="0053771D" w:rsidP="0053771D">
      <w:pPr>
        <w:jc w:val="center"/>
        <w:rPr>
          <w:sz w:val="36"/>
          <w:szCs w:val="36"/>
        </w:rPr>
      </w:pPr>
    </w:p>
    <w:p w:rsidR="0053771D" w:rsidRDefault="0053771D" w:rsidP="0053771D">
      <w:pPr>
        <w:jc w:val="center"/>
        <w:rPr>
          <w:sz w:val="36"/>
          <w:szCs w:val="36"/>
        </w:rPr>
      </w:pPr>
    </w:p>
    <w:p w:rsidR="0053771D" w:rsidRDefault="0053771D" w:rsidP="0053771D">
      <w:pPr>
        <w:jc w:val="center"/>
        <w:rPr>
          <w:sz w:val="36"/>
          <w:szCs w:val="36"/>
        </w:rPr>
      </w:pPr>
    </w:p>
    <w:p w:rsidR="0053771D" w:rsidRDefault="0053771D" w:rsidP="0053771D">
      <w:pPr>
        <w:jc w:val="center"/>
        <w:rPr>
          <w:sz w:val="36"/>
          <w:szCs w:val="36"/>
        </w:rPr>
      </w:pPr>
    </w:p>
    <w:p w:rsidR="0053771D" w:rsidRDefault="0053771D" w:rsidP="0053771D">
      <w:pPr>
        <w:jc w:val="center"/>
        <w:rPr>
          <w:sz w:val="36"/>
          <w:szCs w:val="36"/>
        </w:rPr>
      </w:pPr>
    </w:p>
    <w:p w:rsidR="0053771D" w:rsidRDefault="0053771D" w:rsidP="0053771D">
      <w:pPr>
        <w:jc w:val="center"/>
        <w:rPr>
          <w:sz w:val="36"/>
          <w:szCs w:val="36"/>
        </w:rPr>
      </w:pPr>
    </w:p>
    <w:p w:rsidR="0053771D" w:rsidRPr="00BC58A3" w:rsidRDefault="0053771D" w:rsidP="0053771D">
      <w:pPr>
        <w:rPr>
          <w:rFonts w:ascii="Arial" w:hAnsi="Arial" w:cs="Arial"/>
          <w:sz w:val="24"/>
          <w:szCs w:val="24"/>
        </w:rPr>
      </w:pPr>
    </w:p>
    <w:p w:rsidR="0053771D" w:rsidRPr="00EE6C16" w:rsidRDefault="0053771D" w:rsidP="0053771D">
      <w:pPr>
        <w:jc w:val="center"/>
        <w:rPr>
          <w:rFonts w:ascii="Arial" w:hAnsi="Arial" w:cs="Arial"/>
          <w:b/>
          <w:sz w:val="32"/>
          <w:szCs w:val="28"/>
        </w:rPr>
      </w:pPr>
      <w:r w:rsidRPr="00EE6C16">
        <w:rPr>
          <w:rFonts w:ascii="Arial" w:hAnsi="Arial" w:cs="Arial"/>
          <w:b/>
          <w:sz w:val="32"/>
          <w:szCs w:val="28"/>
        </w:rPr>
        <w:t>Discussing and evaluation the collection and usage of “evidence” in evidence based policing</w:t>
      </w:r>
    </w:p>
    <w:p w:rsidR="0053771D" w:rsidRPr="00EE6C16" w:rsidRDefault="00EE6C16" w:rsidP="0053771D">
      <w:pPr>
        <w:rPr>
          <w:rFonts w:ascii="Arial" w:hAnsi="Arial" w:cs="Arial"/>
          <w:b/>
          <w:bCs/>
          <w:sz w:val="24"/>
          <w:szCs w:val="24"/>
        </w:rPr>
      </w:pPr>
      <w:r w:rsidRPr="00EE6C16">
        <w:rPr>
          <w:rFonts w:ascii="Arial" w:hAnsi="Arial" w:cs="Arial"/>
          <w:b/>
          <w:bCs/>
          <w:sz w:val="24"/>
          <w:szCs w:val="24"/>
        </w:rPr>
        <w:t>Introduction</w:t>
      </w:r>
    </w:p>
    <w:p w:rsidR="00EE6C16" w:rsidRDefault="00682B14" w:rsidP="00682B14">
      <w:pPr>
        <w:spacing w:line="360" w:lineRule="auto"/>
        <w:jc w:val="both"/>
        <w:rPr>
          <w:rFonts w:ascii="Arial" w:hAnsi="Arial" w:cs="Arial"/>
          <w:sz w:val="24"/>
          <w:szCs w:val="24"/>
        </w:rPr>
      </w:pPr>
      <w:r w:rsidRPr="00682B14">
        <w:rPr>
          <w:rFonts w:ascii="Arial" w:hAnsi="Arial" w:cs="Arial"/>
          <w:sz w:val="24"/>
          <w:szCs w:val="24"/>
        </w:rPr>
        <w:t>Even though police put their best effort into their sector, sometimes a better output cannot be achieved by using ineffective strategies and tactics. For this reason, tactics should be chosen after doing proper testing so that they work towards a combined goal. Some tactics can be reoffending people at advanced levels or some can be more time-consuming and energy consumption compared to other tactics outputs. All these lead to choosing evidence-based policing to adapt at work.</w:t>
      </w:r>
    </w:p>
    <w:p w:rsidR="00EE6C16" w:rsidRPr="00EE6C16" w:rsidRDefault="00EE6C16" w:rsidP="00682B14">
      <w:pPr>
        <w:spacing w:line="360" w:lineRule="auto"/>
        <w:jc w:val="both"/>
        <w:rPr>
          <w:rFonts w:ascii="Arial" w:hAnsi="Arial" w:cs="Arial"/>
          <w:b/>
          <w:bCs/>
          <w:sz w:val="24"/>
          <w:szCs w:val="24"/>
        </w:rPr>
      </w:pPr>
      <w:r w:rsidRPr="00EE6C16">
        <w:rPr>
          <w:rFonts w:ascii="Arial" w:hAnsi="Arial" w:cs="Arial"/>
          <w:b/>
          <w:bCs/>
          <w:sz w:val="24"/>
          <w:szCs w:val="24"/>
        </w:rPr>
        <w:t>Main analysis</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The police mainly work based on the training they got in the initial stage, their intuition, and their experiences (Carrington et al., 2018). But to provide better service, people should study what they do to understand what is working and what is not. Here the concept of evidence-based policing comes into the limelight.</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In evidence-based policing, the police will update their practices with proper scientific evidence (Brown et al., 2018). And thus, the best evidence will help in evaluating the whole process. Many studies have been done on policing. But these research projects by the researchers and academics were confined to themselves. The front-liners who need to know about those studies could not get them.</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In evidence-based policing, the available evidence is used for informing and challenging the policies, decisions, and practices related to policing (Mitchell, 2019). In this process, the most useful research techniques will be used for making queries. Evidence-based policing does not help with providing any definite answer (Fleming and Rhodes, 2018). Rather, the people using this should be reflective on using the most appropriate and </w:t>
      </w:r>
      <w:r w:rsidRPr="00682B14">
        <w:rPr>
          <w:rFonts w:ascii="Arial" w:hAnsi="Arial" w:cs="Arial"/>
          <w:sz w:val="24"/>
          <w:szCs w:val="24"/>
        </w:rPr>
        <w:lastRenderedPageBreak/>
        <w:t>available evidence and should learn from both successful and failed attempts. There are mainly two components that can be spotted in evidence-based policing, and both of them are important in the same way (Mitchell and Huey, 2018).</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The first component is an increasing amount of research being done on policing policies (Mitchell and Huey, 2018). Policies use findings on their work from many different research projects and academic journals done by researchers and criminologists. But this research can be done in conjunction with the police and their research, as the police have the most accurate view of these crimes and real-life experiences. The second component is translating the findings in a way that is easier to understand and will attract the target audiences (Mitchell and Huey, 2018). This is a difficult task because academic research and jurisdiction have different goals. There are just a few professors who use academic research for their work and are known as </w:t>
      </w:r>
      <w:proofErr w:type="spellStart"/>
      <w:r w:rsidRPr="00682B14">
        <w:rPr>
          <w:rFonts w:ascii="Arial" w:hAnsi="Arial" w:cs="Arial"/>
          <w:sz w:val="24"/>
          <w:szCs w:val="24"/>
        </w:rPr>
        <w:t>pracademic</w:t>
      </w:r>
      <w:proofErr w:type="spellEnd"/>
      <w:r w:rsidRPr="00682B14">
        <w:rPr>
          <w:rFonts w:ascii="Arial" w:hAnsi="Arial" w:cs="Arial"/>
          <w:sz w:val="24"/>
          <w:szCs w:val="24"/>
        </w:rPr>
        <w:t xml:space="preserve"> cops (</w:t>
      </w:r>
      <w:proofErr w:type="spellStart"/>
      <w:r w:rsidRPr="00682B14">
        <w:rPr>
          <w:rFonts w:ascii="Arial" w:hAnsi="Arial" w:cs="Arial"/>
          <w:sz w:val="24"/>
          <w:szCs w:val="24"/>
        </w:rPr>
        <w:t>Kuchar</w:t>
      </w:r>
      <w:proofErr w:type="spellEnd"/>
      <w:r w:rsidRPr="00682B14">
        <w:rPr>
          <w:rFonts w:ascii="Arial" w:hAnsi="Arial" w:cs="Arial"/>
          <w:sz w:val="24"/>
          <w:szCs w:val="24"/>
        </w:rPr>
        <w:t>, 2020). But increasing the number of police officers using evidence-based policing to find out the cause of local crimes is also another component of it.</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Crime is caused for many different reasons, and criminology theories work with those reasons to find out. Any particular theory is not enough to explain a crime; rather, a combination of different theories helps with finding one. Criminals can carry on a crime because of the genetic aspect, and that will fall under biological theories. Biological theory tells us that having certain biological conditions increases the chance of engaging in crime (</w:t>
      </w:r>
      <w:proofErr w:type="spellStart"/>
      <w:r w:rsidRPr="00682B14">
        <w:rPr>
          <w:rFonts w:ascii="Arial" w:hAnsi="Arial" w:cs="Arial"/>
          <w:sz w:val="24"/>
          <w:szCs w:val="24"/>
        </w:rPr>
        <w:t>Posick</w:t>
      </w:r>
      <w:proofErr w:type="spellEnd"/>
      <w:r w:rsidRPr="00682B14">
        <w:rPr>
          <w:rFonts w:ascii="Arial" w:hAnsi="Arial" w:cs="Arial"/>
          <w:sz w:val="24"/>
          <w:szCs w:val="24"/>
        </w:rPr>
        <w:t xml:space="preserve"> and McBride, 2018). In psychological theory, it is thought that crime does happen because of different individual personalities and behaviours. This is often the case because of the interaction of a biological condition with different social experiences (F</w:t>
      </w:r>
      <w:r w:rsidR="00EE6C16">
        <w:rPr>
          <w:rFonts w:ascii="Arial" w:hAnsi="Arial" w:cs="Arial"/>
          <w:sz w:val="24"/>
          <w:szCs w:val="24"/>
        </w:rPr>
        <w:t>arrington et al.</w:t>
      </w:r>
      <w:r w:rsidRPr="00682B14">
        <w:rPr>
          <w:rFonts w:ascii="Arial" w:hAnsi="Arial" w:cs="Arial"/>
          <w:sz w:val="24"/>
          <w:szCs w:val="24"/>
        </w:rPr>
        <w:t>, 2018). The latest psychological theory is a behaviour-based theory, which says that all types of behaviour are mainly learned and thus can be manipulated by using both reinforcement and punishment according to the require</w:t>
      </w:r>
      <w:r w:rsidR="0036506A">
        <w:rPr>
          <w:rFonts w:ascii="Arial" w:hAnsi="Arial" w:cs="Arial"/>
          <w:sz w:val="24"/>
          <w:szCs w:val="24"/>
        </w:rPr>
        <w:t>ments (</w:t>
      </w:r>
      <w:proofErr w:type="spellStart"/>
      <w:r w:rsidR="0036506A">
        <w:rPr>
          <w:rFonts w:ascii="Arial" w:hAnsi="Arial" w:cs="Arial"/>
          <w:sz w:val="24"/>
          <w:szCs w:val="24"/>
        </w:rPr>
        <w:t>Maruna</w:t>
      </w:r>
      <w:proofErr w:type="spellEnd"/>
      <w:r w:rsidR="0036506A">
        <w:rPr>
          <w:rFonts w:ascii="Arial" w:hAnsi="Arial" w:cs="Arial"/>
          <w:sz w:val="24"/>
          <w:szCs w:val="24"/>
        </w:rPr>
        <w:t>, 2021). Then coming to</w:t>
      </w:r>
      <w:r w:rsidRPr="00682B14">
        <w:rPr>
          <w:rFonts w:ascii="Arial" w:hAnsi="Arial" w:cs="Arial"/>
          <w:sz w:val="24"/>
          <w:szCs w:val="24"/>
        </w:rPr>
        <w:t xml:space="preserve"> the sociological </w:t>
      </w:r>
      <w:r w:rsidR="0036506A" w:rsidRPr="00682B14">
        <w:rPr>
          <w:rFonts w:ascii="Arial" w:hAnsi="Arial" w:cs="Arial"/>
          <w:sz w:val="24"/>
          <w:szCs w:val="24"/>
        </w:rPr>
        <w:t>theories, which help</w:t>
      </w:r>
      <w:r w:rsidRPr="00682B14">
        <w:rPr>
          <w:rFonts w:ascii="Arial" w:hAnsi="Arial" w:cs="Arial"/>
          <w:sz w:val="24"/>
          <w:szCs w:val="24"/>
        </w:rPr>
        <w:t xml:space="preserve"> in developing a bunch of different criminological theories. According to sociological theories, biologically and psychologically normal people can commit crimes in particular social circumstances (Farrington, 2018). Evidence-based policing helps with proper research findings to acknowledge what is the root cause of this crime and thus make the prevention process </w:t>
      </w:r>
      <w:r w:rsidRPr="00682B14">
        <w:rPr>
          <w:rFonts w:ascii="Arial" w:hAnsi="Arial" w:cs="Arial"/>
          <w:sz w:val="24"/>
          <w:szCs w:val="24"/>
        </w:rPr>
        <w:lastRenderedPageBreak/>
        <w:t>stronger over time. For example, if a crime occurs because of genetic reasons, its punishment and prevention will be different from those of a crime that occurs for a particular social reason.</w:t>
      </w:r>
    </w:p>
    <w:p w:rsidR="00EE6C16" w:rsidRDefault="00682B14" w:rsidP="00682B14">
      <w:pPr>
        <w:spacing w:line="360" w:lineRule="auto"/>
        <w:jc w:val="both"/>
        <w:rPr>
          <w:rFonts w:ascii="Arial" w:hAnsi="Arial" w:cs="Arial"/>
          <w:sz w:val="24"/>
          <w:szCs w:val="24"/>
        </w:rPr>
      </w:pPr>
      <w:r w:rsidRPr="00682B14">
        <w:rPr>
          <w:rFonts w:ascii="Arial" w:hAnsi="Arial" w:cs="Arial"/>
          <w:sz w:val="24"/>
          <w:szCs w:val="24"/>
        </w:rPr>
        <w:t>In evidence-based policing, many different processes are being used for analysing the data and, from that, creating enough evidence. Those processes range from collecting the data to disseminating the findings. The process starts with the step of data collection. This step involves the collection of relevant data from different resources, like surveys, interviews, crime reports, databases, etc. This information can be related to crime rates at different places, crime situations, criminals’ characteristics’, victims’ characteristics, and other important variables (</w:t>
      </w:r>
      <w:proofErr w:type="spellStart"/>
      <w:r w:rsidRPr="00682B14">
        <w:rPr>
          <w:rFonts w:ascii="Arial" w:hAnsi="Arial" w:cs="Arial"/>
          <w:sz w:val="24"/>
          <w:szCs w:val="24"/>
        </w:rPr>
        <w:t>Lumsden</w:t>
      </w:r>
      <w:proofErr w:type="spellEnd"/>
      <w:r w:rsidRPr="00682B14">
        <w:rPr>
          <w:rFonts w:ascii="Arial" w:hAnsi="Arial" w:cs="Arial"/>
          <w:sz w:val="24"/>
          <w:szCs w:val="24"/>
        </w:rPr>
        <w:t xml:space="preserve"> and Goode, 2018). After that, it comes to the data cleaning and preparation step, where the collected data will be prepared for analysis purposes. This step is done through categorization, coding, and transformation of the data into the required formats. To do these things, statistical software and other analysis tools are being used. </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Then comes the analysis part, where different techniques will be used for analysing the data. This step gets carried forward by using both descriptive statistics and inferential statistics. These statistical techniques help with finding out means, standard derivations, regression analysis, patterns, trends, etc. (</w:t>
      </w:r>
      <w:proofErr w:type="spellStart"/>
      <w:r w:rsidRPr="00682B14">
        <w:rPr>
          <w:rFonts w:ascii="Arial" w:hAnsi="Arial" w:cs="Arial"/>
          <w:sz w:val="24"/>
          <w:szCs w:val="24"/>
        </w:rPr>
        <w:t>Hardyns</w:t>
      </w:r>
      <w:proofErr w:type="spellEnd"/>
      <w:r w:rsidRPr="00682B14">
        <w:rPr>
          <w:rFonts w:ascii="Arial" w:hAnsi="Arial" w:cs="Arial"/>
          <w:sz w:val="24"/>
          <w:szCs w:val="24"/>
        </w:rPr>
        <w:t xml:space="preserve"> and </w:t>
      </w:r>
      <w:proofErr w:type="spellStart"/>
      <w:r w:rsidRPr="00682B14">
        <w:rPr>
          <w:rFonts w:ascii="Arial" w:hAnsi="Arial" w:cs="Arial"/>
          <w:sz w:val="24"/>
          <w:szCs w:val="24"/>
        </w:rPr>
        <w:t>Rummens</w:t>
      </w:r>
      <w:proofErr w:type="spellEnd"/>
      <w:r w:rsidRPr="00682B14">
        <w:rPr>
          <w:rFonts w:ascii="Arial" w:hAnsi="Arial" w:cs="Arial"/>
          <w:sz w:val="24"/>
          <w:szCs w:val="24"/>
        </w:rPr>
        <w:t>, 2018). These analyses help with showing relationships among the data and thus help with hypotheses in crime research. Just analysing the data is not enough; it has to come with the proper interpretation, and the next step in the data analysis process helps with that. These entire interpretations can be presented through different visual aids to make them understandable and easy to acc</w:t>
      </w:r>
      <w:r w:rsidR="0036506A">
        <w:rPr>
          <w:rFonts w:ascii="Arial" w:hAnsi="Arial" w:cs="Arial"/>
          <w:sz w:val="24"/>
          <w:szCs w:val="24"/>
        </w:rPr>
        <w:t>ess (</w:t>
      </w:r>
      <w:proofErr w:type="spellStart"/>
      <w:r w:rsidR="0036506A">
        <w:rPr>
          <w:rFonts w:ascii="Arial" w:hAnsi="Arial" w:cs="Arial"/>
          <w:sz w:val="24"/>
          <w:szCs w:val="24"/>
        </w:rPr>
        <w:t>Kabacoff</w:t>
      </w:r>
      <w:proofErr w:type="spellEnd"/>
      <w:r w:rsidR="0036506A">
        <w:rPr>
          <w:rFonts w:ascii="Arial" w:hAnsi="Arial" w:cs="Arial"/>
          <w:sz w:val="24"/>
          <w:szCs w:val="24"/>
        </w:rPr>
        <w:t>, 2022</w:t>
      </w:r>
      <w:proofErr w:type="gramStart"/>
      <w:r w:rsidR="0036506A">
        <w:rPr>
          <w:rFonts w:ascii="Arial" w:hAnsi="Arial" w:cs="Arial"/>
          <w:sz w:val="24"/>
          <w:szCs w:val="24"/>
        </w:rPr>
        <w:t>).</w:t>
      </w:r>
      <w:r w:rsidRPr="00682B14">
        <w:rPr>
          <w:rFonts w:ascii="Arial" w:hAnsi="Arial" w:cs="Arial"/>
          <w:sz w:val="24"/>
          <w:szCs w:val="24"/>
        </w:rPr>
        <w:t>Conclusions</w:t>
      </w:r>
      <w:proofErr w:type="gramEnd"/>
      <w:r w:rsidRPr="00682B14">
        <w:rPr>
          <w:rFonts w:ascii="Arial" w:hAnsi="Arial" w:cs="Arial"/>
          <w:sz w:val="24"/>
          <w:szCs w:val="24"/>
        </w:rPr>
        <w:t xml:space="preserve"> will be drawn based on the interpretation made in the prior step, and evidence will be gathered based on those conclusions. Evidence will be created by generalising the data analysis (</w:t>
      </w:r>
      <w:proofErr w:type="spellStart"/>
      <w:r w:rsidRPr="00682B14">
        <w:rPr>
          <w:rFonts w:ascii="Arial" w:hAnsi="Arial" w:cs="Arial"/>
          <w:sz w:val="24"/>
          <w:szCs w:val="24"/>
        </w:rPr>
        <w:t>Brayn</w:t>
      </w:r>
      <w:r w:rsidR="0036506A">
        <w:rPr>
          <w:rFonts w:ascii="Arial" w:hAnsi="Arial" w:cs="Arial"/>
          <w:sz w:val="24"/>
          <w:szCs w:val="24"/>
        </w:rPr>
        <w:t>e</w:t>
      </w:r>
      <w:proofErr w:type="spellEnd"/>
      <w:r w:rsidR="0036506A">
        <w:rPr>
          <w:rFonts w:ascii="Arial" w:hAnsi="Arial" w:cs="Arial"/>
          <w:sz w:val="24"/>
          <w:szCs w:val="24"/>
        </w:rPr>
        <w:t>, 2020). The conclusions got</w:t>
      </w:r>
      <w:r w:rsidRPr="00682B14">
        <w:rPr>
          <w:rFonts w:ascii="Arial" w:hAnsi="Arial" w:cs="Arial"/>
          <w:sz w:val="24"/>
          <w:szCs w:val="24"/>
        </w:rPr>
        <w:t xml:space="preserve"> from the analysis help challenge current criminological theories. The next step in the process is peer review, which is very necessary for creating reliable evidence. Peer review refers to submitting the research findings to experts for evaluation purposes and getting feedback on them (</w:t>
      </w:r>
      <w:proofErr w:type="spellStart"/>
      <w:r w:rsidRPr="00682B14">
        <w:rPr>
          <w:rFonts w:ascii="Arial" w:hAnsi="Arial" w:cs="Arial"/>
          <w:sz w:val="24"/>
          <w:szCs w:val="24"/>
        </w:rPr>
        <w:t>Langfeldt</w:t>
      </w:r>
      <w:proofErr w:type="spellEnd"/>
      <w:r w:rsidRPr="00682B14">
        <w:rPr>
          <w:rFonts w:ascii="Arial" w:hAnsi="Arial" w:cs="Arial"/>
          <w:sz w:val="24"/>
          <w:szCs w:val="24"/>
        </w:rPr>
        <w:t xml:space="preserve">, 2020). Peer review ensures the findings' reliability, validity and quality of work. And after going through all these </w:t>
      </w:r>
      <w:r w:rsidRPr="00682B14">
        <w:rPr>
          <w:rFonts w:ascii="Arial" w:hAnsi="Arial" w:cs="Arial"/>
          <w:sz w:val="24"/>
          <w:szCs w:val="24"/>
        </w:rPr>
        <w:lastRenderedPageBreak/>
        <w:t>processes, the information gets disseminated to its target audience or front-line service providers. The dissemination process gets done by publishing the research paper in an academic journal, or it can be presented at the conference. Thus, the findings get shared with the people they should.</w:t>
      </w:r>
    </w:p>
    <w:p w:rsidR="00EE6C16" w:rsidRDefault="00682B14" w:rsidP="00682B14">
      <w:pPr>
        <w:spacing w:line="360" w:lineRule="auto"/>
        <w:jc w:val="both"/>
        <w:rPr>
          <w:rFonts w:ascii="Arial" w:hAnsi="Arial" w:cs="Arial"/>
          <w:sz w:val="24"/>
          <w:szCs w:val="24"/>
        </w:rPr>
      </w:pPr>
      <w:r w:rsidRPr="00682B14">
        <w:rPr>
          <w:rFonts w:ascii="Arial" w:hAnsi="Arial" w:cs="Arial"/>
          <w:sz w:val="24"/>
          <w:szCs w:val="24"/>
        </w:rPr>
        <w:t>Now her</w:t>
      </w:r>
      <w:r w:rsidR="00EE6C16">
        <w:rPr>
          <w:rFonts w:ascii="Arial" w:hAnsi="Arial" w:cs="Arial"/>
          <w:sz w:val="24"/>
          <w:szCs w:val="24"/>
        </w:rPr>
        <w:t>e comes the most important part,</w:t>
      </w:r>
      <w:r w:rsidRPr="00682B14">
        <w:rPr>
          <w:rFonts w:ascii="Arial" w:hAnsi="Arial" w:cs="Arial"/>
          <w:sz w:val="24"/>
          <w:szCs w:val="24"/>
        </w:rPr>
        <w:t xml:space="preserve"> collecting data for analysis purposes. These data can be collected from many different sources according to the needs and requirements. Some of the common sources to collect data are surveys, interviews, secondary data, etc. Talking about a survey, this system refers to a process where structured questions will be asked to individuals or a group of people to get to know their </w:t>
      </w:r>
      <w:r w:rsidR="0036506A" w:rsidRPr="00682B14">
        <w:rPr>
          <w:rFonts w:ascii="Arial" w:hAnsi="Arial" w:cs="Arial"/>
          <w:sz w:val="24"/>
          <w:szCs w:val="24"/>
        </w:rPr>
        <w:t>mind-set</w:t>
      </w:r>
      <w:r w:rsidRPr="00682B14">
        <w:rPr>
          <w:rFonts w:ascii="Arial" w:hAnsi="Arial" w:cs="Arial"/>
          <w:sz w:val="24"/>
          <w:szCs w:val="24"/>
        </w:rPr>
        <w:t>, behaviours, etc. about policing (Flick, 2018). A survey should be conducted among stakeholders, which will yield more accurate results than polling the general public. The stakeholders here will be the community members, police officers, victims of crimes, criminals, etc. (</w:t>
      </w:r>
      <w:proofErr w:type="spellStart"/>
      <w:r w:rsidRPr="00682B14">
        <w:rPr>
          <w:rFonts w:ascii="Arial" w:hAnsi="Arial" w:cs="Arial"/>
          <w:sz w:val="24"/>
          <w:szCs w:val="24"/>
        </w:rPr>
        <w:t>Solymosi</w:t>
      </w:r>
      <w:proofErr w:type="spellEnd"/>
      <w:r w:rsidRPr="00682B14">
        <w:rPr>
          <w:rFonts w:ascii="Arial" w:hAnsi="Arial" w:cs="Arial"/>
          <w:sz w:val="24"/>
          <w:szCs w:val="24"/>
        </w:rPr>
        <w:t xml:space="preserve"> and Bowers, 2018). </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Another efficient way of collecting data is from already existing sources out there. Much research has been done prior on the same topic, and those research can be found in research papers, academic journals, conference papers, online, etc. Other than that, some other sources where primary data can be found are crime reports, investigation reports, law enforcement agencies, etc. For using these data, one needs to be careful about their authenticity and reliability. Observing a related group of people is another method of gathering data. In this case, observation can be done on the policing-related events and related parties' behaviours. This whole process can be both direct and indirect. Some of the situations where observations can be done are traffic </w:t>
      </w:r>
      <w:r w:rsidR="0036506A" w:rsidRPr="00682B14">
        <w:rPr>
          <w:rFonts w:ascii="Arial" w:hAnsi="Arial" w:cs="Arial"/>
          <w:sz w:val="24"/>
          <w:szCs w:val="24"/>
        </w:rPr>
        <w:t>systems</w:t>
      </w:r>
      <w:r w:rsidRPr="00682B14">
        <w:rPr>
          <w:rFonts w:ascii="Arial" w:hAnsi="Arial" w:cs="Arial"/>
          <w:sz w:val="24"/>
          <w:szCs w:val="24"/>
        </w:rPr>
        <w:t xml:space="preserve"> and patrolling systems while the neighbourhood walks. According to Francis and Davies (2018), data can also be gathered by manipulating or comparing different variables. This comparison or manipulation helps with understanding specific policing strategies’ effectiveness or drawbacks and where improvements need to be made. This method of collecting data is called experimental studies. In evidence-based policing, the main portion of data is used from data analysis, where many statistical techniques get used. In evidence-based policing, both qualitative and quantitative data collection methods get used for making decisions, improving policing strategies, etc. One has to keep in mind </w:t>
      </w:r>
      <w:r w:rsidRPr="00682B14">
        <w:rPr>
          <w:rFonts w:ascii="Arial" w:hAnsi="Arial" w:cs="Arial"/>
          <w:sz w:val="24"/>
          <w:szCs w:val="24"/>
        </w:rPr>
        <w:lastRenderedPageBreak/>
        <w:t>that, in whatever way data is collected, it should be ethical and relevant to the matter. Only then will it serve the purpose of evidence-based policing.</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In the whole concept, evidence repositories play a huge role. Evidence repository refers to the safe storage of all docume</w:t>
      </w:r>
      <w:r w:rsidR="00EE6C16">
        <w:rPr>
          <w:rFonts w:ascii="Arial" w:hAnsi="Arial" w:cs="Arial"/>
          <w:sz w:val="24"/>
          <w:szCs w:val="24"/>
        </w:rPr>
        <w:t>nts (Willis et al.</w:t>
      </w:r>
      <w:r w:rsidRPr="00682B14">
        <w:rPr>
          <w:rFonts w:ascii="Arial" w:hAnsi="Arial" w:cs="Arial"/>
          <w:sz w:val="24"/>
          <w:szCs w:val="24"/>
        </w:rPr>
        <w:t>, 2021). These evidence repositories can be a great tool for strongly implementing evidence-based policing in the coming days. Some examples of evidence repositories will be the College of Policing, police databases, etc. This usage of evidence repositories comes with both a negative and a positive side, just like any other concept.</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One of the main benefits of using an evidence repository is that it gives you access to relevant and necessary data. These evidence repositories offer a wide variety of relevant data, including different research papers, academic journals, crime reports, etc. It has been mentioned earlier that in evidence-based policing, improvements are made to the policing strategies based on the best accessible evidence. When the evidence repository offers a huge range of data, it makes it easier to adopt evidence-based policing. Just having access to a wide range of information is not enough; rather, the data needs to be reliable and relevant, which can be ensured through the use of these evidence repositories. For example, the College of Policing maintains strict protocols while collecting, analysing, and presenting the data (Sidebottom et al.,</w:t>
      </w:r>
      <w:r w:rsidR="00EE6C16">
        <w:rPr>
          <w:rFonts w:ascii="Arial" w:hAnsi="Arial" w:cs="Arial"/>
          <w:sz w:val="24"/>
          <w:szCs w:val="24"/>
        </w:rPr>
        <w:t xml:space="preserve"> </w:t>
      </w:r>
      <w:r w:rsidRPr="00682B14">
        <w:rPr>
          <w:rFonts w:ascii="Arial" w:hAnsi="Arial" w:cs="Arial"/>
          <w:sz w:val="24"/>
          <w:szCs w:val="24"/>
        </w:rPr>
        <w:t>2020). This procedure ensures the authenticity and quality of the stored data. In evidence-based policing, collaboration is a very important aspect. These evidence repositories help with connecting researchers, policymakers, and front-line workers together (</w:t>
      </w:r>
      <w:proofErr w:type="spellStart"/>
      <w:r w:rsidRPr="00682B14">
        <w:rPr>
          <w:rFonts w:ascii="Arial" w:hAnsi="Arial" w:cs="Arial"/>
          <w:sz w:val="24"/>
          <w:szCs w:val="24"/>
        </w:rPr>
        <w:t>Brancale</w:t>
      </w:r>
      <w:proofErr w:type="spellEnd"/>
      <w:r w:rsidRPr="00682B14">
        <w:rPr>
          <w:rFonts w:ascii="Arial" w:hAnsi="Arial" w:cs="Arial"/>
          <w:sz w:val="24"/>
          <w:szCs w:val="24"/>
        </w:rPr>
        <w:t xml:space="preserve"> et al., 2021). Thus, an improved and efficient policing environment can be obtained.</w:t>
      </w:r>
    </w:p>
    <w:p w:rsidR="00682B14" w:rsidRDefault="00682B14" w:rsidP="00682B14">
      <w:pPr>
        <w:spacing w:line="360" w:lineRule="auto"/>
        <w:jc w:val="both"/>
        <w:rPr>
          <w:rFonts w:ascii="Arial" w:hAnsi="Arial" w:cs="Arial"/>
          <w:sz w:val="24"/>
          <w:szCs w:val="24"/>
        </w:rPr>
      </w:pPr>
      <w:r w:rsidRPr="00682B14">
        <w:rPr>
          <w:rFonts w:ascii="Arial" w:hAnsi="Arial" w:cs="Arial"/>
          <w:sz w:val="24"/>
          <w:szCs w:val="24"/>
        </w:rPr>
        <w:t>Evidence repositories do come with some minor drawbacks, like variability in quality, difficulty implementing, lack of benchmarks and consistency, etc. All evidence repositories don’t provide quality data and do not fulfil the requirements properly. Collecting data from the evidence repository that doesn’t go through quality control can be destructive to evidence-based policing. Evidence-based policing is not only about accessing relevant data; rather, using these data to improve output is the main goal. Implementing this collected evidence into real-life situations can be difficult due to organisational differences, cultural differences, resource con</w:t>
      </w:r>
      <w:r w:rsidR="00EE6C16">
        <w:rPr>
          <w:rFonts w:ascii="Arial" w:hAnsi="Arial" w:cs="Arial"/>
          <w:sz w:val="24"/>
          <w:szCs w:val="24"/>
        </w:rPr>
        <w:t>straints, etc. (Willis, Daniels</w:t>
      </w:r>
      <w:r w:rsidRPr="00682B14">
        <w:rPr>
          <w:rFonts w:ascii="Arial" w:hAnsi="Arial" w:cs="Arial"/>
          <w:sz w:val="24"/>
          <w:szCs w:val="24"/>
        </w:rPr>
        <w:t xml:space="preserve"> </w:t>
      </w:r>
      <w:r w:rsidRPr="00682B14">
        <w:rPr>
          <w:rFonts w:ascii="Arial" w:hAnsi="Arial" w:cs="Arial"/>
          <w:sz w:val="24"/>
          <w:szCs w:val="24"/>
        </w:rPr>
        <w:lastRenderedPageBreak/>
        <w:t xml:space="preserve">and </w:t>
      </w:r>
      <w:proofErr w:type="spellStart"/>
      <w:r w:rsidRPr="00682B14">
        <w:rPr>
          <w:rFonts w:ascii="Arial" w:hAnsi="Arial" w:cs="Arial"/>
          <w:sz w:val="24"/>
          <w:szCs w:val="24"/>
        </w:rPr>
        <w:t>Gettis</w:t>
      </w:r>
      <w:proofErr w:type="spellEnd"/>
      <w:r w:rsidRPr="00682B14">
        <w:rPr>
          <w:rFonts w:ascii="Arial" w:hAnsi="Arial" w:cs="Arial"/>
          <w:sz w:val="24"/>
          <w:szCs w:val="24"/>
        </w:rPr>
        <w:t>, 2021). Another problem that can be spotted is not having any benchmarks for the whole process. That results in inconsistency and low-quality data. This also makes the data comparison difficult, which hinders the effectiveness of evidence-based policing. Thus, when choosing evidence repositories, one should be careful about the authenticity and the quality check measures for that.</w:t>
      </w:r>
    </w:p>
    <w:p w:rsidR="00EE6C16" w:rsidRPr="00EE6C16" w:rsidRDefault="00EE6C16" w:rsidP="00682B14">
      <w:pPr>
        <w:spacing w:line="360" w:lineRule="auto"/>
        <w:jc w:val="both"/>
        <w:rPr>
          <w:rFonts w:ascii="Arial" w:hAnsi="Arial" w:cs="Arial"/>
          <w:b/>
          <w:bCs/>
          <w:sz w:val="24"/>
          <w:szCs w:val="24"/>
        </w:rPr>
      </w:pPr>
      <w:r w:rsidRPr="00EE6C16">
        <w:rPr>
          <w:rFonts w:ascii="Arial" w:hAnsi="Arial" w:cs="Arial"/>
          <w:b/>
          <w:bCs/>
          <w:sz w:val="24"/>
          <w:szCs w:val="24"/>
        </w:rPr>
        <w:t>Conclusion</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Evidence-based policing helps improve policing strategies with a scientific approach. Different evidence repositories help greatly with accessing the required evidence and working collaboratively. It takes a lot of steps to turn random data into evidence. Evidence-based policing helps with enhanced professionalism and a data-driven decision-making process that is generally effective.</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 </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 </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 </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 </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 </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 </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 </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 </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 </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 </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 </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 </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 </w:t>
      </w:r>
    </w:p>
    <w:p w:rsidR="00682B14" w:rsidRPr="00682B14" w:rsidRDefault="00682B14" w:rsidP="00682B14">
      <w:pPr>
        <w:spacing w:line="360" w:lineRule="auto"/>
        <w:jc w:val="both"/>
        <w:rPr>
          <w:rFonts w:ascii="Arial" w:hAnsi="Arial" w:cs="Arial"/>
          <w:sz w:val="24"/>
          <w:szCs w:val="24"/>
        </w:rPr>
      </w:pPr>
      <w:r w:rsidRPr="00682B14">
        <w:rPr>
          <w:rFonts w:ascii="Arial" w:hAnsi="Arial" w:cs="Arial"/>
          <w:sz w:val="24"/>
          <w:szCs w:val="24"/>
        </w:rPr>
        <w:lastRenderedPageBreak/>
        <w:t xml:space="preserve"> </w:t>
      </w:r>
    </w:p>
    <w:p w:rsidR="001972DD" w:rsidRPr="00EE6C16" w:rsidRDefault="00682B14" w:rsidP="00682B14">
      <w:pPr>
        <w:spacing w:line="360" w:lineRule="auto"/>
        <w:jc w:val="both"/>
        <w:rPr>
          <w:rFonts w:ascii="Arial" w:hAnsi="Arial" w:cs="Arial"/>
          <w:sz w:val="24"/>
          <w:szCs w:val="24"/>
        </w:rPr>
      </w:pPr>
      <w:r w:rsidRPr="00682B14">
        <w:rPr>
          <w:rFonts w:ascii="Arial" w:hAnsi="Arial" w:cs="Arial"/>
          <w:sz w:val="24"/>
          <w:szCs w:val="24"/>
        </w:rPr>
        <w:t xml:space="preserve"> </w:t>
      </w:r>
    </w:p>
    <w:p w:rsidR="00BC58A3" w:rsidRPr="0036506A" w:rsidRDefault="00BC58A3" w:rsidP="00682B14">
      <w:pPr>
        <w:spacing w:line="360" w:lineRule="auto"/>
        <w:jc w:val="both"/>
        <w:rPr>
          <w:rFonts w:ascii="Arial" w:hAnsi="Arial" w:cs="Arial"/>
          <w:b/>
          <w:sz w:val="28"/>
          <w:szCs w:val="28"/>
        </w:rPr>
      </w:pPr>
      <w:r w:rsidRPr="0036506A">
        <w:rPr>
          <w:rFonts w:ascii="Arial" w:hAnsi="Arial" w:cs="Arial"/>
          <w:b/>
          <w:sz w:val="28"/>
          <w:szCs w:val="28"/>
        </w:rPr>
        <w:t>References</w:t>
      </w:r>
    </w:p>
    <w:p w:rsidR="001972DD" w:rsidRPr="00682B14" w:rsidRDefault="001972DD" w:rsidP="00682B14">
      <w:pPr>
        <w:spacing w:line="360" w:lineRule="auto"/>
        <w:jc w:val="both"/>
        <w:rPr>
          <w:rFonts w:ascii="Arial" w:hAnsi="Arial" w:cs="Arial"/>
          <w:sz w:val="24"/>
          <w:szCs w:val="24"/>
        </w:rPr>
      </w:pPr>
      <w:proofErr w:type="spellStart"/>
      <w:r w:rsidRPr="00682B14">
        <w:rPr>
          <w:rFonts w:ascii="Arial" w:hAnsi="Arial" w:cs="Arial"/>
          <w:sz w:val="24"/>
          <w:szCs w:val="24"/>
        </w:rPr>
        <w:t>Brancale</w:t>
      </w:r>
      <w:proofErr w:type="spellEnd"/>
      <w:r w:rsidRPr="00682B14">
        <w:rPr>
          <w:rFonts w:ascii="Arial" w:hAnsi="Arial" w:cs="Arial"/>
          <w:sz w:val="24"/>
          <w:szCs w:val="24"/>
        </w:rPr>
        <w:t xml:space="preserve">, J., </w:t>
      </w:r>
      <w:proofErr w:type="spellStart"/>
      <w:r w:rsidRPr="00682B14">
        <w:rPr>
          <w:rFonts w:ascii="Arial" w:hAnsi="Arial" w:cs="Arial"/>
          <w:sz w:val="24"/>
          <w:szCs w:val="24"/>
        </w:rPr>
        <w:t>Blomberg</w:t>
      </w:r>
      <w:proofErr w:type="spellEnd"/>
      <w:r w:rsidRPr="00682B14">
        <w:rPr>
          <w:rFonts w:ascii="Arial" w:hAnsi="Arial" w:cs="Arial"/>
          <w:sz w:val="24"/>
          <w:szCs w:val="24"/>
        </w:rPr>
        <w:t xml:space="preserve">, T. G., </w:t>
      </w:r>
      <w:proofErr w:type="spellStart"/>
      <w:r w:rsidRPr="00682B14">
        <w:rPr>
          <w:rFonts w:ascii="Arial" w:hAnsi="Arial" w:cs="Arial"/>
          <w:sz w:val="24"/>
          <w:szCs w:val="24"/>
        </w:rPr>
        <w:t>Siennick</w:t>
      </w:r>
      <w:proofErr w:type="spellEnd"/>
      <w:r w:rsidRPr="00682B14">
        <w:rPr>
          <w:rFonts w:ascii="Arial" w:hAnsi="Arial" w:cs="Arial"/>
          <w:sz w:val="24"/>
          <w:szCs w:val="24"/>
        </w:rPr>
        <w:t xml:space="preserve">, S., </w:t>
      </w:r>
      <w:proofErr w:type="spellStart"/>
      <w:r w:rsidRPr="00682B14">
        <w:rPr>
          <w:rFonts w:ascii="Arial" w:hAnsi="Arial" w:cs="Arial"/>
          <w:sz w:val="24"/>
          <w:szCs w:val="24"/>
        </w:rPr>
        <w:t>Pesta</w:t>
      </w:r>
      <w:proofErr w:type="spellEnd"/>
      <w:r w:rsidRPr="00682B14">
        <w:rPr>
          <w:rFonts w:ascii="Arial" w:hAnsi="Arial" w:cs="Arial"/>
          <w:sz w:val="24"/>
          <w:szCs w:val="24"/>
        </w:rPr>
        <w:t xml:space="preserve">, G. B., </w:t>
      </w:r>
      <w:proofErr w:type="spellStart"/>
      <w:r w:rsidRPr="00682B14">
        <w:rPr>
          <w:rFonts w:ascii="Arial" w:hAnsi="Arial" w:cs="Arial"/>
          <w:sz w:val="24"/>
          <w:szCs w:val="24"/>
        </w:rPr>
        <w:t>Swagar</w:t>
      </w:r>
      <w:proofErr w:type="spellEnd"/>
      <w:r w:rsidRPr="00682B14">
        <w:rPr>
          <w:rFonts w:ascii="Arial" w:hAnsi="Arial" w:cs="Arial"/>
          <w:sz w:val="24"/>
          <w:szCs w:val="24"/>
        </w:rPr>
        <w:t xml:space="preserve">, N., </w:t>
      </w:r>
      <w:proofErr w:type="spellStart"/>
      <w:r w:rsidR="00015E59">
        <w:rPr>
          <w:rFonts w:ascii="Arial" w:hAnsi="Arial" w:cs="Arial"/>
          <w:sz w:val="24"/>
          <w:szCs w:val="24"/>
        </w:rPr>
        <w:t>Noorman</w:t>
      </w:r>
      <w:proofErr w:type="spellEnd"/>
      <w:r w:rsidR="00015E59">
        <w:rPr>
          <w:rFonts w:ascii="Arial" w:hAnsi="Arial" w:cs="Arial"/>
          <w:sz w:val="24"/>
          <w:szCs w:val="24"/>
        </w:rPr>
        <w:t>, K. and</w:t>
      </w:r>
      <w:r w:rsidRPr="00682B14">
        <w:rPr>
          <w:rFonts w:ascii="Arial" w:hAnsi="Arial" w:cs="Arial"/>
          <w:sz w:val="24"/>
          <w:szCs w:val="24"/>
        </w:rPr>
        <w:t xml:space="preserve"> </w:t>
      </w:r>
      <w:proofErr w:type="spellStart"/>
      <w:r w:rsidRPr="00682B14">
        <w:rPr>
          <w:rFonts w:ascii="Arial" w:hAnsi="Arial" w:cs="Arial"/>
          <w:sz w:val="24"/>
          <w:szCs w:val="24"/>
        </w:rPr>
        <w:t>Chouhy</w:t>
      </w:r>
      <w:proofErr w:type="spellEnd"/>
      <w:r w:rsidRPr="00682B14">
        <w:rPr>
          <w:rFonts w:ascii="Arial" w:hAnsi="Arial" w:cs="Arial"/>
          <w:sz w:val="24"/>
          <w:szCs w:val="24"/>
        </w:rPr>
        <w:t>, C. (2021). Building collaborative evidence-based frameworks for criminal justice policy. </w:t>
      </w:r>
      <w:r w:rsidRPr="00682B14">
        <w:rPr>
          <w:rFonts w:ascii="Arial" w:hAnsi="Arial" w:cs="Arial"/>
          <w:i/>
          <w:iCs/>
          <w:sz w:val="24"/>
          <w:szCs w:val="24"/>
        </w:rPr>
        <w:t>Criminal Justice Policy Review</w:t>
      </w:r>
      <w:r w:rsidRPr="00682B14">
        <w:rPr>
          <w:rFonts w:ascii="Arial" w:hAnsi="Arial" w:cs="Arial"/>
          <w:sz w:val="24"/>
          <w:szCs w:val="24"/>
        </w:rPr>
        <w:t>, </w:t>
      </w:r>
      <w:r w:rsidRPr="00682B14">
        <w:rPr>
          <w:rFonts w:ascii="Arial" w:hAnsi="Arial" w:cs="Arial"/>
          <w:i/>
          <w:iCs/>
          <w:sz w:val="24"/>
          <w:szCs w:val="24"/>
        </w:rPr>
        <w:t>32</w:t>
      </w:r>
      <w:r w:rsidRPr="00682B14">
        <w:rPr>
          <w:rFonts w:ascii="Arial" w:hAnsi="Arial" w:cs="Arial"/>
          <w:sz w:val="24"/>
          <w:szCs w:val="24"/>
        </w:rPr>
        <w:t xml:space="preserve">(8), </w:t>
      </w:r>
      <w:r w:rsidR="00015E59">
        <w:rPr>
          <w:rFonts w:ascii="Arial" w:hAnsi="Arial" w:cs="Arial"/>
          <w:sz w:val="24"/>
          <w:szCs w:val="24"/>
        </w:rPr>
        <w:t xml:space="preserve">pp </w:t>
      </w:r>
      <w:r w:rsidRPr="00682B14">
        <w:rPr>
          <w:rFonts w:ascii="Arial" w:hAnsi="Arial" w:cs="Arial"/>
          <w:sz w:val="24"/>
          <w:szCs w:val="24"/>
        </w:rPr>
        <w:t>795-815.</w:t>
      </w:r>
    </w:p>
    <w:p w:rsidR="001972DD" w:rsidRPr="00682B14" w:rsidRDefault="001972DD" w:rsidP="00682B14">
      <w:pPr>
        <w:spacing w:line="360" w:lineRule="auto"/>
        <w:jc w:val="both"/>
        <w:rPr>
          <w:rFonts w:ascii="Arial" w:hAnsi="Arial" w:cs="Arial"/>
          <w:sz w:val="24"/>
          <w:szCs w:val="24"/>
        </w:rPr>
      </w:pPr>
      <w:proofErr w:type="spellStart"/>
      <w:r w:rsidRPr="00682B14">
        <w:rPr>
          <w:rFonts w:ascii="Arial" w:hAnsi="Arial" w:cs="Arial"/>
          <w:sz w:val="24"/>
          <w:szCs w:val="24"/>
        </w:rPr>
        <w:t>Brayne</w:t>
      </w:r>
      <w:proofErr w:type="spellEnd"/>
      <w:r w:rsidRPr="00682B14">
        <w:rPr>
          <w:rFonts w:ascii="Arial" w:hAnsi="Arial" w:cs="Arial"/>
          <w:sz w:val="24"/>
          <w:szCs w:val="24"/>
        </w:rPr>
        <w:t xml:space="preserve">, S. (2020). </w:t>
      </w:r>
      <w:r w:rsidRPr="00015E59">
        <w:rPr>
          <w:rFonts w:ascii="Arial" w:hAnsi="Arial" w:cs="Arial"/>
          <w:i/>
          <w:iCs/>
          <w:sz w:val="24"/>
          <w:szCs w:val="24"/>
        </w:rPr>
        <w:t xml:space="preserve">Predict and </w:t>
      </w:r>
      <w:proofErr w:type="spellStart"/>
      <w:r w:rsidRPr="00015E59">
        <w:rPr>
          <w:rFonts w:ascii="Arial" w:hAnsi="Arial" w:cs="Arial"/>
          <w:i/>
          <w:iCs/>
          <w:sz w:val="24"/>
          <w:szCs w:val="24"/>
        </w:rPr>
        <w:t>surveil</w:t>
      </w:r>
      <w:proofErr w:type="spellEnd"/>
      <w:r w:rsidRPr="00015E59">
        <w:rPr>
          <w:rFonts w:ascii="Arial" w:hAnsi="Arial" w:cs="Arial"/>
          <w:i/>
          <w:iCs/>
          <w:sz w:val="24"/>
          <w:szCs w:val="24"/>
        </w:rPr>
        <w:t>: Data, discretion, and the future of policing.</w:t>
      </w:r>
      <w:r w:rsidRPr="00682B14">
        <w:rPr>
          <w:rFonts w:ascii="Arial" w:hAnsi="Arial" w:cs="Arial"/>
          <w:sz w:val="24"/>
          <w:szCs w:val="24"/>
        </w:rPr>
        <w:t xml:space="preserve"> Oxford University Press, USA.</w:t>
      </w:r>
    </w:p>
    <w:p w:rsidR="001972DD" w:rsidRPr="00682B14" w:rsidRDefault="001972DD" w:rsidP="00682B14">
      <w:pPr>
        <w:spacing w:line="360" w:lineRule="auto"/>
        <w:jc w:val="both"/>
        <w:rPr>
          <w:rFonts w:ascii="Arial" w:hAnsi="Arial" w:cs="Arial"/>
          <w:sz w:val="24"/>
          <w:szCs w:val="24"/>
        </w:rPr>
      </w:pPr>
      <w:r w:rsidRPr="00682B14">
        <w:rPr>
          <w:rFonts w:ascii="Arial" w:hAnsi="Arial" w:cs="Arial"/>
          <w:sz w:val="24"/>
          <w:szCs w:val="24"/>
        </w:rPr>
        <w:t xml:space="preserve">Brown, J., </w:t>
      </w:r>
      <w:proofErr w:type="spellStart"/>
      <w:r w:rsidRPr="00682B14">
        <w:rPr>
          <w:rFonts w:ascii="Arial" w:hAnsi="Arial" w:cs="Arial"/>
          <w:sz w:val="24"/>
          <w:szCs w:val="24"/>
        </w:rPr>
        <w:t>Belur</w:t>
      </w:r>
      <w:proofErr w:type="spellEnd"/>
      <w:r w:rsidRPr="00682B14">
        <w:rPr>
          <w:rFonts w:ascii="Arial" w:hAnsi="Arial" w:cs="Arial"/>
          <w:sz w:val="24"/>
          <w:szCs w:val="24"/>
        </w:rPr>
        <w:t xml:space="preserve">, J., </w:t>
      </w:r>
      <w:proofErr w:type="spellStart"/>
      <w:r w:rsidRPr="00682B14">
        <w:rPr>
          <w:rFonts w:ascii="Arial" w:hAnsi="Arial" w:cs="Arial"/>
          <w:sz w:val="24"/>
          <w:szCs w:val="24"/>
        </w:rPr>
        <w:t>Tompson</w:t>
      </w:r>
      <w:proofErr w:type="spellEnd"/>
      <w:r w:rsidRPr="00682B14">
        <w:rPr>
          <w:rFonts w:ascii="Arial" w:hAnsi="Arial" w:cs="Arial"/>
          <w:sz w:val="24"/>
          <w:szCs w:val="24"/>
        </w:rPr>
        <w:t>,</w:t>
      </w:r>
      <w:r w:rsidR="00015E59">
        <w:rPr>
          <w:rFonts w:ascii="Arial" w:hAnsi="Arial" w:cs="Arial"/>
          <w:sz w:val="24"/>
          <w:szCs w:val="24"/>
        </w:rPr>
        <w:t xml:space="preserve"> L., McDowall, A., Hunter, G. and</w:t>
      </w:r>
      <w:r w:rsidRPr="00682B14">
        <w:rPr>
          <w:rFonts w:ascii="Arial" w:hAnsi="Arial" w:cs="Arial"/>
          <w:sz w:val="24"/>
          <w:szCs w:val="24"/>
        </w:rPr>
        <w:t xml:space="preserve"> May, T. (2018). Extending the remit of evidence-based policing. </w:t>
      </w:r>
      <w:r w:rsidRPr="00015E59">
        <w:rPr>
          <w:rFonts w:ascii="Arial" w:hAnsi="Arial" w:cs="Arial"/>
          <w:i/>
          <w:iCs/>
          <w:sz w:val="24"/>
          <w:szCs w:val="24"/>
        </w:rPr>
        <w:t>International journal of police science &amp; management</w:t>
      </w:r>
      <w:r w:rsidRPr="00682B14">
        <w:rPr>
          <w:rFonts w:ascii="Arial" w:hAnsi="Arial" w:cs="Arial"/>
          <w:sz w:val="24"/>
          <w:szCs w:val="24"/>
        </w:rPr>
        <w:t xml:space="preserve">, 20(1), </w:t>
      </w:r>
      <w:r w:rsidR="00015E59">
        <w:rPr>
          <w:rFonts w:ascii="Arial" w:hAnsi="Arial" w:cs="Arial"/>
          <w:sz w:val="24"/>
          <w:szCs w:val="24"/>
        </w:rPr>
        <w:t xml:space="preserve">pp </w:t>
      </w:r>
      <w:r w:rsidRPr="00682B14">
        <w:rPr>
          <w:rFonts w:ascii="Arial" w:hAnsi="Arial" w:cs="Arial"/>
          <w:sz w:val="24"/>
          <w:szCs w:val="24"/>
        </w:rPr>
        <w:t>38-51</w:t>
      </w:r>
    </w:p>
    <w:p w:rsidR="001972DD" w:rsidRPr="00682B14" w:rsidRDefault="001972DD" w:rsidP="00682B14">
      <w:pPr>
        <w:spacing w:line="360" w:lineRule="auto"/>
        <w:jc w:val="both"/>
        <w:rPr>
          <w:rFonts w:ascii="Arial" w:hAnsi="Arial" w:cs="Arial"/>
          <w:sz w:val="24"/>
          <w:szCs w:val="24"/>
        </w:rPr>
      </w:pPr>
      <w:r w:rsidRPr="00682B14">
        <w:rPr>
          <w:rFonts w:ascii="Arial" w:hAnsi="Arial" w:cs="Arial"/>
          <w:sz w:val="24"/>
          <w:szCs w:val="24"/>
        </w:rPr>
        <w:t>Carrin</w:t>
      </w:r>
      <w:r w:rsidR="00015E59">
        <w:rPr>
          <w:rFonts w:ascii="Arial" w:hAnsi="Arial" w:cs="Arial"/>
          <w:sz w:val="24"/>
          <w:szCs w:val="24"/>
        </w:rPr>
        <w:t>gton, K., Hogg, R., Scott, J. and</w:t>
      </w:r>
      <w:r w:rsidRPr="00682B14">
        <w:rPr>
          <w:rFonts w:ascii="Arial" w:hAnsi="Arial" w:cs="Arial"/>
          <w:sz w:val="24"/>
          <w:szCs w:val="24"/>
        </w:rPr>
        <w:t xml:space="preserve"> </w:t>
      </w:r>
      <w:proofErr w:type="spellStart"/>
      <w:r w:rsidRPr="00682B14">
        <w:rPr>
          <w:rFonts w:ascii="Arial" w:hAnsi="Arial" w:cs="Arial"/>
          <w:sz w:val="24"/>
          <w:szCs w:val="24"/>
        </w:rPr>
        <w:t>Sozzo</w:t>
      </w:r>
      <w:proofErr w:type="spellEnd"/>
      <w:r w:rsidRPr="00682B14">
        <w:rPr>
          <w:rFonts w:ascii="Arial" w:hAnsi="Arial" w:cs="Arial"/>
          <w:sz w:val="24"/>
          <w:szCs w:val="24"/>
        </w:rPr>
        <w:t xml:space="preserve">, M. (Eds.). (2018). </w:t>
      </w:r>
      <w:r w:rsidRPr="00015E59">
        <w:rPr>
          <w:rFonts w:ascii="Arial" w:hAnsi="Arial" w:cs="Arial"/>
          <w:i/>
          <w:iCs/>
          <w:sz w:val="24"/>
          <w:szCs w:val="24"/>
        </w:rPr>
        <w:t>The Palgrave handbook of criminology and the global south</w:t>
      </w:r>
      <w:r w:rsidRPr="00682B14">
        <w:rPr>
          <w:rFonts w:ascii="Arial" w:hAnsi="Arial" w:cs="Arial"/>
          <w:sz w:val="24"/>
          <w:szCs w:val="24"/>
        </w:rPr>
        <w:t xml:space="preserve"> (pp. 3-17). London: Palgrave Macmillan.</w:t>
      </w:r>
    </w:p>
    <w:p w:rsidR="001972DD" w:rsidRPr="00682B14" w:rsidRDefault="001972DD" w:rsidP="00682B14">
      <w:pPr>
        <w:spacing w:line="360" w:lineRule="auto"/>
        <w:jc w:val="both"/>
        <w:rPr>
          <w:rFonts w:ascii="Arial" w:hAnsi="Arial" w:cs="Arial"/>
          <w:sz w:val="24"/>
          <w:szCs w:val="24"/>
        </w:rPr>
      </w:pPr>
      <w:r w:rsidRPr="00682B14">
        <w:rPr>
          <w:rFonts w:ascii="Arial" w:hAnsi="Arial" w:cs="Arial"/>
          <w:sz w:val="24"/>
          <w:szCs w:val="24"/>
        </w:rPr>
        <w:t xml:space="preserve">Farrington, D. P. (2018). </w:t>
      </w:r>
      <w:r w:rsidRPr="00015E59">
        <w:rPr>
          <w:rFonts w:ascii="Arial" w:hAnsi="Arial" w:cs="Arial"/>
          <w:i/>
          <w:iCs/>
          <w:sz w:val="24"/>
          <w:szCs w:val="24"/>
        </w:rPr>
        <w:t>Developmental criminology. In The Routledge Companion to Criminological Theory and Concepts</w:t>
      </w:r>
      <w:r w:rsidRPr="00682B14">
        <w:rPr>
          <w:rFonts w:ascii="Arial" w:hAnsi="Arial" w:cs="Arial"/>
          <w:sz w:val="24"/>
          <w:szCs w:val="24"/>
        </w:rPr>
        <w:t xml:space="preserve"> (pp. 60-64). Routledge.</w:t>
      </w:r>
    </w:p>
    <w:p w:rsidR="001972DD" w:rsidRPr="00682B14" w:rsidRDefault="001972DD" w:rsidP="00682B14">
      <w:pPr>
        <w:spacing w:line="360" w:lineRule="auto"/>
        <w:jc w:val="both"/>
        <w:rPr>
          <w:rFonts w:ascii="Arial" w:hAnsi="Arial" w:cs="Arial"/>
          <w:sz w:val="24"/>
          <w:szCs w:val="24"/>
        </w:rPr>
      </w:pPr>
      <w:r w:rsidRPr="00682B14">
        <w:rPr>
          <w:rFonts w:ascii="Arial" w:hAnsi="Arial" w:cs="Arial"/>
          <w:sz w:val="24"/>
          <w:szCs w:val="24"/>
        </w:rPr>
        <w:t>Fa</w:t>
      </w:r>
      <w:r w:rsidR="00015E59">
        <w:rPr>
          <w:rFonts w:ascii="Arial" w:hAnsi="Arial" w:cs="Arial"/>
          <w:sz w:val="24"/>
          <w:szCs w:val="24"/>
        </w:rPr>
        <w:t xml:space="preserve">rrington, D. P., </w:t>
      </w:r>
      <w:proofErr w:type="spellStart"/>
      <w:r w:rsidR="00015E59">
        <w:rPr>
          <w:rFonts w:ascii="Arial" w:hAnsi="Arial" w:cs="Arial"/>
          <w:sz w:val="24"/>
          <w:szCs w:val="24"/>
        </w:rPr>
        <w:t>Kazemian</w:t>
      </w:r>
      <w:proofErr w:type="spellEnd"/>
      <w:r w:rsidR="00015E59">
        <w:rPr>
          <w:rFonts w:ascii="Arial" w:hAnsi="Arial" w:cs="Arial"/>
          <w:sz w:val="24"/>
          <w:szCs w:val="24"/>
        </w:rPr>
        <w:t>, L. and</w:t>
      </w:r>
      <w:r w:rsidRPr="00682B14">
        <w:rPr>
          <w:rFonts w:ascii="Arial" w:hAnsi="Arial" w:cs="Arial"/>
          <w:sz w:val="24"/>
          <w:szCs w:val="24"/>
        </w:rPr>
        <w:t xml:space="preserve"> </w:t>
      </w:r>
      <w:proofErr w:type="spellStart"/>
      <w:r w:rsidRPr="00682B14">
        <w:rPr>
          <w:rFonts w:ascii="Arial" w:hAnsi="Arial" w:cs="Arial"/>
          <w:sz w:val="24"/>
          <w:szCs w:val="24"/>
        </w:rPr>
        <w:t>Piquero</w:t>
      </w:r>
      <w:proofErr w:type="spellEnd"/>
      <w:r w:rsidRPr="00682B14">
        <w:rPr>
          <w:rFonts w:ascii="Arial" w:hAnsi="Arial" w:cs="Arial"/>
          <w:sz w:val="24"/>
          <w:szCs w:val="24"/>
        </w:rPr>
        <w:t xml:space="preserve">, A. R. (Eds.). (2018). </w:t>
      </w:r>
      <w:r w:rsidRPr="00015E59">
        <w:rPr>
          <w:rFonts w:ascii="Arial" w:hAnsi="Arial" w:cs="Arial"/>
          <w:i/>
          <w:iCs/>
          <w:sz w:val="24"/>
          <w:szCs w:val="24"/>
        </w:rPr>
        <w:t>The Oxford handbook of developmental and life-course criminology</w:t>
      </w:r>
      <w:r w:rsidRPr="00682B14">
        <w:rPr>
          <w:rFonts w:ascii="Arial" w:hAnsi="Arial" w:cs="Arial"/>
          <w:sz w:val="24"/>
          <w:szCs w:val="24"/>
        </w:rPr>
        <w:t>. Oxford Handbooks.</w:t>
      </w:r>
    </w:p>
    <w:p w:rsidR="001972DD" w:rsidRPr="00682B14" w:rsidRDefault="00015E59" w:rsidP="00682B14">
      <w:pPr>
        <w:spacing w:line="360" w:lineRule="auto"/>
        <w:jc w:val="both"/>
        <w:rPr>
          <w:rFonts w:ascii="Arial" w:hAnsi="Arial" w:cs="Arial"/>
          <w:sz w:val="24"/>
          <w:szCs w:val="24"/>
        </w:rPr>
      </w:pPr>
      <w:r>
        <w:rPr>
          <w:rFonts w:ascii="Arial" w:hAnsi="Arial" w:cs="Arial"/>
          <w:sz w:val="24"/>
          <w:szCs w:val="24"/>
        </w:rPr>
        <w:t>Fleming, J. and</w:t>
      </w:r>
      <w:r w:rsidR="001972DD" w:rsidRPr="00682B14">
        <w:rPr>
          <w:rFonts w:ascii="Arial" w:hAnsi="Arial" w:cs="Arial"/>
          <w:sz w:val="24"/>
          <w:szCs w:val="24"/>
        </w:rPr>
        <w:t xml:space="preserve"> Rhodes, R. (2018). Can experience be evidence? Craft knowledge and evidence-based policing. </w:t>
      </w:r>
      <w:r w:rsidR="001972DD" w:rsidRPr="00015E59">
        <w:rPr>
          <w:rFonts w:ascii="Arial" w:hAnsi="Arial" w:cs="Arial"/>
          <w:i/>
          <w:iCs/>
          <w:sz w:val="24"/>
          <w:szCs w:val="24"/>
        </w:rPr>
        <w:t>Policy &amp; politics</w:t>
      </w:r>
      <w:r w:rsidR="001972DD" w:rsidRPr="00682B14">
        <w:rPr>
          <w:rFonts w:ascii="Arial" w:hAnsi="Arial" w:cs="Arial"/>
          <w:sz w:val="24"/>
          <w:szCs w:val="24"/>
        </w:rPr>
        <w:t xml:space="preserve">, 46(1), </w:t>
      </w:r>
      <w:r>
        <w:rPr>
          <w:rFonts w:ascii="Arial" w:hAnsi="Arial" w:cs="Arial"/>
          <w:sz w:val="24"/>
          <w:szCs w:val="24"/>
        </w:rPr>
        <w:t xml:space="preserve">pp </w:t>
      </w:r>
      <w:r w:rsidR="001972DD" w:rsidRPr="00682B14">
        <w:rPr>
          <w:rFonts w:ascii="Arial" w:hAnsi="Arial" w:cs="Arial"/>
          <w:sz w:val="24"/>
          <w:szCs w:val="24"/>
        </w:rPr>
        <w:t>3-26.</w:t>
      </w:r>
    </w:p>
    <w:p w:rsidR="001972DD" w:rsidRPr="00682B14" w:rsidRDefault="001972DD" w:rsidP="00682B14">
      <w:pPr>
        <w:spacing w:line="360" w:lineRule="auto"/>
        <w:jc w:val="both"/>
        <w:rPr>
          <w:rFonts w:ascii="Arial" w:hAnsi="Arial" w:cs="Arial"/>
          <w:sz w:val="24"/>
          <w:szCs w:val="24"/>
        </w:rPr>
      </w:pPr>
      <w:r w:rsidRPr="00682B14">
        <w:rPr>
          <w:rFonts w:ascii="Arial" w:hAnsi="Arial" w:cs="Arial"/>
          <w:sz w:val="24"/>
          <w:szCs w:val="24"/>
        </w:rPr>
        <w:t xml:space="preserve">Flick, U. (2018). Triangulation in data collection. </w:t>
      </w:r>
      <w:r w:rsidRPr="00015E59">
        <w:rPr>
          <w:rFonts w:ascii="Arial" w:hAnsi="Arial" w:cs="Arial"/>
          <w:i/>
          <w:iCs/>
          <w:sz w:val="24"/>
          <w:szCs w:val="24"/>
        </w:rPr>
        <w:t>The SAGE handbook of qualitative data collection</w:t>
      </w:r>
      <w:r w:rsidRPr="00682B14">
        <w:rPr>
          <w:rFonts w:ascii="Arial" w:hAnsi="Arial" w:cs="Arial"/>
          <w:sz w:val="24"/>
          <w:szCs w:val="24"/>
        </w:rPr>
        <w:t xml:space="preserve">, </w:t>
      </w:r>
      <w:r w:rsidR="00015E59">
        <w:rPr>
          <w:rFonts w:ascii="Arial" w:hAnsi="Arial" w:cs="Arial"/>
          <w:sz w:val="24"/>
          <w:szCs w:val="24"/>
        </w:rPr>
        <w:t xml:space="preserve">pp </w:t>
      </w:r>
      <w:r w:rsidRPr="00682B14">
        <w:rPr>
          <w:rFonts w:ascii="Arial" w:hAnsi="Arial" w:cs="Arial"/>
          <w:sz w:val="24"/>
          <w:szCs w:val="24"/>
        </w:rPr>
        <w:t>527-544.</w:t>
      </w:r>
    </w:p>
    <w:p w:rsidR="001972DD" w:rsidRPr="00682B14" w:rsidRDefault="00015E59" w:rsidP="00682B14">
      <w:pPr>
        <w:spacing w:line="360" w:lineRule="auto"/>
        <w:jc w:val="both"/>
        <w:rPr>
          <w:rFonts w:ascii="Arial" w:hAnsi="Arial" w:cs="Arial"/>
          <w:sz w:val="24"/>
          <w:szCs w:val="24"/>
        </w:rPr>
      </w:pPr>
      <w:r>
        <w:rPr>
          <w:rFonts w:ascii="Arial" w:hAnsi="Arial" w:cs="Arial"/>
          <w:sz w:val="24"/>
          <w:szCs w:val="24"/>
        </w:rPr>
        <w:t>Francis, P. and</w:t>
      </w:r>
      <w:r w:rsidR="001972DD" w:rsidRPr="00682B14">
        <w:rPr>
          <w:rFonts w:ascii="Arial" w:hAnsi="Arial" w:cs="Arial"/>
          <w:sz w:val="24"/>
          <w:szCs w:val="24"/>
        </w:rPr>
        <w:t xml:space="preserve"> Davies, P. (2018). Doing criminological research. </w:t>
      </w:r>
      <w:r w:rsidR="001972DD" w:rsidRPr="00015E59">
        <w:rPr>
          <w:rFonts w:ascii="Arial" w:hAnsi="Arial" w:cs="Arial"/>
          <w:i/>
          <w:iCs/>
          <w:sz w:val="24"/>
          <w:szCs w:val="24"/>
        </w:rPr>
        <w:t>Doing criminological research</w:t>
      </w:r>
      <w:r w:rsidR="001972DD" w:rsidRPr="00682B14">
        <w:rPr>
          <w:rFonts w:ascii="Arial" w:hAnsi="Arial" w:cs="Arial"/>
          <w:sz w:val="24"/>
          <w:szCs w:val="24"/>
        </w:rPr>
        <w:t xml:space="preserve">, </w:t>
      </w:r>
      <w:r>
        <w:rPr>
          <w:rFonts w:ascii="Arial" w:hAnsi="Arial" w:cs="Arial"/>
          <w:sz w:val="24"/>
          <w:szCs w:val="24"/>
        </w:rPr>
        <w:t>pp 5</w:t>
      </w:r>
      <w:r w:rsidR="001972DD" w:rsidRPr="00682B14">
        <w:rPr>
          <w:rFonts w:ascii="Arial" w:hAnsi="Arial" w:cs="Arial"/>
          <w:sz w:val="24"/>
          <w:szCs w:val="24"/>
        </w:rPr>
        <w:t>1</w:t>
      </w:r>
      <w:r>
        <w:rPr>
          <w:rFonts w:ascii="Arial" w:hAnsi="Arial" w:cs="Arial"/>
          <w:sz w:val="24"/>
          <w:szCs w:val="24"/>
        </w:rPr>
        <w:t>0</w:t>
      </w:r>
      <w:r w:rsidR="001972DD" w:rsidRPr="00682B14">
        <w:rPr>
          <w:rFonts w:ascii="Arial" w:hAnsi="Arial" w:cs="Arial"/>
          <w:sz w:val="24"/>
          <w:szCs w:val="24"/>
        </w:rPr>
        <w:t>-576.</w:t>
      </w:r>
    </w:p>
    <w:p w:rsidR="001972DD" w:rsidRPr="00682B14" w:rsidRDefault="00EE6C16" w:rsidP="00682B14">
      <w:pPr>
        <w:spacing w:line="360" w:lineRule="auto"/>
        <w:jc w:val="both"/>
        <w:rPr>
          <w:rFonts w:ascii="Arial" w:hAnsi="Arial" w:cs="Arial"/>
          <w:sz w:val="24"/>
          <w:szCs w:val="24"/>
        </w:rPr>
      </w:pPr>
      <w:proofErr w:type="spellStart"/>
      <w:r>
        <w:rPr>
          <w:rFonts w:ascii="Arial" w:hAnsi="Arial" w:cs="Arial"/>
          <w:sz w:val="24"/>
          <w:szCs w:val="24"/>
        </w:rPr>
        <w:lastRenderedPageBreak/>
        <w:t>Hardyns</w:t>
      </w:r>
      <w:proofErr w:type="spellEnd"/>
      <w:r>
        <w:rPr>
          <w:rFonts w:ascii="Arial" w:hAnsi="Arial" w:cs="Arial"/>
          <w:sz w:val="24"/>
          <w:szCs w:val="24"/>
        </w:rPr>
        <w:t>, W. and</w:t>
      </w:r>
      <w:r w:rsidR="001972DD" w:rsidRPr="00682B14">
        <w:rPr>
          <w:rFonts w:ascii="Arial" w:hAnsi="Arial" w:cs="Arial"/>
          <w:sz w:val="24"/>
          <w:szCs w:val="24"/>
        </w:rPr>
        <w:t xml:space="preserve"> </w:t>
      </w:r>
      <w:proofErr w:type="spellStart"/>
      <w:r w:rsidR="001972DD" w:rsidRPr="00682B14">
        <w:rPr>
          <w:rFonts w:ascii="Arial" w:hAnsi="Arial" w:cs="Arial"/>
          <w:sz w:val="24"/>
          <w:szCs w:val="24"/>
        </w:rPr>
        <w:t>Rummens</w:t>
      </w:r>
      <w:proofErr w:type="spellEnd"/>
      <w:r w:rsidR="001972DD" w:rsidRPr="00682B14">
        <w:rPr>
          <w:rFonts w:ascii="Arial" w:hAnsi="Arial" w:cs="Arial"/>
          <w:sz w:val="24"/>
          <w:szCs w:val="24"/>
        </w:rPr>
        <w:t xml:space="preserve">, A. (2018). Predictive policing as a new tool for law enforcement? Recent developments and challenges. </w:t>
      </w:r>
      <w:r w:rsidR="001972DD" w:rsidRPr="00EE6C16">
        <w:rPr>
          <w:rFonts w:ascii="Arial" w:hAnsi="Arial" w:cs="Arial"/>
          <w:i/>
          <w:iCs/>
          <w:sz w:val="24"/>
          <w:szCs w:val="24"/>
        </w:rPr>
        <w:t>European journal on criminal policy and research</w:t>
      </w:r>
      <w:r w:rsidR="001972DD" w:rsidRPr="00682B14">
        <w:rPr>
          <w:rFonts w:ascii="Arial" w:hAnsi="Arial" w:cs="Arial"/>
          <w:sz w:val="24"/>
          <w:szCs w:val="24"/>
        </w:rPr>
        <w:t xml:space="preserve">, 24, </w:t>
      </w:r>
      <w:r>
        <w:rPr>
          <w:rFonts w:ascii="Arial" w:hAnsi="Arial" w:cs="Arial"/>
          <w:sz w:val="24"/>
          <w:szCs w:val="24"/>
        </w:rPr>
        <w:t>pp</w:t>
      </w:r>
      <w:r w:rsidR="00015E59">
        <w:rPr>
          <w:rFonts w:ascii="Arial" w:hAnsi="Arial" w:cs="Arial"/>
          <w:sz w:val="24"/>
          <w:szCs w:val="24"/>
        </w:rPr>
        <w:t xml:space="preserve">. </w:t>
      </w:r>
      <w:r w:rsidR="001972DD" w:rsidRPr="00682B14">
        <w:rPr>
          <w:rFonts w:ascii="Arial" w:hAnsi="Arial" w:cs="Arial"/>
          <w:sz w:val="24"/>
          <w:szCs w:val="24"/>
        </w:rPr>
        <w:t>201-218.</w:t>
      </w:r>
    </w:p>
    <w:p w:rsidR="001972DD" w:rsidRPr="00682B14" w:rsidRDefault="001972DD" w:rsidP="00682B14">
      <w:pPr>
        <w:spacing w:line="360" w:lineRule="auto"/>
        <w:jc w:val="both"/>
        <w:rPr>
          <w:rFonts w:ascii="Arial" w:hAnsi="Arial" w:cs="Arial"/>
          <w:sz w:val="24"/>
          <w:szCs w:val="24"/>
        </w:rPr>
      </w:pPr>
      <w:proofErr w:type="spellStart"/>
      <w:r w:rsidRPr="00682B14">
        <w:rPr>
          <w:rFonts w:ascii="Arial" w:hAnsi="Arial" w:cs="Arial"/>
          <w:sz w:val="24"/>
          <w:szCs w:val="24"/>
        </w:rPr>
        <w:t>Kabacoff</w:t>
      </w:r>
      <w:proofErr w:type="spellEnd"/>
      <w:r w:rsidRPr="00682B14">
        <w:rPr>
          <w:rFonts w:ascii="Arial" w:hAnsi="Arial" w:cs="Arial"/>
          <w:sz w:val="24"/>
          <w:szCs w:val="24"/>
        </w:rPr>
        <w:t xml:space="preserve">, R. (2022). R in Action: Data Analysis and Graphics with R and </w:t>
      </w:r>
      <w:proofErr w:type="spellStart"/>
      <w:r w:rsidRPr="00682B14">
        <w:rPr>
          <w:rFonts w:ascii="Arial" w:hAnsi="Arial" w:cs="Arial"/>
          <w:sz w:val="24"/>
          <w:szCs w:val="24"/>
        </w:rPr>
        <w:t>Tidyverse</w:t>
      </w:r>
      <w:proofErr w:type="spellEnd"/>
      <w:r w:rsidRPr="00682B14">
        <w:rPr>
          <w:rFonts w:ascii="Arial" w:hAnsi="Arial" w:cs="Arial"/>
          <w:sz w:val="24"/>
          <w:szCs w:val="24"/>
        </w:rPr>
        <w:t>. Simon and Schuster.</w:t>
      </w:r>
    </w:p>
    <w:p w:rsidR="001972DD" w:rsidRPr="00682B14" w:rsidRDefault="001972DD" w:rsidP="00682B14">
      <w:pPr>
        <w:spacing w:line="360" w:lineRule="auto"/>
        <w:jc w:val="both"/>
        <w:rPr>
          <w:rFonts w:ascii="Arial" w:hAnsi="Arial" w:cs="Arial"/>
          <w:sz w:val="24"/>
          <w:szCs w:val="24"/>
        </w:rPr>
      </w:pPr>
      <w:proofErr w:type="spellStart"/>
      <w:r w:rsidRPr="00682B14">
        <w:rPr>
          <w:rFonts w:ascii="Arial" w:hAnsi="Arial" w:cs="Arial"/>
          <w:sz w:val="24"/>
          <w:szCs w:val="24"/>
        </w:rPr>
        <w:t>Kuchar</w:t>
      </w:r>
      <w:proofErr w:type="spellEnd"/>
      <w:r w:rsidRPr="00682B14">
        <w:rPr>
          <w:rFonts w:ascii="Arial" w:hAnsi="Arial" w:cs="Arial"/>
          <w:sz w:val="24"/>
          <w:szCs w:val="24"/>
        </w:rPr>
        <w:t>, L. E. (2020). R</w:t>
      </w:r>
      <w:r w:rsidRPr="00EE6C16">
        <w:rPr>
          <w:rFonts w:ascii="Arial" w:hAnsi="Arial" w:cs="Arial"/>
          <w:i/>
          <w:iCs/>
          <w:sz w:val="24"/>
          <w:szCs w:val="24"/>
        </w:rPr>
        <w:t xml:space="preserve">eceptivity of Police Practitioners to </w:t>
      </w:r>
      <w:proofErr w:type="spellStart"/>
      <w:r w:rsidRPr="00EE6C16">
        <w:rPr>
          <w:rFonts w:ascii="Arial" w:hAnsi="Arial" w:cs="Arial"/>
          <w:i/>
          <w:iCs/>
          <w:sz w:val="24"/>
          <w:szCs w:val="24"/>
        </w:rPr>
        <w:t>Pracademics</w:t>
      </w:r>
      <w:proofErr w:type="spellEnd"/>
      <w:r w:rsidRPr="00682B14">
        <w:rPr>
          <w:rFonts w:ascii="Arial" w:hAnsi="Arial" w:cs="Arial"/>
          <w:sz w:val="24"/>
          <w:szCs w:val="24"/>
        </w:rPr>
        <w:t xml:space="preserve"> (Doctoral dissertation, The William Paterson University of New Jersey).</w:t>
      </w:r>
    </w:p>
    <w:p w:rsidR="001972DD" w:rsidRPr="00682B14" w:rsidRDefault="001972DD" w:rsidP="00682B14">
      <w:pPr>
        <w:spacing w:line="360" w:lineRule="auto"/>
        <w:jc w:val="both"/>
        <w:rPr>
          <w:rFonts w:ascii="Arial" w:hAnsi="Arial" w:cs="Arial"/>
          <w:sz w:val="24"/>
          <w:szCs w:val="24"/>
        </w:rPr>
      </w:pPr>
      <w:proofErr w:type="spellStart"/>
      <w:r w:rsidRPr="00682B14">
        <w:rPr>
          <w:rFonts w:ascii="Arial" w:hAnsi="Arial" w:cs="Arial"/>
          <w:sz w:val="24"/>
          <w:szCs w:val="24"/>
        </w:rPr>
        <w:t>Langfeldt</w:t>
      </w:r>
      <w:proofErr w:type="spellEnd"/>
      <w:r w:rsidRPr="00682B14">
        <w:rPr>
          <w:rFonts w:ascii="Arial" w:hAnsi="Arial" w:cs="Arial"/>
          <w:sz w:val="24"/>
          <w:szCs w:val="24"/>
        </w:rPr>
        <w:t xml:space="preserve">, L. (2022). The decision-making constraints and processes of grant peer review, and their effects on the review outcome. </w:t>
      </w:r>
      <w:r w:rsidRPr="00EE6C16">
        <w:rPr>
          <w:rFonts w:ascii="Arial" w:hAnsi="Arial" w:cs="Arial"/>
          <w:i/>
          <w:iCs/>
          <w:sz w:val="24"/>
          <w:szCs w:val="24"/>
        </w:rPr>
        <w:t>Peer review in an Era of Evaluation</w:t>
      </w:r>
      <w:r w:rsidRPr="00682B14">
        <w:rPr>
          <w:rFonts w:ascii="Arial" w:hAnsi="Arial" w:cs="Arial"/>
          <w:sz w:val="24"/>
          <w:szCs w:val="24"/>
        </w:rPr>
        <w:t>, 297.</w:t>
      </w:r>
    </w:p>
    <w:p w:rsidR="001972DD" w:rsidRPr="00682B14" w:rsidRDefault="00EE6C16" w:rsidP="00682B14">
      <w:pPr>
        <w:spacing w:line="360" w:lineRule="auto"/>
        <w:jc w:val="both"/>
        <w:rPr>
          <w:rFonts w:ascii="Arial" w:hAnsi="Arial" w:cs="Arial"/>
          <w:sz w:val="24"/>
          <w:szCs w:val="24"/>
        </w:rPr>
      </w:pPr>
      <w:proofErr w:type="spellStart"/>
      <w:r>
        <w:rPr>
          <w:rFonts w:ascii="Arial" w:hAnsi="Arial" w:cs="Arial"/>
          <w:sz w:val="24"/>
          <w:szCs w:val="24"/>
        </w:rPr>
        <w:t>Lumsden</w:t>
      </w:r>
      <w:proofErr w:type="spellEnd"/>
      <w:r>
        <w:rPr>
          <w:rFonts w:ascii="Arial" w:hAnsi="Arial" w:cs="Arial"/>
          <w:sz w:val="24"/>
          <w:szCs w:val="24"/>
        </w:rPr>
        <w:t>, K. and</w:t>
      </w:r>
      <w:r w:rsidR="001972DD" w:rsidRPr="00682B14">
        <w:rPr>
          <w:rFonts w:ascii="Arial" w:hAnsi="Arial" w:cs="Arial"/>
          <w:sz w:val="24"/>
          <w:szCs w:val="24"/>
        </w:rPr>
        <w:t xml:space="preserve"> Goode, J. (2018). Policing research and the rise of the ‘evidence-base’: Police officer and staff understandings of research, its implementation and ‘what works’. </w:t>
      </w:r>
      <w:r w:rsidR="001972DD" w:rsidRPr="00EE6C16">
        <w:rPr>
          <w:rFonts w:ascii="Arial" w:hAnsi="Arial" w:cs="Arial"/>
          <w:i/>
          <w:iCs/>
          <w:sz w:val="24"/>
          <w:szCs w:val="24"/>
        </w:rPr>
        <w:t>Sociology</w:t>
      </w:r>
      <w:r w:rsidR="001972DD" w:rsidRPr="00682B14">
        <w:rPr>
          <w:rFonts w:ascii="Arial" w:hAnsi="Arial" w:cs="Arial"/>
          <w:sz w:val="24"/>
          <w:szCs w:val="24"/>
        </w:rPr>
        <w:t xml:space="preserve">, 52(4), </w:t>
      </w:r>
      <w:r w:rsidR="00015E59">
        <w:rPr>
          <w:rFonts w:ascii="Arial" w:hAnsi="Arial" w:cs="Arial"/>
          <w:sz w:val="24"/>
          <w:szCs w:val="24"/>
        </w:rPr>
        <w:t xml:space="preserve">pp </w:t>
      </w:r>
      <w:r w:rsidR="001972DD" w:rsidRPr="00682B14">
        <w:rPr>
          <w:rFonts w:ascii="Arial" w:hAnsi="Arial" w:cs="Arial"/>
          <w:sz w:val="24"/>
          <w:szCs w:val="24"/>
        </w:rPr>
        <w:t>813-829.</w:t>
      </w:r>
    </w:p>
    <w:p w:rsidR="001972DD" w:rsidRPr="00682B14" w:rsidRDefault="001972DD" w:rsidP="00682B14">
      <w:pPr>
        <w:spacing w:line="360" w:lineRule="auto"/>
        <w:jc w:val="both"/>
        <w:rPr>
          <w:rFonts w:ascii="Arial" w:hAnsi="Arial" w:cs="Arial"/>
          <w:sz w:val="24"/>
          <w:szCs w:val="24"/>
        </w:rPr>
      </w:pPr>
      <w:proofErr w:type="spellStart"/>
      <w:r w:rsidRPr="00682B14">
        <w:rPr>
          <w:rFonts w:ascii="Arial" w:hAnsi="Arial" w:cs="Arial"/>
          <w:sz w:val="24"/>
          <w:szCs w:val="24"/>
        </w:rPr>
        <w:t>Maruna</w:t>
      </w:r>
      <w:proofErr w:type="spellEnd"/>
      <w:r w:rsidRPr="00682B14">
        <w:rPr>
          <w:rFonts w:ascii="Arial" w:hAnsi="Arial" w:cs="Arial"/>
          <w:sz w:val="24"/>
          <w:szCs w:val="24"/>
        </w:rPr>
        <w:t xml:space="preserve">, S. (2021). </w:t>
      </w:r>
      <w:r w:rsidRPr="00EE6C16">
        <w:rPr>
          <w:rFonts w:ascii="Arial" w:hAnsi="Arial" w:cs="Arial"/>
          <w:i/>
          <w:iCs/>
          <w:sz w:val="24"/>
          <w:szCs w:val="24"/>
        </w:rPr>
        <w:t>Criminology, desistance and the psychology of the stranger. In The social psychology of crime</w:t>
      </w:r>
      <w:r w:rsidRPr="00682B14">
        <w:rPr>
          <w:rFonts w:ascii="Arial" w:hAnsi="Arial" w:cs="Arial"/>
          <w:sz w:val="24"/>
          <w:szCs w:val="24"/>
        </w:rPr>
        <w:t xml:space="preserve"> (pp. 287-320). Routledge.</w:t>
      </w:r>
    </w:p>
    <w:p w:rsidR="001972DD" w:rsidRPr="00682B14" w:rsidRDefault="001972DD" w:rsidP="00682B14">
      <w:pPr>
        <w:spacing w:line="360" w:lineRule="auto"/>
        <w:jc w:val="both"/>
        <w:rPr>
          <w:rFonts w:ascii="Arial" w:hAnsi="Arial" w:cs="Arial"/>
          <w:sz w:val="24"/>
          <w:szCs w:val="24"/>
        </w:rPr>
      </w:pPr>
      <w:r w:rsidRPr="00682B14">
        <w:rPr>
          <w:rFonts w:ascii="Arial" w:hAnsi="Arial" w:cs="Arial"/>
          <w:sz w:val="24"/>
          <w:szCs w:val="24"/>
        </w:rPr>
        <w:t xml:space="preserve">Mitchell, R. J. (2019). A light introduction to evidence based policing. </w:t>
      </w:r>
      <w:r w:rsidRPr="00EE6C16">
        <w:rPr>
          <w:rFonts w:ascii="Arial" w:hAnsi="Arial" w:cs="Arial"/>
          <w:i/>
          <w:iCs/>
          <w:sz w:val="24"/>
          <w:szCs w:val="24"/>
        </w:rPr>
        <w:t>Evidence based policing: An introduction</w:t>
      </w:r>
      <w:r w:rsidRPr="00682B14">
        <w:rPr>
          <w:rFonts w:ascii="Arial" w:hAnsi="Arial" w:cs="Arial"/>
          <w:sz w:val="24"/>
          <w:szCs w:val="24"/>
        </w:rPr>
        <w:t>, 3-14.</w:t>
      </w:r>
    </w:p>
    <w:p w:rsidR="001972DD" w:rsidRPr="00682B14" w:rsidRDefault="00EE6C16" w:rsidP="00682B14">
      <w:pPr>
        <w:spacing w:line="360" w:lineRule="auto"/>
        <w:jc w:val="both"/>
        <w:rPr>
          <w:rFonts w:ascii="Arial" w:hAnsi="Arial" w:cs="Arial"/>
          <w:sz w:val="24"/>
          <w:szCs w:val="24"/>
        </w:rPr>
      </w:pPr>
      <w:r>
        <w:rPr>
          <w:rFonts w:ascii="Arial" w:hAnsi="Arial" w:cs="Arial"/>
          <w:sz w:val="24"/>
          <w:szCs w:val="24"/>
        </w:rPr>
        <w:t>Mitchell, R. and</w:t>
      </w:r>
      <w:r w:rsidR="001972DD" w:rsidRPr="00682B14">
        <w:rPr>
          <w:rFonts w:ascii="Arial" w:hAnsi="Arial" w:cs="Arial"/>
          <w:sz w:val="24"/>
          <w:szCs w:val="24"/>
        </w:rPr>
        <w:t xml:space="preserve"> Huey, L. (Eds.). (2018). </w:t>
      </w:r>
      <w:r w:rsidR="001972DD" w:rsidRPr="00EE6C16">
        <w:rPr>
          <w:rFonts w:ascii="Arial" w:hAnsi="Arial" w:cs="Arial"/>
          <w:i/>
          <w:iCs/>
          <w:sz w:val="24"/>
          <w:szCs w:val="24"/>
        </w:rPr>
        <w:t>Evidence based policing: An introduction.</w:t>
      </w:r>
      <w:r w:rsidR="001972DD" w:rsidRPr="00682B14">
        <w:rPr>
          <w:rFonts w:ascii="Arial" w:hAnsi="Arial" w:cs="Arial"/>
          <w:sz w:val="24"/>
          <w:szCs w:val="24"/>
        </w:rPr>
        <w:t xml:space="preserve"> Policy Press.</w:t>
      </w:r>
    </w:p>
    <w:p w:rsidR="001972DD" w:rsidRPr="00682B14" w:rsidRDefault="00EE6C16" w:rsidP="00682B14">
      <w:pPr>
        <w:spacing w:line="360" w:lineRule="auto"/>
        <w:jc w:val="both"/>
        <w:rPr>
          <w:rFonts w:ascii="Arial" w:hAnsi="Arial" w:cs="Arial"/>
          <w:sz w:val="24"/>
          <w:szCs w:val="24"/>
        </w:rPr>
      </w:pPr>
      <w:proofErr w:type="spellStart"/>
      <w:r>
        <w:rPr>
          <w:rFonts w:ascii="Arial" w:hAnsi="Arial" w:cs="Arial"/>
          <w:sz w:val="24"/>
          <w:szCs w:val="24"/>
        </w:rPr>
        <w:t>Posick</w:t>
      </w:r>
      <w:proofErr w:type="spellEnd"/>
      <w:r>
        <w:rPr>
          <w:rFonts w:ascii="Arial" w:hAnsi="Arial" w:cs="Arial"/>
          <w:sz w:val="24"/>
          <w:szCs w:val="24"/>
        </w:rPr>
        <w:t>, C. and</w:t>
      </w:r>
      <w:r w:rsidR="001972DD" w:rsidRPr="00682B14">
        <w:rPr>
          <w:rFonts w:ascii="Arial" w:hAnsi="Arial" w:cs="Arial"/>
          <w:sz w:val="24"/>
          <w:szCs w:val="24"/>
        </w:rPr>
        <w:t xml:space="preserve"> McBride, M. </w:t>
      </w:r>
      <w:r>
        <w:rPr>
          <w:rFonts w:ascii="Arial" w:hAnsi="Arial" w:cs="Arial"/>
          <w:sz w:val="24"/>
          <w:szCs w:val="24"/>
        </w:rPr>
        <w:t xml:space="preserve">(2018). </w:t>
      </w:r>
      <w:r w:rsidRPr="00EE6C16">
        <w:rPr>
          <w:rFonts w:ascii="Arial" w:hAnsi="Arial" w:cs="Arial"/>
          <w:i/>
          <w:iCs/>
          <w:sz w:val="24"/>
          <w:szCs w:val="24"/>
        </w:rPr>
        <w:t xml:space="preserve">Biological criminology: </w:t>
      </w:r>
      <w:r w:rsidR="001972DD" w:rsidRPr="00EE6C16">
        <w:rPr>
          <w:rFonts w:ascii="Arial" w:hAnsi="Arial" w:cs="Arial"/>
          <w:i/>
          <w:iCs/>
          <w:sz w:val="24"/>
          <w:szCs w:val="24"/>
        </w:rPr>
        <w:t>In The Routledge Companion to Criminological Theory and Concepts</w:t>
      </w:r>
      <w:r w:rsidR="001972DD" w:rsidRPr="00682B14">
        <w:rPr>
          <w:rFonts w:ascii="Arial" w:hAnsi="Arial" w:cs="Arial"/>
          <w:sz w:val="24"/>
          <w:szCs w:val="24"/>
        </w:rPr>
        <w:t xml:space="preserve"> (pp. 28-32). Routledge.</w:t>
      </w:r>
    </w:p>
    <w:p w:rsidR="001972DD" w:rsidRPr="00682B14" w:rsidRDefault="001972DD" w:rsidP="00682B14">
      <w:pPr>
        <w:spacing w:line="360" w:lineRule="auto"/>
        <w:jc w:val="both"/>
        <w:rPr>
          <w:rFonts w:ascii="Arial" w:hAnsi="Arial" w:cs="Arial"/>
          <w:sz w:val="24"/>
          <w:szCs w:val="24"/>
        </w:rPr>
      </w:pPr>
      <w:r w:rsidRPr="00682B14">
        <w:rPr>
          <w:rFonts w:ascii="Arial" w:hAnsi="Arial" w:cs="Arial"/>
          <w:sz w:val="24"/>
          <w:szCs w:val="24"/>
        </w:rPr>
        <w:t>Sidebottom, A., Bullock, K., Armitage, R., Ashby, M</w:t>
      </w:r>
      <w:r w:rsidR="00EE6C16">
        <w:rPr>
          <w:rFonts w:ascii="Arial" w:hAnsi="Arial" w:cs="Arial"/>
          <w:sz w:val="24"/>
          <w:szCs w:val="24"/>
        </w:rPr>
        <w:t xml:space="preserve">., </w:t>
      </w:r>
      <w:proofErr w:type="spellStart"/>
      <w:r w:rsidR="00EE6C16">
        <w:rPr>
          <w:rFonts w:ascii="Arial" w:hAnsi="Arial" w:cs="Arial"/>
          <w:sz w:val="24"/>
          <w:szCs w:val="24"/>
        </w:rPr>
        <w:t>Clemmow</w:t>
      </w:r>
      <w:proofErr w:type="spellEnd"/>
      <w:r w:rsidR="00EE6C16">
        <w:rPr>
          <w:rFonts w:ascii="Arial" w:hAnsi="Arial" w:cs="Arial"/>
          <w:sz w:val="24"/>
          <w:szCs w:val="24"/>
        </w:rPr>
        <w:t>, C., Kirby, S., and</w:t>
      </w:r>
      <w:r w:rsidRPr="00682B14">
        <w:rPr>
          <w:rFonts w:ascii="Arial" w:hAnsi="Arial" w:cs="Arial"/>
          <w:sz w:val="24"/>
          <w:szCs w:val="24"/>
        </w:rPr>
        <w:t xml:space="preserve"> Tilley, N. (2020). </w:t>
      </w:r>
      <w:r w:rsidRPr="00EE6C16">
        <w:rPr>
          <w:rFonts w:ascii="Arial" w:hAnsi="Arial" w:cs="Arial"/>
          <w:i/>
          <w:iCs/>
          <w:sz w:val="24"/>
          <w:szCs w:val="24"/>
        </w:rPr>
        <w:t>Problem-oriented policing in England and Wales 2019</w:t>
      </w:r>
      <w:r w:rsidRPr="00682B14">
        <w:rPr>
          <w:rFonts w:ascii="Arial" w:hAnsi="Arial" w:cs="Arial"/>
          <w:sz w:val="24"/>
          <w:szCs w:val="24"/>
        </w:rPr>
        <w:t>.</w:t>
      </w:r>
    </w:p>
    <w:p w:rsidR="001972DD" w:rsidRPr="00682B14" w:rsidRDefault="00EE6C16" w:rsidP="00682B14">
      <w:pPr>
        <w:spacing w:line="360" w:lineRule="auto"/>
        <w:jc w:val="both"/>
        <w:rPr>
          <w:rFonts w:ascii="Arial" w:hAnsi="Arial" w:cs="Arial"/>
          <w:sz w:val="24"/>
          <w:szCs w:val="24"/>
        </w:rPr>
      </w:pPr>
      <w:proofErr w:type="spellStart"/>
      <w:r>
        <w:rPr>
          <w:rFonts w:ascii="Arial" w:hAnsi="Arial" w:cs="Arial"/>
          <w:sz w:val="24"/>
          <w:szCs w:val="24"/>
        </w:rPr>
        <w:t>Solymosi</w:t>
      </w:r>
      <w:proofErr w:type="spellEnd"/>
      <w:r>
        <w:rPr>
          <w:rFonts w:ascii="Arial" w:hAnsi="Arial" w:cs="Arial"/>
          <w:sz w:val="24"/>
          <w:szCs w:val="24"/>
        </w:rPr>
        <w:t>, R. and</w:t>
      </w:r>
      <w:r w:rsidR="001972DD" w:rsidRPr="00682B14">
        <w:rPr>
          <w:rFonts w:ascii="Arial" w:hAnsi="Arial" w:cs="Arial"/>
          <w:sz w:val="24"/>
          <w:szCs w:val="24"/>
        </w:rPr>
        <w:t xml:space="preserve"> Bowers, K. (2018). The role of innovative data collection methods in advancing criminological understanding. </w:t>
      </w:r>
      <w:r w:rsidR="001972DD" w:rsidRPr="00EE6C16">
        <w:rPr>
          <w:rFonts w:ascii="Arial" w:hAnsi="Arial" w:cs="Arial"/>
          <w:i/>
          <w:iCs/>
          <w:sz w:val="24"/>
          <w:szCs w:val="24"/>
        </w:rPr>
        <w:t>The Oxford handbook of environmental criminology</w:t>
      </w:r>
      <w:r w:rsidR="001972DD" w:rsidRPr="00682B14">
        <w:rPr>
          <w:rFonts w:ascii="Arial" w:hAnsi="Arial" w:cs="Arial"/>
          <w:sz w:val="24"/>
          <w:szCs w:val="24"/>
        </w:rPr>
        <w:t xml:space="preserve">, </w:t>
      </w:r>
      <w:r w:rsidR="00015E59">
        <w:rPr>
          <w:rFonts w:ascii="Arial" w:hAnsi="Arial" w:cs="Arial"/>
          <w:sz w:val="24"/>
          <w:szCs w:val="24"/>
        </w:rPr>
        <w:t xml:space="preserve">pp </w:t>
      </w:r>
      <w:r w:rsidR="001972DD" w:rsidRPr="00682B14">
        <w:rPr>
          <w:rFonts w:ascii="Arial" w:hAnsi="Arial" w:cs="Arial"/>
          <w:sz w:val="24"/>
          <w:szCs w:val="24"/>
        </w:rPr>
        <w:t>210-237.</w:t>
      </w:r>
    </w:p>
    <w:p w:rsidR="00894B1D" w:rsidRPr="00682B14" w:rsidRDefault="00EE6C16" w:rsidP="00682B14">
      <w:pPr>
        <w:spacing w:line="360" w:lineRule="auto"/>
        <w:jc w:val="both"/>
        <w:rPr>
          <w:rFonts w:ascii="Arial" w:hAnsi="Arial" w:cs="Arial"/>
          <w:sz w:val="24"/>
          <w:szCs w:val="24"/>
        </w:rPr>
      </w:pPr>
      <w:r>
        <w:rPr>
          <w:rFonts w:ascii="Arial" w:hAnsi="Arial" w:cs="Arial"/>
          <w:sz w:val="24"/>
          <w:szCs w:val="24"/>
        </w:rPr>
        <w:lastRenderedPageBreak/>
        <w:t>Willis, C., Daniels, K. and</w:t>
      </w:r>
      <w:r w:rsidR="001972DD" w:rsidRPr="00682B14">
        <w:rPr>
          <w:rFonts w:ascii="Arial" w:hAnsi="Arial" w:cs="Arial"/>
          <w:sz w:val="24"/>
          <w:szCs w:val="24"/>
        </w:rPr>
        <w:t xml:space="preserve"> </w:t>
      </w:r>
      <w:proofErr w:type="spellStart"/>
      <w:r w:rsidR="001972DD" w:rsidRPr="00682B14">
        <w:rPr>
          <w:rFonts w:ascii="Arial" w:hAnsi="Arial" w:cs="Arial"/>
          <w:sz w:val="24"/>
          <w:szCs w:val="24"/>
        </w:rPr>
        <w:t>Gettis</w:t>
      </w:r>
      <w:proofErr w:type="spellEnd"/>
      <w:r w:rsidR="001972DD" w:rsidRPr="00682B14">
        <w:rPr>
          <w:rFonts w:ascii="Arial" w:hAnsi="Arial" w:cs="Arial"/>
          <w:sz w:val="24"/>
          <w:szCs w:val="24"/>
        </w:rPr>
        <w:t xml:space="preserve">, M. (2021). A Collaborative Effort to Build an Evidence-Based Practice Project Repository. </w:t>
      </w:r>
      <w:r w:rsidR="001972DD" w:rsidRPr="00EE6C16">
        <w:rPr>
          <w:rFonts w:ascii="Arial" w:hAnsi="Arial" w:cs="Arial"/>
          <w:i/>
          <w:iCs/>
          <w:sz w:val="24"/>
          <w:szCs w:val="24"/>
        </w:rPr>
        <w:t>Medical Reference Services Quarterly</w:t>
      </w:r>
      <w:r w:rsidR="001972DD" w:rsidRPr="00682B14">
        <w:rPr>
          <w:rFonts w:ascii="Arial" w:hAnsi="Arial" w:cs="Arial"/>
          <w:sz w:val="24"/>
          <w:szCs w:val="24"/>
        </w:rPr>
        <w:t xml:space="preserve">, 40(2), </w:t>
      </w:r>
      <w:r w:rsidR="00015E59">
        <w:rPr>
          <w:rFonts w:ascii="Arial" w:hAnsi="Arial" w:cs="Arial"/>
          <w:sz w:val="24"/>
          <w:szCs w:val="24"/>
        </w:rPr>
        <w:t xml:space="preserve">pp </w:t>
      </w:r>
      <w:r w:rsidR="001972DD" w:rsidRPr="00682B14">
        <w:rPr>
          <w:rFonts w:ascii="Arial" w:hAnsi="Arial" w:cs="Arial"/>
          <w:sz w:val="24"/>
          <w:szCs w:val="24"/>
        </w:rPr>
        <w:t>205-214.</w:t>
      </w:r>
    </w:p>
    <w:sectPr w:rsidR="00894B1D" w:rsidRPr="00682B14">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2A9A" w:rsidRDefault="00422A9A" w:rsidP="0036506A">
      <w:pPr>
        <w:spacing w:after="0" w:line="240" w:lineRule="auto"/>
      </w:pPr>
      <w:r>
        <w:separator/>
      </w:r>
    </w:p>
  </w:endnote>
  <w:endnote w:type="continuationSeparator" w:id="0">
    <w:p w:rsidR="00422A9A" w:rsidRDefault="00422A9A" w:rsidP="00365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E59" w:rsidRDefault="00015E5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4575248"/>
      <w:docPartObj>
        <w:docPartGallery w:val="Page Numbers (Bottom of Page)"/>
        <w:docPartUnique/>
      </w:docPartObj>
    </w:sdtPr>
    <w:sdtEndPr>
      <w:rPr>
        <w:noProof/>
      </w:rPr>
    </w:sdtEndPr>
    <w:sdtContent>
      <w:p w:rsidR="0036506A" w:rsidRDefault="0036506A">
        <w:pPr>
          <w:pStyle w:val="Footer"/>
          <w:jc w:val="right"/>
        </w:pPr>
        <w:r>
          <w:fldChar w:fldCharType="begin"/>
        </w:r>
        <w:r>
          <w:instrText xml:space="preserve"> PAGE   \* MERGEFORMAT </w:instrText>
        </w:r>
        <w:r>
          <w:fldChar w:fldCharType="separate"/>
        </w:r>
        <w:r w:rsidR="00B40FC3">
          <w:rPr>
            <w:noProof/>
          </w:rPr>
          <w:t>10</w:t>
        </w:r>
        <w:r>
          <w:rPr>
            <w:noProof/>
          </w:rPr>
          <w:fldChar w:fldCharType="end"/>
        </w:r>
      </w:p>
    </w:sdtContent>
  </w:sdt>
  <w:p w:rsidR="0036506A" w:rsidRDefault="0036506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E59" w:rsidRDefault="00015E5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2A9A" w:rsidRDefault="00422A9A" w:rsidP="0036506A">
      <w:pPr>
        <w:spacing w:after="0" w:line="240" w:lineRule="auto"/>
      </w:pPr>
      <w:r>
        <w:separator/>
      </w:r>
    </w:p>
  </w:footnote>
  <w:footnote w:type="continuationSeparator" w:id="0">
    <w:p w:rsidR="00422A9A" w:rsidRDefault="00422A9A" w:rsidP="003650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E59" w:rsidRDefault="00015E5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E59" w:rsidRDefault="00015E59">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E59" w:rsidRDefault="00015E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71D"/>
    <w:rsid w:val="00007DD0"/>
    <w:rsid w:val="00015E59"/>
    <w:rsid w:val="00031207"/>
    <w:rsid w:val="00034054"/>
    <w:rsid w:val="000979A8"/>
    <w:rsid w:val="000D2830"/>
    <w:rsid w:val="000D28C7"/>
    <w:rsid w:val="00134AAC"/>
    <w:rsid w:val="00135FD4"/>
    <w:rsid w:val="00183025"/>
    <w:rsid w:val="00194B31"/>
    <w:rsid w:val="00196A85"/>
    <w:rsid w:val="001972DD"/>
    <w:rsid w:val="001E66D6"/>
    <w:rsid w:val="002057A2"/>
    <w:rsid w:val="00295D2C"/>
    <w:rsid w:val="002A4E04"/>
    <w:rsid w:val="0036506A"/>
    <w:rsid w:val="00370BC1"/>
    <w:rsid w:val="00422A9A"/>
    <w:rsid w:val="00441EF6"/>
    <w:rsid w:val="004F7D03"/>
    <w:rsid w:val="00513937"/>
    <w:rsid w:val="00530F7E"/>
    <w:rsid w:val="0053771D"/>
    <w:rsid w:val="00566E1D"/>
    <w:rsid w:val="00597A04"/>
    <w:rsid w:val="00682B14"/>
    <w:rsid w:val="006A407E"/>
    <w:rsid w:val="007C1A79"/>
    <w:rsid w:val="00894B1D"/>
    <w:rsid w:val="008B28DD"/>
    <w:rsid w:val="00930C9F"/>
    <w:rsid w:val="00995C40"/>
    <w:rsid w:val="009E3A7C"/>
    <w:rsid w:val="009F1D0C"/>
    <w:rsid w:val="00A01F28"/>
    <w:rsid w:val="00A0394C"/>
    <w:rsid w:val="00AB7EBC"/>
    <w:rsid w:val="00AD5992"/>
    <w:rsid w:val="00B12DBC"/>
    <w:rsid w:val="00B40FC3"/>
    <w:rsid w:val="00B80BE8"/>
    <w:rsid w:val="00B9051F"/>
    <w:rsid w:val="00BA479C"/>
    <w:rsid w:val="00BC58A3"/>
    <w:rsid w:val="00C348E2"/>
    <w:rsid w:val="00CD359F"/>
    <w:rsid w:val="00D339C0"/>
    <w:rsid w:val="00D71BDC"/>
    <w:rsid w:val="00E13311"/>
    <w:rsid w:val="00E416B7"/>
    <w:rsid w:val="00EB694E"/>
    <w:rsid w:val="00EE26B1"/>
    <w:rsid w:val="00EE6C16"/>
    <w:rsid w:val="00EF394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E15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50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06A"/>
    <w:rPr>
      <w:lang w:val="en-GB"/>
    </w:rPr>
  </w:style>
  <w:style w:type="paragraph" w:styleId="Footer">
    <w:name w:val="footer"/>
    <w:basedOn w:val="Normal"/>
    <w:link w:val="FooterChar"/>
    <w:uiPriority w:val="99"/>
    <w:unhideWhenUsed/>
    <w:rsid w:val="003650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506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2391</Words>
  <Characters>13632</Characters>
  <Application>Microsoft Office Word</Application>
  <DocSecurity>0</DocSecurity>
  <Lines>113</Lines>
  <Paragraphs>31</Paragraphs>
  <ScaleCrop>false</ScaleCrop>
  <Company/>
  <LinksUpToDate>false</LinksUpToDate>
  <CharactersWithSpaces>15992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2023-04-14T07:15:00Z</dcterms:created>
  <dcterms:modified xsi:type="dcterms:W3CDTF">2023-04-15T16:51:00Z</dcterms:modified>
</cp:coreProperties>
</file>