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69002214"/>
        <w:docPartObj>
          <w:docPartGallery w:val="Cover Pages"/>
          <w:docPartUnique/>
        </w:docPartObj>
      </w:sdtPr>
      <w:sdtContent>
        <w:p w:rsidR="00605DD8" w:rsidRDefault="00605DD8">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605DD8">
                                  <w:trPr>
                                    <w:jc w:val="center"/>
                                  </w:trPr>
                                  <w:tc>
                                    <w:tcPr>
                                      <w:tcW w:w="2568" w:type="pct"/>
                                      <w:vAlign w:val="center"/>
                                    </w:tcPr>
                                    <w:p w:rsidR="00605DD8" w:rsidRDefault="00605DD8">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rsidR="00AA3391" w:rsidRPr="00AA3391" w:rsidRDefault="00605DD8" w:rsidP="00AA3391">
                                      <w:pPr>
                                        <w:pStyle w:val="NoSpacing"/>
                                        <w:spacing w:line="312" w:lineRule="auto"/>
                                        <w:jc w:val="right"/>
                                        <w:rPr>
                                          <w:caps/>
                                          <w:color w:val="191919" w:themeColor="text1" w:themeTint="E6"/>
                                          <w:sz w:val="32"/>
                                          <w:szCs w:val="32"/>
                                          <w:lang w:val="en-GB"/>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AA3391">
                                            <w:rPr>
                                              <w:caps/>
                                              <w:color w:val="191919" w:themeColor="text1" w:themeTint="E6"/>
                                              <w:sz w:val="72"/>
                                              <w:szCs w:val="72"/>
                                            </w:rPr>
                                            <w:t xml:space="preserve">     </w:t>
                                          </w:r>
                                        </w:sdtContent>
                                      </w:sdt>
                                      <w:r w:rsidR="00AA3391" w:rsidRPr="00AA3391">
                                        <w:rPr>
                                          <w:rFonts w:ascii="Arial" w:hAnsi="Arial" w:cs="Arial"/>
                                          <w:sz w:val="36"/>
                                          <w:szCs w:val="36"/>
                                        </w:rPr>
                                        <w:t xml:space="preserve"> </w:t>
                                      </w:r>
                                      <w:r w:rsidR="00AA3391" w:rsidRPr="00AA3391">
                                        <w:rPr>
                                          <w:caps/>
                                          <w:color w:val="191919" w:themeColor="text1" w:themeTint="E6"/>
                                          <w:sz w:val="32"/>
                                          <w:szCs w:val="32"/>
                                          <w:lang w:val="en-GB"/>
                                        </w:rPr>
                                        <w:t>Developing a Sustainable Business Strategy for GreenThumb Landscaping</w:t>
                                      </w:r>
                                    </w:p>
                                    <w:p w:rsidR="00605DD8" w:rsidRDefault="00605DD8">
                                      <w:pPr>
                                        <w:pStyle w:val="NoSpacing"/>
                                        <w:spacing w:line="312" w:lineRule="auto"/>
                                        <w:jc w:val="right"/>
                                        <w:rPr>
                                          <w:caps/>
                                          <w:color w:val="191919" w:themeColor="text1" w:themeTint="E6"/>
                                          <w:sz w:val="72"/>
                                          <w:szCs w:val="72"/>
                                        </w:rPr>
                                      </w:pPr>
                                    </w:p>
                                    <w:p w:rsidR="00605DD8" w:rsidRDefault="00605DD8">
                                      <w:pPr>
                                        <w:jc w:val="right"/>
                                        <w:rPr>
                                          <w:sz w:val="24"/>
                                          <w:szCs w:val="24"/>
                                        </w:rPr>
                                      </w:pPr>
                                    </w:p>
                                  </w:tc>
                                  <w:tc>
                                    <w:tcPr>
                                      <w:tcW w:w="2432" w:type="pct"/>
                                      <w:vAlign w:val="center"/>
                                    </w:tcPr>
                                    <w:p w:rsidR="0024321B" w:rsidRPr="0024321B" w:rsidRDefault="0024321B" w:rsidP="0024321B">
                                      <w:pPr>
                                        <w:pStyle w:val="NoSpacing"/>
                                        <w:rPr>
                                          <w:caps/>
                                          <w:color w:val="ED7D31" w:themeColor="accent2"/>
                                          <w:sz w:val="26"/>
                                          <w:szCs w:val="26"/>
                                        </w:rPr>
                                      </w:pPr>
                                      <w:r w:rsidRPr="0024321B">
                                        <w:rPr>
                                          <w:caps/>
                                          <w:color w:val="ED7D31" w:themeColor="accent2"/>
                                          <w:sz w:val="26"/>
                                          <w:szCs w:val="26"/>
                                        </w:rPr>
                                        <w:t xml:space="preserve">MODULE: </w:t>
                                      </w:r>
                                      <w:r w:rsidRPr="0024321B">
                                        <w:rPr>
                                          <w:caps/>
                                          <w:color w:val="ED7D31" w:themeColor="accent2"/>
                                          <w:sz w:val="26"/>
                                          <w:szCs w:val="26"/>
                                        </w:rPr>
                                        <w:t>Strategic Management for SME</w:t>
                                      </w:r>
                                      <w:r>
                                        <w:rPr>
                                          <w:caps/>
                                          <w:color w:val="ED7D31" w:themeColor="accent2"/>
                                          <w:sz w:val="26"/>
                                          <w:szCs w:val="26"/>
                                        </w:rPr>
                                        <w:t>s</w:t>
                                      </w:r>
                                    </w:p>
                                    <w:p w:rsidR="0024321B" w:rsidRPr="0024321B" w:rsidRDefault="0024321B" w:rsidP="0024321B">
                                      <w:pPr>
                                        <w:pStyle w:val="NoSpacing"/>
                                        <w:rPr>
                                          <w:caps/>
                                          <w:color w:val="ED7D31" w:themeColor="accent2"/>
                                          <w:sz w:val="26"/>
                                          <w:szCs w:val="26"/>
                                        </w:rPr>
                                      </w:pPr>
                                      <w:r>
                                        <w:rPr>
                                          <w:caps/>
                                          <w:color w:val="ED7D31" w:themeColor="accent2"/>
                                          <w:sz w:val="26"/>
                                          <w:szCs w:val="26"/>
                                        </w:rPr>
                                        <w:t>MODULE CODE: BMSW6104</w:t>
                                      </w:r>
                                    </w:p>
                                    <w:p w:rsidR="0024321B" w:rsidRPr="0024321B" w:rsidRDefault="00FC7050" w:rsidP="0024321B">
                                      <w:pPr>
                                        <w:pStyle w:val="NoSpacing"/>
                                        <w:rPr>
                                          <w:caps/>
                                          <w:color w:val="ED7D31" w:themeColor="accent2"/>
                                          <w:sz w:val="26"/>
                                          <w:szCs w:val="26"/>
                                        </w:rPr>
                                      </w:pPr>
                                      <w:r>
                                        <w:rPr>
                                          <w:caps/>
                                          <w:color w:val="ED7D31" w:themeColor="accent2"/>
                                          <w:sz w:val="26"/>
                                          <w:szCs w:val="26"/>
                                        </w:rPr>
                                        <w:t>LECTURER: md kalam</w:t>
                                      </w:r>
                                      <w:bookmarkStart w:id="0" w:name="_GoBack"/>
                                      <w:bookmarkEnd w:id="0"/>
                                    </w:p>
                                    <w:p w:rsidR="0024321B" w:rsidRPr="0024321B" w:rsidRDefault="0024321B" w:rsidP="0024321B">
                                      <w:pPr>
                                        <w:pStyle w:val="NoSpacing"/>
                                        <w:rPr>
                                          <w:caps/>
                                          <w:color w:val="ED7D31" w:themeColor="accent2"/>
                                          <w:sz w:val="26"/>
                                          <w:szCs w:val="26"/>
                                        </w:rPr>
                                      </w:pPr>
                                      <w:r w:rsidRPr="0024321B">
                                        <w:rPr>
                                          <w:caps/>
                                          <w:color w:val="ED7D31" w:themeColor="accent2"/>
                                          <w:sz w:val="26"/>
                                          <w:szCs w:val="26"/>
                                        </w:rPr>
                                        <w:t>STUDENT: IOAN-LAURENTIU ENACHE 2011896,  TERM 2</w:t>
                                      </w:r>
                                    </w:p>
                                    <w:p w:rsidR="0024321B" w:rsidRPr="0024321B" w:rsidRDefault="0024321B" w:rsidP="0024321B">
                                      <w:pPr>
                                        <w:pStyle w:val="NoSpacing"/>
                                        <w:rPr>
                                          <w:caps/>
                                          <w:color w:val="ED7D31" w:themeColor="accent2"/>
                                          <w:sz w:val="26"/>
                                          <w:szCs w:val="26"/>
                                        </w:rPr>
                                      </w:pPr>
                                      <w:r w:rsidRPr="0024321B">
                                        <w:rPr>
                                          <w:caps/>
                                          <w:color w:val="ED7D31" w:themeColor="accent2"/>
                                          <w:sz w:val="26"/>
                                          <w:szCs w:val="26"/>
                                        </w:rPr>
                                        <w:t>UNIVERSITY OF WALES TRINITY SAINT DAVID</w:t>
                                      </w:r>
                                    </w:p>
                                    <w:p w:rsidR="00605DD8" w:rsidRDefault="00605DD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605DD8" w:rsidRDefault="0024321B">
                                          <w:pPr>
                                            <w:rPr>
                                              <w:color w:val="000000" w:themeColor="text1"/>
                                            </w:rPr>
                                          </w:pPr>
                                          <w:r>
                                            <w:rPr>
                                              <w:color w:val="000000" w:themeColor="text1"/>
                                            </w:rPr>
                                            <w:t xml:space="preserve">     </w:t>
                                          </w:r>
                                        </w:p>
                                      </w:sdtContent>
                                    </w:sdt>
                                    <w:p w:rsidR="00605DD8" w:rsidRDefault="00605DD8">
                                      <w:pPr>
                                        <w:pStyle w:val="NoSpacing"/>
                                        <w:rPr>
                                          <w:color w:val="ED7D31" w:themeColor="accent2"/>
                                          <w:sz w:val="26"/>
                                          <w:szCs w:val="26"/>
                                        </w:rPr>
                                      </w:pPr>
                                    </w:p>
                                    <w:p w:rsidR="00605DD8" w:rsidRDefault="00605DD8" w:rsidP="00AA339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AA3391">
                                            <w:rPr>
                                              <w:color w:val="44546A" w:themeColor="text2"/>
                                            </w:rPr>
                                            <w:t xml:space="preserve">     </w:t>
                                          </w:r>
                                        </w:sdtContent>
                                      </w:sdt>
                                    </w:p>
                                  </w:tc>
                                </w:tr>
                              </w:tbl>
                              <w:p w:rsidR="00605DD8" w:rsidRDefault="00605D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605DD8">
                            <w:trPr>
                              <w:jc w:val="center"/>
                            </w:trPr>
                            <w:tc>
                              <w:tcPr>
                                <w:tcW w:w="2568" w:type="pct"/>
                                <w:vAlign w:val="center"/>
                              </w:tcPr>
                              <w:p w:rsidR="00605DD8" w:rsidRDefault="00605DD8">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rsidR="00AA3391" w:rsidRPr="00AA3391" w:rsidRDefault="00605DD8" w:rsidP="00AA3391">
                                <w:pPr>
                                  <w:pStyle w:val="NoSpacing"/>
                                  <w:spacing w:line="312" w:lineRule="auto"/>
                                  <w:jc w:val="right"/>
                                  <w:rPr>
                                    <w:caps/>
                                    <w:color w:val="191919" w:themeColor="text1" w:themeTint="E6"/>
                                    <w:sz w:val="32"/>
                                    <w:szCs w:val="32"/>
                                    <w:lang w:val="en-GB"/>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AA3391">
                                      <w:rPr>
                                        <w:caps/>
                                        <w:color w:val="191919" w:themeColor="text1" w:themeTint="E6"/>
                                        <w:sz w:val="72"/>
                                        <w:szCs w:val="72"/>
                                      </w:rPr>
                                      <w:t xml:space="preserve">     </w:t>
                                    </w:r>
                                  </w:sdtContent>
                                </w:sdt>
                                <w:r w:rsidR="00AA3391" w:rsidRPr="00AA3391">
                                  <w:rPr>
                                    <w:rFonts w:ascii="Arial" w:hAnsi="Arial" w:cs="Arial"/>
                                    <w:sz w:val="36"/>
                                    <w:szCs w:val="36"/>
                                  </w:rPr>
                                  <w:t xml:space="preserve"> </w:t>
                                </w:r>
                                <w:r w:rsidR="00AA3391" w:rsidRPr="00AA3391">
                                  <w:rPr>
                                    <w:caps/>
                                    <w:color w:val="191919" w:themeColor="text1" w:themeTint="E6"/>
                                    <w:sz w:val="32"/>
                                    <w:szCs w:val="32"/>
                                    <w:lang w:val="en-GB"/>
                                  </w:rPr>
                                  <w:t>Developing a Sustainable Business Strategy for GreenThumb Landscaping</w:t>
                                </w:r>
                              </w:p>
                              <w:p w:rsidR="00605DD8" w:rsidRDefault="00605DD8">
                                <w:pPr>
                                  <w:pStyle w:val="NoSpacing"/>
                                  <w:spacing w:line="312" w:lineRule="auto"/>
                                  <w:jc w:val="right"/>
                                  <w:rPr>
                                    <w:caps/>
                                    <w:color w:val="191919" w:themeColor="text1" w:themeTint="E6"/>
                                    <w:sz w:val="72"/>
                                    <w:szCs w:val="72"/>
                                  </w:rPr>
                                </w:pPr>
                              </w:p>
                              <w:p w:rsidR="00605DD8" w:rsidRDefault="00605DD8">
                                <w:pPr>
                                  <w:jc w:val="right"/>
                                  <w:rPr>
                                    <w:sz w:val="24"/>
                                    <w:szCs w:val="24"/>
                                  </w:rPr>
                                </w:pPr>
                              </w:p>
                            </w:tc>
                            <w:tc>
                              <w:tcPr>
                                <w:tcW w:w="2432" w:type="pct"/>
                                <w:vAlign w:val="center"/>
                              </w:tcPr>
                              <w:p w:rsidR="0024321B" w:rsidRPr="0024321B" w:rsidRDefault="0024321B" w:rsidP="0024321B">
                                <w:pPr>
                                  <w:pStyle w:val="NoSpacing"/>
                                  <w:rPr>
                                    <w:caps/>
                                    <w:color w:val="ED7D31" w:themeColor="accent2"/>
                                    <w:sz w:val="26"/>
                                    <w:szCs w:val="26"/>
                                  </w:rPr>
                                </w:pPr>
                                <w:r w:rsidRPr="0024321B">
                                  <w:rPr>
                                    <w:caps/>
                                    <w:color w:val="ED7D31" w:themeColor="accent2"/>
                                    <w:sz w:val="26"/>
                                    <w:szCs w:val="26"/>
                                  </w:rPr>
                                  <w:t xml:space="preserve">MODULE: </w:t>
                                </w:r>
                                <w:r w:rsidRPr="0024321B">
                                  <w:rPr>
                                    <w:caps/>
                                    <w:color w:val="ED7D31" w:themeColor="accent2"/>
                                    <w:sz w:val="26"/>
                                    <w:szCs w:val="26"/>
                                  </w:rPr>
                                  <w:t>Strategic Management for SME</w:t>
                                </w:r>
                                <w:r>
                                  <w:rPr>
                                    <w:caps/>
                                    <w:color w:val="ED7D31" w:themeColor="accent2"/>
                                    <w:sz w:val="26"/>
                                    <w:szCs w:val="26"/>
                                  </w:rPr>
                                  <w:t>s</w:t>
                                </w:r>
                              </w:p>
                              <w:p w:rsidR="0024321B" w:rsidRPr="0024321B" w:rsidRDefault="0024321B" w:rsidP="0024321B">
                                <w:pPr>
                                  <w:pStyle w:val="NoSpacing"/>
                                  <w:rPr>
                                    <w:caps/>
                                    <w:color w:val="ED7D31" w:themeColor="accent2"/>
                                    <w:sz w:val="26"/>
                                    <w:szCs w:val="26"/>
                                  </w:rPr>
                                </w:pPr>
                                <w:r>
                                  <w:rPr>
                                    <w:caps/>
                                    <w:color w:val="ED7D31" w:themeColor="accent2"/>
                                    <w:sz w:val="26"/>
                                    <w:szCs w:val="26"/>
                                  </w:rPr>
                                  <w:t>MODULE CODE: BMSW6104</w:t>
                                </w:r>
                              </w:p>
                              <w:p w:rsidR="0024321B" w:rsidRPr="0024321B" w:rsidRDefault="00FC7050" w:rsidP="0024321B">
                                <w:pPr>
                                  <w:pStyle w:val="NoSpacing"/>
                                  <w:rPr>
                                    <w:caps/>
                                    <w:color w:val="ED7D31" w:themeColor="accent2"/>
                                    <w:sz w:val="26"/>
                                    <w:szCs w:val="26"/>
                                  </w:rPr>
                                </w:pPr>
                                <w:r>
                                  <w:rPr>
                                    <w:caps/>
                                    <w:color w:val="ED7D31" w:themeColor="accent2"/>
                                    <w:sz w:val="26"/>
                                    <w:szCs w:val="26"/>
                                  </w:rPr>
                                  <w:t>LECTURER: md kalam</w:t>
                                </w:r>
                                <w:bookmarkStart w:id="1" w:name="_GoBack"/>
                                <w:bookmarkEnd w:id="1"/>
                              </w:p>
                              <w:p w:rsidR="0024321B" w:rsidRPr="0024321B" w:rsidRDefault="0024321B" w:rsidP="0024321B">
                                <w:pPr>
                                  <w:pStyle w:val="NoSpacing"/>
                                  <w:rPr>
                                    <w:caps/>
                                    <w:color w:val="ED7D31" w:themeColor="accent2"/>
                                    <w:sz w:val="26"/>
                                    <w:szCs w:val="26"/>
                                  </w:rPr>
                                </w:pPr>
                                <w:r w:rsidRPr="0024321B">
                                  <w:rPr>
                                    <w:caps/>
                                    <w:color w:val="ED7D31" w:themeColor="accent2"/>
                                    <w:sz w:val="26"/>
                                    <w:szCs w:val="26"/>
                                  </w:rPr>
                                  <w:t>STUDENT: IOAN-LAURENTIU ENACHE 2011896,  TERM 2</w:t>
                                </w:r>
                              </w:p>
                              <w:p w:rsidR="0024321B" w:rsidRPr="0024321B" w:rsidRDefault="0024321B" w:rsidP="0024321B">
                                <w:pPr>
                                  <w:pStyle w:val="NoSpacing"/>
                                  <w:rPr>
                                    <w:caps/>
                                    <w:color w:val="ED7D31" w:themeColor="accent2"/>
                                    <w:sz w:val="26"/>
                                    <w:szCs w:val="26"/>
                                  </w:rPr>
                                </w:pPr>
                                <w:r w:rsidRPr="0024321B">
                                  <w:rPr>
                                    <w:caps/>
                                    <w:color w:val="ED7D31" w:themeColor="accent2"/>
                                    <w:sz w:val="26"/>
                                    <w:szCs w:val="26"/>
                                  </w:rPr>
                                  <w:t>UNIVERSITY OF WALES TRINITY SAINT DAVID</w:t>
                                </w:r>
                              </w:p>
                              <w:p w:rsidR="00605DD8" w:rsidRDefault="00605DD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605DD8" w:rsidRDefault="0024321B">
                                    <w:pPr>
                                      <w:rPr>
                                        <w:color w:val="000000" w:themeColor="text1"/>
                                      </w:rPr>
                                    </w:pPr>
                                    <w:r>
                                      <w:rPr>
                                        <w:color w:val="000000" w:themeColor="text1"/>
                                      </w:rPr>
                                      <w:t xml:space="preserve">     </w:t>
                                    </w:r>
                                  </w:p>
                                </w:sdtContent>
                              </w:sdt>
                              <w:p w:rsidR="00605DD8" w:rsidRDefault="00605DD8">
                                <w:pPr>
                                  <w:pStyle w:val="NoSpacing"/>
                                  <w:rPr>
                                    <w:color w:val="ED7D31" w:themeColor="accent2"/>
                                    <w:sz w:val="26"/>
                                    <w:szCs w:val="26"/>
                                  </w:rPr>
                                </w:pPr>
                              </w:p>
                              <w:p w:rsidR="00605DD8" w:rsidRDefault="00605DD8" w:rsidP="00AA339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AA3391">
                                      <w:rPr>
                                        <w:color w:val="44546A" w:themeColor="text2"/>
                                      </w:rPr>
                                      <w:t xml:space="preserve">     </w:t>
                                    </w:r>
                                  </w:sdtContent>
                                </w:sdt>
                              </w:p>
                            </w:tc>
                          </w:tr>
                        </w:tbl>
                        <w:p w:rsidR="00605DD8" w:rsidRDefault="00605DD8"/>
                      </w:txbxContent>
                    </v:textbox>
                    <w10:wrap anchorx="page" anchory="page"/>
                  </v:shape>
                </w:pict>
              </mc:Fallback>
            </mc:AlternateContent>
          </w:r>
          <w:r>
            <w:br w:type="page"/>
          </w:r>
        </w:p>
      </w:sdtContent>
    </w:sdt>
    <w:sdt>
      <w:sdtPr>
        <w:rPr>
          <w:rFonts w:ascii="Arial" w:hAnsi="Arial" w:cs="Arial"/>
          <w:sz w:val="22"/>
          <w:szCs w:val="22"/>
        </w:rPr>
        <w:id w:val="667905804"/>
        <w:docPartObj>
          <w:docPartGallery w:val="Table of Contents"/>
          <w:docPartUnique/>
        </w:docPartObj>
      </w:sdtPr>
      <w:sdtEndPr>
        <w:rPr>
          <w:rFonts w:eastAsiaTheme="minorHAnsi"/>
          <w:b/>
          <w:bCs/>
          <w:noProof/>
          <w:color w:val="auto"/>
          <w:lang w:val="en-GB"/>
        </w:rPr>
      </w:sdtEndPr>
      <w:sdtContent>
        <w:p w:rsidR="00AA3391" w:rsidRPr="00204531" w:rsidRDefault="00AA3391">
          <w:pPr>
            <w:pStyle w:val="TOCHeading"/>
            <w:rPr>
              <w:rFonts w:ascii="Arial" w:hAnsi="Arial" w:cs="Arial"/>
              <w:sz w:val="22"/>
              <w:szCs w:val="22"/>
            </w:rPr>
          </w:pPr>
          <w:r w:rsidRPr="00204531">
            <w:rPr>
              <w:rFonts w:ascii="Arial" w:hAnsi="Arial" w:cs="Arial"/>
              <w:sz w:val="22"/>
              <w:szCs w:val="22"/>
            </w:rPr>
            <w:t>Table of content</w:t>
          </w:r>
        </w:p>
        <w:p w:rsidR="00AA3391" w:rsidRPr="00204531" w:rsidRDefault="00AA3391">
          <w:pPr>
            <w:pStyle w:val="TOC1"/>
            <w:tabs>
              <w:tab w:val="right" w:leader="dot" w:pos="9016"/>
            </w:tabs>
            <w:rPr>
              <w:rFonts w:ascii="Arial" w:eastAsiaTheme="minorEastAsia" w:hAnsi="Arial" w:cs="Arial"/>
              <w:noProof/>
              <w:lang w:eastAsia="en-GB"/>
            </w:rPr>
          </w:pPr>
          <w:r w:rsidRPr="00204531">
            <w:rPr>
              <w:rFonts w:ascii="Arial" w:hAnsi="Arial" w:cs="Arial"/>
            </w:rPr>
            <w:fldChar w:fldCharType="begin"/>
          </w:r>
          <w:r w:rsidRPr="00204531">
            <w:rPr>
              <w:rFonts w:ascii="Arial" w:hAnsi="Arial" w:cs="Arial"/>
            </w:rPr>
            <w:instrText xml:space="preserve"> TOC \o "1-3" \h \z \u </w:instrText>
          </w:r>
          <w:r w:rsidRPr="00204531">
            <w:rPr>
              <w:rFonts w:ascii="Arial" w:hAnsi="Arial" w:cs="Arial"/>
            </w:rPr>
            <w:fldChar w:fldCharType="separate"/>
          </w:r>
          <w:hyperlink w:anchor="_Toc133674530" w:history="1">
            <w:r w:rsidRPr="00204531">
              <w:rPr>
                <w:rStyle w:val="Hyperlink"/>
                <w:rFonts w:ascii="Arial" w:hAnsi="Arial" w:cs="Arial"/>
                <w:noProof/>
              </w:rPr>
              <w:t>Introduction</w:t>
            </w:r>
            <w:r w:rsidRPr="00204531">
              <w:rPr>
                <w:rFonts w:ascii="Arial" w:hAnsi="Arial" w:cs="Arial"/>
                <w:noProof/>
                <w:webHidden/>
              </w:rPr>
              <w:tab/>
            </w:r>
            <w:r w:rsidRPr="00204531">
              <w:rPr>
                <w:rFonts w:ascii="Arial" w:hAnsi="Arial" w:cs="Arial"/>
                <w:noProof/>
                <w:webHidden/>
              </w:rPr>
              <w:fldChar w:fldCharType="begin"/>
            </w:r>
            <w:r w:rsidRPr="00204531">
              <w:rPr>
                <w:rFonts w:ascii="Arial" w:hAnsi="Arial" w:cs="Arial"/>
                <w:noProof/>
                <w:webHidden/>
              </w:rPr>
              <w:instrText xml:space="preserve"> PAGEREF _Toc133674530 \h </w:instrText>
            </w:r>
            <w:r w:rsidRPr="00204531">
              <w:rPr>
                <w:rFonts w:ascii="Arial" w:hAnsi="Arial" w:cs="Arial"/>
                <w:noProof/>
                <w:webHidden/>
              </w:rPr>
            </w:r>
            <w:r w:rsidRPr="00204531">
              <w:rPr>
                <w:rFonts w:ascii="Arial" w:hAnsi="Arial" w:cs="Arial"/>
                <w:noProof/>
                <w:webHidden/>
              </w:rPr>
              <w:fldChar w:fldCharType="separate"/>
            </w:r>
            <w:r w:rsidRPr="00204531">
              <w:rPr>
                <w:rFonts w:ascii="Arial" w:hAnsi="Arial" w:cs="Arial"/>
                <w:noProof/>
                <w:webHidden/>
              </w:rPr>
              <w:t>2</w:t>
            </w:r>
            <w:r w:rsidRPr="00204531">
              <w:rPr>
                <w:rFonts w:ascii="Arial" w:hAnsi="Arial" w:cs="Arial"/>
                <w:noProof/>
                <w:webHidden/>
              </w:rPr>
              <w:fldChar w:fldCharType="end"/>
            </w:r>
          </w:hyperlink>
        </w:p>
        <w:p w:rsidR="00AA3391" w:rsidRPr="00204531" w:rsidRDefault="00AA3391">
          <w:pPr>
            <w:pStyle w:val="TOC1"/>
            <w:tabs>
              <w:tab w:val="right" w:leader="dot" w:pos="9016"/>
            </w:tabs>
            <w:rPr>
              <w:rFonts w:ascii="Arial" w:eastAsiaTheme="minorEastAsia" w:hAnsi="Arial" w:cs="Arial"/>
              <w:noProof/>
              <w:lang w:eastAsia="en-GB"/>
            </w:rPr>
          </w:pPr>
          <w:hyperlink w:anchor="_Toc133674531" w:history="1">
            <w:r w:rsidRPr="00204531">
              <w:rPr>
                <w:rStyle w:val="Hyperlink"/>
                <w:rFonts w:ascii="Arial" w:hAnsi="Arial" w:cs="Arial"/>
                <w:noProof/>
              </w:rPr>
              <w:t>Section 1- Strategic Development Process</w:t>
            </w:r>
            <w:r w:rsidRPr="00204531">
              <w:rPr>
                <w:rFonts w:ascii="Arial" w:hAnsi="Arial" w:cs="Arial"/>
                <w:noProof/>
                <w:webHidden/>
              </w:rPr>
              <w:tab/>
            </w:r>
            <w:r w:rsidRPr="00204531">
              <w:rPr>
                <w:rFonts w:ascii="Arial" w:hAnsi="Arial" w:cs="Arial"/>
                <w:noProof/>
                <w:webHidden/>
              </w:rPr>
              <w:fldChar w:fldCharType="begin"/>
            </w:r>
            <w:r w:rsidRPr="00204531">
              <w:rPr>
                <w:rFonts w:ascii="Arial" w:hAnsi="Arial" w:cs="Arial"/>
                <w:noProof/>
                <w:webHidden/>
              </w:rPr>
              <w:instrText xml:space="preserve"> PAGEREF _Toc133674531 \h </w:instrText>
            </w:r>
            <w:r w:rsidRPr="00204531">
              <w:rPr>
                <w:rFonts w:ascii="Arial" w:hAnsi="Arial" w:cs="Arial"/>
                <w:noProof/>
                <w:webHidden/>
              </w:rPr>
            </w:r>
            <w:r w:rsidRPr="00204531">
              <w:rPr>
                <w:rFonts w:ascii="Arial" w:hAnsi="Arial" w:cs="Arial"/>
                <w:noProof/>
                <w:webHidden/>
              </w:rPr>
              <w:fldChar w:fldCharType="separate"/>
            </w:r>
            <w:r w:rsidRPr="00204531">
              <w:rPr>
                <w:rFonts w:ascii="Arial" w:hAnsi="Arial" w:cs="Arial"/>
                <w:noProof/>
                <w:webHidden/>
              </w:rPr>
              <w:t>3</w:t>
            </w:r>
            <w:r w:rsidRPr="00204531">
              <w:rPr>
                <w:rFonts w:ascii="Arial" w:hAnsi="Arial" w:cs="Arial"/>
                <w:noProof/>
                <w:webHidden/>
              </w:rPr>
              <w:fldChar w:fldCharType="end"/>
            </w:r>
          </w:hyperlink>
        </w:p>
        <w:p w:rsidR="00AA3391" w:rsidRPr="00204531" w:rsidRDefault="00AA3391">
          <w:pPr>
            <w:pStyle w:val="TOC1"/>
            <w:tabs>
              <w:tab w:val="right" w:leader="dot" w:pos="9016"/>
            </w:tabs>
            <w:rPr>
              <w:rFonts w:ascii="Arial" w:eastAsiaTheme="minorEastAsia" w:hAnsi="Arial" w:cs="Arial"/>
              <w:noProof/>
              <w:lang w:eastAsia="en-GB"/>
            </w:rPr>
          </w:pPr>
          <w:hyperlink w:anchor="_Toc133674532" w:history="1">
            <w:r w:rsidRPr="00204531">
              <w:rPr>
                <w:rStyle w:val="Hyperlink"/>
                <w:rFonts w:ascii="Arial" w:hAnsi="Arial" w:cs="Arial"/>
                <w:noProof/>
              </w:rPr>
              <w:t>Section 2- Strategic Growth Choices/Options/Action Points</w:t>
            </w:r>
            <w:r w:rsidRPr="00204531">
              <w:rPr>
                <w:rFonts w:ascii="Arial" w:hAnsi="Arial" w:cs="Arial"/>
                <w:noProof/>
                <w:webHidden/>
              </w:rPr>
              <w:tab/>
            </w:r>
            <w:r w:rsidRPr="00204531">
              <w:rPr>
                <w:rFonts w:ascii="Arial" w:hAnsi="Arial" w:cs="Arial"/>
                <w:noProof/>
                <w:webHidden/>
              </w:rPr>
              <w:fldChar w:fldCharType="begin"/>
            </w:r>
            <w:r w:rsidRPr="00204531">
              <w:rPr>
                <w:rFonts w:ascii="Arial" w:hAnsi="Arial" w:cs="Arial"/>
                <w:noProof/>
                <w:webHidden/>
              </w:rPr>
              <w:instrText xml:space="preserve"> PAGEREF _Toc133674532 \h </w:instrText>
            </w:r>
            <w:r w:rsidRPr="00204531">
              <w:rPr>
                <w:rFonts w:ascii="Arial" w:hAnsi="Arial" w:cs="Arial"/>
                <w:noProof/>
                <w:webHidden/>
              </w:rPr>
            </w:r>
            <w:r w:rsidRPr="00204531">
              <w:rPr>
                <w:rFonts w:ascii="Arial" w:hAnsi="Arial" w:cs="Arial"/>
                <w:noProof/>
                <w:webHidden/>
              </w:rPr>
              <w:fldChar w:fldCharType="separate"/>
            </w:r>
            <w:r w:rsidRPr="00204531">
              <w:rPr>
                <w:rFonts w:ascii="Arial" w:hAnsi="Arial" w:cs="Arial"/>
                <w:noProof/>
                <w:webHidden/>
              </w:rPr>
              <w:t>10</w:t>
            </w:r>
            <w:r w:rsidRPr="00204531">
              <w:rPr>
                <w:rFonts w:ascii="Arial" w:hAnsi="Arial" w:cs="Arial"/>
                <w:noProof/>
                <w:webHidden/>
              </w:rPr>
              <w:fldChar w:fldCharType="end"/>
            </w:r>
          </w:hyperlink>
        </w:p>
        <w:p w:rsidR="00AA3391" w:rsidRPr="00204531" w:rsidRDefault="00AA3391">
          <w:pPr>
            <w:pStyle w:val="TOC1"/>
            <w:tabs>
              <w:tab w:val="right" w:leader="dot" w:pos="9016"/>
            </w:tabs>
            <w:rPr>
              <w:rFonts w:ascii="Arial" w:eastAsiaTheme="minorEastAsia" w:hAnsi="Arial" w:cs="Arial"/>
              <w:noProof/>
              <w:lang w:eastAsia="en-GB"/>
            </w:rPr>
          </w:pPr>
          <w:hyperlink w:anchor="_Toc133674533" w:history="1">
            <w:r w:rsidRPr="00204531">
              <w:rPr>
                <w:rStyle w:val="Hyperlink"/>
                <w:rFonts w:ascii="Arial" w:hAnsi="Arial" w:cs="Arial"/>
                <w:noProof/>
              </w:rPr>
              <w:t>Conclusions and Recommendations- Strategic implementation, monitoring and evaluation</w:t>
            </w:r>
            <w:r w:rsidRPr="00204531">
              <w:rPr>
                <w:rFonts w:ascii="Arial" w:hAnsi="Arial" w:cs="Arial"/>
                <w:noProof/>
                <w:webHidden/>
              </w:rPr>
              <w:tab/>
            </w:r>
            <w:r w:rsidRPr="00204531">
              <w:rPr>
                <w:rFonts w:ascii="Arial" w:hAnsi="Arial" w:cs="Arial"/>
                <w:noProof/>
                <w:webHidden/>
              </w:rPr>
              <w:fldChar w:fldCharType="begin"/>
            </w:r>
            <w:r w:rsidRPr="00204531">
              <w:rPr>
                <w:rFonts w:ascii="Arial" w:hAnsi="Arial" w:cs="Arial"/>
                <w:noProof/>
                <w:webHidden/>
              </w:rPr>
              <w:instrText xml:space="preserve"> PAGEREF _Toc133674533 \h </w:instrText>
            </w:r>
            <w:r w:rsidRPr="00204531">
              <w:rPr>
                <w:rFonts w:ascii="Arial" w:hAnsi="Arial" w:cs="Arial"/>
                <w:noProof/>
                <w:webHidden/>
              </w:rPr>
            </w:r>
            <w:r w:rsidRPr="00204531">
              <w:rPr>
                <w:rFonts w:ascii="Arial" w:hAnsi="Arial" w:cs="Arial"/>
                <w:noProof/>
                <w:webHidden/>
              </w:rPr>
              <w:fldChar w:fldCharType="separate"/>
            </w:r>
            <w:r w:rsidRPr="00204531">
              <w:rPr>
                <w:rFonts w:ascii="Arial" w:hAnsi="Arial" w:cs="Arial"/>
                <w:noProof/>
                <w:webHidden/>
              </w:rPr>
              <w:t>15</w:t>
            </w:r>
            <w:r w:rsidRPr="00204531">
              <w:rPr>
                <w:rFonts w:ascii="Arial" w:hAnsi="Arial" w:cs="Arial"/>
                <w:noProof/>
                <w:webHidden/>
              </w:rPr>
              <w:fldChar w:fldCharType="end"/>
            </w:r>
          </w:hyperlink>
        </w:p>
        <w:p w:rsidR="00AA3391" w:rsidRPr="00204531" w:rsidRDefault="00AA3391">
          <w:pPr>
            <w:pStyle w:val="TOC1"/>
            <w:tabs>
              <w:tab w:val="right" w:leader="dot" w:pos="9016"/>
            </w:tabs>
            <w:rPr>
              <w:rFonts w:ascii="Arial" w:eastAsiaTheme="minorEastAsia" w:hAnsi="Arial" w:cs="Arial"/>
              <w:noProof/>
              <w:lang w:eastAsia="en-GB"/>
            </w:rPr>
          </w:pPr>
          <w:hyperlink w:anchor="_Toc133674534" w:history="1">
            <w:r w:rsidRPr="00204531">
              <w:rPr>
                <w:rStyle w:val="Hyperlink"/>
                <w:rFonts w:ascii="Arial" w:hAnsi="Arial" w:cs="Arial"/>
                <w:noProof/>
              </w:rPr>
              <w:t>References</w:t>
            </w:r>
            <w:r w:rsidRPr="00204531">
              <w:rPr>
                <w:rFonts w:ascii="Arial" w:hAnsi="Arial" w:cs="Arial"/>
                <w:noProof/>
                <w:webHidden/>
              </w:rPr>
              <w:tab/>
            </w:r>
            <w:r w:rsidRPr="00204531">
              <w:rPr>
                <w:rFonts w:ascii="Arial" w:hAnsi="Arial" w:cs="Arial"/>
                <w:noProof/>
                <w:webHidden/>
              </w:rPr>
              <w:fldChar w:fldCharType="begin"/>
            </w:r>
            <w:r w:rsidRPr="00204531">
              <w:rPr>
                <w:rFonts w:ascii="Arial" w:hAnsi="Arial" w:cs="Arial"/>
                <w:noProof/>
                <w:webHidden/>
              </w:rPr>
              <w:instrText xml:space="preserve"> PAGEREF _Toc133674534 \h </w:instrText>
            </w:r>
            <w:r w:rsidRPr="00204531">
              <w:rPr>
                <w:rFonts w:ascii="Arial" w:hAnsi="Arial" w:cs="Arial"/>
                <w:noProof/>
                <w:webHidden/>
              </w:rPr>
            </w:r>
            <w:r w:rsidRPr="00204531">
              <w:rPr>
                <w:rFonts w:ascii="Arial" w:hAnsi="Arial" w:cs="Arial"/>
                <w:noProof/>
                <w:webHidden/>
              </w:rPr>
              <w:fldChar w:fldCharType="separate"/>
            </w:r>
            <w:r w:rsidRPr="00204531">
              <w:rPr>
                <w:rFonts w:ascii="Arial" w:hAnsi="Arial" w:cs="Arial"/>
                <w:noProof/>
                <w:webHidden/>
              </w:rPr>
              <w:t>18</w:t>
            </w:r>
            <w:r w:rsidRPr="00204531">
              <w:rPr>
                <w:rFonts w:ascii="Arial" w:hAnsi="Arial" w:cs="Arial"/>
                <w:noProof/>
                <w:webHidden/>
              </w:rPr>
              <w:fldChar w:fldCharType="end"/>
            </w:r>
          </w:hyperlink>
        </w:p>
        <w:p w:rsidR="00AA3391" w:rsidRPr="00204531" w:rsidRDefault="00AA3391">
          <w:pPr>
            <w:rPr>
              <w:rFonts w:ascii="Arial" w:hAnsi="Arial" w:cs="Arial"/>
            </w:rPr>
          </w:pPr>
          <w:r w:rsidRPr="00204531">
            <w:rPr>
              <w:rFonts w:ascii="Arial" w:hAnsi="Arial" w:cs="Arial"/>
              <w:b/>
              <w:bCs/>
              <w:noProof/>
            </w:rPr>
            <w:fldChar w:fldCharType="end"/>
          </w:r>
        </w:p>
      </w:sdtContent>
    </w:sdt>
    <w:p w:rsidR="00350960" w:rsidRPr="00204531" w:rsidRDefault="00350960">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605DD8" w:rsidRPr="00204531" w:rsidRDefault="00605DD8">
      <w:pPr>
        <w:rPr>
          <w:rFonts w:ascii="Arial" w:hAnsi="Arial" w:cs="Arial"/>
        </w:rPr>
      </w:pPr>
    </w:p>
    <w:p w:rsidR="00204531" w:rsidRDefault="00204531" w:rsidP="00204531">
      <w:pPr>
        <w:rPr>
          <w:rFonts w:ascii="Arial" w:hAnsi="Arial" w:cs="Arial"/>
        </w:rPr>
      </w:pPr>
    </w:p>
    <w:p w:rsidR="00605DD8" w:rsidRPr="00204531" w:rsidRDefault="00605DD8" w:rsidP="00204531">
      <w:pPr>
        <w:jc w:val="center"/>
        <w:rPr>
          <w:rFonts w:ascii="Arial" w:hAnsi="Arial" w:cs="Arial"/>
          <w:sz w:val="32"/>
          <w:szCs w:val="32"/>
        </w:rPr>
      </w:pPr>
      <w:r w:rsidRPr="00204531">
        <w:rPr>
          <w:rFonts w:ascii="Arial" w:hAnsi="Arial" w:cs="Arial"/>
          <w:sz w:val="32"/>
          <w:szCs w:val="32"/>
        </w:rPr>
        <w:lastRenderedPageBreak/>
        <w:t>Developing a Sustainable Business Strategy for GreenThumb Landscaping</w:t>
      </w:r>
    </w:p>
    <w:p w:rsidR="00AA3391" w:rsidRPr="00204531" w:rsidRDefault="00AA3391" w:rsidP="00605DD8">
      <w:pPr>
        <w:jc w:val="center"/>
        <w:rPr>
          <w:rFonts w:ascii="Arial" w:hAnsi="Arial" w:cs="Arial"/>
        </w:rPr>
      </w:pPr>
    </w:p>
    <w:p w:rsidR="00605DD8" w:rsidRPr="00204531" w:rsidRDefault="00605DD8" w:rsidP="00605DD8">
      <w:pPr>
        <w:jc w:val="center"/>
        <w:rPr>
          <w:rFonts w:ascii="Arial" w:hAnsi="Arial" w:cs="Arial"/>
        </w:rPr>
      </w:pPr>
    </w:p>
    <w:p w:rsidR="00605DD8" w:rsidRPr="00204531" w:rsidRDefault="00605DD8" w:rsidP="00605DD8">
      <w:pPr>
        <w:rPr>
          <w:rFonts w:ascii="Arial" w:hAnsi="Arial" w:cs="Arial"/>
        </w:rPr>
      </w:pPr>
    </w:p>
    <w:p w:rsidR="00605DD8" w:rsidRPr="00204531" w:rsidRDefault="00DC5B85" w:rsidP="00204531">
      <w:pPr>
        <w:pStyle w:val="Heading1"/>
      </w:pPr>
      <w:bookmarkStart w:id="2" w:name="_Toc133674530"/>
      <w:r w:rsidRPr="00204531">
        <w:t>Introduction</w:t>
      </w:r>
      <w:bookmarkEnd w:id="2"/>
    </w:p>
    <w:p w:rsidR="00DC5B85" w:rsidRPr="00204531" w:rsidRDefault="00DC5B85" w:rsidP="00605DD8">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This report aims to develop a sustainable business strategy for GreenThumb Landscaping, a selected small and medium-sized enterprise (SME). The purpose of this report is to provide a comprehensive analysis of the company's internal and external environment using various theoretical models, tools, and techniques. By conducting a strategic analysis, identifying growth options, and providing recommendations, the report intends to guide GreenThumb Landscaping in formulating an effective and sustainable business strategy. The ultimate goal is to support the company in enhancing its competitiveness, improving operational efficiency, and capitalizing on market opportunities while promoting environmental sustainability.</w:t>
      </w:r>
    </w:p>
    <w:p w:rsidR="009165E3" w:rsidRDefault="009165E3"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GreenThumb Landscaping has been chosen as the focus of this report due to its presence in the landscaping industry, which offers significant potential for sustainable growth. </w:t>
      </w:r>
      <w:r w:rsidR="00580515" w:rsidRPr="00204531">
        <w:rPr>
          <w:rFonts w:ascii="Arial" w:hAnsi="Arial" w:cs="Arial"/>
        </w:rPr>
        <w:t>Analysing</w:t>
      </w:r>
      <w:r w:rsidR="00580515" w:rsidRPr="00204531">
        <w:rPr>
          <w:rFonts w:ascii="Arial" w:hAnsi="Arial" w:cs="Arial"/>
        </w:rPr>
        <w:t xml:space="preserve"> the strategic development of an SME like GreenThumb Landscaping provides valuable insights and recommendations applicable to similar businesses in the industry. The findings and recommendations derived from this analysis aim to contribute to the body of knowledge surrounding sustainable business strategies in the landscaping sector.</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The report follows a systematic structure to ensure a thorough analysis and coherent presentation of findings and recommendations. It begins with an introduction that establishes the purpose of the report and the selection of GreenThumb Landscaping as the SME. The introduction also outlines the theoretical models, tools, and techniques that will be employed to support the analysis, providing a framework for the subsequent sections.</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The main section of the report is the strategic development process, which is divided into three sub-sections: strategic analysis, strategic growth choices/options/action points, and conclusions and recommendations. In the strategic analysis sub-section, various theoretical models such as the VRIN/9M Model, Porter's Value Chain Model, PESTEL Model, and Porter's Five Forces Model will be utilized to </w:t>
      </w:r>
      <w:r w:rsidR="00580515" w:rsidRPr="00204531">
        <w:rPr>
          <w:rFonts w:ascii="Arial" w:hAnsi="Arial" w:cs="Arial"/>
        </w:rPr>
        <w:t>analyse</w:t>
      </w:r>
      <w:r w:rsidR="00580515" w:rsidRPr="00204531">
        <w:rPr>
          <w:rFonts w:ascii="Arial" w:hAnsi="Arial" w:cs="Arial"/>
        </w:rPr>
        <w:t xml:space="preserve"> GreenThumb Landscaping's internal and external environment. This analysis will uncover the company's strengths, weaknesses, opportunities, and threats.</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The strategic growth choices/options/action points sub-section focuses on identifying growth options for GreenThumb Landscaping. Models such as the Ansoff Matrix, Porter's Generic Strategies, and the SFA Framework will be employed to evaluate strategic </w:t>
      </w:r>
      <w:r w:rsidR="00580515" w:rsidRPr="00204531">
        <w:rPr>
          <w:rFonts w:ascii="Arial" w:hAnsi="Arial" w:cs="Arial"/>
        </w:rPr>
        <w:lastRenderedPageBreak/>
        <w:t>directions and propose actionable steps. This sub-section aims to provide a range of growth options aligned with the company's objectives and resources.</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The report concludes with the conclusions and recommendations sub-section, which summarizes the key findings from the strategic analysis and growth option analysis. It presents the recommended strategic direction for GreenThumb Landscaping, supported by the rationale behind the choice. This sub-section also outlines a timeline for strategic implementation and discusses the potential benefits of the proposed strategic direction.</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In summary, this report seeks to develop a sustainable business strategy for GreenThumb Landscaping. By </w:t>
      </w:r>
      <w:r w:rsidR="00580515" w:rsidRPr="00204531">
        <w:rPr>
          <w:rFonts w:ascii="Arial" w:hAnsi="Arial" w:cs="Arial"/>
        </w:rPr>
        <w:t>analysing</w:t>
      </w:r>
      <w:r w:rsidR="00580515" w:rsidRPr="00204531">
        <w:rPr>
          <w:rFonts w:ascii="Arial" w:hAnsi="Arial" w:cs="Arial"/>
        </w:rPr>
        <w:t xml:space="preserve"> the company's internal and external environment and identifying growth options, the report aims to provide actionable insights and recommendations that will enhance GreenThumb Landscaping's competitiveness, operational efficiency, and market opportunities while promoting environmental sustainability. The findings and recommendations presented in this report contribute to the long-term success and growth of GreenThumb Landscaping and provide valuable insights for similar businesses in the landscaping industry</w:t>
      </w:r>
    </w:p>
    <w:p w:rsidR="00580515" w:rsidRPr="00204531" w:rsidRDefault="00580515" w:rsidP="00580515">
      <w:pPr>
        <w:rPr>
          <w:rFonts w:ascii="Arial" w:hAnsi="Arial" w:cs="Arial"/>
        </w:rPr>
      </w:pPr>
    </w:p>
    <w:p w:rsidR="00580515" w:rsidRPr="00204531" w:rsidRDefault="00580515" w:rsidP="00204531">
      <w:pPr>
        <w:pStyle w:val="Heading1"/>
      </w:pPr>
      <w:bookmarkStart w:id="3" w:name="_Toc133674531"/>
      <w:r w:rsidRPr="00204531">
        <w:t>Section 1- Strategic Development Process</w:t>
      </w:r>
      <w:bookmarkEnd w:id="3"/>
    </w:p>
    <w:p w:rsidR="00AA3391" w:rsidRPr="00204531" w:rsidRDefault="00AA3391" w:rsidP="00AA3391">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Strategic management is the process of formulating and implementing the major goals and initiatives taken by an organization's top management on behalf of its stakeholders. It involves </w:t>
      </w:r>
      <w:r w:rsidRPr="00204531">
        <w:rPr>
          <w:rFonts w:ascii="Arial" w:hAnsi="Arial" w:cs="Arial"/>
        </w:rPr>
        <w:t>analysing</w:t>
      </w:r>
      <w:r w:rsidR="00580515" w:rsidRPr="00204531">
        <w:rPr>
          <w:rFonts w:ascii="Arial" w:hAnsi="Arial" w:cs="Arial"/>
        </w:rPr>
        <w:t xml:space="preserve"> the organization's internal and external environment, setting objectives, formulating strategies, and making decisions to allocate resources to achieve those objectives.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Strategic management is crucial for organizations because it helps them navigate the complexities of their competitive landscape, adapt to changes in the business environment, and achieve sustainable competitive advantage. It provides a framework for aligning the organization's activities with its mission and vision, and it enables effective decision-making and resource allocation.</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The strategic analysis of GreenThumb Landscaping involves assessing the company's internal strengths and weaknesses as well as external opportunities and threats. This analysis will provide a comprehensive understanding of the company's strategic position and serve as a foundation for the development of a sustainable business strategy. The SWOT analysis for GreenThumb Landscaping is as follows:</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Strengths:</w:t>
      </w:r>
    </w:p>
    <w:p w:rsidR="00580515" w:rsidRPr="00204531" w:rsidRDefault="00580515" w:rsidP="00580515">
      <w:pPr>
        <w:rPr>
          <w:rFonts w:ascii="Arial" w:hAnsi="Arial" w:cs="Arial"/>
        </w:rPr>
      </w:pPr>
      <w:r w:rsidRPr="00204531">
        <w:rPr>
          <w:rFonts w:ascii="Arial" w:hAnsi="Arial" w:cs="Arial"/>
        </w:rPr>
        <w:t>Strong Reputation: GreenThumb Landscaping has built a solid reputation in the market for its high-quality and professional landscaping services.</w:t>
      </w:r>
    </w:p>
    <w:p w:rsidR="009165E3" w:rsidRDefault="00580515" w:rsidP="00580515">
      <w:pPr>
        <w:rPr>
          <w:rFonts w:ascii="Arial" w:hAnsi="Arial" w:cs="Arial"/>
        </w:rPr>
      </w:pPr>
      <w:r w:rsidRPr="00204531">
        <w:rPr>
          <w:rFonts w:ascii="Arial" w:hAnsi="Arial" w:cs="Arial"/>
        </w:rPr>
        <w:t xml:space="preserve">Expertise in Sustainable Practices: The </w:t>
      </w:r>
      <w:r w:rsidR="0024321B" w:rsidRPr="00204531">
        <w:rPr>
          <w:rFonts w:ascii="Arial" w:hAnsi="Arial" w:cs="Arial"/>
        </w:rPr>
        <w:t>Company</w:t>
      </w:r>
      <w:r w:rsidRPr="00204531">
        <w:rPr>
          <w:rFonts w:ascii="Arial" w:hAnsi="Arial" w:cs="Arial"/>
        </w:rPr>
        <w:t xml:space="preserve"> has expertise in implementing sustainable landscaping practices, positioning it as a leader in eco-friendly services.</w:t>
      </w:r>
    </w:p>
    <w:p w:rsidR="00580515" w:rsidRPr="00204531" w:rsidRDefault="00580515" w:rsidP="00580515">
      <w:pPr>
        <w:rPr>
          <w:rFonts w:ascii="Arial" w:hAnsi="Arial" w:cs="Arial"/>
        </w:rPr>
      </w:pPr>
      <w:r w:rsidRPr="00204531">
        <w:rPr>
          <w:rFonts w:ascii="Arial" w:hAnsi="Arial" w:cs="Arial"/>
        </w:rPr>
        <w:lastRenderedPageBreak/>
        <w:t>Skilled Workforce: GreenThumb Landscaping has a team of skilled and experienced professionals who are proficient in various aspects of landscaping and horticulture.</w:t>
      </w:r>
    </w:p>
    <w:p w:rsidR="00580515" w:rsidRDefault="00580515" w:rsidP="00580515">
      <w:pPr>
        <w:rPr>
          <w:rFonts w:ascii="Arial" w:hAnsi="Arial" w:cs="Arial"/>
        </w:rPr>
      </w:pPr>
      <w:r w:rsidRPr="00204531">
        <w:rPr>
          <w:rFonts w:ascii="Arial" w:hAnsi="Arial" w:cs="Arial"/>
        </w:rPr>
        <w:t xml:space="preserve">Customer Loyalty: The </w:t>
      </w:r>
      <w:r w:rsidR="0024321B" w:rsidRPr="00204531">
        <w:rPr>
          <w:rFonts w:ascii="Arial" w:hAnsi="Arial" w:cs="Arial"/>
        </w:rPr>
        <w:t>Company</w:t>
      </w:r>
      <w:r w:rsidRPr="00204531">
        <w:rPr>
          <w:rFonts w:ascii="Arial" w:hAnsi="Arial" w:cs="Arial"/>
        </w:rPr>
        <w:t xml:space="preserve"> has a loyal customer base due to its commitment to delivering excellent customer service and meeting client expectations.</w:t>
      </w:r>
    </w:p>
    <w:p w:rsidR="009165E3" w:rsidRPr="00204531" w:rsidRDefault="009165E3"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Weaknesses:</w:t>
      </w:r>
    </w:p>
    <w:p w:rsidR="00580515" w:rsidRPr="00204531" w:rsidRDefault="00580515" w:rsidP="00580515">
      <w:pPr>
        <w:rPr>
          <w:rFonts w:ascii="Arial" w:hAnsi="Arial" w:cs="Arial"/>
        </w:rPr>
      </w:pPr>
      <w:r w:rsidRPr="00204531">
        <w:rPr>
          <w:rFonts w:ascii="Arial" w:hAnsi="Arial" w:cs="Arial"/>
        </w:rPr>
        <w:t>Limited Geographic Presence: GreenThumb Landscaping's operations are currently limited to a specific geographic area, limiting its market reach and growth potential.</w:t>
      </w:r>
    </w:p>
    <w:p w:rsidR="00580515" w:rsidRPr="00204531" w:rsidRDefault="00580515" w:rsidP="00580515">
      <w:pPr>
        <w:rPr>
          <w:rFonts w:ascii="Arial" w:hAnsi="Arial" w:cs="Arial"/>
        </w:rPr>
      </w:pPr>
      <w:r w:rsidRPr="00204531">
        <w:rPr>
          <w:rFonts w:ascii="Arial" w:hAnsi="Arial" w:cs="Arial"/>
        </w:rPr>
        <w:t xml:space="preserve">Limited Technological Integration: The </w:t>
      </w:r>
      <w:r w:rsidR="0024321B" w:rsidRPr="00204531">
        <w:rPr>
          <w:rFonts w:ascii="Arial" w:hAnsi="Arial" w:cs="Arial"/>
        </w:rPr>
        <w:t>Company</w:t>
      </w:r>
      <w:r w:rsidRPr="00204531">
        <w:rPr>
          <w:rFonts w:ascii="Arial" w:hAnsi="Arial" w:cs="Arial"/>
        </w:rPr>
        <w:t xml:space="preserve"> may have limited technological integration in its operations, which could hinder efficiency and competitiveness.</w:t>
      </w:r>
    </w:p>
    <w:p w:rsidR="00580515" w:rsidRPr="00204531" w:rsidRDefault="00580515" w:rsidP="00580515">
      <w:pPr>
        <w:rPr>
          <w:rFonts w:ascii="Arial" w:hAnsi="Arial" w:cs="Arial"/>
        </w:rPr>
      </w:pPr>
      <w:r w:rsidRPr="00204531">
        <w:rPr>
          <w:rFonts w:ascii="Arial" w:hAnsi="Arial" w:cs="Arial"/>
        </w:rPr>
        <w:t>Reliance on Seasonal Demand: The business is subject to fluctuations in demand based on seasonal variations, which may impact revenue stability.</w:t>
      </w:r>
    </w:p>
    <w:p w:rsidR="009165E3" w:rsidRDefault="009165E3"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Opportunities:</w:t>
      </w:r>
    </w:p>
    <w:p w:rsidR="00580515" w:rsidRPr="00204531" w:rsidRDefault="00580515" w:rsidP="00580515">
      <w:pPr>
        <w:rPr>
          <w:rFonts w:ascii="Arial" w:hAnsi="Arial" w:cs="Arial"/>
        </w:rPr>
      </w:pPr>
      <w:r w:rsidRPr="00204531">
        <w:rPr>
          <w:rFonts w:ascii="Arial" w:hAnsi="Arial" w:cs="Arial"/>
        </w:rPr>
        <w:t>Growing Demand for Sustainable Services: There is an increasing demand for eco-friendly and sustainable landscaping services, presenting an opportunity for GreenThumb Landscaping to expand its customer base.</w:t>
      </w:r>
    </w:p>
    <w:p w:rsidR="00580515" w:rsidRPr="00204531" w:rsidRDefault="00580515" w:rsidP="00580515">
      <w:pPr>
        <w:rPr>
          <w:rFonts w:ascii="Arial" w:hAnsi="Arial" w:cs="Arial"/>
        </w:rPr>
      </w:pPr>
      <w:r w:rsidRPr="00204531">
        <w:rPr>
          <w:rFonts w:ascii="Arial" w:hAnsi="Arial" w:cs="Arial"/>
        </w:rPr>
        <w:t xml:space="preserve">Market Expansion: The </w:t>
      </w:r>
      <w:r w:rsidR="0024321B" w:rsidRPr="00204531">
        <w:rPr>
          <w:rFonts w:ascii="Arial" w:hAnsi="Arial" w:cs="Arial"/>
        </w:rPr>
        <w:t>Company</w:t>
      </w:r>
      <w:r w:rsidRPr="00204531">
        <w:rPr>
          <w:rFonts w:ascii="Arial" w:hAnsi="Arial" w:cs="Arial"/>
        </w:rPr>
        <w:t xml:space="preserve"> has the potential to enter new geographical markets and cater to a broader customer segment.</w:t>
      </w:r>
    </w:p>
    <w:p w:rsidR="00580515" w:rsidRPr="00204531" w:rsidRDefault="00580515" w:rsidP="00580515">
      <w:pPr>
        <w:rPr>
          <w:rFonts w:ascii="Arial" w:hAnsi="Arial" w:cs="Arial"/>
        </w:rPr>
      </w:pPr>
      <w:r w:rsidRPr="00204531">
        <w:rPr>
          <w:rFonts w:ascii="Arial" w:hAnsi="Arial" w:cs="Arial"/>
        </w:rPr>
        <w:t>Technological Advancements: Embracing technological advancements such as automation, smart irrigation systems, and digital marketing can enhance operational efficiency and customer engagement.</w:t>
      </w:r>
    </w:p>
    <w:p w:rsidR="009165E3" w:rsidRDefault="009165E3"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Threats:</w:t>
      </w:r>
    </w:p>
    <w:p w:rsidR="00580515" w:rsidRPr="00204531" w:rsidRDefault="00580515" w:rsidP="00580515">
      <w:pPr>
        <w:rPr>
          <w:rFonts w:ascii="Arial" w:hAnsi="Arial" w:cs="Arial"/>
        </w:rPr>
      </w:pPr>
      <w:r w:rsidRPr="00204531">
        <w:rPr>
          <w:rFonts w:ascii="Arial" w:hAnsi="Arial" w:cs="Arial"/>
        </w:rPr>
        <w:t>Intense Competition: The landscaping industry is highly competitive, with numerous competitors vying for market share and offering similar services.</w:t>
      </w:r>
    </w:p>
    <w:p w:rsidR="00580515" w:rsidRPr="00204531" w:rsidRDefault="00580515" w:rsidP="00580515">
      <w:pPr>
        <w:rPr>
          <w:rFonts w:ascii="Arial" w:hAnsi="Arial" w:cs="Arial"/>
        </w:rPr>
      </w:pPr>
      <w:r w:rsidRPr="00204531">
        <w:rPr>
          <w:rFonts w:ascii="Arial" w:hAnsi="Arial" w:cs="Arial"/>
        </w:rPr>
        <w:t>Economic Factors: Economic fluctuations and downturns can affect consumer spending on landscaping services, posing a threat to the company's revenue stability.</w:t>
      </w:r>
    </w:p>
    <w:p w:rsidR="00580515" w:rsidRPr="00204531" w:rsidRDefault="00580515" w:rsidP="00580515">
      <w:pPr>
        <w:rPr>
          <w:rFonts w:ascii="Arial" w:hAnsi="Arial" w:cs="Arial"/>
        </w:rPr>
      </w:pPr>
      <w:r w:rsidRPr="00204531">
        <w:rPr>
          <w:rFonts w:ascii="Arial" w:hAnsi="Arial" w:cs="Arial"/>
        </w:rPr>
        <w:t>Regulatory and Environmental Factors: Changes in environmental regulations and requirements may impact the company's ability to adhere to sustainable practices and increase compliance costs.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By conducting this SWOT analysis, GreenThumb Landscaping can identify its core strengths to leverage, address areas of weakness, capitalize on opportunities, and mitigate potential threats. This analysis will inform the development of strategic growth options and guide the formulation of a sustainable business strategy that aligns with the company's goals and market conditions.</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To apply the internal analysis using the VRIN/9M Model and Porter's Value Chain Model on GreenThumb Landscaping, </w:t>
      </w:r>
      <w:r w:rsidR="00037B6C" w:rsidRPr="00204531">
        <w:rPr>
          <w:rFonts w:ascii="Arial" w:hAnsi="Arial" w:cs="Arial"/>
        </w:rPr>
        <w:t>the</w:t>
      </w:r>
      <w:r w:rsidR="00580515" w:rsidRPr="00204531">
        <w:rPr>
          <w:rFonts w:ascii="Arial" w:hAnsi="Arial" w:cs="Arial"/>
        </w:rPr>
        <w:t xml:space="preserve"> internal strengths and weaknesses </w:t>
      </w:r>
      <w:r w:rsidR="00037B6C" w:rsidRPr="00204531">
        <w:rPr>
          <w:rFonts w:ascii="Arial" w:hAnsi="Arial" w:cs="Arial"/>
        </w:rPr>
        <w:t xml:space="preserve">of the company will be assessed </w:t>
      </w:r>
      <w:r w:rsidR="00580515" w:rsidRPr="00204531">
        <w:rPr>
          <w:rFonts w:ascii="Arial" w:hAnsi="Arial" w:cs="Arial"/>
        </w:rPr>
        <w:t>in terms of capabilities and resources.</w:t>
      </w:r>
    </w:p>
    <w:p w:rsidR="00580515" w:rsidRPr="00204531" w:rsidRDefault="00580515" w:rsidP="00580515">
      <w:pPr>
        <w:rPr>
          <w:rFonts w:ascii="Arial" w:hAnsi="Arial" w:cs="Arial"/>
        </w:rPr>
      </w:pPr>
    </w:p>
    <w:p w:rsidR="00580515" w:rsidRPr="00204531" w:rsidRDefault="00037B6C" w:rsidP="00580515">
      <w:pPr>
        <w:rPr>
          <w:rFonts w:ascii="Arial" w:hAnsi="Arial" w:cs="Arial"/>
          <w:b/>
        </w:rPr>
      </w:pPr>
      <w:r w:rsidRPr="00204531">
        <w:rPr>
          <w:rFonts w:ascii="Arial" w:hAnsi="Arial" w:cs="Arial"/>
          <w:b/>
        </w:rPr>
        <w:t>VRIN/9M Model</w:t>
      </w:r>
    </w:p>
    <w:p w:rsidR="00580515" w:rsidRPr="00204531" w:rsidRDefault="00580515" w:rsidP="00580515">
      <w:pPr>
        <w:rPr>
          <w:rFonts w:ascii="Arial" w:hAnsi="Arial" w:cs="Arial"/>
        </w:rPr>
      </w:pP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Management: GreenThumb Landscaping has a highly skilled and experienced management team that effectively oversees operations, strategic planning, and decision-making. Their expertise in landscaping and business management contributes to the company's success.</w:t>
      </w:r>
    </w:p>
    <w:p w:rsidR="00580515" w:rsidRPr="00204531" w:rsidRDefault="009165E3" w:rsidP="00580515">
      <w:pPr>
        <w:rPr>
          <w:rFonts w:ascii="Arial" w:hAnsi="Arial" w:cs="Arial"/>
        </w:rPr>
      </w:pPr>
      <w:r>
        <w:rPr>
          <w:rFonts w:ascii="Arial" w:hAnsi="Arial" w:cs="Arial"/>
        </w:rPr>
        <w:t xml:space="preserve">   </w:t>
      </w:r>
      <w:r w:rsidR="0024321B">
        <w:rPr>
          <w:rFonts w:ascii="Arial" w:hAnsi="Arial" w:cs="Arial"/>
        </w:rPr>
        <w:t>Marketing: The C</w:t>
      </w:r>
      <w:r w:rsidR="00580515" w:rsidRPr="00204531">
        <w:rPr>
          <w:rFonts w:ascii="Arial" w:hAnsi="Arial" w:cs="Arial"/>
        </w:rPr>
        <w:t>ompany has developed a strong brand reputation in the local market, supported by effective marketing strategies, customer relationship management, and positive customer feedback. This contributes to customer loyalty and a competitive advantage.</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Manpower: GreenThumb Landscaping has a team of skilled and knowledgeable landscape professionals who are proficient in various aspects of landscaping, horticulture, and customer service. Their expertise ensures the delivery of high-quality services to clients.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Money: The </w:t>
      </w:r>
      <w:r w:rsidR="0024321B" w:rsidRPr="00204531">
        <w:rPr>
          <w:rFonts w:ascii="Arial" w:hAnsi="Arial" w:cs="Arial"/>
        </w:rPr>
        <w:t>Company</w:t>
      </w:r>
      <w:r w:rsidR="00580515" w:rsidRPr="00204531">
        <w:rPr>
          <w:rFonts w:ascii="Arial" w:hAnsi="Arial" w:cs="Arial"/>
        </w:rPr>
        <w:t xml:space="preserve"> maintains stable financial resources and has established relationships with financial institutions to secure funding for business growth and investment in equipment, technology, and talent.</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Machinery: GreenThumb Landscaping utilizes modern and well-maintained equipment, tools, and technology to efficiently execute landscaping projects. This enhances productivity, quality, and customer satisfaction.</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Materials: The </w:t>
      </w:r>
      <w:r w:rsidR="0024321B" w:rsidRPr="00204531">
        <w:rPr>
          <w:rFonts w:ascii="Arial" w:hAnsi="Arial" w:cs="Arial"/>
        </w:rPr>
        <w:t>Company</w:t>
      </w:r>
      <w:r w:rsidR="00580515" w:rsidRPr="00204531">
        <w:rPr>
          <w:rFonts w:ascii="Arial" w:hAnsi="Arial" w:cs="Arial"/>
        </w:rPr>
        <w:t xml:space="preserve"> has established strong relationships with suppliers to ensure a reliable supply of high-quality landscaping materials, plants, and other resources. This contributes to the consistent delivery of satisfactory outcomes.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Methods: GreenThumb Landscaping follows standardized and efficient operational processes, including project management, quality control, and scheduling. This ensures timely completion of projects and adherence to client requirements.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Markets: The </w:t>
      </w:r>
      <w:r w:rsidR="0024321B" w:rsidRPr="00204531">
        <w:rPr>
          <w:rFonts w:ascii="Arial" w:hAnsi="Arial" w:cs="Arial"/>
        </w:rPr>
        <w:t>Company</w:t>
      </w:r>
      <w:r w:rsidR="00580515" w:rsidRPr="00204531">
        <w:rPr>
          <w:rFonts w:ascii="Arial" w:hAnsi="Arial" w:cs="Arial"/>
        </w:rPr>
        <w:t xml:space="preserve"> has established a strong presence in its local market, with a loyal customer base and a good market share. It has built a reputation for providing reliable and professional landscaping services.</w:t>
      </w:r>
    </w:p>
    <w:p w:rsidR="00580515" w:rsidRDefault="009165E3" w:rsidP="00580515">
      <w:pPr>
        <w:rPr>
          <w:rFonts w:ascii="Arial" w:hAnsi="Arial" w:cs="Arial"/>
        </w:rPr>
      </w:pPr>
      <w:r>
        <w:rPr>
          <w:rFonts w:ascii="Arial" w:hAnsi="Arial" w:cs="Arial"/>
        </w:rPr>
        <w:t xml:space="preserve">   </w:t>
      </w:r>
      <w:r w:rsidR="00580515" w:rsidRPr="00204531">
        <w:rPr>
          <w:rFonts w:ascii="Arial" w:hAnsi="Arial" w:cs="Arial"/>
        </w:rPr>
        <w:t>Moral Aspects: GreenThumb Landscaping places a strong emphasis on ethical practices, sustainability, and environmental responsibility. It integrates eco-friendly approaches and educates clients about sustainable landscaping practices.</w:t>
      </w:r>
    </w:p>
    <w:p w:rsidR="009165E3" w:rsidRPr="00204531" w:rsidRDefault="009165E3" w:rsidP="00580515">
      <w:pPr>
        <w:rPr>
          <w:rFonts w:ascii="Arial" w:hAnsi="Arial" w:cs="Arial"/>
        </w:rPr>
      </w:pPr>
    </w:p>
    <w:p w:rsidR="00580515" w:rsidRPr="00204531" w:rsidRDefault="00037B6C" w:rsidP="00580515">
      <w:pPr>
        <w:rPr>
          <w:rFonts w:ascii="Arial" w:hAnsi="Arial" w:cs="Arial"/>
          <w:b/>
        </w:rPr>
      </w:pPr>
      <w:r w:rsidRPr="00204531">
        <w:rPr>
          <w:rFonts w:ascii="Arial" w:hAnsi="Arial" w:cs="Arial"/>
          <w:b/>
        </w:rPr>
        <w:t>Porter's Value Chain Model</w:t>
      </w:r>
    </w:p>
    <w:p w:rsidR="00037B6C" w:rsidRPr="00204531" w:rsidRDefault="00037B6C" w:rsidP="00580515">
      <w:pPr>
        <w:rPr>
          <w:rFonts w:ascii="Arial" w:hAnsi="Arial" w:cs="Arial"/>
          <w:b/>
        </w:rPr>
      </w:pPr>
    </w:p>
    <w:p w:rsidR="00580515" w:rsidRPr="00204531" w:rsidRDefault="00580515" w:rsidP="00580515">
      <w:pPr>
        <w:rPr>
          <w:rFonts w:ascii="Arial" w:hAnsi="Arial" w:cs="Arial"/>
        </w:rPr>
      </w:pPr>
      <w:r w:rsidRPr="00204531">
        <w:rPr>
          <w:rFonts w:ascii="Arial" w:hAnsi="Arial" w:cs="Arial"/>
        </w:rPr>
        <w:t>Primary Activities: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Inbound Logistics: GreenThumb Landscaping has established relationships with reliable suppliers to ensure the timely availability of landscaping materials and equipment.</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Operations: The </w:t>
      </w:r>
      <w:r w:rsidR="0024321B" w:rsidRPr="00204531">
        <w:rPr>
          <w:rFonts w:ascii="Arial" w:hAnsi="Arial" w:cs="Arial"/>
        </w:rPr>
        <w:t>Company</w:t>
      </w:r>
      <w:r w:rsidR="00580515" w:rsidRPr="00204531">
        <w:rPr>
          <w:rFonts w:ascii="Arial" w:hAnsi="Arial" w:cs="Arial"/>
        </w:rPr>
        <w:t xml:space="preserve"> efficiently executes landscaping projects, including site preparation, planting, irrigation, and maintenance, ensuring high-quality workmanship and client satisfaction.</w:t>
      </w:r>
    </w:p>
    <w:p w:rsidR="00580515" w:rsidRPr="00204531" w:rsidRDefault="009165E3" w:rsidP="00580515">
      <w:pPr>
        <w:rPr>
          <w:rFonts w:ascii="Arial" w:hAnsi="Arial" w:cs="Arial"/>
        </w:rPr>
      </w:pPr>
      <w:r>
        <w:rPr>
          <w:rFonts w:ascii="Arial" w:hAnsi="Arial" w:cs="Arial"/>
        </w:rPr>
        <w:lastRenderedPageBreak/>
        <w:t xml:space="preserve">   </w:t>
      </w:r>
      <w:r w:rsidR="00580515" w:rsidRPr="00204531">
        <w:rPr>
          <w:rFonts w:ascii="Arial" w:hAnsi="Arial" w:cs="Arial"/>
        </w:rPr>
        <w:t>Outbound Logistics: GreenThumb Landscaping delivers finished projects to clients promptly and provides excellent customer service, addressing any post-service concerns or issues.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Marketing and Sales: The </w:t>
      </w:r>
      <w:r w:rsidR="0024321B" w:rsidRPr="00204531">
        <w:rPr>
          <w:rFonts w:ascii="Arial" w:hAnsi="Arial" w:cs="Arial"/>
        </w:rPr>
        <w:t>Company</w:t>
      </w:r>
      <w:r w:rsidR="00580515" w:rsidRPr="00204531">
        <w:rPr>
          <w:rFonts w:ascii="Arial" w:hAnsi="Arial" w:cs="Arial"/>
        </w:rPr>
        <w:t xml:space="preserve"> implements effective marketing strategies, including online presence, referrals, and networking, to attract and acquire new clients.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Service: GreenThumb Landscaping offers post-service support, including regular maintenance programs and responsive customer assistance, to maintain long-term customer satisfaction.</w:t>
      </w:r>
    </w:p>
    <w:p w:rsidR="009165E3" w:rsidRDefault="009165E3" w:rsidP="00580515">
      <w:pPr>
        <w:rPr>
          <w:rFonts w:ascii="Arial" w:hAnsi="Arial" w:cs="Arial"/>
        </w:rPr>
      </w:pPr>
    </w:p>
    <w:p w:rsidR="00580515" w:rsidRPr="00204531" w:rsidRDefault="00580515" w:rsidP="00580515">
      <w:pPr>
        <w:rPr>
          <w:rFonts w:ascii="Arial" w:hAnsi="Arial" w:cs="Arial"/>
        </w:rPr>
      </w:pPr>
      <w:r w:rsidRPr="00204531">
        <w:rPr>
          <w:rFonts w:ascii="Arial" w:hAnsi="Arial" w:cs="Arial"/>
        </w:rPr>
        <w:t>Support Activities: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Infrastructure: The company has well-equipped facilities, including office space, storage areas, and a range of landscaping tools and equipment, ensuring operational efficiency.</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Human Resources: GreenThumb Landscaping invests in hiring and training skilled </w:t>
      </w:r>
      <w:r>
        <w:rPr>
          <w:rFonts w:ascii="Arial" w:hAnsi="Arial" w:cs="Arial"/>
        </w:rPr>
        <w:t xml:space="preserve">   </w:t>
      </w:r>
      <w:r w:rsidR="00580515" w:rsidRPr="00204531">
        <w:rPr>
          <w:rFonts w:ascii="Arial" w:hAnsi="Arial" w:cs="Arial"/>
        </w:rPr>
        <w:t>professionals, ensuring a competent workforce capable of delivering high-quality landscaping services.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 xml:space="preserve">Technology Development: The </w:t>
      </w:r>
      <w:r w:rsidR="0024321B" w:rsidRPr="00204531">
        <w:rPr>
          <w:rFonts w:ascii="Arial" w:hAnsi="Arial" w:cs="Arial"/>
        </w:rPr>
        <w:t>Company</w:t>
      </w:r>
      <w:r w:rsidR="00580515" w:rsidRPr="00204531">
        <w:rPr>
          <w:rFonts w:ascii="Arial" w:hAnsi="Arial" w:cs="Arial"/>
        </w:rPr>
        <w:t xml:space="preserve"> embraces technology by utilizing software for project management, communication, and record-keeping, enhancing operational efficiency and customer service.</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Procurement: GreenThumb Landscaping maintains strong relationships with suppliers, ensuring competitive pricing and a reliable supply of landscaping materials and resources.</w:t>
      </w:r>
    </w:p>
    <w:p w:rsidR="00580515" w:rsidRPr="00204531" w:rsidRDefault="009165E3" w:rsidP="00580515">
      <w:pPr>
        <w:rPr>
          <w:rFonts w:ascii="Arial" w:hAnsi="Arial" w:cs="Arial"/>
        </w:rPr>
      </w:pPr>
      <w:r>
        <w:rPr>
          <w:rFonts w:ascii="Arial" w:hAnsi="Arial" w:cs="Arial"/>
        </w:rPr>
        <w:t xml:space="preserve">   </w:t>
      </w:r>
      <w:r w:rsidR="00580515" w:rsidRPr="00204531">
        <w:rPr>
          <w:rFonts w:ascii="Arial" w:hAnsi="Arial" w:cs="Arial"/>
        </w:rPr>
        <w:t>By applying the VRIN/9M Model and Porter's Value Chain Model to GreenThumb Landscaping, we can observe the company's strengths in management, marketing, skilled manpower, financial stability, modern machinery, reliable material sourcing, efficient methods, strong market presence, and ethical practices</w:t>
      </w:r>
    </w:p>
    <w:p w:rsidR="00037B6C" w:rsidRPr="00204531" w:rsidRDefault="00037B6C" w:rsidP="00580515">
      <w:pPr>
        <w:rPr>
          <w:rFonts w:ascii="Arial" w:hAnsi="Arial" w:cs="Arial"/>
        </w:rPr>
      </w:pP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 xml:space="preserve">The </w:t>
      </w:r>
      <w:r w:rsidR="00037B6C" w:rsidRPr="00204531">
        <w:rPr>
          <w:rFonts w:ascii="Arial" w:hAnsi="Arial" w:cs="Arial"/>
          <w:b/>
        </w:rPr>
        <w:t>PESTEL Model</w:t>
      </w:r>
      <w:r w:rsidR="00037B6C" w:rsidRPr="00204531">
        <w:rPr>
          <w:rFonts w:ascii="Arial" w:hAnsi="Arial" w:cs="Arial"/>
        </w:rPr>
        <w:t xml:space="preserve"> will be applied to conduct an external analysis of GreenThumb Landscaping, examining the political, economic, sociocultural, technological, environmental, and legal factors that may influence the company's business operations.</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Political Factors: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Government Regulations: Changes in government regulations related to landscaping practices, environmental protection, or licensing requirements may impact GreenThumb Landscaping's operations and compliance costs.</w:t>
      </w:r>
    </w:p>
    <w:p w:rsidR="00037B6C" w:rsidRDefault="009165E3" w:rsidP="00037B6C">
      <w:pPr>
        <w:rPr>
          <w:rFonts w:ascii="Arial" w:hAnsi="Arial" w:cs="Arial"/>
        </w:rPr>
      </w:pPr>
      <w:r>
        <w:rPr>
          <w:rFonts w:ascii="Arial" w:hAnsi="Arial" w:cs="Arial"/>
        </w:rPr>
        <w:t xml:space="preserve">   </w:t>
      </w:r>
      <w:r w:rsidR="00037B6C" w:rsidRPr="00204531">
        <w:rPr>
          <w:rFonts w:ascii="Arial" w:hAnsi="Arial" w:cs="Arial"/>
        </w:rPr>
        <w:t>Political Stability: The political stability of the region where the company operates can provide a conducive business environment for growth and stability.</w:t>
      </w:r>
    </w:p>
    <w:p w:rsidR="009165E3" w:rsidRPr="00204531"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Economic Factors: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Economic Growth: The overall economic growth of the region can influence the demand for landscaping services, as higher disposable incomes may lead to increased spending on landscaping and outdoor projects.</w:t>
      </w:r>
    </w:p>
    <w:p w:rsidR="00037B6C" w:rsidRPr="00204531" w:rsidRDefault="009165E3" w:rsidP="00037B6C">
      <w:pPr>
        <w:rPr>
          <w:rFonts w:ascii="Arial" w:hAnsi="Arial" w:cs="Arial"/>
        </w:rPr>
      </w:pPr>
      <w:r>
        <w:rPr>
          <w:rFonts w:ascii="Arial" w:hAnsi="Arial" w:cs="Arial"/>
        </w:rPr>
        <w:lastRenderedPageBreak/>
        <w:t xml:space="preserve">   </w:t>
      </w:r>
      <w:r w:rsidR="00037B6C" w:rsidRPr="00204531">
        <w:rPr>
          <w:rFonts w:ascii="Arial" w:hAnsi="Arial" w:cs="Arial"/>
        </w:rPr>
        <w:t>Construction Industry: The health of the construction industry, which often drives demand for landscaping services, can impact GreenThumb Landscaping's growth prospects.</w:t>
      </w:r>
    </w:p>
    <w:p w:rsidR="009165E3"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Sociocultural Factors: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Environmental Awareness: Increasing societal awareness and concern for environmental sustainability may create opportunities for GreenThumb Landscaping to offer eco-friendly and sustainable landscaping solutions.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Shifting Preferences: Changes in consumer preferences and trends regarding outdoor aesthetics, outdoor living spaces, and landscaping designs can influence the demand for the company's services.</w:t>
      </w:r>
    </w:p>
    <w:p w:rsidR="009165E3"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Technological Factors: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Advancements in Equipment and Tools: The introduction of new technology, equipment, and tools in the landscaping industry can enhance operational efficiency, improve service quality, and provide a competitive edge for GreenThumb Landscaping.</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Digital Marketing: Utilizing digital marketing strategies and online platforms can help the company reach a wider audience, promote its services, and engage with customers effectively.</w:t>
      </w:r>
    </w:p>
    <w:p w:rsidR="009165E3"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Environmental Factors: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Sustainable Practices: Increasing emphasis on sustainable and eco-friendly practices can create opportunities for GreenThumb Landscaping to differentiate itself and attract environmentally conscious customers.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Climate Change: Climate change and its impact on weather patterns can influence the demand for landscaping services, such as irrigation systems, drought-resistant plants, and landscape redesigns.</w:t>
      </w:r>
    </w:p>
    <w:p w:rsidR="009165E3"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Legal Factors: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Health and Safety Regulations: Compliance with health and safety regulations is crucial in the landscaping industry to ensure the well-being of employees and clients.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 xml:space="preserve">Licensing and Permits: The </w:t>
      </w:r>
      <w:r w:rsidR="0024321B" w:rsidRPr="00204531">
        <w:rPr>
          <w:rFonts w:ascii="Arial" w:hAnsi="Arial" w:cs="Arial"/>
        </w:rPr>
        <w:t>Company</w:t>
      </w:r>
      <w:r w:rsidR="00037B6C" w:rsidRPr="00204531">
        <w:rPr>
          <w:rFonts w:ascii="Arial" w:hAnsi="Arial" w:cs="Arial"/>
        </w:rPr>
        <w:t xml:space="preserve"> needs to adhere to licensing requirements and obtain necessary permits for operating in specific regions.</w:t>
      </w:r>
    </w:p>
    <w:p w:rsidR="00037B6C" w:rsidRPr="00204531" w:rsidRDefault="009165E3" w:rsidP="00037B6C">
      <w:pPr>
        <w:rPr>
          <w:rFonts w:ascii="Arial" w:hAnsi="Arial" w:cs="Arial"/>
        </w:rPr>
      </w:pPr>
      <w:r>
        <w:rPr>
          <w:rFonts w:ascii="Arial" w:hAnsi="Arial" w:cs="Arial"/>
        </w:rPr>
        <w:t xml:space="preserve">   </w:t>
      </w:r>
      <w:r w:rsidR="00037B6C" w:rsidRPr="00204531">
        <w:rPr>
          <w:rFonts w:ascii="Arial" w:hAnsi="Arial" w:cs="Arial"/>
        </w:rPr>
        <w:t>By conducting an external analysis using the PESTEL Model, GreenThumb Landscaping can gain insights into the external factors that may affect its business. This analysis will enable the company to identify opportunities to capitalize on, potential threats to mitigate, and adapt its strategies to the changing external environment. It will also help GreenThumb Landscaping to align its business practices with the prevailing political, economic, sociocultural, technological, environmental, and legal factors, ensuring long-term success and sustainability.</w:t>
      </w:r>
    </w:p>
    <w:p w:rsidR="00037B6C" w:rsidRPr="00204531" w:rsidRDefault="00037B6C" w:rsidP="00580515">
      <w:pPr>
        <w:rPr>
          <w:rFonts w:ascii="Arial" w:hAnsi="Arial" w:cs="Arial"/>
        </w:rPr>
      </w:pPr>
    </w:p>
    <w:p w:rsidR="00037B6C" w:rsidRPr="00204531" w:rsidRDefault="0024321B" w:rsidP="00037B6C">
      <w:pPr>
        <w:rPr>
          <w:rFonts w:ascii="Arial" w:hAnsi="Arial" w:cs="Arial"/>
        </w:rPr>
      </w:pPr>
      <w:r>
        <w:rPr>
          <w:rFonts w:ascii="Arial" w:hAnsi="Arial" w:cs="Arial"/>
          <w:b/>
        </w:rPr>
        <w:lastRenderedPageBreak/>
        <w:t xml:space="preserve">   </w:t>
      </w:r>
      <w:r w:rsidR="00037B6C" w:rsidRPr="00204531">
        <w:rPr>
          <w:rFonts w:ascii="Arial" w:hAnsi="Arial" w:cs="Arial"/>
          <w:b/>
        </w:rPr>
        <w:t>Porter's Five Forces</w:t>
      </w:r>
      <w:r w:rsidR="00037B6C" w:rsidRPr="00204531">
        <w:rPr>
          <w:rFonts w:ascii="Arial" w:hAnsi="Arial" w:cs="Arial"/>
        </w:rPr>
        <w:t xml:space="preserve"> Model will be employed to </w:t>
      </w:r>
      <w:r w:rsidRPr="00204531">
        <w:rPr>
          <w:rFonts w:ascii="Arial" w:hAnsi="Arial" w:cs="Arial"/>
        </w:rPr>
        <w:t>analyse</w:t>
      </w:r>
      <w:r w:rsidR="00037B6C" w:rsidRPr="00204531">
        <w:rPr>
          <w:rFonts w:ascii="Arial" w:hAnsi="Arial" w:cs="Arial"/>
        </w:rPr>
        <w:t xml:space="preserve"> the landscaping industry in which GreenThumb Landscaping operates. This analysis will help assess the industry's competitiveness and attractiveness, identifying the factors that may influence the company's strategic decisions.</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Threat of New Entrants:</w:t>
      </w: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The threat of new entrants into the landscaping industry is moderate. While the initial investment required to start a landscaping business is relatively low, establishing a reputable brand and client base can be challenging. Existing landscaping companies with established relationships and expertise may deter new entrants. However, if barriers to entry such as licensing requirements are low, the threat of new entrants may increase.</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Bargaining Power of Suppliers:</w:t>
      </w: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 xml:space="preserve">Suppliers in the landscaping industry include providers of landscaping materials, plants, and equipment. The bargaining power of suppliers is typically low as there are multiple suppliers available, providing a wide range of options. GreenThumb Landscaping can negotiate </w:t>
      </w:r>
      <w:r w:rsidRPr="00204531">
        <w:rPr>
          <w:rFonts w:ascii="Arial" w:hAnsi="Arial" w:cs="Arial"/>
        </w:rPr>
        <w:t>favourable</w:t>
      </w:r>
      <w:r w:rsidR="00037B6C" w:rsidRPr="00204531">
        <w:rPr>
          <w:rFonts w:ascii="Arial" w:hAnsi="Arial" w:cs="Arial"/>
        </w:rPr>
        <w:t xml:space="preserve"> terms and prices by sourcing from various suppliers and building long-term relationships.</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Bargaining Power of Buyers:</w:t>
      </w: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The bargaining power of buyers in the landscaping industry is moderate to high. Clients have the ability to choose from multiple landscaping companies and compare prices and services. Therefore, customers may have negotiating power to seek competitive pricing and quality services. However, building strong customer relationships and maintaining high-quality service can help mitigate this power.</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Threat of Substitute Products or Services:</w:t>
      </w: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The threat of substitute products or services in the landscaping industry is relatively low. Landscaping services are specific and specialized, and direct substitutes are limited. However, indirect substitutes such as DIY landscaping or self-maintenance by property owners can be a potential threat. Providing unique services and emphasizing the expertise and quality of professional landscaping can mitigate this threat.</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Intensity of Competitive Rivalry:</w:t>
      </w:r>
    </w:p>
    <w:p w:rsidR="009165E3" w:rsidRDefault="0024321B" w:rsidP="00037B6C">
      <w:pPr>
        <w:rPr>
          <w:rFonts w:ascii="Arial" w:hAnsi="Arial" w:cs="Arial"/>
        </w:rPr>
      </w:pPr>
      <w:r>
        <w:rPr>
          <w:rFonts w:ascii="Arial" w:hAnsi="Arial" w:cs="Arial"/>
        </w:rPr>
        <w:t xml:space="preserve">    </w:t>
      </w:r>
      <w:r w:rsidR="00037B6C" w:rsidRPr="00204531">
        <w:rPr>
          <w:rFonts w:ascii="Arial" w:hAnsi="Arial" w:cs="Arial"/>
        </w:rPr>
        <w:t>The landscaping industry is characterized by moderate to high competitive rivalry. There are numerous landscaping companies competing for market share, and differentiation is crucial to stand out. Companies compete based on service quality, reputation, price, range of services, and customer relationships. GreenThumb Landscaping should differentiate itself through sustainable practices, exceptional service, and innovative offerings to gain a competitive advantage.</w:t>
      </w:r>
    </w:p>
    <w:p w:rsidR="00037B6C" w:rsidRPr="00204531" w:rsidRDefault="0024321B" w:rsidP="00037B6C">
      <w:pPr>
        <w:rPr>
          <w:rFonts w:ascii="Arial" w:hAnsi="Arial" w:cs="Arial"/>
        </w:rPr>
      </w:pPr>
      <w:r>
        <w:rPr>
          <w:rFonts w:ascii="Arial" w:hAnsi="Arial" w:cs="Arial"/>
        </w:rPr>
        <w:lastRenderedPageBreak/>
        <w:t xml:space="preserve">   </w:t>
      </w:r>
      <w:r w:rsidR="00037B6C" w:rsidRPr="00204531">
        <w:rPr>
          <w:rFonts w:ascii="Arial" w:hAnsi="Arial" w:cs="Arial"/>
        </w:rPr>
        <w:t xml:space="preserve">By </w:t>
      </w:r>
      <w:r w:rsidRPr="00204531">
        <w:rPr>
          <w:rFonts w:ascii="Arial" w:hAnsi="Arial" w:cs="Arial"/>
        </w:rPr>
        <w:t>analysing</w:t>
      </w:r>
      <w:r w:rsidR="00037B6C" w:rsidRPr="00204531">
        <w:rPr>
          <w:rFonts w:ascii="Arial" w:hAnsi="Arial" w:cs="Arial"/>
        </w:rPr>
        <w:t xml:space="preserve"> the landscaping industry using Porter's Five Forces Model, GreenThumb Landscaping can gain insights into the industry's competitive dynamics. This analysis helps the company understand the factors that may influence its market position, customer relationships, pricing strategies, and differentiation efforts. It enables GreenThumb Landscaping to identify opportunities for growth and potential threats, informing the development of a strategic business plan that addresses the industry's competitive forces effectively.</w:t>
      </w:r>
    </w:p>
    <w:p w:rsidR="00580515" w:rsidRPr="00204531" w:rsidRDefault="00580515" w:rsidP="00580515">
      <w:pPr>
        <w:rPr>
          <w:rFonts w:ascii="Arial" w:hAnsi="Arial" w:cs="Arial"/>
        </w:rPr>
      </w:pP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After conducting the strategic analysis, including the internal analysis using the VRIN/9M Model and Porter's Value Chain Model, the external analysis using the PESTEL Model, and the industry analysis using Porter's Five Forces Model, the findings can be summarized into a SWOT analysis for GreenThumb Landscaping.</w:t>
      </w:r>
    </w:p>
    <w:p w:rsidR="00037B6C" w:rsidRPr="00204531" w:rsidRDefault="00037B6C"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Strengths:</w:t>
      </w:r>
    </w:p>
    <w:p w:rsidR="00037B6C" w:rsidRPr="00204531" w:rsidRDefault="00037B6C" w:rsidP="00037B6C">
      <w:pPr>
        <w:rPr>
          <w:rFonts w:ascii="Arial" w:hAnsi="Arial" w:cs="Arial"/>
        </w:rPr>
      </w:pPr>
      <w:r w:rsidRPr="00204531">
        <w:rPr>
          <w:rFonts w:ascii="Arial" w:hAnsi="Arial" w:cs="Arial"/>
        </w:rPr>
        <w:t>Strong reputation and customer loyalty.</w:t>
      </w:r>
    </w:p>
    <w:p w:rsidR="00037B6C" w:rsidRPr="00204531" w:rsidRDefault="00037B6C" w:rsidP="00037B6C">
      <w:pPr>
        <w:rPr>
          <w:rFonts w:ascii="Arial" w:hAnsi="Arial" w:cs="Arial"/>
        </w:rPr>
      </w:pPr>
      <w:r w:rsidRPr="00204531">
        <w:rPr>
          <w:rFonts w:ascii="Arial" w:hAnsi="Arial" w:cs="Arial"/>
        </w:rPr>
        <w:t>Expertise in sustainable landscaping practices.</w:t>
      </w:r>
    </w:p>
    <w:p w:rsidR="00037B6C" w:rsidRPr="00204531" w:rsidRDefault="00037B6C" w:rsidP="00037B6C">
      <w:pPr>
        <w:rPr>
          <w:rFonts w:ascii="Arial" w:hAnsi="Arial" w:cs="Arial"/>
        </w:rPr>
      </w:pPr>
      <w:r w:rsidRPr="00204531">
        <w:rPr>
          <w:rFonts w:ascii="Arial" w:hAnsi="Arial" w:cs="Arial"/>
        </w:rPr>
        <w:t>Skilled and experienced workforce.</w:t>
      </w:r>
    </w:p>
    <w:p w:rsidR="00037B6C" w:rsidRPr="00204531" w:rsidRDefault="00037B6C" w:rsidP="00037B6C">
      <w:pPr>
        <w:rPr>
          <w:rFonts w:ascii="Arial" w:hAnsi="Arial" w:cs="Arial"/>
        </w:rPr>
      </w:pPr>
      <w:r w:rsidRPr="00204531">
        <w:rPr>
          <w:rFonts w:ascii="Arial" w:hAnsi="Arial" w:cs="Arial"/>
        </w:rPr>
        <w:t>Effective management team.</w:t>
      </w:r>
    </w:p>
    <w:p w:rsidR="00037B6C" w:rsidRDefault="00037B6C" w:rsidP="00037B6C">
      <w:pPr>
        <w:rPr>
          <w:rFonts w:ascii="Arial" w:hAnsi="Arial" w:cs="Arial"/>
        </w:rPr>
      </w:pPr>
      <w:r w:rsidRPr="00204531">
        <w:rPr>
          <w:rFonts w:ascii="Arial" w:hAnsi="Arial" w:cs="Arial"/>
        </w:rPr>
        <w:t>Strong market presence in the local area.</w:t>
      </w:r>
    </w:p>
    <w:p w:rsidR="009165E3" w:rsidRPr="00204531"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Weaknesses:</w:t>
      </w:r>
    </w:p>
    <w:p w:rsidR="00037B6C" w:rsidRPr="00204531" w:rsidRDefault="00037B6C" w:rsidP="00037B6C">
      <w:pPr>
        <w:rPr>
          <w:rFonts w:ascii="Arial" w:hAnsi="Arial" w:cs="Arial"/>
        </w:rPr>
      </w:pPr>
      <w:r w:rsidRPr="00204531">
        <w:rPr>
          <w:rFonts w:ascii="Arial" w:hAnsi="Arial" w:cs="Arial"/>
        </w:rPr>
        <w:t>Limited geographic presence.</w:t>
      </w:r>
    </w:p>
    <w:p w:rsidR="00037B6C" w:rsidRPr="00204531" w:rsidRDefault="00037B6C" w:rsidP="00037B6C">
      <w:pPr>
        <w:rPr>
          <w:rFonts w:ascii="Arial" w:hAnsi="Arial" w:cs="Arial"/>
        </w:rPr>
      </w:pPr>
      <w:r w:rsidRPr="00204531">
        <w:rPr>
          <w:rFonts w:ascii="Arial" w:hAnsi="Arial" w:cs="Arial"/>
        </w:rPr>
        <w:t>Limited technological integration.</w:t>
      </w:r>
    </w:p>
    <w:p w:rsidR="00037B6C" w:rsidRDefault="00037B6C" w:rsidP="00037B6C">
      <w:pPr>
        <w:rPr>
          <w:rFonts w:ascii="Arial" w:hAnsi="Arial" w:cs="Arial"/>
        </w:rPr>
      </w:pPr>
      <w:r w:rsidRPr="00204531">
        <w:rPr>
          <w:rFonts w:ascii="Arial" w:hAnsi="Arial" w:cs="Arial"/>
        </w:rPr>
        <w:t>Reliance on seasonal demand.</w:t>
      </w:r>
    </w:p>
    <w:p w:rsidR="009165E3" w:rsidRPr="00204531"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Opportunities:</w:t>
      </w:r>
    </w:p>
    <w:p w:rsidR="00037B6C" w:rsidRPr="00204531" w:rsidRDefault="00037B6C" w:rsidP="00037B6C">
      <w:pPr>
        <w:rPr>
          <w:rFonts w:ascii="Arial" w:hAnsi="Arial" w:cs="Arial"/>
        </w:rPr>
      </w:pPr>
      <w:r w:rsidRPr="00204531">
        <w:rPr>
          <w:rFonts w:ascii="Arial" w:hAnsi="Arial" w:cs="Arial"/>
        </w:rPr>
        <w:t>Growing demand for sustainable landscaping services.</w:t>
      </w:r>
    </w:p>
    <w:p w:rsidR="00037B6C" w:rsidRPr="00204531" w:rsidRDefault="00037B6C" w:rsidP="00037B6C">
      <w:pPr>
        <w:rPr>
          <w:rFonts w:ascii="Arial" w:hAnsi="Arial" w:cs="Arial"/>
        </w:rPr>
      </w:pPr>
      <w:r w:rsidRPr="00204531">
        <w:rPr>
          <w:rFonts w:ascii="Arial" w:hAnsi="Arial" w:cs="Arial"/>
        </w:rPr>
        <w:t>Market expansion opportunities.</w:t>
      </w:r>
    </w:p>
    <w:p w:rsidR="00037B6C" w:rsidRDefault="00037B6C" w:rsidP="00037B6C">
      <w:pPr>
        <w:rPr>
          <w:rFonts w:ascii="Arial" w:hAnsi="Arial" w:cs="Arial"/>
        </w:rPr>
      </w:pPr>
      <w:r w:rsidRPr="00204531">
        <w:rPr>
          <w:rFonts w:ascii="Arial" w:hAnsi="Arial" w:cs="Arial"/>
        </w:rPr>
        <w:t>Technological advancements in the landscaping industry.</w:t>
      </w:r>
    </w:p>
    <w:p w:rsidR="009165E3" w:rsidRPr="00204531" w:rsidRDefault="009165E3" w:rsidP="00037B6C">
      <w:pPr>
        <w:rPr>
          <w:rFonts w:ascii="Arial" w:hAnsi="Arial" w:cs="Arial"/>
        </w:rPr>
      </w:pPr>
    </w:p>
    <w:p w:rsidR="00037B6C" w:rsidRPr="00204531" w:rsidRDefault="00037B6C" w:rsidP="00037B6C">
      <w:pPr>
        <w:rPr>
          <w:rFonts w:ascii="Arial" w:hAnsi="Arial" w:cs="Arial"/>
        </w:rPr>
      </w:pPr>
      <w:r w:rsidRPr="00204531">
        <w:rPr>
          <w:rFonts w:ascii="Arial" w:hAnsi="Arial" w:cs="Arial"/>
        </w:rPr>
        <w:t>Threats:</w:t>
      </w:r>
    </w:p>
    <w:p w:rsidR="00037B6C" w:rsidRPr="00204531" w:rsidRDefault="00037B6C" w:rsidP="00037B6C">
      <w:pPr>
        <w:rPr>
          <w:rFonts w:ascii="Arial" w:hAnsi="Arial" w:cs="Arial"/>
        </w:rPr>
      </w:pPr>
      <w:r w:rsidRPr="00204531">
        <w:rPr>
          <w:rFonts w:ascii="Arial" w:hAnsi="Arial" w:cs="Arial"/>
        </w:rPr>
        <w:t>Intense competition in the landscaping industry.</w:t>
      </w:r>
    </w:p>
    <w:p w:rsidR="009165E3" w:rsidRDefault="00037B6C" w:rsidP="00037B6C">
      <w:pPr>
        <w:rPr>
          <w:rFonts w:ascii="Arial" w:hAnsi="Arial" w:cs="Arial"/>
        </w:rPr>
      </w:pPr>
      <w:r w:rsidRPr="00204531">
        <w:rPr>
          <w:rFonts w:ascii="Arial" w:hAnsi="Arial" w:cs="Arial"/>
        </w:rPr>
        <w:t>Economic fluctuations affecting customer spending.</w:t>
      </w:r>
    </w:p>
    <w:p w:rsidR="00037B6C" w:rsidRPr="00204531" w:rsidRDefault="00037B6C" w:rsidP="00037B6C">
      <w:pPr>
        <w:rPr>
          <w:rFonts w:ascii="Arial" w:hAnsi="Arial" w:cs="Arial"/>
        </w:rPr>
      </w:pPr>
      <w:r w:rsidRPr="00204531">
        <w:rPr>
          <w:rFonts w:ascii="Arial" w:hAnsi="Arial" w:cs="Arial"/>
        </w:rPr>
        <w:t>Regulatory changes and compliance requirements.</w:t>
      </w:r>
    </w:p>
    <w:p w:rsidR="0024321B" w:rsidRDefault="0024321B" w:rsidP="00037B6C">
      <w:pPr>
        <w:rPr>
          <w:rFonts w:ascii="Arial" w:hAnsi="Arial" w:cs="Arial"/>
        </w:rPr>
      </w:pPr>
    </w:p>
    <w:p w:rsidR="00037B6C" w:rsidRPr="00204531" w:rsidRDefault="0024321B" w:rsidP="00037B6C">
      <w:pPr>
        <w:rPr>
          <w:rFonts w:ascii="Arial" w:hAnsi="Arial" w:cs="Arial"/>
        </w:rPr>
      </w:pPr>
      <w:r>
        <w:rPr>
          <w:rFonts w:ascii="Arial" w:hAnsi="Arial" w:cs="Arial"/>
        </w:rPr>
        <w:lastRenderedPageBreak/>
        <w:t xml:space="preserve">   </w:t>
      </w:r>
      <w:r w:rsidR="00037B6C" w:rsidRPr="00204531">
        <w:rPr>
          <w:rFonts w:ascii="Arial" w:hAnsi="Arial" w:cs="Arial"/>
        </w:rPr>
        <w:t>By summarizing the findings into a SWOT analysis, GreenThumb Landscaping can gain a holistic understanding of its internal strengths and weaknesses, as well as the external opportunities and threats it faces. This analysis provides a strategic perspective on the company's current position and helps identify areas of focus for the development of a sustainable business strategy.</w:t>
      </w:r>
    </w:p>
    <w:p w:rsidR="00037B6C" w:rsidRPr="00204531" w:rsidRDefault="00037B6C" w:rsidP="00037B6C">
      <w:pPr>
        <w:rPr>
          <w:rFonts w:ascii="Arial" w:hAnsi="Arial" w:cs="Arial"/>
        </w:rPr>
      </w:pP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The strengths, such as the strong reputation, sustainable practices, skilled workforce, effective management, and market presence, can be leveraged to gain a competitive advantage. The weaknesses, including limited geographic presence, technological integration, and seasonal demand, need to be addressed to improve the company's performance.</w:t>
      </w:r>
    </w:p>
    <w:p w:rsidR="00037B6C" w:rsidRPr="00204531" w:rsidRDefault="00037B6C" w:rsidP="00037B6C">
      <w:pPr>
        <w:rPr>
          <w:rFonts w:ascii="Arial" w:hAnsi="Arial" w:cs="Arial"/>
        </w:rPr>
      </w:pP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The opportunities, such as the growing demand for sustainable services, market expansion possibilities, and technological advancements, present avenues for growth and innovation. The threats, such as intense competition, economic fluctuations, and regulatory changes, should be monitored and managed to mitigate risks.</w:t>
      </w:r>
    </w:p>
    <w:p w:rsidR="00037B6C" w:rsidRPr="00204531" w:rsidRDefault="00037B6C" w:rsidP="00037B6C">
      <w:pPr>
        <w:rPr>
          <w:rFonts w:ascii="Arial" w:hAnsi="Arial" w:cs="Arial"/>
        </w:rPr>
      </w:pP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Overall, the SWOT analysis serves as a foundation for the strategic decision-making process, helping GreenThumb Landscaping identify strategic options, prioritize initiatives, and develop a sustainable business strategy that maximizes strengths, minimizes weaknesses, capitalizes on opportunities, and mitigates threats.</w:t>
      </w:r>
    </w:p>
    <w:p w:rsidR="00037B6C" w:rsidRPr="00204531" w:rsidRDefault="00037B6C" w:rsidP="00037B6C">
      <w:pPr>
        <w:rPr>
          <w:rFonts w:ascii="Arial" w:hAnsi="Arial" w:cs="Arial"/>
        </w:rPr>
      </w:pPr>
    </w:p>
    <w:p w:rsidR="00037B6C" w:rsidRPr="00204531" w:rsidRDefault="00037B6C" w:rsidP="00204531">
      <w:pPr>
        <w:pStyle w:val="Heading1"/>
      </w:pPr>
      <w:bookmarkStart w:id="4" w:name="_Toc133674532"/>
      <w:r w:rsidRPr="00204531">
        <w:t>Section 2- Strategic Growth Choices/Options/Action Points</w:t>
      </w:r>
      <w:bookmarkEnd w:id="4"/>
    </w:p>
    <w:p w:rsidR="00037B6C" w:rsidRPr="00204531" w:rsidRDefault="00037B6C" w:rsidP="00037B6C">
      <w:pPr>
        <w:rPr>
          <w:rFonts w:ascii="Arial" w:hAnsi="Arial" w:cs="Arial"/>
        </w:rPr>
      </w:pP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Market penetration entails expanding the customer base within the existing market by employing targeted marketing strategies, customer retention programs, and leveraging the company's current resources and capabilities. This strategy aims to increase market share and solidify GreenThumb's position in the landscaping industry.</w:t>
      </w:r>
    </w:p>
    <w:p w:rsidR="00037B6C" w:rsidRPr="00204531" w:rsidRDefault="00037B6C" w:rsidP="00037B6C">
      <w:pPr>
        <w:rPr>
          <w:rFonts w:ascii="Arial" w:hAnsi="Arial" w:cs="Arial"/>
        </w:rPr>
      </w:pPr>
    </w:p>
    <w:p w:rsidR="00037B6C" w:rsidRPr="00204531" w:rsidRDefault="0024321B" w:rsidP="00037B6C">
      <w:pPr>
        <w:rPr>
          <w:rFonts w:ascii="Arial" w:hAnsi="Arial" w:cs="Arial"/>
        </w:rPr>
      </w:pPr>
      <w:r>
        <w:rPr>
          <w:rFonts w:ascii="Arial" w:hAnsi="Arial" w:cs="Arial"/>
        </w:rPr>
        <w:t xml:space="preserve">   </w:t>
      </w:r>
      <w:r w:rsidR="00037B6C" w:rsidRPr="00204531">
        <w:rPr>
          <w:rFonts w:ascii="Arial" w:hAnsi="Arial" w:cs="Arial"/>
        </w:rPr>
        <w:t>On the other hand, diversification involves expanding the range of services beyond traditional landscaping, potentially including garden maintenance, hardscaping, or outdoor design consultations. By diversifying its service portfolio, GreenThumb can tap into new market segments, address evolving customer needs, and capture additional revenue streams.</w:t>
      </w:r>
    </w:p>
    <w:p w:rsidR="00037B6C" w:rsidRPr="00204531" w:rsidRDefault="00037B6C" w:rsidP="00037B6C">
      <w:pPr>
        <w:rPr>
          <w:rFonts w:ascii="Arial" w:hAnsi="Arial" w:cs="Arial"/>
        </w:rPr>
      </w:pPr>
    </w:p>
    <w:p w:rsidR="0024321B" w:rsidRDefault="0024321B" w:rsidP="007341EE">
      <w:pPr>
        <w:rPr>
          <w:rFonts w:ascii="Arial" w:hAnsi="Arial" w:cs="Arial"/>
        </w:rPr>
      </w:pPr>
      <w:r>
        <w:rPr>
          <w:rFonts w:ascii="Arial" w:hAnsi="Arial" w:cs="Arial"/>
        </w:rPr>
        <w:t xml:space="preserve">   </w:t>
      </w:r>
      <w:r w:rsidR="00037B6C" w:rsidRPr="00204531">
        <w:rPr>
          <w:rFonts w:ascii="Arial" w:hAnsi="Arial" w:cs="Arial"/>
        </w:rPr>
        <w:t>Both options present unique opportunities and challenges for GreenThumb Landscaping. The choice of a strategic growth option should be based on a thorough assessment of the company's internal capabilities, market dynamics, competitive landscape, and long-term goals. By strategically evaluating these options, GreenThumb can chart a path towards sustainable growth, improved competitiveness, and enhanced customer value in the ever-evolving landscaping industry.</w:t>
      </w:r>
    </w:p>
    <w:p w:rsidR="007341EE" w:rsidRPr="00204531" w:rsidRDefault="0024321B" w:rsidP="007341EE">
      <w:pPr>
        <w:rPr>
          <w:rFonts w:ascii="Arial" w:hAnsi="Arial" w:cs="Arial"/>
        </w:rPr>
      </w:pPr>
      <w:r>
        <w:rPr>
          <w:rFonts w:ascii="Arial" w:hAnsi="Arial" w:cs="Arial"/>
        </w:rPr>
        <w:lastRenderedPageBreak/>
        <w:t xml:space="preserve">   </w:t>
      </w:r>
      <w:r w:rsidR="007341EE" w:rsidRPr="00204531">
        <w:rPr>
          <w:rFonts w:ascii="Arial" w:hAnsi="Arial" w:cs="Arial"/>
        </w:rPr>
        <w:t>Strategic Option Analysis involves utilizing the Ansoff Matrix and Porter's Generic Strategies to identify different strategic directions and choices for GreenThumb Landscaping. These models provide frameworks to assess growth opportunities and competitive positioning.</w:t>
      </w:r>
    </w:p>
    <w:p w:rsidR="007341EE" w:rsidRPr="00204531" w:rsidRDefault="007341EE" w:rsidP="007341EE">
      <w:pPr>
        <w:rPr>
          <w:rFonts w:ascii="Arial" w:hAnsi="Arial" w:cs="Arial"/>
        </w:rPr>
      </w:pPr>
    </w:p>
    <w:p w:rsidR="007341EE" w:rsidRPr="00204531" w:rsidRDefault="007341EE" w:rsidP="007341EE">
      <w:pPr>
        <w:rPr>
          <w:rFonts w:ascii="Arial" w:hAnsi="Arial" w:cs="Arial"/>
          <w:b/>
        </w:rPr>
      </w:pPr>
      <w:r w:rsidRPr="00204531">
        <w:rPr>
          <w:rFonts w:ascii="Arial" w:hAnsi="Arial" w:cs="Arial"/>
          <w:b/>
        </w:rPr>
        <w:t>Ansoff Matrix</w:t>
      </w:r>
    </w:p>
    <w:p w:rsidR="007341EE" w:rsidRPr="00204531" w:rsidRDefault="007341EE" w:rsidP="007341EE">
      <w:pPr>
        <w:rPr>
          <w:rFonts w:ascii="Arial" w:hAnsi="Arial" w:cs="Arial"/>
          <w:b/>
        </w:rPr>
      </w:pP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The Ansoff Matrix identifies four growth strategies based on product and market dimensions:</w:t>
      </w:r>
    </w:p>
    <w:p w:rsidR="007341EE" w:rsidRPr="00204531" w:rsidRDefault="007341EE"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Market Penetration:</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focus on increasing market share in its existing market by attracting more customers, enhancing customer loyalty, or expanding service offerings to meet evolving customer needs.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retaining and growing the current customer base through targeted marketing, improved customer service, and competitive pricing.</w:t>
      </w:r>
    </w:p>
    <w:p w:rsidR="0024321B" w:rsidRDefault="0024321B"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Market Development:</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enter new geographic markets or target new customer segments with its existing services.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identifying untapped markets or customer groups and tailoring marketing and service approaches to cater to their specific needs.</w:t>
      </w:r>
    </w:p>
    <w:p w:rsidR="0024321B" w:rsidRDefault="0024321B"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Product Development:</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introduce new services or innovative solutions to existing customers.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leveraging existing customer relationships and knowledge to develop and offer new services or enhance existing ones, addressing emerging trends and customer demands.</w:t>
      </w:r>
    </w:p>
    <w:p w:rsidR="0024321B" w:rsidRDefault="0024321B"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Diversification:</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explore new markets or new services that are unrelated to its current offerings.</w:t>
      </w:r>
    </w:p>
    <w:p w:rsidR="007341EE"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entering new markets or industries with new products or services, leveraging existing capabilities or acquiring new ones.</w:t>
      </w:r>
    </w:p>
    <w:p w:rsidR="0024321B" w:rsidRPr="00204531" w:rsidRDefault="0024321B" w:rsidP="007341EE">
      <w:pPr>
        <w:rPr>
          <w:rFonts w:ascii="Arial" w:hAnsi="Arial" w:cs="Arial"/>
        </w:rPr>
      </w:pPr>
    </w:p>
    <w:p w:rsidR="0024321B" w:rsidRDefault="0024321B" w:rsidP="007341EE">
      <w:pPr>
        <w:rPr>
          <w:rFonts w:ascii="Arial" w:hAnsi="Arial" w:cs="Arial"/>
          <w:b/>
        </w:rPr>
      </w:pPr>
    </w:p>
    <w:p w:rsidR="0024321B" w:rsidRDefault="007341EE" w:rsidP="007341EE">
      <w:pPr>
        <w:rPr>
          <w:rFonts w:ascii="Arial" w:hAnsi="Arial" w:cs="Arial"/>
          <w:b/>
        </w:rPr>
      </w:pPr>
      <w:r w:rsidRPr="00204531">
        <w:rPr>
          <w:rFonts w:ascii="Arial" w:hAnsi="Arial" w:cs="Arial"/>
          <w:b/>
        </w:rPr>
        <w:lastRenderedPageBreak/>
        <w:t>Porter's Generic Strategies</w:t>
      </w:r>
    </w:p>
    <w:p w:rsidR="0024321B" w:rsidRDefault="0024321B" w:rsidP="007341EE">
      <w:pPr>
        <w:rPr>
          <w:rFonts w:ascii="Arial" w:hAnsi="Arial" w:cs="Arial"/>
        </w:rPr>
      </w:pPr>
    </w:p>
    <w:p w:rsidR="007341EE" w:rsidRPr="0024321B" w:rsidRDefault="0024321B" w:rsidP="007341EE">
      <w:pPr>
        <w:rPr>
          <w:rFonts w:ascii="Arial" w:hAnsi="Arial" w:cs="Arial"/>
          <w:b/>
        </w:rPr>
      </w:pPr>
      <w:r>
        <w:rPr>
          <w:rFonts w:ascii="Arial" w:hAnsi="Arial" w:cs="Arial"/>
        </w:rPr>
        <w:t xml:space="preserve">   </w:t>
      </w:r>
      <w:r w:rsidR="007341EE" w:rsidRPr="00204531">
        <w:rPr>
          <w:rFonts w:ascii="Arial" w:hAnsi="Arial" w:cs="Arial"/>
        </w:rPr>
        <w:t>Porter's Generic Strategies define different approaches to achieve a competitive advantage in the market:</w:t>
      </w:r>
    </w:p>
    <w:p w:rsidR="007341EE" w:rsidRPr="00204531" w:rsidRDefault="007341EE"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Cost Leadership:</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strive to become a low-cost provider in the landscaping industry, offering competitive prices while maintaining a reasonable level of profitability.</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streamlining operations, optimizing costs, and leveraging economies of scale to offer affordable services without compromising quality.</w:t>
      </w:r>
    </w:p>
    <w:p w:rsidR="0024321B" w:rsidRDefault="0024321B"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Differentiation:</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differentiate its services from competitors by offering unique features, superior quality, or innovative solutions.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emphasizing the company's strengths, such as sustainable practices, expertise, and customer service, to create a distinct competitive advantage.</w:t>
      </w:r>
    </w:p>
    <w:p w:rsidR="0024321B" w:rsidRDefault="0024321B" w:rsidP="007341EE">
      <w:pPr>
        <w:rPr>
          <w:rFonts w:ascii="Arial" w:hAnsi="Arial" w:cs="Arial"/>
        </w:rPr>
      </w:pPr>
    </w:p>
    <w:p w:rsidR="0024321B" w:rsidRDefault="0024321B" w:rsidP="007341EE">
      <w:pPr>
        <w:rPr>
          <w:rFonts w:ascii="Arial" w:hAnsi="Arial" w:cs="Arial"/>
        </w:rPr>
      </w:pPr>
      <w:r>
        <w:rPr>
          <w:rFonts w:ascii="Arial" w:hAnsi="Arial" w:cs="Arial"/>
        </w:rPr>
        <w:t>Focus: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GreenThumb Landscaping can focus its efforts on serving a specific niche market segment or geographic area, catering to their specific needs and preferences.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This strategy involves deepening the company's understanding of the target market, tailoring services to their requirements, and building strong customer relationships.</w:t>
      </w:r>
    </w:p>
    <w:p w:rsidR="00037B6C"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By conducting a strategic option analysis with the Ansoff Matrix and Porter's Generic Strategies, GreenThumb Landscaping can explore different growth directions and competitive positioning options. The analysis will help identify the most suitable strategic options based on the company's internal capabilities, external opportunities, and market dynamics. This analysis will guide the development of the recommended strategic direction that aligns with GreenThumb Landscaping's goals and market conditions.</w:t>
      </w:r>
    </w:p>
    <w:p w:rsidR="007341EE" w:rsidRPr="00204531" w:rsidRDefault="007341EE" w:rsidP="007341EE">
      <w:pPr>
        <w:rPr>
          <w:rFonts w:ascii="Arial" w:hAnsi="Arial" w:cs="Arial"/>
        </w:rPr>
      </w:pPr>
    </w:p>
    <w:p w:rsidR="007341EE" w:rsidRPr="00204531" w:rsidRDefault="007341EE" w:rsidP="007341EE">
      <w:pPr>
        <w:rPr>
          <w:rFonts w:ascii="Arial" w:hAnsi="Arial" w:cs="Arial"/>
          <w:b/>
        </w:rPr>
      </w:pPr>
      <w:r w:rsidRPr="00204531">
        <w:rPr>
          <w:rFonts w:ascii="Arial" w:hAnsi="Arial" w:cs="Arial"/>
          <w:b/>
        </w:rPr>
        <w:t>SFA (Suitability, Feasibility, and Acceptability)</w:t>
      </w:r>
    </w:p>
    <w:p w:rsidR="007341EE" w:rsidRPr="00204531" w:rsidRDefault="007341EE" w:rsidP="007341EE">
      <w:pPr>
        <w:rPr>
          <w:rFonts w:ascii="Arial" w:hAnsi="Arial" w:cs="Arial"/>
          <w:b/>
        </w:rPr>
      </w:pPr>
    </w:p>
    <w:p w:rsidR="007341EE" w:rsidRPr="00204531" w:rsidRDefault="007341EE" w:rsidP="007341EE">
      <w:pPr>
        <w:rPr>
          <w:rFonts w:ascii="Arial" w:hAnsi="Arial" w:cs="Arial"/>
        </w:rPr>
      </w:pPr>
      <w:r w:rsidRPr="00204531">
        <w:rPr>
          <w:rFonts w:ascii="Arial" w:hAnsi="Arial" w:cs="Arial"/>
        </w:rPr>
        <w:t>Strategic Option 1: Market Penetration</w:t>
      </w:r>
    </w:p>
    <w:p w:rsidR="0024321B" w:rsidRDefault="0024321B" w:rsidP="007341EE">
      <w:pPr>
        <w:rPr>
          <w:rFonts w:ascii="Arial" w:hAnsi="Arial" w:cs="Arial"/>
        </w:rPr>
      </w:pPr>
      <w:r>
        <w:rPr>
          <w:rFonts w:ascii="Arial" w:hAnsi="Arial" w:cs="Arial"/>
        </w:rPr>
        <w:t xml:space="preserve">   </w:t>
      </w:r>
      <w:r w:rsidR="007341EE" w:rsidRPr="00204531">
        <w:rPr>
          <w:rFonts w:ascii="Arial" w:hAnsi="Arial" w:cs="Arial"/>
        </w:rPr>
        <w:t>Suitability: This option aligns with GreenThumb Landscaping's strengths in its strong reputation, skilled workforce, and expertise in sustainable practices. It addresses weaknesses such as limited geographic presence by focusing on expanding the customer base in the existing market.</w:t>
      </w:r>
    </w:p>
    <w:p w:rsidR="007341EE" w:rsidRPr="00204531" w:rsidRDefault="0024321B" w:rsidP="007341EE">
      <w:pPr>
        <w:rPr>
          <w:rFonts w:ascii="Arial" w:hAnsi="Arial" w:cs="Arial"/>
        </w:rPr>
      </w:pPr>
      <w:r>
        <w:rPr>
          <w:rFonts w:ascii="Arial" w:hAnsi="Arial" w:cs="Arial"/>
        </w:rPr>
        <w:lastRenderedPageBreak/>
        <w:t xml:space="preserve">   </w:t>
      </w:r>
      <w:r w:rsidR="007341EE" w:rsidRPr="00204531">
        <w:rPr>
          <w:rFonts w:ascii="Arial" w:hAnsi="Arial" w:cs="Arial"/>
        </w:rPr>
        <w:t>Feasibility: Market penetration requires resources for marketing, customer retention, and potential expansion. GreenThumb Landscaping needs to assess its financial capacity, marketing capabilities, and operational scalability to execute this option effectively.</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Acceptability: Market penetration is generally acceptable to stakeholders as it focuses on expanding and strengthening the current market presence. It aligns with sustainability objectives and can generate positive customer response.</w:t>
      </w:r>
    </w:p>
    <w:p w:rsidR="0024321B" w:rsidRDefault="0024321B"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Strategic Option 2: Product Development</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Suitability: This option leverages GreenThumb Landscaping's expertise in sustainable practices and its skilled workforce. It addresses weaknesses by introducing new services or innovative solutions to meet evolving customer demands.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Feasibility: Product development requires research and development efforts, investment in new services, and employee training. The company needs to assess its financial resources, research capabilities, and market demand for new offerings.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Acceptability: Stakeholders may find product development desirable as it demonstrates innovation and differentiation. It aligns with sustainability goals and customer preferences for new and environmentally-friendly landscaping solutions.</w:t>
      </w:r>
    </w:p>
    <w:p w:rsidR="0024321B" w:rsidRDefault="0024321B" w:rsidP="007341EE">
      <w:pPr>
        <w:rPr>
          <w:rFonts w:ascii="Arial" w:hAnsi="Arial" w:cs="Arial"/>
        </w:rPr>
      </w:pPr>
    </w:p>
    <w:p w:rsidR="007341EE" w:rsidRPr="00204531" w:rsidRDefault="007341EE" w:rsidP="007341EE">
      <w:pPr>
        <w:rPr>
          <w:rFonts w:ascii="Arial" w:hAnsi="Arial" w:cs="Arial"/>
        </w:rPr>
      </w:pPr>
      <w:r w:rsidRPr="00204531">
        <w:rPr>
          <w:rFonts w:ascii="Arial" w:hAnsi="Arial" w:cs="Arial"/>
        </w:rPr>
        <w:t>Strategic Option 3: Market Development</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Suitability: This option leverages GreenThumb Landscaping's strengths in sustainable practices and expertise to enter new geographic markets or target new customer segments. It addresses weaknesses by expanding the market reach beyond the current geographic area.</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Feasibility: Market development requires market research, adaptation to new market requirements, and potential investment in new resources. GreenThumb Landscaping needs to assess its financial capability, market analysis capabilities, and ability to adapt to new customer needs.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Acceptability: Stakeholders may find market development attractive as it opens new growth opportunities. It aligns with sustainability goals and can generate positive stakeholder response by reaching new customers.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After assessing the suitability, feasibility, and acceptability of each option, it is recommended that GreenThumb Landscaping focuses on Strategic Option 2: Product Development. This option aligns well with the company's strengths and addresses weaknesses while demonstrating innovation and environmental responsibility. With proper research, investment, and training, GreenThumb Landscaping can introduce new services or innovative solutions to meet evolving customer demands and gain a competitive edge in the market.</w:t>
      </w:r>
    </w:p>
    <w:p w:rsidR="00037B6C" w:rsidRPr="00204531" w:rsidRDefault="00037B6C" w:rsidP="00037B6C">
      <w:pPr>
        <w:rPr>
          <w:rFonts w:ascii="Arial" w:hAnsi="Arial" w:cs="Arial"/>
        </w:rPr>
      </w:pPr>
    </w:p>
    <w:p w:rsidR="0024321B" w:rsidRDefault="0024321B" w:rsidP="007341EE">
      <w:pPr>
        <w:rPr>
          <w:rFonts w:ascii="Arial" w:hAnsi="Arial" w:cs="Arial"/>
        </w:rPr>
      </w:pPr>
      <w:r>
        <w:rPr>
          <w:rFonts w:ascii="Arial" w:hAnsi="Arial" w:cs="Arial"/>
        </w:rPr>
        <w:t xml:space="preserve">   </w:t>
      </w:r>
      <w:r w:rsidR="007341EE" w:rsidRPr="00204531">
        <w:rPr>
          <w:rFonts w:ascii="Arial" w:hAnsi="Arial" w:cs="Arial"/>
        </w:rPr>
        <w:t>Mendelow's Stakeholder Matrix is a useful tool to analyze stakeholders based on their level of power and interest in the company. By categorizing stakeholders into different quadrants, it helps identify their influence on the company's strategic decisions and enables effective stakeholder management.</w:t>
      </w:r>
    </w:p>
    <w:p w:rsidR="007341EE" w:rsidRPr="00204531" w:rsidRDefault="0024321B" w:rsidP="007341EE">
      <w:pPr>
        <w:rPr>
          <w:rFonts w:ascii="Arial" w:hAnsi="Arial" w:cs="Arial"/>
        </w:rPr>
      </w:pPr>
      <w:r>
        <w:rPr>
          <w:rFonts w:ascii="Arial" w:hAnsi="Arial" w:cs="Arial"/>
        </w:rPr>
        <w:lastRenderedPageBreak/>
        <w:t>Key Players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Customers: Customers are vital stakeholders for GreenThumb Landscaping as they directly impact the company's revenue and success. They have high interest and power, as their satisfaction and loyalty drive business growth. GreenThumb should maintain a strong focus on meeting customer needs and providing exceptional service.</w:t>
      </w:r>
    </w:p>
    <w:p w:rsidR="007341EE" w:rsidRDefault="0024321B" w:rsidP="007341EE">
      <w:pPr>
        <w:rPr>
          <w:rFonts w:ascii="Arial" w:hAnsi="Arial" w:cs="Arial"/>
        </w:rPr>
      </w:pPr>
      <w:r>
        <w:rPr>
          <w:rFonts w:ascii="Arial" w:hAnsi="Arial" w:cs="Arial"/>
        </w:rPr>
        <w:t xml:space="preserve">   </w:t>
      </w:r>
      <w:r w:rsidR="007341EE" w:rsidRPr="00204531">
        <w:rPr>
          <w:rFonts w:ascii="Arial" w:hAnsi="Arial" w:cs="Arial"/>
        </w:rPr>
        <w:t>Employees: Employees play a crucial role in delivering quality landscaping services. They have a high level of interest and power as they possess valuable skills and knowledge. GreenThumb should prioritize employee engagement, training, and career development to ensure a motivated and skilled workforce.</w:t>
      </w:r>
    </w:p>
    <w:p w:rsidR="0024321B" w:rsidRPr="00204531" w:rsidRDefault="0024321B" w:rsidP="007341EE">
      <w:pPr>
        <w:rPr>
          <w:rFonts w:ascii="Arial" w:hAnsi="Arial" w:cs="Arial"/>
        </w:rPr>
      </w:pPr>
    </w:p>
    <w:p w:rsidR="007341EE" w:rsidRPr="00204531" w:rsidRDefault="0024321B" w:rsidP="007341EE">
      <w:pPr>
        <w:rPr>
          <w:rFonts w:ascii="Arial" w:hAnsi="Arial" w:cs="Arial"/>
        </w:rPr>
      </w:pPr>
      <w:r>
        <w:rPr>
          <w:rFonts w:ascii="Arial" w:hAnsi="Arial" w:cs="Arial"/>
        </w:rPr>
        <w:t>Keep Informed</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Suppliers: Suppliers have a moderate level of power and interest. They provide essential materials and resources for GreenThumb's operations. Maintaining positive relationships with suppliers is important to ensure a reliable supply chain and competitive pricing.</w:t>
      </w:r>
    </w:p>
    <w:p w:rsidR="007341EE" w:rsidRDefault="0024321B" w:rsidP="007341EE">
      <w:pPr>
        <w:rPr>
          <w:rFonts w:ascii="Arial" w:hAnsi="Arial" w:cs="Arial"/>
        </w:rPr>
      </w:pPr>
      <w:r>
        <w:rPr>
          <w:rFonts w:ascii="Arial" w:hAnsi="Arial" w:cs="Arial"/>
        </w:rPr>
        <w:t xml:space="preserve">   </w:t>
      </w:r>
      <w:r w:rsidR="007341EE" w:rsidRPr="00204531">
        <w:rPr>
          <w:rFonts w:ascii="Arial" w:hAnsi="Arial" w:cs="Arial"/>
        </w:rPr>
        <w:t>Local Community: The local community has an interest in GreenThumb Landscaping's activities and their impact on the environment and aesthetics. Engaging with the community, addressing concerns, and implementing sustainable practices can help maintain a positive relationship.</w:t>
      </w:r>
    </w:p>
    <w:p w:rsidR="0024321B" w:rsidRPr="00204531" w:rsidRDefault="0024321B" w:rsidP="007341EE">
      <w:pPr>
        <w:rPr>
          <w:rFonts w:ascii="Arial" w:hAnsi="Arial" w:cs="Arial"/>
        </w:rPr>
      </w:pPr>
    </w:p>
    <w:p w:rsidR="007341EE" w:rsidRPr="00204531" w:rsidRDefault="0024321B" w:rsidP="007341EE">
      <w:pPr>
        <w:rPr>
          <w:rFonts w:ascii="Arial" w:hAnsi="Arial" w:cs="Arial"/>
        </w:rPr>
      </w:pPr>
      <w:r>
        <w:rPr>
          <w:rFonts w:ascii="Arial" w:hAnsi="Arial" w:cs="Arial"/>
        </w:rPr>
        <w:t>Keep Satisfied</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Government and Regulatory Bodies: Government entities and regulatory bodies have the power to impose regulations and requirements on the landscaping industry. GreenThumb needs to stay compliant with relevant laws and regulations and engage with these stakeholders to ensure smooth operations.</w:t>
      </w:r>
    </w:p>
    <w:p w:rsidR="007341EE" w:rsidRDefault="0024321B" w:rsidP="007341EE">
      <w:pPr>
        <w:rPr>
          <w:rFonts w:ascii="Arial" w:hAnsi="Arial" w:cs="Arial"/>
        </w:rPr>
      </w:pPr>
      <w:r>
        <w:rPr>
          <w:rFonts w:ascii="Arial" w:hAnsi="Arial" w:cs="Arial"/>
        </w:rPr>
        <w:t xml:space="preserve">   </w:t>
      </w:r>
      <w:r w:rsidR="007341EE" w:rsidRPr="00204531">
        <w:rPr>
          <w:rFonts w:ascii="Arial" w:hAnsi="Arial" w:cs="Arial"/>
        </w:rPr>
        <w:t>Financial Institutions: Financial institutions have an interest in GreenThumb's financial stability and repayment of loans. Maintaining a good credit history and strong financial management practices are crucial for a positive relationship with financial stakeholders.</w:t>
      </w:r>
    </w:p>
    <w:p w:rsidR="0024321B" w:rsidRPr="00204531" w:rsidRDefault="0024321B" w:rsidP="007341EE">
      <w:pPr>
        <w:rPr>
          <w:rFonts w:ascii="Arial" w:hAnsi="Arial" w:cs="Arial"/>
        </w:rPr>
      </w:pPr>
    </w:p>
    <w:p w:rsidR="007341EE" w:rsidRPr="00204531" w:rsidRDefault="0024321B" w:rsidP="007341EE">
      <w:pPr>
        <w:rPr>
          <w:rFonts w:ascii="Arial" w:hAnsi="Arial" w:cs="Arial"/>
        </w:rPr>
      </w:pPr>
      <w:r>
        <w:rPr>
          <w:rFonts w:ascii="Arial" w:hAnsi="Arial" w:cs="Arial"/>
        </w:rPr>
        <w:t>Minimal Effort</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Competitors: Competitors have limited power and interest as they operate in the same industry. While monitoring competitors is important, GreenThumb's focus should be on differentiation and delivering superior value to customers.</w:t>
      </w:r>
    </w:p>
    <w:p w:rsidR="007341EE"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Non-Governmental Organizations (NGOs): NGOs may have an interest in GreenThumb's environmental practices and sustainability efforts. Engaging with them through partnerships or initiatives can help demonstrate the company's commitment to environmental responsibility.</w:t>
      </w:r>
    </w:p>
    <w:p w:rsidR="00580515" w:rsidRPr="00204531" w:rsidRDefault="0024321B" w:rsidP="007341EE">
      <w:pPr>
        <w:rPr>
          <w:rFonts w:ascii="Arial" w:hAnsi="Arial" w:cs="Arial"/>
        </w:rPr>
      </w:pPr>
      <w:r>
        <w:rPr>
          <w:rFonts w:ascii="Arial" w:hAnsi="Arial" w:cs="Arial"/>
        </w:rPr>
        <w:t xml:space="preserve">   </w:t>
      </w:r>
      <w:r w:rsidR="007341EE" w:rsidRPr="00204531">
        <w:rPr>
          <w:rFonts w:ascii="Arial" w:hAnsi="Arial" w:cs="Arial"/>
        </w:rPr>
        <w:t>By conducting a stakeholder analysis using Mendelow's Stakeholder Matrix, GreenThumb Landscaping can understand the varying levels of power and interest each stakeholder holds. This analysis enables the company to prioritize stakeholder engagement and develop strategies to effectively manage stakeholder relationships. By actively addressing the needs and concerns of key stakeholders, GreenThumb can foster positive relationships, gain support for its strategic initiatives, and enhance its overall business performance.</w:t>
      </w:r>
    </w:p>
    <w:p w:rsidR="007341EE" w:rsidRPr="00204531" w:rsidRDefault="007341EE" w:rsidP="00AA3391">
      <w:pPr>
        <w:rPr>
          <w:rFonts w:ascii="Arial" w:hAnsi="Arial" w:cs="Arial"/>
        </w:rPr>
      </w:pPr>
    </w:p>
    <w:p w:rsidR="007341EE" w:rsidRPr="00204531" w:rsidRDefault="007341EE" w:rsidP="00204531">
      <w:pPr>
        <w:pStyle w:val="Heading1"/>
      </w:pPr>
      <w:bookmarkStart w:id="5" w:name="_Toc133674533"/>
      <w:r w:rsidRPr="00204531">
        <w:t>Conclusions and Recommendations- Strategic implementation, monitoring and evaluation</w:t>
      </w:r>
      <w:bookmarkEnd w:id="5"/>
    </w:p>
    <w:p w:rsidR="00AA3391" w:rsidRPr="00204531" w:rsidRDefault="00AA3391" w:rsidP="00AA3391">
      <w:pPr>
        <w:rPr>
          <w:rFonts w:ascii="Arial" w:hAnsi="Arial" w:cs="Arial"/>
        </w:rPr>
      </w:pPr>
    </w:p>
    <w:p w:rsidR="007341EE" w:rsidRPr="00204531" w:rsidRDefault="007341EE" w:rsidP="007341E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In conclusion, the strategic analysis conducted for GreenThumb Landscaping using various models and frameworks has provided valuable insights into the company's internal capabilities, external environment, and growth opportunities. The SWOT analysis revealed the company's strengths in its strong reputation, skilled workforce, expertise in sustainable practices, and market presence. It also identified weaknesses such as limited geographic reach and technological integration. The PESTEL analysis highlighted the influence of political, economic, sociocultural, technological, environmental, and legal factors on GreenThumb Landscaping's operations. Porter's Five Forces analysis indicated moderate competition, with opportunities in sustainable practices and market growth.</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Based on the strategic option analysis using the Ansoff Matrix and Porter's Generic Strategies, three potential directions were identified: market penetration, product development, and market development. Considering the suitability, feasibility, and acceptability analysis, it is recommended that GreenThumb Landscaping focuses on product development. This option leverages the company's expertise in sustainable practices, addresses weaknesses, and aligns with market demand for innovative landscaping solutions.</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Stakeholder analysis using Mendelow's Stakeholder Matrix identified key stakeholders, including customers, employees, suppliers, the local community, government/regulatory bodies, and financial institutions. Effective stakeholder management is crucial for GreenThumb's success.</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 xml:space="preserve">By strategically focusing on product development, GreenThumb can differentiate itself from competitors and cater to the growing demand for environmentally-friendly landscaping solutions. This strategic direction offers several key benefits. Firstly, it allows the company to offer unique services that set it apart from competitors, attracting customers who value eco-friendly practices. This differentiation creates a competitive advantage, enabling GreenThumb to command premium pricing and gain market share. Secondly, product development enables market expansion by targeting new customer segments and capturing additional market share. By analyzing market trends and customer preferences, GreenThumb can identify emerging needs and develop tailored offerings. Thirdly, product development has the potential to increase revenue streams and profitability. By offering innovative solutions, GreenThumb can generate higher profit margins, enhancing its financial performance. Fourthly, product development enhances customer satisfaction by meeting evolving needs and preferences. By providing a wider range of services and staying ahead of industry trends, GreenThumb can improve customer satisfaction and build long-term relationships. Lastly, the strategic direction of product development aligns with GreenThumb's commitment to sustainability. By emphasizing eco-friendly practices, the </w:t>
      </w:r>
      <w:r w:rsidR="00161C0E" w:rsidRPr="00204531">
        <w:rPr>
          <w:rFonts w:ascii="Arial" w:hAnsi="Arial" w:cs="Arial"/>
        </w:rPr>
        <w:lastRenderedPageBreak/>
        <w:t>company can contribute to environmental conservation and attract environmentally-conscious customers who prioritize sustainable landscaping solutions.</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To successfully implement the recommended strategic direction, GreenThumb Landscaping should allocate resources for research and development (R&amp;D). R&amp;D is crucial for identifying customer needs, market trends, and innovative landscaping solutions. Investing in talent development is also important to enhance employees' skills and knowledge in sustainable landscaping practices. This ensures that the workforce is well-prepared to meet customer expectations. Additionally, effective marketing campaigns should be developed to raise awareness of the new services and highlight the company's unique value proposition. Collaborating with suppliers, industry experts, and other stakeholders can provide valuable insights and enhance the company's product offerings. Continuous improvement is necessary to regularly assess customer feedback, monitor market trends, and adapt the product development strategy accordingly to stay ahead of the competition.</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The proposed implementation timeline includes several stages. In the research and development (R&amp;D) phase (Month 1-2), market research is conducted to identify customer needs and emerging landscaping trends. Innovative solutions are explored and their feasibility and potential impact are assessed. Resources are allocated for R&amp;D activities. In the service development and testing phase (Month 3-4), new landscaping services are developed based on the findings from the research phase. The services are tested and refined to ensure their quality and effectiveness. Feedback from a select group of customers is gathered to validate the viability and appeal of the new offerings.</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In the internal training and skill development phase (Month 5-6), training programs are provided to employees to equip them with the necessary skills and knowledge to deliver the new services. This ensures that the workforce is well-prepared and capable of meeting customer expectations.</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During the marketing and promotion phase (Month 7-8), a comprehensive marketing strategy is developed to promote the new services. Marketing materials such as brochures, websites, and social media campaigns are created to raise awareness among existing and potential customers. Targeted marketing initiatives are implemented to reach specific customer segments.</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The official launch and rollout of the new services take place in the ninth month. This is accompanied by a promotional campaign to generate excitement and interest. Customer response is monitored, and feedback is gathered during the initial rollout phase. Any necessary adjustments or improvements are made based on customer feedback.</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 xml:space="preserve">Continuous monitoring and improvement are essential throughout the implementation process. Regularly monitoring customer satisfaction, market trends, and competitors' activities allows GreenThumb to make informed decisions and adapt the product development strategy accordingly. Gathering feedback from customers and making </w:t>
      </w:r>
      <w:r w:rsidR="00161C0E" w:rsidRPr="00204531">
        <w:rPr>
          <w:rFonts w:ascii="Arial" w:hAnsi="Arial" w:cs="Arial"/>
        </w:rPr>
        <w:lastRenderedPageBreak/>
        <w:t>adjustments to the new services based on their needs and preferences ensures ongoing customer satisfaction. Seeking opportunities for innovation and improvement helps GreenThumb stay ahead in the market and maintain its competitive edge.</w:t>
      </w:r>
    </w:p>
    <w:p w:rsidR="00161C0E" w:rsidRPr="00204531" w:rsidRDefault="00161C0E" w:rsidP="00161C0E">
      <w:pPr>
        <w:rPr>
          <w:rFonts w:ascii="Arial" w:hAnsi="Arial" w:cs="Arial"/>
        </w:rPr>
      </w:pPr>
    </w:p>
    <w:p w:rsidR="00161C0E"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It is important to note that the timeline provided is a general guideline and may vary based on the specific circumstances and resources available to GreenThumb Landscaping. Flexibility and adaptability are key to successful implementation. Regular evaluation of progress and adjustment of the timeline, as needed, will ensure a smooth transition to new services and maximize the opportunities for growth and success.</w:t>
      </w:r>
    </w:p>
    <w:p w:rsidR="00161C0E" w:rsidRPr="00204531" w:rsidRDefault="00161C0E" w:rsidP="00161C0E">
      <w:pPr>
        <w:rPr>
          <w:rFonts w:ascii="Arial" w:hAnsi="Arial" w:cs="Arial"/>
        </w:rPr>
      </w:pPr>
    </w:p>
    <w:p w:rsidR="00580515" w:rsidRPr="00204531" w:rsidRDefault="0024321B" w:rsidP="00161C0E">
      <w:pPr>
        <w:rPr>
          <w:rFonts w:ascii="Arial" w:hAnsi="Arial" w:cs="Arial"/>
        </w:rPr>
      </w:pPr>
      <w:r>
        <w:rPr>
          <w:rFonts w:ascii="Arial" w:hAnsi="Arial" w:cs="Arial"/>
        </w:rPr>
        <w:t xml:space="preserve">   </w:t>
      </w:r>
      <w:r w:rsidR="00161C0E" w:rsidRPr="00204531">
        <w:rPr>
          <w:rFonts w:ascii="Arial" w:hAnsi="Arial" w:cs="Arial"/>
        </w:rPr>
        <w:t>By following this strategic implementation process, GreenThumb Landscaping can effectively leverage product development as a strategic direction. This will enable the company to capitalize on its strengths, address weaknesses, and position itself as a leader in providing innovative and sustainable landscaping solutions. The proposed actions, including research and development, talent development, marketing and promotion, collaboration and partnerships, and continuous improvement, are crucial for successful implementation. By embracing product development, GreenThumb Landscaping can achieve long-term growth, enhance customer satisfaction, and contribute to a more sustainable environment.</w:t>
      </w:r>
    </w:p>
    <w:p w:rsidR="00580515" w:rsidRPr="00204531" w:rsidRDefault="00580515" w:rsidP="00580515">
      <w:pPr>
        <w:rPr>
          <w:rFonts w:ascii="Arial" w:hAnsi="Arial" w:cs="Arial"/>
        </w:rPr>
      </w:pPr>
    </w:p>
    <w:p w:rsidR="00580515" w:rsidRPr="00204531" w:rsidRDefault="00580515" w:rsidP="00F46F0C">
      <w:pPr>
        <w:rPr>
          <w:rFonts w:ascii="Arial" w:hAnsi="Arial" w:cs="Arial"/>
        </w:rPr>
      </w:pPr>
    </w:p>
    <w:p w:rsidR="00AA3391" w:rsidRPr="00204531" w:rsidRDefault="00AA3391" w:rsidP="00F46F0C">
      <w:pPr>
        <w:rPr>
          <w:rFonts w:ascii="Arial" w:hAnsi="Arial" w:cs="Arial"/>
        </w:rPr>
      </w:pPr>
    </w:p>
    <w:p w:rsidR="00AA3391" w:rsidRPr="00204531" w:rsidRDefault="00AA3391" w:rsidP="00F46F0C">
      <w:pPr>
        <w:rPr>
          <w:rFonts w:ascii="Arial" w:hAnsi="Arial" w:cs="Arial"/>
        </w:rPr>
      </w:pPr>
    </w:p>
    <w:p w:rsidR="00AA3391" w:rsidRPr="00204531" w:rsidRDefault="00AA3391" w:rsidP="00F46F0C">
      <w:pPr>
        <w:rPr>
          <w:rFonts w:ascii="Arial" w:hAnsi="Arial" w:cs="Arial"/>
        </w:rPr>
      </w:pPr>
    </w:p>
    <w:p w:rsidR="00AA3391" w:rsidRPr="00204531" w:rsidRDefault="00AA3391" w:rsidP="00F46F0C">
      <w:pPr>
        <w:rPr>
          <w:rFonts w:ascii="Arial" w:hAnsi="Arial" w:cs="Arial"/>
        </w:rPr>
      </w:pPr>
    </w:p>
    <w:p w:rsidR="00AA3391" w:rsidRPr="00204531" w:rsidRDefault="00AA3391" w:rsidP="00F46F0C">
      <w:pPr>
        <w:rPr>
          <w:rFonts w:ascii="Arial" w:hAnsi="Arial" w:cs="Arial"/>
        </w:rPr>
      </w:pPr>
    </w:p>
    <w:p w:rsidR="00AA3391" w:rsidRPr="00204531" w:rsidRDefault="00AA3391" w:rsidP="00F46F0C">
      <w:pPr>
        <w:rPr>
          <w:rFonts w:ascii="Arial" w:hAnsi="Arial" w:cs="Arial"/>
        </w:rPr>
      </w:pPr>
    </w:p>
    <w:p w:rsidR="00AA3391" w:rsidRDefault="00AA3391" w:rsidP="00F46F0C">
      <w:pPr>
        <w:rPr>
          <w:rFonts w:ascii="Arial" w:hAnsi="Arial" w:cs="Arial"/>
        </w:rPr>
      </w:pPr>
    </w:p>
    <w:p w:rsidR="00204531" w:rsidRDefault="00204531" w:rsidP="00F46F0C">
      <w:pPr>
        <w:rPr>
          <w:rFonts w:ascii="Arial" w:hAnsi="Arial" w:cs="Arial"/>
        </w:rPr>
      </w:pPr>
    </w:p>
    <w:p w:rsidR="00204531" w:rsidRDefault="00204531" w:rsidP="00F46F0C">
      <w:pPr>
        <w:rPr>
          <w:rFonts w:ascii="Arial" w:hAnsi="Arial" w:cs="Arial"/>
        </w:rPr>
      </w:pPr>
    </w:p>
    <w:p w:rsidR="00204531" w:rsidRDefault="00204531" w:rsidP="00F46F0C">
      <w:pPr>
        <w:rPr>
          <w:rFonts w:ascii="Arial" w:hAnsi="Arial" w:cs="Arial"/>
        </w:rPr>
      </w:pPr>
    </w:p>
    <w:p w:rsidR="00204531" w:rsidRDefault="00204531" w:rsidP="00F46F0C">
      <w:pPr>
        <w:rPr>
          <w:rFonts w:ascii="Arial" w:hAnsi="Arial" w:cs="Arial"/>
        </w:rPr>
      </w:pPr>
    </w:p>
    <w:p w:rsidR="00204531" w:rsidRDefault="00204531" w:rsidP="00F46F0C">
      <w:pPr>
        <w:rPr>
          <w:rFonts w:ascii="Arial" w:hAnsi="Arial" w:cs="Arial"/>
        </w:rPr>
      </w:pPr>
    </w:p>
    <w:p w:rsidR="00204531" w:rsidRDefault="00204531" w:rsidP="00F46F0C">
      <w:pPr>
        <w:rPr>
          <w:rFonts w:ascii="Arial" w:hAnsi="Arial" w:cs="Arial"/>
        </w:rPr>
      </w:pPr>
    </w:p>
    <w:p w:rsidR="00204531" w:rsidRDefault="00204531" w:rsidP="00F46F0C">
      <w:pPr>
        <w:rPr>
          <w:rFonts w:ascii="Arial" w:hAnsi="Arial" w:cs="Arial"/>
        </w:rPr>
      </w:pPr>
    </w:p>
    <w:p w:rsidR="00204531" w:rsidRPr="00204531" w:rsidRDefault="00204531" w:rsidP="00F46F0C">
      <w:pPr>
        <w:rPr>
          <w:rFonts w:ascii="Arial" w:hAnsi="Arial" w:cs="Arial"/>
        </w:rPr>
      </w:pPr>
    </w:p>
    <w:p w:rsidR="00AA3391" w:rsidRDefault="00AA3391" w:rsidP="00204531">
      <w:pPr>
        <w:pStyle w:val="Heading1"/>
      </w:pPr>
      <w:bookmarkStart w:id="6" w:name="_Toc133674534"/>
      <w:r w:rsidRPr="00204531">
        <w:lastRenderedPageBreak/>
        <w:t>References</w:t>
      </w:r>
      <w:bookmarkEnd w:id="6"/>
    </w:p>
    <w:p w:rsidR="009165E3" w:rsidRPr="009165E3" w:rsidRDefault="009165E3" w:rsidP="009165E3"/>
    <w:p w:rsidR="00AA3391" w:rsidRPr="00204531" w:rsidRDefault="00AA3391" w:rsidP="00F46F0C">
      <w:pPr>
        <w:rPr>
          <w:rFonts w:ascii="Arial" w:hAnsi="Arial" w:cs="Arial"/>
        </w:rPr>
      </w:pPr>
    </w:p>
    <w:p w:rsidR="00204531" w:rsidRPr="00204531" w:rsidRDefault="00204531" w:rsidP="00F46F0C">
      <w:pPr>
        <w:rPr>
          <w:rFonts w:ascii="Arial" w:hAnsi="Arial" w:cs="Arial"/>
        </w:rPr>
      </w:pPr>
      <w:r w:rsidRPr="00204531">
        <w:rPr>
          <w:rFonts w:ascii="Arial" w:hAnsi="Arial" w:cs="Arial"/>
        </w:rPr>
        <w:t>Hill, C. W., Jones, G. R., &amp; Schilling, M. A. (2021). Strategic management: Theory &amp; cases: An integrated approach. Cengage Learning.</w:t>
      </w:r>
    </w:p>
    <w:p w:rsidR="00204531" w:rsidRPr="00204531" w:rsidRDefault="00204531" w:rsidP="00F46F0C">
      <w:pPr>
        <w:rPr>
          <w:rFonts w:ascii="Arial" w:hAnsi="Arial" w:cs="Arial"/>
        </w:rPr>
      </w:pPr>
      <w:r w:rsidRPr="00204531">
        <w:rPr>
          <w:rFonts w:ascii="Arial" w:hAnsi="Arial" w:cs="Arial"/>
        </w:rPr>
        <w:t>Thompson, A. A., Peteraf, M. A., Gamble, J. E., &amp; Strickland, A. J. (2021). Crafting and executing strategy: The quest for competitive advantage: Concepts and cases. McGraw-Hill Education.</w:t>
      </w:r>
    </w:p>
    <w:p w:rsidR="00204531" w:rsidRPr="00204531" w:rsidRDefault="00204531" w:rsidP="00F46F0C">
      <w:pPr>
        <w:rPr>
          <w:rFonts w:ascii="Arial" w:hAnsi="Arial" w:cs="Arial"/>
        </w:rPr>
      </w:pPr>
      <w:r w:rsidRPr="00204531">
        <w:rPr>
          <w:rFonts w:ascii="Arial" w:hAnsi="Arial" w:cs="Arial"/>
        </w:rPr>
        <w:t>Barney, J. B., &amp; Hesterly, W. S. (2015). Strategic management and competitive advantage: Concepts and cases. Pearson.</w:t>
      </w:r>
    </w:p>
    <w:p w:rsidR="00204531" w:rsidRPr="00204531" w:rsidRDefault="00204531" w:rsidP="00F46F0C">
      <w:pPr>
        <w:rPr>
          <w:rFonts w:ascii="Arial" w:hAnsi="Arial" w:cs="Arial"/>
        </w:rPr>
      </w:pPr>
      <w:r w:rsidRPr="00204531">
        <w:rPr>
          <w:rFonts w:ascii="Arial" w:hAnsi="Arial" w:cs="Arial"/>
        </w:rPr>
        <w:t>David, F. R., &amp; David, F. R. (2017). Strategic management: A competitive advantage approach, concepts and cases. Pearson.</w:t>
      </w:r>
    </w:p>
    <w:p w:rsidR="00204531" w:rsidRPr="00204531" w:rsidRDefault="00204531" w:rsidP="00204531">
      <w:pPr>
        <w:rPr>
          <w:rFonts w:ascii="Arial" w:hAnsi="Arial" w:cs="Arial"/>
        </w:rPr>
      </w:pPr>
      <w:r w:rsidRPr="00204531">
        <w:rPr>
          <w:rFonts w:ascii="Arial" w:hAnsi="Arial" w:cs="Arial"/>
        </w:rPr>
        <w:t>Ireland, R. D., Hoskisson, R. E., &amp; Hitt, M. A. (2018). The management of strategy: Concepts and cases. Cengage Learning.</w:t>
      </w:r>
    </w:p>
    <w:p w:rsidR="00204531" w:rsidRPr="00204531" w:rsidRDefault="00204531" w:rsidP="00204531">
      <w:pPr>
        <w:rPr>
          <w:rFonts w:ascii="Arial" w:hAnsi="Arial" w:cs="Arial"/>
        </w:rPr>
      </w:pPr>
      <w:r w:rsidRPr="00204531">
        <w:rPr>
          <w:rFonts w:ascii="Arial" w:hAnsi="Arial" w:cs="Arial"/>
        </w:rPr>
        <w:t>Lumpkin, G. T., &amp; Dess, G. G. (2016). Strategic management: Concepts and cases. McGraw-Hill Education.</w:t>
      </w:r>
    </w:p>
    <w:p w:rsidR="00204531" w:rsidRPr="00204531" w:rsidRDefault="00204531" w:rsidP="00204531">
      <w:pPr>
        <w:rPr>
          <w:rFonts w:ascii="Arial" w:hAnsi="Arial" w:cs="Arial"/>
        </w:rPr>
      </w:pPr>
      <w:r w:rsidRPr="00204531">
        <w:rPr>
          <w:rFonts w:ascii="Arial" w:hAnsi="Arial" w:cs="Arial"/>
        </w:rPr>
        <w:t>Grant, R. M. (2016). Contemporary strategy analysis: Text and cases edition. Wiley.</w:t>
      </w:r>
    </w:p>
    <w:p w:rsidR="00204531" w:rsidRPr="00204531" w:rsidRDefault="00204531" w:rsidP="00204531">
      <w:pPr>
        <w:rPr>
          <w:rFonts w:ascii="Arial" w:hAnsi="Arial" w:cs="Arial"/>
        </w:rPr>
      </w:pPr>
      <w:r w:rsidRPr="00204531">
        <w:rPr>
          <w:rFonts w:ascii="Arial" w:hAnsi="Arial" w:cs="Arial"/>
        </w:rPr>
        <w:t>Johnson, G., Whittington, R., &amp; Scholes, K. (2017). Exploring strategy: Text and cases. Pearson.</w:t>
      </w:r>
    </w:p>
    <w:p w:rsidR="00204531" w:rsidRPr="00204531" w:rsidRDefault="00204531" w:rsidP="00204531">
      <w:pPr>
        <w:rPr>
          <w:rFonts w:ascii="Arial" w:hAnsi="Arial" w:cs="Arial"/>
        </w:rPr>
      </w:pPr>
      <w:r w:rsidRPr="00204531">
        <w:rPr>
          <w:rFonts w:ascii="Arial" w:hAnsi="Arial" w:cs="Arial"/>
        </w:rPr>
        <w:t>Wheelen, T. L., Hunger, J. D., Hoffman, A. N., &amp; Bamford, C. E. (2017). Strategic management and business policy: Globalization, innovation and sustainability. Pearson.</w:t>
      </w:r>
    </w:p>
    <w:p w:rsidR="00AA3391" w:rsidRDefault="00AA3391" w:rsidP="00F46F0C">
      <w:pPr>
        <w:rPr>
          <w:rFonts w:ascii="Arial" w:hAnsi="Arial" w:cs="Arial"/>
        </w:rPr>
      </w:pPr>
    </w:p>
    <w:p w:rsidR="00F46F0C" w:rsidRDefault="00F46F0C" w:rsidP="00F46F0C">
      <w:pPr>
        <w:rPr>
          <w:rFonts w:ascii="Arial" w:hAnsi="Arial" w:cs="Arial"/>
        </w:rPr>
      </w:pPr>
    </w:p>
    <w:p w:rsidR="00F46F0C" w:rsidRDefault="00F46F0C" w:rsidP="00F46F0C">
      <w:pPr>
        <w:rPr>
          <w:rFonts w:ascii="Arial" w:hAnsi="Arial" w:cs="Arial"/>
        </w:rPr>
      </w:pPr>
    </w:p>
    <w:p w:rsidR="00F46F0C" w:rsidRDefault="00F46F0C" w:rsidP="00F46F0C">
      <w:pPr>
        <w:rPr>
          <w:rFonts w:ascii="Arial" w:hAnsi="Arial" w:cs="Arial"/>
        </w:rPr>
      </w:pPr>
    </w:p>
    <w:p w:rsidR="00605DD8" w:rsidRDefault="00605DD8" w:rsidP="00605DD8">
      <w:pPr>
        <w:rPr>
          <w:rFonts w:ascii="Arial" w:hAnsi="Arial" w:cs="Arial"/>
        </w:rPr>
      </w:pPr>
    </w:p>
    <w:p w:rsidR="00605DD8" w:rsidRPr="00605DD8" w:rsidRDefault="00605DD8" w:rsidP="00605DD8">
      <w:pPr>
        <w:rPr>
          <w:rFonts w:ascii="Arial" w:hAnsi="Arial" w:cs="Arial"/>
        </w:rPr>
      </w:pPr>
    </w:p>
    <w:sectPr w:rsidR="00605DD8" w:rsidRPr="00605DD8" w:rsidSect="00605D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AFD" w:rsidRDefault="00B02AFD" w:rsidP="00AA3391">
      <w:pPr>
        <w:spacing w:after="0" w:line="240" w:lineRule="auto"/>
      </w:pPr>
      <w:r>
        <w:separator/>
      </w:r>
    </w:p>
  </w:endnote>
  <w:endnote w:type="continuationSeparator" w:id="0">
    <w:p w:rsidR="00B02AFD" w:rsidRDefault="00B02AFD" w:rsidP="00AA3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34688"/>
      <w:docPartObj>
        <w:docPartGallery w:val="Page Numbers (Bottom of Page)"/>
        <w:docPartUnique/>
      </w:docPartObj>
    </w:sdtPr>
    <w:sdtEndPr>
      <w:rPr>
        <w:noProof/>
      </w:rPr>
    </w:sdtEndPr>
    <w:sdtContent>
      <w:p w:rsidR="00AA3391" w:rsidRDefault="00AA3391">
        <w:pPr>
          <w:pStyle w:val="Footer"/>
          <w:jc w:val="right"/>
        </w:pPr>
        <w:r>
          <w:fldChar w:fldCharType="begin"/>
        </w:r>
        <w:r>
          <w:instrText xml:space="preserve"> PAGE   \* MERGEFORMAT </w:instrText>
        </w:r>
        <w:r>
          <w:fldChar w:fldCharType="separate"/>
        </w:r>
        <w:r w:rsidR="00FC7050">
          <w:rPr>
            <w:noProof/>
          </w:rPr>
          <w:t>3</w:t>
        </w:r>
        <w:r>
          <w:rPr>
            <w:noProof/>
          </w:rPr>
          <w:fldChar w:fldCharType="end"/>
        </w:r>
      </w:p>
    </w:sdtContent>
  </w:sdt>
  <w:p w:rsidR="00AA3391" w:rsidRDefault="00AA3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AFD" w:rsidRDefault="00B02AFD" w:rsidP="00AA3391">
      <w:pPr>
        <w:spacing w:after="0" w:line="240" w:lineRule="auto"/>
      </w:pPr>
      <w:r>
        <w:separator/>
      </w:r>
    </w:p>
  </w:footnote>
  <w:footnote w:type="continuationSeparator" w:id="0">
    <w:p w:rsidR="00B02AFD" w:rsidRDefault="00B02AFD" w:rsidP="00AA33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F2EE7"/>
    <w:multiLevelType w:val="multilevel"/>
    <w:tmpl w:val="227693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DD8"/>
    <w:rsid w:val="00037B6C"/>
    <w:rsid w:val="00161C0E"/>
    <w:rsid w:val="00204531"/>
    <w:rsid w:val="0024321B"/>
    <w:rsid w:val="00350960"/>
    <w:rsid w:val="00580515"/>
    <w:rsid w:val="00605DD8"/>
    <w:rsid w:val="007341EE"/>
    <w:rsid w:val="009165E3"/>
    <w:rsid w:val="00AA3391"/>
    <w:rsid w:val="00B02AFD"/>
    <w:rsid w:val="00DC5B85"/>
    <w:rsid w:val="00F46F0C"/>
    <w:rsid w:val="00FC7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C511"/>
  <w15:chartTrackingRefBased/>
  <w15:docId w15:val="{D9C1ABDF-E7E9-4DBF-B2CB-701D9F392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33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5D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5DD8"/>
    <w:rPr>
      <w:rFonts w:eastAsiaTheme="minorEastAsia"/>
      <w:lang w:val="en-US"/>
    </w:rPr>
  </w:style>
  <w:style w:type="character" w:customStyle="1" w:styleId="Heading1Char">
    <w:name w:val="Heading 1 Char"/>
    <w:basedOn w:val="DefaultParagraphFont"/>
    <w:link w:val="Heading1"/>
    <w:uiPriority w:val="9"/>
    <w:rsid w:val="00AA339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A3391"/>
    <w:pPr>
      <w:outlineLvl w:val="9"/>
    </w:pPr>
    <w:rPr>
      <w:lang w:val="en-US"/>
    </w:rPr>
  </w:style>
  <w:style w:type="paragraph" w:styleId="TOC1">
    <w:name w:val="toc 1"/>
    <w:basedOn w:val="Normal"/>
    <w:next w:val="Normal"/>
    <w:autoRedefine/>
    <w:uiPriority w:val="39"/>
    <w:unhideWhenUsed/>
    <w:rsid w:val="00AA3391"/>
    <w:pPr>
      <w:spacing w:after="100"/>
    </w:pPr>
  </w:style>
  <w:style w:type="character" w:styleId="Hyperlink">
    <w:name w:val="Hyperlink"/>
    <w:basedOn w:val="DefaultParagraphFont"/>
    <w:uiPriority w:val="99"/>
    <w:unhideWhenUsed/>
    <w:rsid w:val="00AA3391"/>
    <w:rPr>
      <w:color w:val="0563C1" w:themeColor="hyperlink"/>
      <w:u w:val="single"/>
    </w:rPr>
  </w:style>
  <w:style w:type="paragraph" w:styleId="Header">
    <w:name w:val="header"/>
    <w:basedOn w:val="Normal"/>
    <w:link w:val="HeaderChar"/>
    <w:uiPriority w:val="99"/>
    <w:unhideWhenUsed/>
    <w:rsid w:val="00AA3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391"/>
  </w:style>
  <w:style w:type="paragraph" w:styleId="Footer">
    <w:name w:val="footer"/>
    <w:basedOn w:val="Normal"/>
    <w:link w:val="FooterChar"/>
    <w:uiPriority w:val="99"/>
    <w:unhideWhenUsed/>
    <w:rsid w:val="00AA3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917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1201D-2239-4B17-B316-905A4AE0C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6074</Words>
  <Characters>34625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Enac</dc:creator>
  <cp:keywords/>
  <dc:description/>
  <cp:lastModifiedBy>Ioan Enache</cp:lastModifiedBy>
  <cp:revision>2</cp:revision>
  <dcterms:created xsi:type="dcterms:W3CDTF">2023-04-29T12:42:00Z</dcterms:created>
  <dcterms:modified xsi:type="dcterms:W3CDTF">2023-04-29T15:06:00Z</dcterms:modified>
</cp:coreProperties>
</file>