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87F20D1" w14:textId="77777777" w:rsidR="00B07440" w:rsidRPr="00F2329E" w:rsidRDefault="00372765">
      <w:pPr>
        <w:rPr>
          <w:b/>
        </w:rPr>
      </w:pPr>
      <w:r w:rsidRPr="00F2329E">
        <w:rPr>
          <w:b/>
        </w:rPr>
        <w:t>City of gods</w:t>
      </w:r>
      <w:r w:rsidR="00F2329E" w:rsidRPr="00F2329E">
        <w:rPr>
          <w:b/>
        </w:rPr>
        <w:t xml:space="preserve"> - </w:t>
      </w:r>
      <w:r w:rsidRPr="00F2329E">
        <w:rPr>
          <w:b/>
        </w:rPr>
        <w:t xml:space="preserve"> take home exam 19/01/2018</w:t>
      </w:r>
    </w:p>
    <w:p w14:paraId="001ABAE9" w14:textId="77777777" w:rsidR="00372765" w:rsidRDefault="00372765"/>
    <w:p w14:paraId="1C812CFA" w14:textId="77777777" w:rsidR="00372765" w:rsidRDefault="00372765"/>
    <w:p w14:paraId="22A72C5E" w14:textId="77777777" w:rsidR="00372765" w:rsidRPr="00F2329E" w:rsidRDefault="00372765">
      <w:pPr>
        <w:rPr>
          <w:b/>
        </w:rPr>
      </w:pPr>
      <w:r w:rsidRPr="00F2329E">
        <w:rPr>
          <w:b/>
        </w:rPr>
        <w:t>W</w:t>
      </w:r>
      <w:r w:rsidR="00924597" w:rsidRPr="00F2329E">
        <w:rPr>
          <w:b/>
        </w:rPr>
        <w:t>as the Roman Household Fundamentally R</w:t>
      </w:r>
      <w:r w:rsidRPr="00F2329E">
        <w:rPr>
          <w:b/>
        </w:rPr>
        <w:t>eligious?</w:t>
      </w:r>
      <w:r w:rsidR="00924597" w:rsidRPr="00F2329E">
        <w:rPr>
          <w:b/>
        </w:rPr>
        <w:t xml:space="preserve"> and how did this Impact on the Relationships W</w:t>
      </w:r>
      <w:r w:rsidRPr="00F2329E">
        <w:rPr>
          <w:b/>
        </w:rPr>
        <w:t>ithin?</w:t>
      </w:r>
    </w:p>
    <w:p w14:paraId="025DE732" w14:textId="77777777" w:rsidR="00924597" w:rsidRDefault="00924597">
      <w:bookmarkStart w:id="0" w:name="_GoBack"/>
      <w:bookmarkEnd w:id="0"/>
    </w:p>
    <w:p w14:paraId="677B22DB" w14:textId="77777777" w:rsidR="00924597" w:rsidRDefault="00956566">
      <w:r>
        <w:t xml:space="preserve">For this essay, I wish to first define religion and the role it played in the household before I can assess the fundamental nature of this. </w:t>
      </w:r>
      <w:r w:rsidR="002E6424">
        <w:t xml:space="preserve">When discussing religion in class the very first thing we attempted to do was define religion – as I quickly learned there is a vast difference to modern religion and to religion in antiquity. </w:t>
      </w:r>
      <w:r w:rsidR="00CF4E6A">
        <w:t>As Rives says religion was widely described in our class as ‘a conception of, reverence for, and desire to please or live in harmony with some superhuman force as expressed through specific beliefs, principals, and actions’</w:t>
      </w:r>
      <w:r w:rsidR="007E0817">
        <w:rPr>
          <w:rStyle w:val="FootnoteReference"/>
        </w:rPr>
        <w:footnoteReference w:id="1"/>
      </w:r>
      <w:r w:rsidR="007E0817">
        <w:t xml:space="preserve"> from this in class we discussed and discovered the vast difference between the functionality of modern and ancient religion, this being that there is almost no differentiation between </w:t>
      </w:r>
      <w:r w:rsidR="00971E47">
        <w:t>every day</w:t>
      </w:r>
      <w:r w:rsidR="007E0817">
        <w:t xml:space="preserve"> or ordinary life and religion </w:t>
      </w:r>
      <w:r w:rsidR="00971E47">
        <w:t xml:space="preserve">in antiquity. This has changed my view on religion in that the way modern religions exist almost separately and creating the sphere of those who are not religious at all, thus in antiquity with the two spheres being entirely intertwined can the Roman household be anything other than fundamentally religious. Then there is the aspect of the </w:t>
      </w:r>
      <w:r w:rsidR="005F1A51">
        <w:t>religion</w:t>
      </w:r>
      <w:r w:rsidR="00971E47">
        <w:t xml:space="preserve"> within the </w:t>
      </w:r>
      <w:r w:rsidR="005F1A51">
        <w:t>household</w:t>
      </w:r>
      <w:r w:rsidR="00971E47">
        <w:t xml:space="preserve"> effecting those within it, though religion was in no way separate there was a much less importance in worshiping in a very specific way yet the pressures of appearing and of being religious in the public sphere as a household. </w:t>
      </w:r>
    </w:p>
    <w:p w14:paraId="79F52684" w14:textId="77777777" w:rsidR="00971E47" w:rsidRDefault="00971E47"/>
    <w:p w14:paraId="4CD38991" w14:textId="77777777" w:rsidR="00971E47" w:rsidRDefault="001203BE">
      <w:r>
        <w:t xml:space="preserve">First I will discuss the nature of the Roman </w:t>
      </w:r>
      <w:r w:rsidR="00D94E69">
        <w:t xml:space="preserve">household or the Pater </w:t>
      </w:r>
      <w:proofErr w:type="spellStart"/>
      <w:r w:rsidR="00D94E69">
        <w:t>F</w:t>
      </w:r>
      <w:r>
        <w:t>amilias</w:t>
      </w:r>
      <w:proofErr w:type="spellEnd"/>
      <w:r>
        <w:t xml:space="preserve"> as it is frequently called, directly meaning the male head </w:t>
      </w:r>
      <w:r w:rsidR="005F1A51">
        <w:t>of the family, this term bore</w:t>
      </w:r>
      <w:r>
        <w:t xml:space="preserve"> great significan</w:t>
      </w:r>
      <w:r w:rsidR="00956566">
        <w:t xml:space="preserve">ce on the running of the family and the power systems in place there. In </w:t>
      </w:r>
      <w:r w:rsidR="005F1A51">
        <w:t>class,</w:t>
      </w:r>
      <w:r w:rsidR="00956566">
        <w:t xml:space="preserve"> we discussed </w:t>
      </w:r>
      <w:r w:rsidR="005F1A51">
        <w:t>Aristotle’s</w:t>
      </w:r>
      <w:r w:rsidR="00956566">
        <w:t xml:space="preserve"> conception of the three basic roles within the household, these being master and slave, husband and wife, father and children with the former of each </w:t>
      </w:r>
      <w:proofErr w:type="gramStart"/>
      <w:r w:rsidR="00956566">
        <w:t>being seen as</w:t>
      </w:r>
      <w:proofErr w:type="gramEnd"/>
      <w:r w:rsidR="00956566">
        <w:t xml:space="preserve"> the superior. </w:t>
      </w:r>
      <w:r w:rsidR="008B5BF1">
        <w:t>This addresses to me not only the misogynistic nature of life but also that the Roman family truly was controlled by the father, naturally this may vary from family to family but none the less it is clear women were very infrequently in charge of their own lives</w:t>
      </w:r>
      <w:r w:rsidR="005F1A51">
        <w:t xml:space="preserve"> passing from their father directly to their husband and back to the father if widowed</w:t>
      </w:r>
      <w:r w:rsidR="008B5BF1">
        <w:t>. It would be hard to say whether this practice was fundamentally religious but through myth and poetry such as the Aeneid we see very much this focus on the</w:t>
      </w:r>
      <w:r w:rsidR="005F1A51">
        <w:t xml:space="preserve"> male head of a family through A</w:t>
      </w:r>
      <w:r w:rsidR="008B5BF1">
        <w:t xml:space="preserve">eneas and the role played in propaganda towards piety and its </w:t>
      </w:r>
      <w:r w:rsidR="005F1A51">
        <w:t>enforcement</w:t>
      </w:r>
      <w:r w:rsidR="008B5BF1">
        <w:t xml:space="preserve"> on how a man should live and run his household with ultimate respect to the father</w:t>
      </w:r>
      <w:r w:rsidR="005F1A51">
        <w:t xml:space="preserve">, to the gods and to his family. Of course, the epic poems are not strictly religious material, though commissioned by emperors who were religious figures </w:t>
      </w:r>
      <w:proofErr w:type="gramStart"/>
      <w:r w:rsidR="005F1A51">
        <w:t>in their own right and</w:t>
      </w:r>
      <w:proofErr w:type="gramEnd"/>
      <w:r w:rsidR="005F1A51">
        <w:t xml:space="preserve"> strongly referencing the importance of the gods in the lives of theses heroes, and by extension again in everyday life. </w:t>
      </w:r>
    </w:p>
    <w:p w14:paraId="6A516401" w14:textId="77777777" w:rsidR="00286EE1" w:rsidRDefault="00286EE1"/>
    <w:p w14:paraId="4F765C85" w14:textId="77777777" w:rsidR="00286EE1" w:rsidRDefault="006E0C20">
      <w:r>
        <w:t xml:space="preserve">As main figures of the household cult Rives identifies the family dead and the </w:t>
      </w:r>
      <w:r w:rsidR="004F2C35">
        <w:t>household gods</w:t>
      </w:r>
      <w:r w:rsidR="004F2C35">
        <w:rPr>
          <w:rStyle w:val="FootnoteReference"/>
        </w:rPr>
        <w:footnoteReference w:id="2"/>
      </w:r>
      <w:r w:rsidR="004F2C35">
        <w:t xml:space="preserve">. The familial dead were of great importance to a family especially those in aristocratic </w:t>
      </w:r>
      <w:r w:rsidR="004F2C35">
        <w:lastRenderedPageBreak/>
        <w:t xml:space="preserve">or elite families as they helped to maintain the </w:t>
      </w:r>
      <w:r w:rsidR="00D94E69">
        <w:t>family’s</w:t>
      </w:r>
      <w:r w:rsidR="004F2C35">
        <w:t xml:space="preserve"> identity over many years</w:t>
      </w:r>
      <w:r w:rsidR="004F2C35">
        <w:rPr>
          <w:rStyle w:val="FootnoteReference"/>
        </w:rPr>
        <w:footnoteReference w:id="3"/>
      </w:r>
      <w:r w:rsidR="00D95549">
        <w:t>, the fam</w:t>
      </w:r>
      <w:r w:rsidR="00841ACA">
        <w:t xml:space="preserve">ily were expected to </w:t>
      </w:r>
      <w:r w:rsidR="00432FA9">
        <w:t>honour</w:t>
      </w:r>
      <w:r w:rsidR="00841ACA">
        <w:t xml:space="preserve"> this person for man</w:t>
      </w:r>
      <w:r w:rsidR="009A6758">
        <w:t>y years with regular offerings</w:t>
      </w:r>
      <w:r w:rsidR="009A6758">
        <w:rPr>
          <w:rStyle w:val="FootnoteReference"/>
        </w:rPr>
        <w:footnoteReference w:id="4"/>
      </w:r>
      <w:r w:rsidR="009A6758">
        <w:t xml:space="preserve">. The festival of Parentalia lasted nine days of February and was the time families were expected to make offering to their dead, </w:t>
      </w:r>
      <w:proofErr w:type="gramStart"/>
      <w:r w:rsidR="009A6758">
        <w:t>Rives</w:t>
      </w:r>
      <w:proofErr w:type="gramEnd"/>
      <w:r w:rsidR="009A6758">
        <w:t xml:space="preserve"> notes that similar festivals took place elsewhere in the empire</w:t>
      </w:r>
      <w:r w:rsidR="009A6758">
        <w:rPr>
          <w:rStyle w:val="FootnoteReference"/>
        </w:rPr>
        <w:footnoteReference w:id="5"/>
      </w:r>
      <w:r w:rsidR="009A6758">
        <w:t xml:space="preserve">. </w:t>
      </w:r>
      <w:r w:rsidR="00677C95">
        <w:t xml:space="preserve">This part of familial life is </w:t>
      </w:r>
      <w:r w:rsidR="00432FA9">
        <w:t>undoubtedly</w:t>
      </w:r>
      <w:r w:rsidR="00677C95">
        <w:t xml:space="preserve"> religious and is yet again not </w:t>
      </w:r>
      <w:r w:rsidR="00432FA9">
        <w:t>separable</w:t>
      </w:r>
      <w:r w:rsidR="00677C95">
        <w:t xml:space="preserve"> from daily life with shrines in houses and the social expectation</w:t>
      </w:r>
      <w:r w:rsidR="008C7594">
        <w:t xml:space="preserve"> to partake in a festival, certainly not revering ones family dead would not be looked upon kindly and would result in animosity from others</w:t>
      </w:r>
      <w:r w:rsidR="00EB3CCF">
        <w:t xml:space="preserve">, although there was little </w:t>
      </w:r>
      <w:r w:rsidR="00D02584">
        <w:t>interference</w:t>
      </w:r>
      <w:r w:rsidR="00EB3CCF">
        <w:t xml:space="preserve"> from authorities regarding religion within the household, the Pontifices used some of his power to </w:t>
      </w:r>
      <w:r w:rsidR="00D02584">
        <w:t>intervene</w:t>
      </w:r>
      <w:r w:rsidR="00EB3CCF">
        <w:t xml:space="preserve"> in burial laws and the inheritance of religious duties</w:t>
      </w:r>
      <w:r w:rsidR="00EB3CCF">
        <w:rPr>
          <w:rStyle w:val="FootnoteReference"/>
        </w:rPr>
        <w:footnoteReference w:id="6"/>
      </w:r>
      <w:r w:rsidR="00D02584">
        <w:t xml:space="preserve"> this furthers Rives point that household and civic cults were different yet parallel and important to the other</w:t>
      </w:r>
      <w:r w:rsidR="008C7594">
        <w:t xml:space="preserve">. </w:t>
      </w:r>
    </w:p>
    <w:p w14:paraId="0AC83236" w14:textId="77777777" w:rsidR="006D343B" w:rsidRDefault="006D343B"/>
    <w:p w14:paraId="3D3AF791" w14:textId="77777777" w:rsidR="006D343B" w:rsidRDefault="006D343B">
      <w:r>
        <w:t>Another part of the household cult was the hou</w:t>
      </w:r>
      <w:r w:rsidR="005170A3">
        <w:t>sehold gods, most commonly the Lares and the P</w:t>
      </w:r>
      <w:r>
        <w:t>enates</w:t>
      </w:r>
      <w:r w:rsidR="005170A3">
        <w:t>, these deities are known to be the protectors or guardians of the household and the roles of the Lares or singular Lar are much less specific as they also stand as guardians of crossroads</w:t>
      </w:r>
      <w:r w:rsidR="005170A3">
        <w:rPr>
          <w:rStyle w:val="FootnoteReference"/>
        </w:rPr>
        <w:footnoteReference w:id="7"/>
      </w:r>
      <w:r w:rsidR="005170A3">
        <w:t xml:space="preserve">. The Lares also seem to have been part of rituals of growing up and symbols of reaching adulthood such as girls dedicating their childhood toys and clothing to the lar when they were to be married and boys leaving objects from their childhood upon reaching adulthood. </w:t>
      </w:r>
      <w:r w:rsidR="00432FA9">
        <w:t xml:space="preserve">Additionally, popular household god was Vesta, the goddess of the hearth, many houses had small shrines with cornucopia to allow for offerings within the home. Again, this is obviously an example of households being tied to religion but </w:t>
      </w:r>
      <w:proofErr w:type="gramStart"/>
      <w:r w:rsidR="00432FA9">
        <w:t>it is clear that these</w:t>
      </w:r>
      <w:proofErr w:type="gramEnd"/>
      <w:r w:rsidR="00432FA9">
        <w:t xml:space="preserve"> gods were specific for the home further emphasising my earlier point of the spheres of ordinary life and religion being entirely intertwined. </w:t>
      </w:r>
      <w:r w:rsidR="00D02584">
        <w:t xml:space="preserve">This said the household was not restricted in its worship, there are instances of domestic shrines dedicated to Jupiter, Fortuna and Hercules among others, small statues have been found all over the Roman empire these are thought to have been part of household shrines, </w:t>
      </w:r>
      <w:proofErr w:type="gramStart"/>
      <w:r w:rsidR="00D02584">
        <w:t>Rives</w:t>
      </w:r>
      <w:proofErr w:type="gramEnd"/>
      <w:r w:rsidR="00D02584">
        <w:t xml:space="preserve"> argues here that these figures may just be art but if we consider the thin line between art and religion in that art being part of everyday life just as religion is, we cannot separate the two</w:t>
      </w:r>
      <w:r w:rsidR="00D02584">
        <w:rPr>
          <w:rStyle w:val="FootnoteReference"/>
        </w:rPr>
        <w:footnoteReference w:id="8"/>
      </w:r>
      <w:r w:rsidR="00D02584">
        <w:t>.</w:t>
      </w:r>
    </w:p>
    <w:p w14:paraId="1A384720" w14:textId="77777777" w:rsidR="00FC1AB9" w:rsidRDefault="00FC1AB9"/>
    <w:p w14:paraId="7C0D5B1B" w14:textId="77777777" w:rsidR="00F23306" w:rsidRDefault="00D94CAB">
      <w:r>
        <w:t xml:space="preserve">Marriage in the Roman world was naturally a religious event, however </w:t>
      </w:r>
      <w:r w:rsidR="00C7062D">
        <w:t>sources</w:t>
      </w:r>
      <w:r>
        <w:t xml:space="preserve"> we have about </w:t>
      </w:r>
      <w:r w:rsidR="00C7062D">
        <w:t>marriage</w:t>
      </w:r>
      <w:r>
        <w:t xml:space="preserve"> imply that certainly in late antiquity marriage </w:t>
      </w:r>
      <w:proofErr w:type="gramStart"/>
      <w:r>
        <w:t>was seen as</w:t>
      </w:r>
      <w:proofErr w:type="gramEnd"/>
      <w:r>
        <w:t xml:space="preserve"> more of a legal contract rather than a ceremonious rite symbolic of love and cherishing another person. I suspect this is due to the patriarchal nature of society, the rite becoming a contract between a </w:t>
      </w:r>
      <w:proofErr w:type="spellStart"/>
      <w:proofErr w:type="gramStart"/>
      <w:r>
        <w:t>brides</w:t>
      </w:r>
      <w:proofErr w:type="spellEnd"/>
      <w:proofErr w:type="gramEnd"/>
      <w:r>
        <w:t xml:space="preserve"> father and a grooms father, nay the groom himself if he were older and already was a pater </w:t>
      </w:r>
      <w:proofErr w:type="spellStart"/>
      <w:r w:rsidR="00D628CF">
        <w:t>familias</w:t>
      </w:r>
      <w:proofErr w:type="spellEnd"/>
      <w:r>
        <w:rPr>
          <w:rStyle w:val="FootnoteReference"/>
        </w:rPr>
        <w:footnoteReference w:id="9"/>
      </w:r>
      <w:r w:rsidR="00BA17F3">
        <w:t xml:space="preserve">. </w:t>
      </w:r>
      <w:r w:rsidR="00AF1FF8">
        <w:t xml:space="preserve">From warriors book I am looking at Livy 1. 9.14 this comes from </w:t>
      </w:r>
      <w:r w:rsidR="00D628CF">
        <w:t>Livy’s</w:t>
      </w:r>
      <w:r w:rsidR="00AF1FF8">
        <w:t xml:space="preserve"> retelling of the rape of the </w:t>
      </w:r>
      <w:r w:rsidR="00D628CF">
        <w:t>Sabine</w:t>
      </w:r>
      <w:r w:rsidR="00AF1FF8">
        <w:t xml:space="preserve"> women, </w:t>
      </w:r>
      <w:r w:rsidR="00D628CF">
        <w:t xml:space="preserve">he suggests that the </w:t>
      </w:r>
      <w:r w:rsidR="00D94E69">
        <w:t>reluctant</w:t>
      </w:r>
      <w:r w:rsidR="00D628CF">
        <w:t xml:space="preserve"> women would ‘enjoy partnership in all of their fortunes, of citizenship and of children, the dearest thing that there is for human beings’</w:t>
      </w:r>
      <w:r w:rsidR="00EB3CCF">
        <w:rPr>
          <w:rStyle w:val="FootnoteReference"/>
        </w:rPr>
        <w:footnoteReference w:id="10"/>
      </w:r>
      <w:r w:rsidR="00D628CF">
        <w:t xml:space="preserve"> it is astounding that </w:t>
      </w:r>
      <w:r w:rsidR="006F51B6">
        <w:t xml:space="preserve">Livy suggests </w:t>
      </w:r>
      <w:r w:rsidR="00D628CF">
        <w:t xml:space="preserve">women who have been kidnapped </w:t>
      </w:r>
      <w:r w:rsidR="006F51B6">
        <w:t xml:space="preserve">and will be/have been raped will find joy because they will be married and bare children, suggesting that </w:t>
      </w:r>
      <w:r w:rsidR="00425150">
        <w:t>to Romans there was no choice in marriage and that it was certainly not about love as we find in modern society but rather a contract, necessity and a certainty.</w:t>
      </w:r>
      <w:r w:rsidR="00D02584">
        <w:t xml:space="preserve"> Plutarch even suggests that women should not pursue their own religious </w:t>
      </w:r>
      <w:r w:rsidR="00D94E69">
        <w:t>interests</w:t>
      </w:r>
      <w:r w:rsidR="00D02584">
        <w:t xml:space="preserve"> but only those of her husband and insists that a god would hold no favour in a woman who performs ‘stolen and secret rites’</w:t>
      </w:r>
      <w:r w:rsidR="00D02584">
        <w:rPr>
          <w:rStyle w:val="FootnoteReference"/>
        </w:rPr>
        <w:footnoteReference w:id="11"/>
      </w:r>
      <w:r w:rsidR="00D02584">
        <w:t xml:space="preserve"> following this Rives suggests that </w:t>
      </w:r>
      <w:r w:rsidR="00D94E69">
        <w:t>Plutarch’s</w:t>
      </w:r>
      <w:r w:rsidR="00D02584">
        <w:t xml:space="preserve"> </w:t>
      </w:r>
      <w:r w:rsidR="00D94E69">
        <w:t>instance</w:t>
      </w:r>
      <w:r w:rsidR="00D02584">
        <w:t xml:space="preserve"> may reveal that it was not uncommon nor </w:t>
      </w:r>
      <w:r w:rsidR="00D94E69">
        <w:t>disagreed</w:t>
      </w:r>
      <w:r w:rsidR="00D02584">
        <w:t xml:space="preserve"> with that subservient members of the household did pursue their religious freedom. It does however encapsulate the idea that the household was </w:t>
      </w:r>
      <w:r w:rsidR="00D94E69">
        <w:t>a ‘corporate body with defined roles and hierarchy’</w:t>
      </w:r>
      <w:r w:rsidR="00D94E69">
        <w:rPr>
          <w:rStyle w:val="FootnoteReference"/>
        </w:rPr>
        <w:footnoteReference w:id="12"/>
      </w:r>
      <w:r w:rsidR="00D94E69">
        <w:t>.</w:t>
      </w:r>
    </w:p>
    <w:p w14:paraId="276D1BC3" w14:textId="77777777" w:rsidR="005C61A1" w:rsidRDefault="005C61A1"/>
    <w:p w14:paraId="1FCED28C" w14:textId="77777777" w:rsidR="00FC1AB9" w:rsidRDefault="005C61A1">
      <w:r>
        <w:t xml:space="preserve">To Roman people the point of </w:t>
      </w:r>
      <w:r w:rsidR="00984F9C">
        <w:t>marriage was to continue the family line</w:t>
      </w:r>
      <w:proofErr w:type="gramStart"/>
      <w:r w:rsidR="00984F9C">
        <w:t>, that is to say, bare</w:t>
      </w:r>
      <w:proofErr w:type="gramEnd"/>
      <w:r w:rsidR="00984F9C">
        <w:t xml:space="preserve"> children, considered the main role of a woman and of great importance to fathers to have sons so as to continue the name and take over the household. It is regarded by Cicero that it was essential for heirs to continue family cults, however it is not evident that this connects to religion, but was rather a </w:t>
      </w:r>
      <w:proofErr w:type="gramStart"/>
      <w:r w:rsidR="00984F9C">
        <w:t>more base</w:t>
      </w:r>
      <w:proofErr w:type="gramEnd"/>
      <w:r w:rsidR="00984F9C">
        <w:t xml:space="preserve"> requirement or desire to continue the survival of family and of peoples in general.</w:t>
      </w:r>
      <w:r w:rsidR="0039161D">
        <w:t xml:space="preserve"> One source from the warrior text 3.8 </w:t>
      </w:r>
      <w:proofErr w:type="spellStart"/>
      <w:r w:rsidR="0039161D">
        <w:t>Oxyrhynchus</w:t>
      </w:r>
      <w:proofErr w:type="spellEnd"/>
      <w:r w:rsidR="0039161D">
        <w:t xml:space="preserve"> Papyri 744 shows us a father working away from home in Alexandria which despite its positive tone instructs the mother/wife to expose her unborn child if it is born before he returns and is a female</w:t>
      </w:r>
      <w:r w:rsidR="00EB3CCF">
        <w:rPr>
          <w:rStyle w:val="FootnoteReference"/>
        </w:rPr>
        <w:footnoteReference w:id="13"/>
      </w:r>
      <w:r w:rsidR="0039161D">
        <w:t xml:space="preserve"> this </w:t>
      </w:r>
      <w:proofErr w:type="gramStart"/>
      <w:r w:rsidR="0039161D">
        <w:t>serves to show</w:t>
      </w:r>
      <w:proofErr w:type="gramEnd"/>
      <w:r w:rsidR="0039161D">
        <w:t xml:space="preserve"> us the importance of having a son to the Romans </w:t>
      </w:r>
      <w:r w:rsidR="00EB3CCF">
        <w:t xml:space="preserve">but also demonstrates the control a husband has over his wife in the household. </w:t>
      </w:r>
    </w:p>
    <w:p w14:paraId="5C6FFC01" w14:textId="77777777" w:rsidR="00FC1AB9" w:rsidRDefault="00FC1AB9"/>
    <w:p w14:paraId="4F23A694" w14:textId="77777777" w:rsidR="00FC1AB9" w:rsidRDefault="00FC1AB9">
      <w:proofErr w:type="gramStart"/>
      <w:r>
        <w:t>Thus</w:t>
      </w:r>
      <w:proofErr w:type="gramEnd"/>
      <w:r>
        <w:t xml:space="preserve"> the lack of separation insists that familial life is in fact fundamentally religious as there was no way it could not be, the due </w:t>
      </w:r>
      <w:r w:rsidR="00F23306">
        <w:t>course</w:t>
      </w:r>
      <w:r>
        <w:t xml:space="preserve"> and nature of religion in antiquity would not make this possible – its effects on the household relationships are evident yet clearly define all </w:t>
      </w:r>
      <w:r w:rsidR="00F23306">
        <w:t>relationships</w:t>
      </w:r>
      <w:r>
        <w:t xml:space="preserve"> within the household, with over time religious tradition having </w:t>
      </w:r>
      <w:r w:rsidR="00F23306">
        <w:t>moulded</w:t>
      </w:r>
      <w:r>
        <w:t xml:space="preserve"> the </w:t>
      </w:r>
      <w:r w:rsidR="00F23306">
        <w:t xml:space="preserve">Roman people into the patriarchal society, </w:t>
      </w:r>
      <w:r>
        <w:t>this being intentional or not</w:t>
      </w:r>
      <w:r w:rsidR="00F23306">
        <w:t>.</w:t>
      </w:r>
    </w:p>
    <w:p w14:paraId="25BA4B0B" w14:textId="77777777" w:rsidR="003F3DC8" w:rsidRDefault="003F3DC8"/>
    <w:p w14:paraId="76DD9F36" w14:textId="77777777" w:rsidR="003F3DC8" w:rsidRDefault="003F3DC8"/>
    <w:p w14:paraId="2F31DFFE" w14:textId="77777777" w:rsidR="003F3DC8" w:rsidRDefault="003F3DC8"/>
    <w:p w14:paraId="276AD30A" w14:textId="77777777" w:rsidR="003F3DC8" w:rsidRDefault="003F3DC8"/>
    <w:p w14:paraId="482EF036" w14:textId="77777777" w:rsidR="003F3DC8" w:rsidRDefault="003F3DC8"/>
    <w:p w14:paraId="4BC22FB1" w14:textId="77777777" w:rsidR="00F2329E" w:rsidRDefault="00F2329E"/>
    <w:p w14:paraId="73AC7E9A" w14:textId="77777777" w:rsidR="003F3DC8" w:rsidRPr="00F2329E" w:rsidRDefault="003F3DC8" w:rsidP="003F3DC8">
      <w:pPr>
        <w:spacing w:after="180"/>
        <w:ind w:left="450" w:hanging="450"/>
        <w:rPr>
          <w:rFonts w:eastAsia="Times New Roman" w:cs="Times New Roman"/>
          <w:b/>
          <w:color w:val="000000"/>
          <w:lang w:eastAsia="en-GB"/>
        </w:rPr>
      </w:pPr>
      <w:r w:rsidRPr="00F2329E">
        <w:rPr>
          <w:rFonts w:eastAsia="Times New Roman" w:cs="Times New Roman"/>
          <w:b/>
          <w:color w:val="000000"/>
          <w:lang w:eastAsia="en-GB"/>
        </w:rPr>
        <w:t>Bibliography</w:t>
      </w:r>
    </w:p>
    <w:p w14:paraId="3B81C9F7" w14:textId="77777777" w:rsidR="003F3DC8" w:rsidRPr="003F3DC8" w:rsidRDefault="003F3DC8" w:rsidP="003F3DC8">
      <w:pPr>
        <w:spacing w:after="180"/>
        <w:rPr>
          <w:rFonts w:cs="Times New Roman"/>
          <w:color w:val="000000"/>
          <w:lang w:eastAsia="en-GB"/>
        </w:rPr>
      </w:pPr>
      <w:r w:rsidRPr="00F2329E">
        <w:rPr>
          <w:rFonts w:cs="Times New Roman"/>
          <w:color w:val="000000"/>
          <w:lang w:eastAsia="en-GB"/>
        </w:rPr>
        <w:t xml:space="preserve">Rives, J (2007) </w:t>
      </w:r>
      <w:r w:rsidRPr="003F3DC8">
        <w:rPr>
          <w:rFonts w:cs="Times New Roman"/>
          <w:i/>
          <w:iCs/>
          <w:color w:val="000000"/>
          <w:lang w:eastAsia="en-GB"/>
        </w:rPr>
        <w:t>Religion in the Roman Empir</w:t>
      </w:r>
      <w:r w:rsidRPr="00F2329E">
        <w:rPr>
          <w:rFonts w:cs="Times New Roman"/>
          <w:i/>
          <w:iCs/>
          <w:color w:val="000000"/>
          <w:lang w:eastAsia="en-GB"/>
        </w:rPr>
        <w:t>e</w:t>
      </w:r>
      <w:r w:rsidRPr="00F2329E">
        <w:rPr>
          <w:rFonts w:cs="Times New Roman"/>
          <w:color w:val="000000"/>
          <w:lang w:eastAsia="en-GB"/>
        </w:rPr>
        <w:t xml:space="preserve"> Malden</w:t>
      </w:r>
      <w:r w:rsidRPr="003F3DC8">
        <w:rPr>
          <w:rFonts w:cs="Times New Roman"/>
          <w:color w:val="000000"/>
          <w:lang w:eastAsia="en-GB"/>
        </w:rPr>
        <w:t xml:space="preserve"> MA: Blackwell.</w:t>
      </w:r>
    </w:p>
    <w:p w14:paraId="7D2DD17C" w14:textId="77777777" w:rsidR="003F3DC8" w:rsidRPr="003F3DC8" w:rsidRDefault="003F3DC8" w:rsidP="003F3DC8">
      <w:pPr>
        <w:spacing w:after="180"/>
        <w:ind w:left="450" w:hanging="450"/>
        <w:rPr>
          <w:rFonts w:cs="Times New Roman"/>
          <w:color w:val="000000"/>
          <w:lang w:eastAsia="en-GB"/>
        </w:rPr>
      </w:pPr>
      <w:r w:rsidRPr="00F2329E">
        <w:rPr>
          <w:rFonts w:cs="Times New Roman"/>
          <w:color w:val="000000"/>
          <w:lang w:eastAsia="en-GB"/>
        </w:rPr>
        <w:t xml:space="preserve">Warrior, </w:t>
      </w:r>
      <w:proofErr w:type="gramStart"/>
      <w:r w:rsidRPr="00F2329E">
        <w:rPr>
          <w:rFonts w:cs="Times New Roman"/>
          <w:color w:val="000000"/>
          <w:lang w:eastAsia="en-GB"/>
        </w:rPr>
        <w:t>V</w:t>
      </w:r>
      <w:proofErr w:type="gramEnd"/>
      <w:r w:rsidRPr="00F2329E">
        <w:rPr>
          <w:rFonts w:cs="Times New Roman"/>
          <w:color w:val="000000"/>
          <w:lang w:eastAsia="en-GB"/>
        </w:rPr>
        <w:t xml:space="preserve"> (2002)</w:t>
      </w:r>
      <w:r w:rsidRPr="003F3DC8">
        <w:rPr>
          <w:rFonts w:cs="Times New Roman"/>
          <w:color w:val="000000"/>
          <w:lang w:eastAsia="en-GB"/>
        </w:rPr>
        <w:t> </w:t>
      </w:r>
      <w:r w:rsidRPr="003F3DC8">
        <w:rPr>
          <w:rFonts w:cs="Times New Roman"/>
          <w:i/>
          <w:iCs/>
          <w:color w:val="000000"/>
          <w:lang w:eastAsia="en-GB"/>
        </w:rPr>
        <w:t>Roman religion</w:t>
      </w:r>
      <w:r w:rsidRPr="00F2329E">
        <w:rPr>
          <w:rFonts w:cs="Times New Roman"/>
          <w:color w:val="000000"/>
          <w:lang w:eastAsia="en-GB"/>
        </w:rPr>
        <w:t xml:space="preserve"> Newburyport</w:t>
      </w:r>
      <w:r w:rsidRPr="003F3DC8">
        <w:rPr>
          <w:rFonts w:cs="Times New Roman"/>
          <w:color w:val="000000"/>
          <w:lang w:eastAsia="en-GB"/>
        </w:rPr>
        <w:t xml:space="preserve"> MA: Focus Pub.</w:t>
      </w:r>
    </w:p>
    <w:p w14:paraId="61CA6A32" w14:textId="77777777" w:rsidR="003F3DC8" w:rsidRDefault="003F3DC8"/>
    <w:sectPr w:rsidR="003F3DC8" w:rsidSect="00E02405">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200924B" w14:textId="77777777" w:rsidR="00BB5A3D" w:rsidRDefault="00BB5A3D" w:rsidP="007E0817">
      <w:r>
        <w:separator/>
      </w:r>
    </w:p>
  </w:endnote>
  <w:endnote w:type="continuationSeparator" w:id="0">
    <w:p w14:paraId="00635298" w14:textId="77777777" w:rsidR="00BB5A3D" w:rsidRDefault="00BB5A3D" w:rsidP="007E08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240818" w14:textId="77777777" w:rsidR="00BB5A3D" w:rsidRDefault="00BB5A3D" w:rsidP="007E0817">
      <w:r>
        <w:separator/>
      </w:r>
    </w:p>
  </w:footnote>
  <w:footnote w:type="continuationSeparator" w:id="0">
    <w:p w14:paraId="64009FB7" w14:textId="77777777" w:rsidR="00BB5A3D" w:rsidRDefault="00BB5A3D" w:rsidP="007E0817">
      <w:r>
        <w:continuationSeparator/>
      </w:r>
    </w:p>
  </w:footnote>
  <w:footnote w:id="1">
    <w:p w14:paraId="5594ACB2" w14:textId="77777777" w:rsidR="007E0817" w:rsidRPr="003F3DC8" w:rsidRDefault="007E0817" w:rsidP="003F3DC8">
      <w:pPr>
        <w:spacing w:after="180"/>
        <w:rPr>
          <w:rFonts w:cs="Times New Roman"/>
          <w:color w:val="000000"/>
          <w:lang w:eastAsia="en-GB"/>
        </w:rPr>
      </w:pPr>
      <w:r w:rsidRPr="003F3DC8">
        <w:rPr>
          <w:rStyle w:val="FootnoteReference"/>
        </w:rPr>
        <w:footnoteRef/>
      </w:r>
      <w:r w:rsidRPr="003F3DC8">
        <w:t xml:space="preserve"> </w:t>
      </w:r>
      <w:r w:rsidR="003F3DC8" w:rsidRPr="003F3DC8">
        <w:rPr>
          <w:rFonts w:cs="Times New Roman"/>
          <w:color w:val="000000"/>
          <w:lang w:eastAsia="en-GB"/>
        </w:rPr>
        <w:t xml:space="preserve">Rives, J (2007) </w:t>
      </w:r>
      <w:r w:rsidR="003F3DC8" w:rsidRPr="003F3DC8">
        <w:rPr>
          <w:rFonts w:cs="Times New Roman"/>
          <w:i/>
          <w:iCs/>
          <w:color w:val="000000"/>
          <w:lang w:eastAsia="en-GB"/>
        </w:rPr>
        <w:t>Religion in the Roman Empire</w:t>
      </w:r>
      <w:r w:rsidR="003F3DC8" w:rsidRPr="003F3DC8">
        <w:rPr>
          <w:rFonts w:cs="Times New Roman"/>
          <w:color w:val="000000"/>
          <w:lang w:eastAsia="en-GB"/>
        </w:rPr>
        <w:t xml:space="preserve"> Malden MA: Blackwell.</w:t>
      </w:r>
      <w:r w:rsidR="003F3DC8" w:rsidRPr="003F3DC8">
        <w:rPr>
          <w:rFonts w:cs="Times New Roman"/>
          <w:color w:val="000000"/>
          <w:lang w:eastAsia="en-GB"/>
        </w:rPr>
        <w:t xml:space="preserve"> Page 4</w:t>
      </w:r>
    </w:p>
  </w:footnote>
  <w:footnote w:id="2">
    <w:p w14:paraId="43B21B28" w14:textId="77777777" w:rsidR="004F2C35" w:rsidRPr="003F3DC8" w:rsidRDefault="004F2C35" w:rsidP="003F3DC8">
      <w:pPr>
        <w:spacing w:after="180"/>
        <w:rPr>
          <w:rFonts w:cs="Times New Roman"/>
          <w:color w:val="000000"/>
          <w:sz w:val="27"/>
          <w:szCs w:val="27"/>
          <w:lang w:eastAsia="en-GB"/>
        </w:rPr>
      </w:pPr>
      <w:r w:rsidRPr="003F3DC8">
        <w:rPr>
          <w:rStyle w:val="FootnoteReference"/>
        </w:rPr>
        <w:footnoteRef/>
      </w:r>
      <w:r w:rsidRPr="003F3DC8">
        <w:t xml:space="preserve"> </w:t>
      </w:r>
      <w:r w:rsidR="003F3DC8" w:rsidRPr="003F3DC8">
        <w:rPr>
          <w:rFonts w:cs="Times New Roman"/>
          <w:color w:val="000000"/>
          <w:lang w:eastAsia="en-GB"/>
        </w:rPr>
        <w:t xml:space="preserve">Rives, J (2007) </w:t>
      </w:r>
      <w:r w:rsidR="003F3DC8" w:rsidRPr="003F3DC8">
        <w:rPr>
          <w:rFonts w:cs="Times New Roman"/>
          <w:i/>
          <w:iCs/>
          <w:color w:val="000000"/>
          <w:lang w:eastAsia="en-GB"/>
        </w:rPr>
        <w:t>Religion in the Roman Empire</w:t>
      </w:r>
      <w:r w:rsidR="003F3DC8" w:rsidRPr="003F3DC8">
        <w:rPr>
          <w:rFonts w:cs="Times New Roman"/>
          <w:color w:val="000000"/>
          <w:lang w:eastAsia="en-GB"/>
        </w:rPr>
        <w:t xml:space="preserve"> Malden MA: Blackwell.</w:t>
      </w:r>
      <w:r w:rsidR="003F3DC8" w:rsidRPr="003F3DC8">
        <w:rPr>
          <w:rFonts w:cs="Times New Roman"/>
          <w:color w:val="000000"/>
          <w:lang w:eastAsia="en-GB"/>
        </w:rPr>
        <w:t xml:space="preserve"> </w:t>
      </w:r>
      <w:r w:rsidR="003F3DC8" w:rsidRPr="003F3DC8">
        <w:t>P</w:t>
      </w:r>
      <w:r w:rsidRPr="003F3DC8">
        <w:t>age 117</w:t>
      </w:r>
    </w:p>
  </w:footnote>
  <w:footnote w:id="3">
    <w:p w14:paraId="22C895FD" w14:textId="77777777" w:rsidR="003F3DC8" w:rsidRPr="003F3DC8" w:rsidRDefault="004F2C35" w:rsidP="003F3DC8">
      <w:pPr>
        <w:spacing w:after="180"/>
      </w:pPr>
      <w:r w:rsidRPr="003F3DC8">
        <w:rPr>
          <w:rStyle w:val="FootnoteReference"/>
        </w:rPr>
        <w:footnoteRef/>
      </w:r>
      <w:r w:rsidR="003F3DC8" w:rsidRPr="003F3DC8">
        <w:t xml:space="preserve"> </w:t>
      </w:r>
      <w:r w:rsidR="003F3DC8" w:rsidRPr="003F3DC8">
        <w:rPr>
          <w:rFonts w:cs="Times New Roman"/>
          <w:color w:val="000000"/>
          <w:lang w:eastAsia="en-GB"/>
        </w:rPr>
        <w:t xml:space="preserve">Rives, J (2007) </w:t>
      </w:r>
      <w:r w:rsidR="003F3DC8" w:rsidRPr="003F3DC8">
        <w:rPr>
          <w:rFonts w:cs="Times New Roman"/>
          <w:i/>
          <w:iCs/>
          <w:color w:val="000000"/>
          <w:lang w:eastAsia="en-GB"/>
        </w:rPr>
        <w:t>Religion in the Roman Empire</w:t>
      </w:r>
      <w:r w:rsidR="003F3DC8" w:rsidRPr="003F3DC8">
        <w:rPr>
          <w:rFonts w:cs="Times New Roman"/>
          <w:color w:val="000000"/>
          <w:lang w:eastAsia="en-GB"/>
        </w:rPr>
        <w:t xml:space="preserve"> Malden MA: Blackwell. </w:t>
      </w:r>
      <w:r w:rsidR="003F3DC8" w:rsidRPr="003F3DC8">
        <w:t>Page 118</w:t>
      </w:r>
    </w:p>
  </w:footnote>
  <w:footnote w:id="4">
    <w:p w14:paraId="042ED731" w14:textId="77777777" w:rsidR="003F3DC8" w:rsidRPr="003F3DC8" w:rsidRDefault="009A6758" w:rsidP="003F3DC8">
      <w:pPr>
        <w:spacing w:after="180"/>
      </w:pPr>
      <w:r w:rsidRPr="003F3DC8">
        <w:rPr>
          <w:rStyle w:val="FootnoteReference"/>
        </w:rPr>
        <w:footnoteRef/>
      </w:r>
      <w:r w:rsidR="003F3DC8" w:rsidRPr="003F3DC8">
        <w:t xml:space="preserve"> </w:t>
      </w:r>
      <w:r w:rsidR="003F3DC8" w:rsidRPr="003F3DC8">
        <w:rPr>
          <w:rFonts w:cs="Times New Roman"/>
          <w:color w:val="000000"/>
          <w:lang w:eastAsia="en-GB"/>
        </w:rPr>
        <w:t xml:space="preserve">Rives, J (2007) </w:t>
      </w:r>
      <w:r w:rsidR="003F3DC8" w:rsidRPr="003F3DC8">
        <w:rPr>
          <w:rFonts w:cs="Times New Roman"/>
          <w:i/>
          <w:iCs/>
          <w:color w:val="000000"/>
          <w:lang w:eastAsia="en-GB"/>
        </w:rPr>
        <w:t>Religion in the Roman Empire</w:t>
      </w:r>
      <w:r w:rsidR="003F3DC8" w:rsidRPr="003F3DC8">
        <w:rPr>
          <w:rFonts w:cs="Times New Roman"/>
          <w:color w:val="000000"/>
          <w:lang w:eastAsia="en-GB"/>
        </w:rPr>
        <w:t xml:space="preserve"> Malden MA: Blackwell. </w:t>
      </w:r>
      <w:r w:rsidR="003F3DC8" w:rsidRPr="003F3DC8">
        <w:t>P</w:t>
      </w:r>
      <w:r w:rsidRPr="003F3DC8">
        <w:t>age 117</w:t>
      </w:r>
    </w:p>
  </w:footnote>
  <w:footnote w:id="5">
    <w:p w14:paraId="140222D5" w14:textId="77777777" w:rsidR="003F3DC8" w:rsidRDefault="009A6758">
      <w:pPr>
        <w:pStyle w:val="FootnoteText"/>
        <w:rPr>
          <w:rFonts w:cs="Times New Roman"/>
          <w:color w:val="000000"/>
          <w:lang w:eastAsia="en-GB"/>
        </w:rPr>
      </w:pPr>
      <w:r w:rsidRPr="003F3DC8">
        <w:rPr>
          <w:rStyle w:val="FootnoteReference"/>
        </w:rPr>
        <w:footnoteRef/>
      </w:r>
      <w:r w:rsidRPr="003F3DC8">
        <w:t xml:space="preserve"> </w:t>
      </w:r>
      <w:r w:rsidR="003F3DC8" w:rsidRPr="003F3DC8">
        <w:t xml:space="preserve"> </w:t>
      </w:r>
      <w:r w:rsidR="003F3DC8" w:rsidRPr="003F3DC8">
        <w:rPr>
          <w:rFonts w:cs="Times New Roman"/>
          <w:color w:val="000000"/>
          <w:lang w:eastAsia="en-GB"/>
        </w:rPr>
        <w:t xml:space="preserve">Rives, J (2007) </w:t>
      </w:r>
      <w:r w:rsidR="003F3DC8" w:rsidRPr="003F3DC8">
        <w:rPr>
          <w:rFonts w:cs="Times New Roman"/>
          <w:i/>
          <w:iCs/>
          <w:color w:val="000000"/>
          <w:lang w:eastAsia="en-GB"/>
        </w:rPr>
        <w:t>Religion in the Roman Empire</w:t>
      </w:r>
      <w:r w:rsidR="003F3DC8" w:rsidRPr="003F3DC8">
        <w:rPr>
          <w:rFonts w:cs="Times New Roman"/>
          <w:color w:val="000000"/>
          <w:lang w:eastAsia="en-GB"/>
        </w:rPr>
        <w:t xml:space="preserve"> Malden MA: Blackwell.</w:t>
      </w:r>
      <w:r w:rsidR="003F3DC8" w:rsidRPr="003F3DC8">
        <w:rPr>
          <w:rFonts w:cs="Times New Roman"/>
          <w:color w:val="000000"/>
          <w:lang w:eastAsia="en-GB"/>
        </w:rPr>
        <w:t xml:space="preserve"> Page 117</w:t>
      </w:r>
    </w:p>
    <w:p w14:paraId="30FF096A" w14:textId="77777777" w:rsidR="003F3DC8" w:rsidRPr="003F3DC8" w:rsidRDefault="003F3DC8">
      <w:pPr>
        <w:pStyle w:val="FootnoteText"/>
        <w:rPr>
          <w:rFonts w:cs="Times New Roman"/>
          <w:color w:val="000000"/>
          <w:lang w:eastAsia="en-GB"/>
        </w:rPr>
      </w:pPr>
    </w:p>
  </w:footnote>
  <w:footnote w:id="6">
    <w:p w14:paraId="4318FEA6" w14:textId="77777777" w:rsidR="003F3DC8" w:rsidRDefault="00EB3CCF">
      <w:pPr>
        <w:pStyle w:val="FootnoteText"/>
      </w:pPr>
      <w:r w:rsidRPr="003F3DC8">
        <w:rPr>
          <w:rStyle w:val="FootnoteReference"/>
        </w:rPr>
        <w:footnoteRef/>
      </w:r>
      <w:r w:rsidRPr="003F3DC8">
        <w:t xml:space="preserve"> </w:t>
      </w:r>
      <w:r w:rsidR="003F3DC8" w:rsidRPr="003F3DC8">
        <w:rPr>
          <w:rFonts w:cs="Times New Roman"/>
          <w:color w:val="000000"/>
          <w:lang w:eastAsia="en-GB"/>
        </w:rPr>
        <w:t xml:space="preserve">Rives, J (2007) </w:t>
      </w:r>
      <w:r w:rsidR="003F3DC8" w:rsidRPr="003F3DC8">
        <w:rPr>
          <w:rFonts w:cs="Times New Roman"/>
          <w:i/>
          <w:iCs/>
          <w:color w:val="000000"/>
          <w:lang w:eastAsia="en-GB"/>
        </w:rPr>
        <w:t>Religion in the Roman Empire</w:t>
      </w:r>
      <w:r w:rsidR="003F3DC8" w:rsidRPr="003F3DC8">
        <w:rPr>
          <w:rFonts w:cs="Times New Roman"/>
          <w:color w:val="000000"/>
          <w:lang w:eastAsia="en-GB"/>
        </w:rPr>
        <w:t xml:space="preserve"> Malden MA: Blackwell. </w:t>
      </w:r>
      <w:r w:rsidR="003F3DC8" w:rsidRPr="003F3DC8">
        <w:rPr>
          <w:rFonts w:cs="Times New Roman"/>
          <w:color w:val="000000"/>
          <w:lang w:eastAsia="en-GB"/>
        </w:rPr>
        <w:t xml:space="preserve">Page </w:t>
      </w:r>
      <w:r w:rsidRPr="003F3DC8">
        <w:t>121</w:t>
      </w:r>
    </w:p>
    <w:p w14:paraId="30EE09A9" w14:textId="77777777" w:rsidR="003F3DC8" w:rsidRPr="003F3DC8" w:rsidRDefault="003F3DC8">
      <w:pPr>
        <w:pStyle w:val="FootnoteText"/>
      </w:pPr>
    </w:p>
  </w:footnote>
  <w:footnote w:id="7">
    <w:p w14:paraId="36F56CB1" w14:textId="77777777" w:rsidR="005170A3" w:rsidRDefault="005170A3">
      <w:pPr>
        <w:pStyle w:val="FootnoteText"/>
      </w:pPr>
      <w:r w:rsidRPr="003F3DC8">
        <w:rPr>
          <w:rStyle w:val="FootnoteReference"/>
        </w:rPr>
        <w:footnoteRef/>
      </w:r>
      <w:r w:rsidRPr="003F3DC8">
        <w:t xml:space="preserve"> </w:t>
      </w:r>
      <w:r w:rsidR="003F3DC8" w:rsidRPr="003F3DC8">
        <w:rPr>
          <w:rFonts w:cs="Times New Roman"/>
          <w:color w:val="000000"/>
          <w:lang w:eastAsia="en-GB"/>
        </w:rPr>
        <w:t xml:space="preserve">Rives, J (2007) </w:t>
      </w:r>
      <w:r w:rsidR="003F3DC8" w:rsidRPr="003F3DC8">
        <w:rPr>
          <w:rFonts w:cs="Times New Roman"/>
          <w:i/>
          <w:iCs/>
          <w:color w:val="000000"/>
          <w:lang w:eastAsia="en-GB"/>
        </w:rPr>
        <w:t>Religion in the Roman Empire</w:t>
      </w:r>
      <w:r w:rsidR="003F3DC8" w:rsidRPr="003F3DC8">
        <w:rPr>
          <w:rFonts w:cs="Times New Roman"/>
          <w:color w:val="000000"/>
          <w:lang w:eastAsia="en-GB"/>
        </w:rPr>
        <w:t xml:space="preserve"> Malden MA: Blackwell. </w:t>
      </w:r>
      <w:r w:rsidR="003F3DC8" w:rsidRPr="003F3DC8">
        <w:rPr>
          <w:rFonts w:cs="Times New Roman"/>
          <w:color w:val="000000"/>
          <w:lang w:eastAsia="en-GB"/>
        </w:rPr>
        <w:t xml:space="preserve">Page </w:t>
      </w:r>
      <w:r w:rsidRPr="003F3DC8">
        <w:t>119</w:t>
      </w:r>
    </w:p>
    <w:p w14:paraId="0057830B" w14:textId="77777777" w:rsidR="003F3DC8" w:rsidRPr="003F3DC8" w:rsidRDefault="003F3DC8">
      <w:pPr>
        <w:pStyle w:val="FootnoteText"/>
      </w:pPr>
    </w:p>
  </w:footnote>
  <w:footnote w:id="8">
    <w:p w14:paraId="384AEE13" w14:textId="77777777" w:rsidR="00D02584" w:rsidRDefault="00D02584">
      <w:pPr>
        <w:pStyle w:val="FootnoteText"/>
      </w:pPr>
      <w:r w:rsidRPr="003F3DC8">
        <w:rPr>
          <w:rStyle w:val="FootnoteReference"/>
        </w:rPr>
        <w:footnoteRef/>
      </w:r>
      <w:r w:rsidRPr="003F3DC8">
        <w:t xml:space="preserve"> </w:t>
      </w:r>
      <w:r w:rsidR="003F3DC8" w:rsidRPr="003F3DC8">
        <w:rPr>
          <w:rFonts w:cs="Times New Roman"/>
          <w:color w:val="000000"/>
          <w:lang w:eastAsia="en-GB"/>
        </w:rPr>
        <w:t xml:space="preserve">Rives, J (2007) </w:t>
      </w:r>
      <w:r w:rsidR="003F3DC8" w:rsidRPr="003F3DC8">
        <w:rPr>
          <w:rFonts w:cs="Times New Roman"/>
          <w:i/>
          <w:iCs/>
          <w:color w:val="000000"/>
          <w:lang w:eastAsia="en-GB"/>
        </w:rPr>
        <w:t>Religion in the Roman Empire</w:t>
      </w:r>
      <w:r w:rsidR="003F3DC8" w:rsidRPr="003F3DC8">
        <w:rPr>
          <w:rFonts w:cs="Times New Roman"/>
          <w:color w:val="000000"/>
          <w:lang w:eastAsia="en-GB"/>
        </w:rPr>
        <w:t xml:space="preserve"> Malden MA: Blackwell. </w:t>
      </w:r>
      <w:r w:rsidR="003F3DC8" w:rsidRPr="003F3DC8">
        <w:rPr>
          <w:rFonts w:cs="Times New Roman"/>
          <w:color w:val="000000"/>
          <w:lang w:eastAsia="en-GB"/>
        </w:rPr>
        <w:t xml:space="preserve">Page </w:t>
      </w:r>
      <w:r w:rsidRPr="003F3DC8">
        <w:t>119</w:t>
      </w:r>
    </w:p>
    <w:p w14:paraId="2D9C27C5" w14:textId="77777777" w:rsidR="003F3DC8" w:rsidRPr="003F3DC8" w:rsidRDefault="003F3DC8">
      <w:pPr>
        <w:pStyle w:val="FootnoteText"/>
      </w:pPr>
    </w:p>
  </w:footnote>
  <w:footnote w:id="9">
    <w:p w14:paraId="5AAE82C3" w14:textId="77777777" w:rsidR="00D94CAB" w:rsidRDefault="00D94CAB">
      <w:pPr>
        <w:pStyle w:val="FootnoteText"/>
      </w:pPr>
      <w:r w:rsidRPr="003F3DC8">
        <w:rPr>
          <w:rStyle w:val="FootnoteReference"/>
        </w:rPr>
        <w:footnoteRef/>
      </w:r>
      <w:r w:rsidRPr="003F3DC8">
        <w:t xml:space="preserve"> </w:t>
      </w:r>
      <w:r w:rsidR="003F3DC8" w:rsidRPr="003F3DC8">
        <w:rPr>
          <w:rFonts w:cs="Times New Roman"/>
          <w:color w:val="000000"/>
          <w:lang w:eastAsia="en-GB"/>
        </w:rPr>
        <w:t xml:space="preserve">Rives, J (2007) </w:t>
      </w:r>
      <w:r w:rsidR="003F3DC8" w:rsidRPr="003F3DC8">
        <w:rPr>
          <w:rFonts w:cs="Times New Roman"/>
          <w:i/>
          <w:iCs/>
          <w:color w:val="000000"/>
          <w:lang w:eastAsia="en-GB"/>
        </w:rPr>
        <w:t>Religion in the Roman Empire</w:t>
      </w:r>
      <w:r w:rsidR="003F3DC8" w:rsidRPr="003F3DC8">
        <w:rPr>
          <w:rFonts w:cs="Times New Roman"/>
          <w:color w:val="000000"/>
          <w:lang w:eastAsia="en-GB"/>
        </w:rPr>
        <w:t xml:space="preserve"> Malden MA: Blackwell. </w:t>
      </w:r>
      <w:r w:rsidR="003F3DC8" w:rsidRPr="003F3DC8">
        <w:rPr>
          <w:rFonts w:cs="Times New Roman"/>
          <w:color w:val="000000"/>
          <w:lang w:eastAsia="en-GB"/>
        </w:rPr>
        <w:t xml:space="preserve">Page </w:t>
      </w:r>
      <w:r w:rsidR="00BA17F3" w:rsidRPr="003F3DC8">
        <w:t>106</w:t>
      </w:r>
    </w:p>
    <w:p w14:paraId="73DB56A4" w14:textId="77777777" w:rsidR="00F2329E" w:rsidRPr="003F3DC8" w:rsidRDefault="00F2329E">
      <w:pPr>
        <w:pStyle w:val="FootnoteText"/>
      </w:pPr>
    </w:p>
  </w:footnote>
  <w:footnote w:id="10">
    <w:p w14:paraId="4097CFAF" w14:textId="77777777" w:rsidR="00EB3CCF" w:rsidRPr="003F3DC8" w:rsidRDefault="00EB3CCF" w:rsidP="003F3DC8">
      <w:pPr>
        <w:spacing w:after="180"/>
        <w:ind w:left="450" w:hanging="450"/>
        <w:rPr>
          <w:rFonts w:cs="Times New Roman"/>
          <w:color w:val="000000"/>
          <w:sz w:val="27"/>
          <w:szCs w:val="27"/>
          <w:lang w:eastAsia="en-GB"/>
        </w:rPr>
      </w:pPr>
      <w:r w:rsidRPr="003F3DC8">
        <w:rPr>
          <w:rStyle w:val="FootnoteReference"/>
        </w:rPr>
        <w:footnoteRef/>
      </w:r>
      <w:r w:rsidRPr="003F3DC8">
        <w:t xml:space="preserve"> </w:t>
      </w:r>
      <w:r w:rsidR="003F3DC8" w:rsidRPr="003F3DC8">
        <w:rPr>
          <w:rFonts w:cs="Times New Roman"/>
          <w:color w:val="000000"/>
          <w:lang w:eastAsia="en-GB"/>
        </w:rPr>
        <w:t xml:space="preserve">Warrior, </w:t>
      </w:r>
      <w:proofErr w:type="gramStart"/>
      <w:r w:rsidR="003F3DC8" w:rsidRPr="003F3DC8">
        <w:rPr>
          <w:rFonts w:cs="Times New Roman"/>
          <w:color w:val="000000"/>
          <w:lang w:eastAsia="en-GB"/>
        </w:rPr>
        <w:t>V</w:t>
      </w:r>
      <w:proofErr w:type="gramEnd"/>
      <w:r w:rsidR="003F3DC8" w:rsidRPr="003F3DC8">
        <w:rPr>
          <w:rFonts w:cs="Times New Roman"/>
          <w:color w:val="000000"/>
          <w:lang w:eastAsia="en-GB"/>
        </w:rPr>
        <w:t xml:space="preserve"> (2002) </w:t>
      </w:r>
      <w:r w:rsidR="003F3DC8" w:rsidRPr="003F3DC8">
        <w:rPr>
          <w:rFonts w:cs="Times New Roman"/>
          <w:i/>
          <w:iCs/>
          <w:color w:val="000000"/>
          <w:lang w:eastAsia="en-GB"/>
        </w:rPr>
        <w:t>Roman religion</w:t>
      </w:r>
      <w:r w:rsidR="003F3DC8" w:rsidRPr="003F3DC8">
        <w:rPr>
          <w:rFonts w:cs="Times New Roman"/>
          <w:color w:val="000000"/>
          <w:lang w:eastAsia="en-GB"/>
        </w:rPr>
        <w:t xml:space="preserve"> Newburyport MA: Focus Pub.</w:t>
      </w:r>
      <w:r w:rsidR="00F2329E">
        <w:rPr>
          <w:rFonts w:cs="Times New Roman"/>
          <w:color w:val="000000"/>
          <w:lang w:eastAsia="en-GB"/>
        </w:rPr>
        <w:t xml:space="preserve"> (3.19 Livy</w:t>
      </w:r>
      <w:r w:rsidR="003F3DC8" w:rsidRPr="003F3DC8">
        <w:rPr>
          <w:rFonts w:cs="Times New Roman"/>
          <w:color w:val="000000"/>
          <w:lang w:eastAsia="en-GB"/>
        </w:rPr>
        <w:t xml:space="preserve"> 1. 9.14)</w:t>
      </w:r>
    </w:p>
  </w:footnote>
  <w:footnote w:id="11">
    <w:p w14:paraId="1B073B07" w14:textId="77777777" w:rsidR="00D02584" w:rsidRDefault="00D02584">
      <w:pPr>
        <w:pStyle w:val="FootnoteText"/>
      </w:pPr>
      <w:r>
        <w:rPr>
          <w:rStyle w:val="FootnoteReference"/>
        </w:rPr>
        <w:footnoteRef/>
      </w:r>
      <w:r>
        <w:t xml:space="preserve"> </w:t>
      </w:r>
      <w:r w:rsidR="00F2329E" w:rsidRPr="003F3DC8">
        <w:rPr>
          <w:rFonts w:cs="Times New Roman"/>
          <w:color w:val="000000"/>
          <w:lang w:eastAsia="en-GB"/>
        </w:rPr>
        <w:t xml:space="preserve">Rives, J (2007) </w:t>
      </w:r>
      <w:r w:rsidR="00F2329E" w:rsidRPr="003F3DC8">
        <w:rPr>
          <w:rFonts w:cs="Times New Roman"/>
          <w:i/>
          <w:iCs/>
          <w:color w:val="000000"/>
          <w:lang w:eastAsia="en-GB"/>
        </w:rPr>
        <w:t>Religion in the Roman Empire</w:t>
      </w:r>
      <w:r w:rsidR="00F2329E" w:rsidRPr="003F3DC8">
        <w:rPr>
          <w:rFonts w:cs="Times New Roman"/>
          <w:color w:val="000000"/>
          <w:lang w:eastAsia="en-GB"/>
        </w:rPr>
        <w:t xml:space="preserve"> Malden MA: Blackwell. </w:t>
      </w:r>
      <w:r w:rsidR="00F2329E">
        <w:rPr>
          <w:rFonts w:cs="Times New Roman"/>
          <w:color w:val="000000"/>
          <w:lang w:eastAsia="en-GB"/>
        </w:rPr>
        <w:t xml:space="preserve">(Plutarch </w:t>
      </w:r>
      <w:r>
        <w:t>Conjugal Precepts 19, 140d</w:t>
      </w:r>
      <w:r w:rsidR="00F2329E">
        <w:t>)</w:t>
      </w:r>
    </w:p>
    <w:p w14:paraId="7F7035D5" w14:textId="77777777" w:rsidR="00F2329E" w:rsidRDefault="00F2329E">
      <w:pPr>
        <w:pStyle w:val="FootnoteText"/>
      </w:pPr>
    </w:p>
  </w:footnote>
  <w:footnote w:id="12">
    <w:p w14:paraId="0ECE38B9" w14:textId="77777777" w:rsidR="00D94E69" w:rsidRDefault="00D94E69">
      <w:pPr>
        <w:pStyle w:val="FootnoteText"/>
        <w:rPr>
          <w:rFonts w:cs="Times New Roman"/>
          <w:color w:val="000000"/>
          <w:lang w:eastAsia="en-GB"/>
        </w:rPr>
      </w:pPr>
      <w:r>
        <w:rPr>
          <w:rStyle w:val="FootnoteReference"/>
        </w:rPr>
        <w:footnoteRef/>
      </w:r>
      <w:r w:rsidR="00F2329E">
        <w:t xml:space="preserve"> </w:t>
      </w:r>
      <w:r w:rsidR="00F2329E" w:rsidRPr="003F3DC8">
        <w:rPr>
          <w:rFonts w:cs="Times New Roman"/>
          <w:color w:val="000000"/>
          <w:lang w:eastAsia="en-GB"/>
        </w:rPr>
        <w:t xml:space="preserve">Rives, J (2007) </w:t>
      </w:r>
      <w:r w:rsidR="00F2329E" w:rsidRPr="003F3DC8">
        <w:rPr>
          <w:rFonts w:cs="Times New Roman"/>
          <w:i/>
          <w:iCs/>
          <w:color w:val="000000"/>
          <w:lang w:eastAsia="en-GB"/>
        </w:rPr>
        <w:t>Religion in the Roman Empire</w:t>
      </w:r>
      <w:r w:rsidR="00F2329E" w:rsidRPr="003F3DC8">
        <w:rPr>
          <w:rFonts w:cs="Times New Roman"/>
          <w:color w:val="000000"/>
          <w:lang w:eastAsia="en-GB"/>
        </w:rPr>
        <w:t xml:space="preserve"> Malden MA: Blackwell.</w:t>
      </w:r>
      <w:r w:rsidR="00F2329E">
        <w:rPr>
          <w:rFonts w:cs="Times New Roman"/>
          <w:color w:val="000000"/>
          <w:lang w:eastAsia="en-GB"/>
        </w:rPr>
        <w:t xml:space="preserve"> Page 122</w:t>
      </w:r>
    </w:p>
    <w:p w14:paraId="1862CCED" w14:textId="77777777" w:rsidR="00F2329E" w:rsidRDefault="00F2329E">
      <w:pPr>
        <w:pStyle w:val="FootnoteText"/>
      </w:pPr>
    </w:p>
  </w:footnote>
  <w:footnote w:id="13">
    <w:p w14:paraId="215C7106" w14:textId="77777777" w:rsidR="00EB3CCF" w:rsidRDefault="00EB3CCF">
      <w:pPr>
        <w:pStyle w:val="FootnoteText"/>
      </w:pPr>
      <w:r>
        <w:rPr>
          <w:rStyle w:val="FootnoteReference"/>
        </w:rPr>
        <w:footnoteRef/>
      </w:r>
      <w:r>
        <w:t xml:space="preserve"> </w:t>
      </w:r>
      <w:r w:rsidR="003F3DC8" w:rsidRPr="003F3DC8">
        <w:rPr>
          <w:rFonts w:cs="Times New Roman"/>
          <w:color w:val="000000"/>
          <w:lang w:eastAsia="en-GB"/>
        </w:rPr>
        <w:t xml:space="preserve">Warrior, </w:t>
      </w:r>
      <w:proofErr w:type="gramStart"/>
      <w:r w:rsidR="003F3DC8" w:rsidRPr="003F3DC8">
        <w:rPr>
          <w:rFonts w:cs="Times New Roman"/>
          <w:color w:val="000000"/>
          <w:lang w:eastAsia="en-GB"/>
        </w:rPr>
        <w:t>V</w:t>
      </w:r>
      <w:proofErr w:type="gramEnd"/>
      <w:r w:rsidR="003F3DC8" w:rsidRPr="003F3DC8">
        <w:rPr>
          <w:rFonts w:cs="Times New Roman"/>
          <w:color w:val="000000"/>
          <w:lang w:eastAsia="en-GB"/>
        </w:rPr>
        <w:t xml:space="preserve"> (2002) </w:t>
      </w:r>
      <w:r w:rsidR="003F3DC8" w:rsidRPr="003F3DC8">
        <w:rPr>
          <w:rFonts w:cs="Times New Roman"/>
          <w:i/>
          <w:iCs/>
          <w:color w:val="000000"/>
          <w:lang w:eastAsia="en-GB"/>
        </w:rPr>
        <w:t>Roman religion</w:t>
      </w:r>
      <w:r w:rsidR="003F3DC8" w:rsidRPr="003F3DC8">
        <w:rPr>
          <w:rFonts w:cs="Times New Roman"/>
          <w:color w:val="000000"/>
          <w:lang w:eastAsia="en-GB"/>
        </w:rPr>
        <w:t xml:space="preserve"> Newburyport MA: Focus Pub.</w:t>
      </w:r>
      <w:r w:rsidR="003F3DC8">
        <w:rPr>
          <w:rFonts w:cs="Times New Roman"/>
          <w:color w:val="000000"/>
          <w:lang w:eastAsia="en-GB"/>
        </w:rPr>
        <w:t xml:space="preserve"> (3.8 </w:t>
      </w:r>
      <w:proofErr w:type="spellStart"/>
      <w:r w:rsidR="003F3DC8">
        <w:t>Oxyrhynchus</w:t>
      </w:r>
      <w:proofErr w:type="spellEnd"/>
      <w:r w:rsidR="003F3DC8">
        <w:t xml:space="preserve"> Papyri</w:t>
      </w:r>
      <w:r w:rsidR="00F2329E">
        <w:t xml:space="preserve"> 744.)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activeWritingStyle w:appName="MSWord" w:lang="en-GB" w:vendorID="64" w:dllVersion="0" w:nlCheck="1" w:checkStyle="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2765"/>
    <w:rsid w:val="001203BE"/>
    <w:rsid w:val="00155136"/>
    <w:rsid w:val="00165354"/>
    <w:rsid w:val="00286EE1"/>
    <w:rsid w:val="002E6424"/>
    <w:rsid w:val="00372765"/>
    <w:rsid w:val="0039161D"/>
    <w:rsid w:val="003F3DC8"/>
    <w:rsid w:val="00425150"/>
    <w:rsid w:val="00432FA9"/>
    <w:rsid w:val="004F2C35"/>
    <w:rsid w:val="005170A3"/>
    <w:rsid w:val="005C61A1"/>
    <w:rsid w:val="005F1A51"/>
    <w:rsid w:val="00636A9F"/>
    <w:rsid w:val="00677C95"/>
    <w:rsid w:val="006D343B"/>
    <w:rsid w:val="006E0C20"/>
    <w:rsid w:val="006F51B6"/>
    <w:rsid w:val="007E0817"/>
    <w:rsid w:val="00841ACA"/>
    <w:rsid w:val="008B5BF1"/>
    <w:rsid w:val="008C7594"/>
    <w:rsid w:val="00924597"/>
    <w:rsid w:val="00956566"/>
    <w:rsid w:val="00971E47"/>
    <w:rsid w:val="00984F9C"/>
    <w:rsid w:val="009A6758"/>
    <w:rsid w:val="00AF1FF8"/>
    <w:rsid w:val="00BA17F3"/>
    <w:rsid w:val="00BB5A3D"/>
    <w:rsid w:val="00C7062D"/>
    <w:rsid w:val="00CF4E6A"/>
    <w:rsid w:val="00D02584"/>
    <w:rsid w:val="00D628CF"/>
    <w:rsid w:val="00D94CAB"/>
    <w:rsid w:val="00D94E69"/>
    <w:rsid w:val="00D95549"/>
    <w:rsid w:val="00E02405"/>
    <w:rsid w:val="00EB3CCF"/>
    <w:rsid w:val="00F2329E"/>
    <w:rsid w:val="00F23306"/>
    <w:rsid w:val="00FC1AB9"/>
  </w:rsids>
  <m:mathPr>
    <m:mathFont m:val="Cambria Math"/>
    <m:brkBin m:val="before"/>
    <m:brkBinSub m:val="--"/>
    <m:smallFrac m:val="0"/>
    <m:dispDef/>
    <m:lMargin m:val="0"/>
    <m:rMargin m:val="0"/>
    <m:defJc m:val="centerGroup"/>
    <m:wrapIndent m:val="1440"/>
    <m:intLim m:val="subSup"/>
    <m:naryLim m:val="undOvr"/>
  </m:mathPr>
  <w:themeFontLang w:val="en-GB" w:eastAsia="x-none" w:bidi="x-none"/>
  <w:clrSchemeMapping w:bg1="light1" w:t1="dark1" w:bg2="light2" w:t2="dark2" w:accent1="accent1" w:accent2="accent2" w:accent3="accent3" w:accent4="accent4" w:accent5="accent5" w:accent6="accent6" w:hyperlink="hyperlink" w:followedHyperlink="followedHyperlink"/>
  <w:decimalSymbol w:val="."/>
  <w:listSeparator w:val=","/>
  <w14:docId w14:val="7495D54E"/>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2">
    <w:name w:val="heading 2"/>
    <w:basedOn w:val="Normal"/>
    <w:link w:val="Heading2Char"/>
    <w:uiPriority w:val="9"/>
    <w:qFormat/>
    <w:rsid w:val="003F3DC8"/>
    <w:pPr>
      <w:spacing w:before="100" w:beforeAutospacing="1" w:after="100" w:afterAutospacing="1"/>
      <w:outlineLvl w:val="1"/>
    </w:pPr>
    <w:rPr>
      <w:rFonts w:ascii="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unhideWhenUsed/>
    <w:rsid w:val="007E0817"/>
  </w:style>
  <w:style w:type="character" w:customStyle="1" w:styleId="FootnoteTextChar">
    <w:name w:val="Footnote Text Char"/>
    <w:basedOn w:val="DefaultParagraphFont"/>
    <w:link w:val="FootnoteText"/>
    <w:uiPriority w:val="99"/>
    <w:rsid w:val="007E0817"/>
  </w:style>
  <w:style w:type="character" w:styleId="FootnoteReference">
    <w:name w:val="footnote reference"/>
    <w:basedOn w:val="DefaultParagraphFont"/>
    <w:uiPriority w:val="99"/>
    <w:unhideWhenUsed/>
    <w:rsid w:val="007E0817"/>
    <w:rPr>
      <w:vertAlign w:val="superscript"/>
    </w:rPr>
  </w:style>
  <w:style w:type="character" w:customStyle="1" w:styleId="Heading2Char">
    <w:name w:val="Heading 2 Char"/>
    <w:basedOn w:val="DefaultParagraphFont"/>
    <w:link w:val="Heading2"/>
    <w:uiPriority w:val="9"/>
    <w:rsid w:val="003F3DC8"/>
    <w:rPr>
      <w:rFonts w:ascii="Times New Roman" w:hAnsi="Times New Roman" w:cs="Times New Roman"/>
      <w:b/>
      <w:bCs/>
      <w:sz w:val="36"/>
      <w:szCs w:val="36"/>
      <w:lang w:eastAsia="en-GB"/>
    </w:rPr>
  </w:style>
  <w:style w:type="paragraph" w:styleId="NormalWeb">
    <w:name w:val="Normal (Web)"/>
    <w:basedOn w:val="Normal"/>
    <w:uiPriority w:val="99"/>
    <w:semiHidden/>
    <w:unhideWhenUsed/>
    <w:rsid w:val="003F3DC8"/>
    <w:pPr>
      <w:spacing w:before="100" w:beforeAutospacing="1" w:after="100" w:afterAutospacing="1"/>
    </w:pPr>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9602450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Title Sort"/>
</file>

<file path=customXml/itemProps1.xml><?xml version="1.0" encoding="utf-8"?>
<ds:datastoreItem xmlns:ds="http://schemas.openxmlformats.org/officeDocument/2006/customXml" ds:itemID="{3CCA59E0-EB48-224C-A890-5A6CBF164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4</Pages>
  <Words>1294</Words>
  <Characters>7380</Characters>
  <Application>Microsoft Macintosh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8657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Stone (1600194)</dc:creator>
  <cp:keywords/>
  <dc:description/>
  <cp:lastModifiedBy>Charlotte Stone (1600194)</cp:lastModifiedBy>
  <cp:revision>1</cp:revision>
  <dcterms:created xsi:type="dcterms:W3CDTF">2018-01-19T12:16:00Z</dcterms:created>
  <dcterms:modified xsi:type="dcterms:W3CDTF">2018-01-19T15:58:00Z</dcterms:modified>
</cp:coreProperties>
</file>