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0CF939" w14:textId="77777777" w:rsidR="00C814B9" w:rsidRPr="00A24F20" w:rsidRDefault="00C814B9" w:rsidP="00C814B9">
      <w:pPr>
        <w:pStyle w:val="TimeNewRoman"/>
        <w:ind w:left="2160" w:firstLine="720"/>
        <w:jc w:val="left"/>
        <w:rPr>
          <w:color w:val="000000"/>
          <w:sz w:val="24"/>
          <w:szCs w:val="24"/>
        </w:rPr>
      </w:pPr>
      <w:r w:rsidRPr="00A24F20">
        <w:rPr>
          <w:color w:val="000000"/>
          <w:sz w:val="24"/>
          <w:szCs w:val="24"/>
        </w:rPr>
        <w:t>University of Wales Trinity Saint David</w:t>
      </w:r>
    </w:p>
    <w:p w14:paraId="28C1EAC8" w14:textId="77777777" w:rsidR="00C814B9" w:rsidRPr="00A24F20" w:rsidRDefault="00C814B9" w:rsidP="00C814B9">
      <w:pPr>
        <w:pStyle w:val="TimeNewRoman"/>
        <w:rPr>
          <w:color w:val="000000"/>
        </w:rPr>
      </w:pPr>
    </w:p>
    <w:p w14:paraId="3258C3CA" w14:textId="77777777" w:rsidR="00C814B9" w:rsidRPr="00A24F20" w:rsidRDefault="00C814B9" w:rsidP="00C814B9">
      <w:pPr>
        <w:pStyle w:val="TimeNewRoman"/>
        <w:rPr>
          <w:color w:val="000000"/>
        </w:rPr>
      </w:pPr>
    </w:p>
    <w:p w14:paraId="125BDAA7" w14:textId="77777777" w:rsidR="00C814B9" w:rsidRPr="00A24F20" w:rsidRDefault="00C814B9" w:rsidP="00C814B9">
      <w:pPr>
        <w:pStyle w:val="TimeNewRoman"/>
        <w:rPr>
          <w:color w:val="000000"/>
        </w:rPr>
      </w:pPr>
    </w:p>
    <w:p w14:paraId="68DFE9F8" w14:textId="77777777" w:rsidR="00C814B9" w:rsidRPr="00A24F20" w:rsidRDefault="00C814B9" w:rsidP="00C814B9">
      <w:pPr>
        <w:pStyle w:val="TimeNewRoman"/>
        <w:rPr>
          <w:color w:val="000000"/>
        </w:rPr>
      </w:pPr>
    </w:p>
    <w:p w14:paraId="711FBCDC" w14:textId="77777777" w:rsidR="00C814B9" w:rsidRPr="00A24F20" w:rsidRDefault="00C814B9" w:rsidP="00C814B9">
      <w:pPr>
        <w:pStyle w:val="TimeNewRoman"/>
        <w:rPr>
          <w:color w:val="000000"/>
        </w:rPr>
      </w:pPr>
    </w:p>
    <w:p w14:paraId="699D4818" w14:textId="77777777" w:rsidR="00C814B9" w:rsidRPr="00A24F20" w:rsidRDefault="00C814B9" w:rsidP="00C814B9">
      <w:pPr>
        <w:pStyle w:val="TimeNewRoman"/>
        <w:rPr>
          <w:color w:val="000000"/>
        </w:rPr>
      </w:pPr>
    </w:p>
    <w:p w14:paraId="51E3AA71" w14:textId="77777777" w:rsidR="00C814B9" w:rsidRPr="00A24F20" w:rsidRDefault="00C814B9" w:rsidP="00C814B9">
      <w:pPr>
        <w:pStyle w:val="TimeNewRoman"/>
        <w:rPr>
          <w:color w:val="000000"/>
        </w:rPr>
      </w:pPr>
    </w:p>
    <w:p w14:paraId="260E9635" w14:textId="59A3D82F" w:rsidR="00C814B9" w:rsidRPr="00A24F20" w:rsidRDefault="00C814B9" w:rsidP="00C814B9">
      <w:pPr>
        <w:pStyle w:val="TimeNewRoman"/>
        <w:rPr>
          <w:color w:val="000000"/>
        </w:rPr>
      </w:pPr>
      <w:r w:rsidRPr="00A24F20">
        <w:rPr>
          <w:color w:val="000000"/>
        </w:rPr>
        <w:t xml:space="preserve">Assessment </w:t>
      </w:r>
      <w:r>
        <w:rPr>
          <w:color w:val="000000"/>
        </w:rPr>
        <w:t>2</w:t>
      </w:r>
      <w:r w:rsidRPr="00A24F20">
        <w:rPr>
          <w:color w:val="000000"/>
        </w:rPr>
        <w:t xml:space="preserve"> </w:t>
      </w:r>
    </w:p>
    <w:p w14:paraId="136E6362" w14:textId="57FB4261" w:rsidR="00C814B9" w:rsidRPr="00A24F20" w:rsidRDefault="00C814B9" w:rsidP="00C814B9">
      <w:pPr>
        <w:pStyle w:val="TimeNewRoman"/>
        <w:rPr>
          <w:color w:val="000000"/>
        </w:rPr>
      </w:pPr>
      <w:r w:rsidRPr="00824749">
        <w:rPr>
          <w:color w:val="000000"/>
          <w:sz w:val="40"/>
          <w:szCs w:val="40"/>
        </w:rPr>
        <w:t xml:space="preserve">Written report on Marketing Fundamentals </w:t>
      </w:r>
      <w:r>
        <w:rPr>
          <w:color w:val="000000"/>
          <w:sz w:val="40"/>
          <w:szCs w:val="40"/>
        </w:rPr>
        <w:br/>
      </w:r>
      <w:r>
        <w:t>Marketing Fundamentals Analysis and Evaluation on Diageo</w:t>
      </w:r>
    </w:p>
    <w:p w14:paraId="0CE760AD" w14:textId="77777777" w:rsidR="00C814B9" w:rsidRPr="00A24F20" w:rsidRDefault="00C814B9" w:rsidP="00C814B9">
      <w:pPr>
        <w:pStyle w:val="NormalWeb"/>
        <w:shd w:val="clear" w:color="auto" w:fill="FFFFFF"/>
        <w:spacing w:before="0" w:after="225" w:line="360" w:lineRule="auto"/>
        <w:rPr>
          <w:color w:val="000000"/>
          <w:lang w:val="en-US"/>
        </w:rPr>
      </w:pPr>
    </w:p>
    <w:p w14:paraId="2374778F" w14:textId="77777777" w:rsidR="00C814B9" w:rsidRPr="00A24F20" w:rsidRDefault="00C814B9" w:rsidP="00C814B9">
      <w:pPr>
        <w:pStyle w:val="NormalWeb"/>
        <w:shd w:val="clear" w:color="auto" w:fill="FFFFFF"/>
        <w:spacing w:before="0" w:after="225" w:line="360" w:lineRule="auto"/>
        <w:jc w:val="right"/>
        <w:rPr>
          <w:color w:val="000000"/>
          <w:lang w:val="en-US"/>
        </w:rPr>
      </w:pPr>
    </w:p>
    <w:p w14:paraId="461B70F5" w14:textId="77777777" w:rsidR="00C814B9" w:rsidRPr="00A24F20" w:rsidRDefault="00C814B9" w:rsidP="00C814B9">
      <w:pPr>
        <w:pStyle w:val="NormalWeb"/>
        <w:shd w:val="clear" w:color="auto" w:fill="FFFFFF"/>
        <w:spacing w:before="0" w:after="225" w:line="360" w:lineRule="auto"/>
        <w:jc w:val="right"/>
        <w:rPr>
          <w:color w:val="000000"/>
          <w:lang w:val="en-US"/>
        </w:rPr>
      </w:pPr>
    </w:p>
    <w:p w14:paraId="25C92FD6" w14:textId="77777777" w:rsidR="00C814B9" w:rsidRDefault="00C814B9" w:rsidP="00C814B9">
      <w:pPr>
        <w:spacing w:line="360" w:lineRule="auto"/>
        <w:jc w:val="right"/>
        <w:rPr>
          <w:rFonts w:ascii="Times New Roman" w:hAnsi="Times New Roman"/>
          <w:color w:val="000000"/>
          <w:sz w:val="28"/>
          <w:szCs w:val="28"/>
          <w:shd w:val="clear" w:color="auto" w:fill="FFFFFF"/>
        </w:rPr>
      </w:pPr>
      <w:r w:rsidRPr="00A24F20">
        <w:rPr>
          <w:rFonts w:ascii="Times New Roman" w:hAnsi="Times New Roman"/>
          <w:color w:val="000000"/>
          <w:sz w:val="28"/>
          <w:szCs w:val="28"/>
          <w:shd w:val="clear" w:color="auto" w:fill="FFFFFF"/>
        </w:rPr>
        <w:t>Program: BA Business Management</w:t>
      </w:r>
      <w:r w:rsidRPr="00A24F20">
        <w:rPr>
          <w:rFonts w:ascii="Times New Roman" w:hAnsi="Times New Roman"/>
          <w:color w:val="000000"/>
          <w:sz w:val="28"/>
          <w:szCs w:val="28"/>
          <w:shd w:val="clear" w:color="auto" w:fill="FFFFFF"/>
        </w:rPr>
        <w:br/>
        <w:t>Student: Stefania Prohnitchi</w:t>
      </w:r>
    </w:p>
    <w:p w14:paraId="323CED80" w14:textId="77777777" w:rsidR="00C814B9" w:rsidRPr="00A24F20" w:rsidRDefault="00C814B9" w:rsidP="00C814B9">
      <w:pPr>
        <w:spacing w:line="360" w:lineRule="auto"/>
        <w:jc w:val="right"/>
        <w:rPr>
          <w:rFonts w:ascii="Times New Roman" w:hAnsi="Times New Roman"/>
          <w:color w:val="000000"/>
          <w:sz w:val="28"/>
          <w:szCs w:val="28"/>
          <w:shd w:val="clear" w:color="auto" w:fill="FFFFFF"/>
        </w:rPr>
      </w:pPr>
      <w:r>
        <w:rPr>
          <w:rFonts w:ascii="Times New Roman" w:hAnsi="Times New Roman"/>
          <w:color w:val="000000"/>
          <w:sz w:val="28"/>
          <w:szCs w:val="28"/>
          <w:shd w:val="clear" w:color="auto" w:fill="FFFFFF"/>
        </w:rPr>
        <w:t xml:space="preserve">Student number: 1917713 </w:t>
      </w:r>
      <w:r w:rsidRPr="00A24F20">
        <w:rPr>
          <w:rFonts w:ascii="Times New Roman" w:hAnsi="Times New Roman"/>
          <w:color w:val="000000"/>
          <w:sz w:val="28"/>
          <w:szCs w:val="28"/>
          <w:shd w:val="clear" w:color="auto" w:fill="FFFFFF"/>
        </w:rPr>
        <w:br/>
        <w:t xml:space="preserve">Course: </w:t>
      </w:r>
      <w:r>
        <w:rPr>
          <w:rFonts w:ascii="Times New Roman" w:hAnsi="Times New Roman"/>
          <w:color w:val="000000"/>
          <w:sz w:val="28"/>
          <w:szCs w:val="28"/>
          <w:shd w:val="clear" w:color="auto" w:fill="FFFFFF"/>
        </w:rPr>
        <w:t xml:space="preserve">Marketing Fundamentals  </w:t>
      </w:r>
      <w:r w:rsidRPr="00A24F20">
        <w:rPr>
          <w:rFonts w:ascii="Times New Roman" w:hAnsi="Times New Roman"/>
          <w:color w:val="000000"/>
          <w:sz w:val="28"/>
          <w:szCs w:val="28"/>
          <w:shd w:val="clear" w:color="auto" w:fill="FFFFFF"/>
        </w:rPr>
        <w:br/>
        <w:t xml:space="preserve">Tutor: </w:t>
      </w:r>
      <w:proofErr w:type="spellStart"/>
      <w:r>
        <w:rPr>
          <w:rFonts w:ascii="Times New Roman" w:hAnsi="Times New Roman"/>
          <w:color w:val="000000"/>
          <w:sz w:val="28"/>
          <w:szCs w:val="28"/>
          <w:shd w:val="clear" w:color="auto" w:fill="FFFFFF"/>
        </w:rPr>
        <w:t>Tushara</w:t>
      </w:r>
      <w:proofErr w:type="spellEnd"/>
      <w:r>
        <w:rPr>
          <w:rFonts w:ascii="Times New Roman" w:hAnsi="Times New Roman"/>
          <w:color w:val="000000"/>
          <w:sz w:val="28"/>
          <w:szCs w:val="28"/>
          <w:shd w:val="clear" w:color="auto" w:fill="FFFFFF"/>
        </w:rPr>
        <w:t xml:space="preserve"> </w:t>
      </w:r>
      <w:proofErr w:type="spellStart"/>
      <w:r>
        <w:rPr>
          <w:rFonts w:ascii="Times New Roman" w:hAnsi="Times New Roman"/>
          <w:color w:val="000000"/>
          <w:sz w:val="28"/>
          <w:szCs w:val="28"/>
          <w:shd w:val="clear" w:color="auto" w:fill="FFFFFF"/>
        </w:rPr>
        <w:t>Balendran</w:t>
      </w:r>
      <w:proofErr w:type="spellEnd"/>
      <w:r>
        <w:rPr>
          <w:rFonts w:ascii="Times New Roman" w:hAnsi="Times New Roman"/>
          <w:color w:val="000000"/>
          <w:sz w:val="28"/>
          <w:szCs w:val="28"/>
          <w:shd w:val="clear" w:color="auto" w:fill="FFFFFF"/>
        </w:rPr>
        <w:t xml:space="preserve"> </w:t>
      </w:r>
    </w:p>
    <w:p w14:paraId="66700949" w14:textId="77777777" w:rsidR="00C814B9" w:rsidRPr="00D318AE" w:rsidRDefault="00C814B9" w:rsidP="00C814B9">
      <w:pPr>
        <w:pStyle w:val="NormalWeb"/>
        <w:shd w:val="clear" w:color="auto" w:fill="FFFFFF"/>
        <w:spacing w:before="0" w:after="225" w:line="360" w:lineRule="auto"/>
        <w:rPr>
          <w:color w:val="000000"/>
          <w:lang w:val="en-IN"/>
        </w:rPr>
      </w:pPr>
    </w:p>
    <w:p w14:paraId="732121CA" w14:textId="77777777" w:rsidR="00C814B9" w:rsidRPr="00A24F20" w:rsidRDefault="00C814B9" w:rsidP="00C814B9">
      <w:pPr>
        <w:pStyle w:val="NormalWeb"/>
        <w:shd w:val="clear" w:color="auto" w:fill="FFFFFF"/>
        <w:spacing w:before="0" w:after="225" w:line="360" w:lineRule="auto"/>
        <w:rPr>
          <w:color w:val="000000"/>
          <w:lang w:val="en-US"/>
        </w:rPr>
      </w:pPr>
    </w:p>
    <w:p w14:paraId="591A2E47" w14:textId="0318C57F" w:rsidR="00C814B9" w:rsidRDefault="00C814B9" w:rsidP="00C814B9">
      <w:pPr>
        <w:pStyle w:val="NormalWeb"/>
        <w:shd w:val="clear" w:color="auto" w:fill="FFFFFF"/>
        <w:spacing w:before="0" w:after="225" w:line="360" w:lineRule="auto"/>
        <w:rPr>
          <w:color w:val="000000"/>
          <w:lang w:val="en-US"/>
        </w:rPr>
      </w:pPr>
    </w:p>
    <w:p w14:paraId="685D4C63" w14:textId="5E485519" w:rsidR="009D33BF" w:rsidRDefault="009D33BF" w:rsidP="00C814B9">
      <w:pPr>
        <w:pStyle w:val="NormalWeb"/>
        <w:shd w:val="clear" w:color="auto" w:fill="FFFFFF"/>
        <w:spacing w:before="0" w:after="225" w:line="360" w:lineRule="auto"/>
        <w:rPr>
          <w:color w:val="000000"/>
          <w:lang w:val="en-US"/>
        </w:rPr>
      </w:pPr>
    </w:p>
    <w:p w14:paraId="17F5767A" w14:textId="3ECEEA5B" w:rsidR="009D33BF" w:rsidRDefault="009D33BF" w:rsidP="00C814B9">
      <w:pPr>
        <w:pStyle w:val="NormalWeb"/>
        <w:shd w:val="clear" w:color="auto" w:fill="FFFFFF"/>
        <w:spacing w:before="0" w:after="225" w:line="360" w:lineRule="auto"/>
        <w:rPr>
          <w:color w:val="000000"/>
          <w:lang w:val="en-US"/>
        </w:rPr>
      </w:pPr>
    </w:p>
    <w:p w14:paraId="23017C34" w14:textId="77777777" w:rsidR="009D33BF" w:rsidRPr="00A24F20" w:rsidRDefault="009D33BF" w:rsidP="00C814B9">
      <w:pPr>
        <w:pStyle w:val="NormalWeb"/>
        <w:shd w:val="clear" w:color="auto" w:fill="FFFFFF"/>
        <w:spacing w:before="0" w:after="225" w:line="360" w:lineRule="auto"/>
        <w:rPr>
          <w:color w:val="000000"/>
          <w:lang w:val="en-US"/>
        </w:rPr>
      </w:pPr>
    </w:p>
    <w:p w14:paraId="1135391B" w14:textId="0B0693E3" w:rsidR="00C814B9" w:rsidRPr="009D33BF" w:rsidRDefault="00C814B9" w:rsidP="009D33BF">
      <w:pPr>
        <w:pStyle w:val="NormalWeb"/>
        <w:shd w:val="clear" w:color="auto" w:fill="FFFFFF"/>
        <w:spacing w:before="0" w:after="225" w:line="360" w:lineRule="auto"/>
        <w:jc w:val="center"/>
        <w:rPr>
          <w:color w:val="000000"/>
          <w:lang w:val="en-US"/>
        </w:rPr>
      </w:pPr>
      <w:r w:rsidRPr="00A24F20">
        <w:rPr>
          <w:color w:val="000000"/>
          <w:lang w:val="en-US"/>
        </w:rPr>
        <w:t>London 20</w:t>
      </w:r>
      <w:r>
        <w:rPr>
          <w:color w:val="000000"/>
          <w:lang w:val="en-US"/>
        </w:rPr>
        <w:t>21</w:t>
      </w:r>
    </w:p>
    <w:p w14:paraId="5C6F9871" w14:textId="4037FBDF" w:rsidR="00C814B9" w:rsidRDefault="00C814B9" w:rsidP="00C814B9">
      <w:pPr>
        <w:pStyle w:val="LO-Normal"/>
        <w:rPr>
          <w:lang w:val="en-US" w:eastAsia="en-US" w:bidi="ar-SA"/>
        </w:rPr>
      </w:pPr>
    </w:p>
    <w:p w14:paraId="49F76534" w14:textId="6C134501" w:rsidR="00C814B9" w:rsidRDefault="00C814B9" w:rsidP="00C814B9">
      <w:pPr>
        <w:pStyle w:val="TOCHeading"/>
        <w:spacing w:line="360" w:lineRule="auto"/>
        <w:jc w:val="both"/>
      </w:pPr>
      <w:r>
        <w:rPr>
          <w:rFonts w:ascii="Times New Roman" w:hAnsi="Times New Roman"/>
        </w:rPr>
        <w:t>Contents</w:t>
      </w:r>
    </w:p>
    <w:p w14:paraId="32F24F70" w14:textId="0023005E" w:rsidR="00C814B9" w:rsidRDefault="00C814B9" w:rsidP="009D33BF">
      <w:pPr>
        <w:pStyle w:val="TOC1"/>
        <w:tabs>
          <w:tab w:val="right" w:leader="dot" w:pos="9628"/>
        </w:tabs>
        <w:spacing w:line="360" w:lineRule="auto"/>
      </w:pPr>
      <w:r>
        <w:fldChar w:fldCharType="begin"/>
      </w:r>
      <w:r>
        <w:instrText xml:space="preserve"> TOC \o "1-3" \h</w:instrText>
      </w:r>
      <w:r>
        <w:fldChar w:fldCharType="separate"/>
      </w:r>
      <w:hyperlink r:id="rId10" w:anchor="_blank" w:history="1">
        <w:r>
          <w:rPr>
            <w:rStyle w:val="Hyperlink"/>
            <w:rFonts w:ascii="Times New Roman" w:hAnsi="Times New Roman" w:cs="Times New Roman"/>
          </w:rPr>
          <w:t>Introduction</w:t>
        </w:r>
        <w:r>
          <w:rPr>
            <w:rStyle w:val="IndexLink"/>
          </w:rPr>
          <w:tab/>
        </w:r>
        <w:r w:rsidR="00F00213">
          <w:rPr>
            <w:rStyle w:val="IndexLink"/>
          </w:rPr>
          <w:t>3</w:t>
        </w:r>
      </w:hyperlink>
    </w:p>
    <w:p w14:paraId="14DE4379" w14:textId="5800E1C6" w:rsidR="00C814B9" w:rsidRDefault="00647A88" w:rsidP="009D33BF">
      <w:pPr>
        <w:pStyle w:val="TOC1"/>
        <w:tabs>
          <w:tab w:val="right" w:leader="dot" w:pos="9628"/>
        </w:tabs>
        <w:spacing w:line="360" w:lineRule="auto"/>
        <w:rPr>
          <w:rStyle w:val="IndexLink"/>
        </w:rPr>
      </w:pPr>
      <w:hyperlink r:id="rId11" w:anchor="_blank" w:history="1">
        <w:r w:rsidR="00C814B9">
          <w:rPr>
            <w:rStyle w:val="Hyperlink"/>
            <w:rFonts w:ascii="Times New Roman" w:hAnsi="Times New Roman" w:cs="Times New Roman"/>
          </w:rPr>
          <w:t>Main stages of marketing process</w:t>
        </w:r>
        <w:r w:rsidR="00C814B9">
          <w:rPr>
            <w:rStyle w:val="IndexLink"/>
          </w:rPr>
          <w:tab/>
        </w:r>
        <w:r w:rsidR="00F00213">
          <w:rPr>
            <w:rStyle w:val="IndexLink"/>
          </w:rPr>
          <w:t>3</w:t>
        </w:r>
      </w:hyperlink>
    </w:p>
    <w:p w14:paraId="34E24ADD" w14:textId="147A97B3" w:rsidR="00D05DA8" w:rsidRPr="00D05DA8" w:rsidRDefault="00D05DA8" w:rsidP="00D05DA8">
      <w:pPr>
        <w:pStyle w:val="LO-Normal"/>
        <w:rPr>
          <w:rFonts w:ascii="Times New Roman" w:hAnsi="Times New Roman" w:cs="Times New Roman"/>
        </w:rPr>
      </w:pPr>
      <w:r w:rsidRPr="00D05DA8">
        <w:rPr>
          <w:rFonts w:ascii="Times New Roman" w:hAnsi="Times New Roman" w:cs="Times New Roman"/>
        </w:rPr>
        <w:t>Stakeholders</w:t>
      </w:r>
      <w:r>
        <w:rPr>
          <w:rFonts w:ascii="Times New Roman" w:hAnsi="Times New Roman" w:cs="Times New Roman"/>
        </w:rPr>
        <w:t>………………………………………………………………………………………….4</w:t>
      </w:r>
    </w:p>
    <w:p w14:paraId="4B534759" w14:textId="77777777" w:rsidR="00D05DA8" w:rsidRPr="00D05DA8" w:rsidRDefault="00D05DA8" w:rsidP="00D05DA8">
      <w:pPr>
        <w:pStyle w:val="LO-Normal"/>
      </w:pPr>
    </w:p>
    <w:p w14:paraId="010787F9" w14:textId="7F13F044" w:rsidR="00F00213" w:rsidRPr="00F00213" w:rsidRDefault="00647A88" w:rsidP="00F00213">
      <w:pPr>
        <w:pStyle w:val="TOC1"/>
        <w:tabs>
          <w:tab w:val="right" w:leader="dot" w:pos="9628"/>
        </w:tabs>
        <w:spacing w:line="360" w:lineRule="auto"/>
      </w:pPr>
      <w:hyperlink r:id="rId12" w:anchor="_blank" w:history="1">
        <w:r w:rsidR="00C814B9">
          <w:rPr>
            <w:rStyle w:val="Hyperlink"/>
            <w:rFonts w:ascii="Times New Roman" w:hAnsi="Times New Roman" w:cs="Times New Roman"/>
          </w:rPr>
          <w:t>PESTEL analysis of Diageo company</w:t>
        </w:r>
        <w:r w:rsidR="00C814B9">
          <w:rPr>
            <w:rStyle w:val="IndexLink"/>
          </w:rPr>
          <w:tab/>
        </w:r>
        <w:r w:rsidR="008E1B2E">
          <w:rPr>
            <w:rStyle w:val="IndexLink"/>
          </w:rPr>
          <w:t>5</w:t>
        </w:r>
      </w:hyperlink>
    </w:p>
    <w:p w14:paraId="7FF9AF37" w14:textId="6F7FD976" w:rsidR="00C814B9" w:rsidRDefault="00647A88" w:rsidP="009D33BF">
      <w:pPr>
        <w:pStyle w:val="TOC1"/>
        <w:tabs>
          <w:tab w:val="right" w:leader="dot" w:pos="9628"/>
        </w:tabs>
        <w:spacing w:line="360" w:lineRule="auto"/>
      </w:pPr>
      <w:hyperlink r:id="rId13" w:anchor="_blank" w:history="1">
        <w:r w:rsidR="00C814B9">
          <w:rPr>
            <w:rStyle w:val="Hyperlink"/>
            <w:rFonts w:ascii="Times New Roman" w:hAnsi="Times New Roman" w:cs="Times New Roman"/>
          </w:rPr>
          <w:t>Porter 5 forces model</w:t>
        </w:r>
        <w:r w:rsidR="00C814B9">
          <w:rPr>
            <w:rStyle w:val="IndexLink"/>
          </w:rPr>
          <w:tab/>
        </w:r>
        <w:r w:rsidR="008E1B2E">
          <w:rPr>
            <w:rStyle w:val="IndexLink"/>
          </w:rPr>
          <w:t>6</w:t>
        </w:r>
      </w:hyperlink>
    </w:p>
    <w:p w14:paraId="28C3DE5F" w14:textId="567DF277" w:rsidR="00C814B9" w:rsidRDefault="00647A88" w:rsidP="009D33BF">
      <w:pPr>
        <w:pStyle w:val="TOC1"/>
        <w:tabs>
          <w:tab w:val="right" w:leader="dot" w:pos="9628"/>
        </w:tabs>
        <w:spacing w:line="360" w:lineRule="auto"/>
      </w:pPr>
      <w:hyperlink r:id="rId14" w:anchor="_blank" w:history="1">
        <w:r w:rsidR="00C814B9">
          <w:rPr>
            <w:rStyle w:val="Hyperlink"/>
            <w:rFonts w:ascii="Times New Roman" w:hAnsi="Times New Roman" w:cs="Times New Roman"/>
          </w:rPr>
          <w:t>SWOT analysis</w:t>
        </w:r>
        <w:r w:rsidR="00C814B9">
          <w:rPr>
            <w:rStyle w:val="IndexLink"/>
          </w:rPr>
          <w:tab/>
        </w:r>
        <w:r w:rsidR="008E1B2E">
          <w:rPr>
            <w:rStyle w:val="IndexLink"/>
          </w:rPr>
          <w:t>7</w:t>
        </w:r>
      </w:hyperlink>
    </w:p>
    <w:p w14:paraId="7D36B30E" w14:textId="748E46CA" w:rsidR="00C814B9" w:rsidRDefault="00647A88" w:rsidP="009D33BF">
      <w:pPr>
        <w:pStyle w:val="TOC1"/>
        <w:tabs>
          <w:tab w:val="right" w:leader="dot" w:pos="9628"/>
        </w:tabs>
        <w:spacing w:line="360" w:lineRule="auto"/>
      </w:pPr>
      <w:hyperlink r:id="rId15" w:anchor="_blank" w:history="1">
        <w:r w:rsidR="00C814B9">
          <w:rPr>
            <w:rStyle w:val="Hyperlink"/>
            <w:rFonts w:ascii="Times New Roman" w:hAnsi="Times New Roman" w:cs="Times New Roman"/>
          </w:rPr>
          <w:t>Advantages and disadvantages of SWOT analysis</w:t>
        </w:r>
        <w:r w:rsidR="00C814B9">
          <w:rPr>
            <w:rStyle w:val="IndexLink"/>
          </w:rPr>
          <w:tab/>
        </w:r>
        <w:r w:rsidR="008E1B2E">
          <w:rPr>
            <w:rStyle w:val="IndexLink"/>
          </w:rPr>
          <w:t>8</w:t>
        </w:r>
      </w:hyperlink>
    </w:p>
    <w:p w14:paraId="36802A68" w14:textId="294663AA" w:rsidR="00C814B9" w:rsidRDefault="00647A88" w:rsidP="009D33BF">
      <w:pPr>
        <w:pStyle w:val="TOC1"/>
        <w:tabs>
          <w:tab w:val="right" w:leader="dot" w:pos="9628"/>
        </w:tabs>
        <w:spacing w:line="360" w:lineRule="auto"/>
      </w:pPr>
      <w:hyperlink r:id="rId16" w:anchor="_blank" w:history="1">
        <w:r w:rsidR="00C814B9">
          <w:rPr>
            <w:rStyle w:val="Hyperlink"/>
            <w:rFonts w:ascii="Times New Roman" w:hAnsi="Times New Roman" w:cs="Times New Roman"/>
          </w:rPr>
          <w:t>Conclusion</w:t>
        </w:r>
        <w:r w:rsidR="00C814B9">
          <w:rPr>
            <w:rStyle w:val="IndexLink"/>
          </w:rPr>
          <w:tab/>
        </w:r>
        <w:r w:rsidR="008E1B2E">
          <w:rPr>
            <w:rStyle w:val="IndexLink"/>
          </w:rPr>
          <w:t>9</w:t>
        </w:r>
      </w:hyperlink>
    </w:p>
    <w:p w14:paraId="6DE7973E" w14:textId="6EE65AFA" w:rsidR="00C814B9" w:rsidRDefault="00647A88" w:rsidP="009D33BF">
      <w:pPr>
        <w:pStyle w:val="TOC1"/>
        <w:tabs>
          <w:tab w:val="right" w:leader="dot" w:pos="9628"/>
        </w:tabs>
        <w:spacing w:line="360" w:lineRule="auto"/>
      </w:pPr>
      <w:hyperlink r:id="rId17" w:anchor="_blank" w:history="1">
        <w:r w:rsidR="00C814B9">
          <w:rPr>
            <w:rStyle w:val="Hyperlink"/>
            <w:rFonts w:ascii="Times New Roman" w:hAnsi="Times New Roman" w:cs="Times New Roman"/>
          </w:rPr>
          <w:t>Reference</w:t>
        </w:r>
        <w:r w:rsidR="00C814B9">
          <w:rPr>
            <w:rStyle w:val="IndexLink"/>
          </w:rPr>
          <w:tab/>
        </w:r>
        <w:r w:rsidR="00F00213">
          <w:rPr>
            <w:rStyle w:val="IndexLink"/>
          </w:rPr>
          <w:t>10</w:t>
        </w:r>
      </w:hyperlink>
    </w:p>
    <w:p w14:paraId="68A21FF4" w14:textId="77777777" w:rsidR="00C814B9" w:rsidRDefault="00C814B9" w:rsidP="009D33BF">
      <w:pPr>
        <w:pStyle w:val="LO-Normal"/>
        <w:spacing w:line="360" w:lineRule="auto"/>
        <w:jc w:val="both"/>
      </w:pPr>
      <w:r>
        <w:fldChar w:fldCharType="end"/>
      </w:r>
    </w:p>
    <w:p w14:paraId="2EB0CC5A" w14:textId="77777777" w:rsidR="00C814B9" w:rsidRDefault="00C814B9" w:rsidP="00C814B9">
      <w:pPr>
        <w:pStyle w:val="Heading1"/>
        <w:tabs>
          <w:tab w:val="left" w:pos="0"/>
        </w:tabs>
        <w:spacing w:line="360" w:lineRule="auto"/>
        <w:jc w:val="both"/>
        <w:rPr>
          <w:rFonts w:ascii="Times New Roman" w:hAnsi="Times New Roman" w:cs="Times New Roman"/>
          <w:sz w:val="36"/>
          <w:szCs w:val="36"/>
        </w:rPr>
      </w:pPr>
    </w:p>
    <w:p w14:paraId="4F9C6413" w14:textId="77777777" w:rsidR="00C814B9" w:rsidRDefault="00C814B9" w:rsidP="00C814B9">
      <w:pPr>
        <w:pStyle w:val="BodyText"/>
        <w:spacing w:line="360" w:lineRule="auto"/>
        <w:jc w:val="both"/>
        <w:rPr>
          <w:rFonts w:ascii="Times New Roman" w:hAnsi="Times New Roman" w:cs="Times New Roman"/>
          <w:sz w:val="36"/>
          <w:szCs w:val="36"/>
        </w:rPr>
      </w:pPr>
    </w:p>
    <w:p w14:paraId="3DB7FC67" w14:textId="77777777" w:rsidR="00C814B9" w:rsidRDefault="00C814B9" w:rsidP="00C814B9">
      <w:pPr>
        <w:pStyle w:val="BodyText"/>
        <w:spacing w:line="360" w:lineRule="auto"/>
        <w:jc w:val="both"/>
        <w:rPr>
          <w:rFonts w:ascii="Times New Roman" w:hAnsi="Times New Roman" w:cs="Times New Roman"/>
          <w:sz w:val="36"/>
          <w:szCs w:val="36"/>
        </w:rPr>
      </w:pPr>
    </w:p>
    <w:p w14:paraId="565ACA8B" w14:textId="77777777" w:rsidR="00C814B9" w:rsidRDefault="00C814B9" w:rsidP="00C814B9">
      <w:pPr>
        <w:pStyle w:val="BodyText"/>
        <w:spacing w:line="360" w:lineRule="auto"/>
        <w:jc w:val="both"/>
        <w:rPr>
          <w:rFonts w:ascii="Times New Roman" w:hAnsi="Times New Roman" w:cs="Times New Roman"/>
          <w:sz w:val="36"/>
          <w:szCs w:val="36"/>
        </w:rPr>
      </w:pPr>
    </w:p>
    <w:p w14:paraId="74190924" w14:textId="77777777" w:rsidR="00C814B9" w:rsidRDefault="00C814B9" w:rsidP="00C814B9">
      <w:pPr>
        <w:pStyle w:val="BodyText"/>
        <w:spacing w:line="360" w:lineRule="auto"/>
        <w:jc w:val="both"/>
        <w:rPr>
          <w:rFonts w:ascii="Times New Roman" w:hAnsi="Times New Roman" w:cs="Times New Roman"/>
          <w:sz w:val="36"/>
          <w:szCs w:val="36"/>
        </w:rPr>
      </w:pPr>
    </w:p>
    <w:p w14:paraId="7F809153" w14:textId="77777777" w:rsidR="00C814B9" w:rsidRDefault="00C814B9" w:rsidP="00C814B9">
      <w:pPr>
        <w:pStyle w:val="BodyText"/>
        <w:spacing w:line="360" w:lineRule="auto"/>
        <w:jc w:val="both"/>
        <w:rPr>
          <w:rFonts w:ascii="Times New Roman" w:hAnsi="Times New Roman" w:cs="Times New Roman"/>
          <w:sz w:val="36"/>
          <w:szCs w:val="36"/>
        </w:rPr>
      </w:pPr>
    </w:p>
    <w:p w14:paraId="0254290C" w14:textId="77777777" w:rsidR="00C814B9" w:rsidRDefault="00C814B9" w:rsidP="00C814B9">
      <w:pPr>
        <w:pStyle w:val="BodyText"/>
        <w:spacing w:line="360" w:lineRule="auto"/>
        <w:jc w:val="both"/>
        <w:rPr>
          <w:rFonts w:ascii="Times New Roman" w:hAnsi="Times New Roman" w:cs="Times New Roman"/>
          <w:sz w:val="36"/>
          <w:szCs w:val="36"/>
        </w:rPr>
      </w:pPr>
    </w:p>
    <w:p w14:paraId="71B769A1" w14:textId="77777777" w:rsidR="00C814B9" w:rsidRDefault="00C814B9" w:rsidP="00C814B9">
      <w:pPr>
        <w:pStyle w:val="BodyText"/>
        <w:spacing w:line="360" w:lineRule="auto"/>
        <w:jc w:val="both"/>
        <w:rPr>
          <w:rFonts w:ascii="Times New Roman" w:hAnsi="Times New Roman" w:cs="Times New Roman"/>
          <w:sz w:val="36"/>
          <w:szCs w:val="36"/>
        </w:rPr>
      </w:pPr>
    </w:p>
    <w:p w14:paraId="245C2F24" w14:textId="77777777" w:rsidR="00C814B9" w:rsidRDefault="00C814B9" w:rsidP="00C814B9">
      <w:pPr>
        <w:pStyle w:val="BodyText"/>
        <w:spacing w:line="360" w:lineRule="auto"/>
        <w:jc w:val="both"/>
        <w:rPr>
          <w:rFonts w:ascii="Times New Roman" w:hAnsi="Times New Roman" w:cs="Times New Roman"/>
          <w:sz w:val="36"/>
          <w:szCs w:val="36"/>
        </w:rPr>
      </w:pPr>
    </w:p>
    <w:p w14:paraId="7F8946F9" w14:textId="77777777" w:rsidR="00C814B9" w:rsidRDefault="00C814B9" w:rsidP="00C814B9">
      <w:pPr>
        <w:pStyle w:val="BodyText"/>
        <w:spacing w:line="360" w:lineRule="auto"/>
        <w:jc w:val="both"/>
        <w:rPr>
          <w:rFonts w:ascii="Times New Roman" w:hAnsi="Times New Roman" w:cs="Times New Roman"/>
          <w:sz w:val="36"/>
          <w:szCs w:val="36"/>
        </w:rPr>
      </w:pPr>
    </w:p>
    <w:p w14:paraId="5074C8ED" w14:textId="77777777" w:rsidR="00C814B9" w:rsidRDefault="00C814B9" w:rsidP="00C814B9">
      <w:pPr>
        <w:pStyle w:val="BodyText"/>
        <w:spacing w:line="360" w:lineRule="auto"/>
        <w:jc w:val="both"/>
        <w:rPr>
          <w:rFonts w:ascii="Times New Roman" w:hAnsi="Times New Roman" w:cs="Times New Roman"/>
          <w:sz w:val="36"/>
          <w:szCs w:val="36"/>
        </w:rPr>
      </w:pPr>
    </w:p>
    <w:p w14:paraId="5F95B975" w14:textId="77777777" w:rsidR="00BE4C06" w:rsidRDefault="00BE4C06" w:rsidP="00C814B9">
      <w:pPr>
        <w:pStyle w:val="BodyText"/>
        <w:spacing w:line="360" w:lineRule="auto"/>
        <w:jc w:val="both"/>
        <w:rPr>
          <w:rFonts w:ascii="Times New Roman" w:hAnsi="Times New Roman" w:cs="Times New Roman"/>
          <w:sz w:val="36"/>
          <w:szCs w:val="36"/>
        </w:rPr>
      </w:pPr>
    </w:p>
    <w:p w14:paraId="4306AF96" w14:textId="77777777" w:rsidR="00C814B9" w:rsidRDefault="00C814B9" w:rsidP="00C814B9">
      <w:pPr>
        <w:pStyle w:val="Heading1"/>
        <w:tabs>
          <w:tab w:val="left" w:pos="0"/>
        </w:tabs>
        <w:spacing w:line="360" w:lineRule="auto"/>
        <w:jc w:val="both"/>
      </w:pPr>
      <w:bookmarkStart w:id="0" w:name="__RefHeading___Toc58112519"/>
      <w:bookmarkEnd w:id="0"/>
      <w:r>
        <w:rPr>
          <w:rFonts w:ascii="Times New Roman" w:hAnsi="Times New Roman" w:cs="Times New Roman"/>
          <w:sz w:val="24"/>
          <w:szCs w:val="24"/>
        </w:rPr>
        <w:t>Introduction</w:t>
      </w:r>
    </w:p>
    <w:p w14:paraId="728AE8AD" w14:textId="7E0CE522" w:rsidR="00C814B9" w:rsidRDefault="00C814B9" w:rsidP="009D33BF">
      <w:pPr>
        <w:pStyle w:val="BodyText"/>
        <w:spacing w:line="480" w:lineRule="auto"/>
        <w:ind w:firstLine="720"/>
        <w:jc w:val="both"/>
      </w:pPr>
      <w:r>
        <w:rPr>
          <w:rFonts w:ascii="Times New Roman" w:hAnsi="Times New Roman" w:cs="Times New Roman"/>
        </w:rPr>
        <w:t xml:space="preserve">Marketing is analysed as the activities as well as process which is adopted for creating, communicating, </w:t>
      </w:r>
      <w:r w:rsidR="00C738E7">
        <w:rPr>
          <w:rFonts w:ascii="Times New Roman" w:hAnsi="Times New Roman" w:cs="Times New Roman"/>
        </w:rPr>
        <w:t>delivering,</w:t>
      </w:r>
      <w:r>
        <w:rPr>
          <w:rFonts w:ascii="Times New Roman" w:hAnsi="Times New Roman" w:cs="Times New Roman"/>
        </w:rPr>
        <w:t xml:space="preserve"> and exchanging offerings which includes the value for consumers. Marketing process is the steps series which helps the organization in identifying the problems of customers, analysing market opportunities and creating the marketing mix for reaching to the customers. It includes the six steps for reaching to the desired target audience. The discussion will include the marketing of Diageo Company. The company is involved in a series of activities in the beverage alcohol industry, and its products are sold in approximately 180 markets worldwide. Its business includes production, distillation, brewing, bottling, packaging, distribution, </w:t>
      </w:r>
      <w:proofErr w:type="gramStart"/>
      <w:r>
        <w:rPr>
          <w:rFonts w:ascii="Times New Roman" w:hAnsi="Times New Roman" w:cs="Times New Roman"/>
        </w:rPr>
        <w:t>development</w:t>
      </w:r>
      <w:proofErr w:type="gramEnd"/>
      <w:r>
        <w:rPr>
          <w:rFonts w:ascii="Times New Roman" w:hAnsi="Times New Roman" w:cs="Times New Roman"/>
        </w:rPr>
        <w:t xml:space="preserve"> and marketing of a range of brands. The company sells the alcohol brands, including various spirits and beer brands.</w:t>
      </w:r>
    </w:p>
    <w:p w14:paraId="560D3739" w14:textId="77777777" w:rsidR="00C814B9" w:rsidRDefault="00C814B9" w:rsidP="00C814B9">
      <w:pPr>
        <w:pStyle w:val="BodyText"/>
        <w:spacing w:line="360" w:lineRule="auto"/>
        <w:jc w:val="both"/>
      </w:pPr>
      <w:r>
        <w:rPr>
          <w:noProof/>
        </w:rPr>
        <w:drawing>
          <wp:anchor distT="0" distB="0" distL="0" distR="0" simplePos="0" relativeHeight="251659264" behindDoc="0" locked="0" layoutInCell="1" allowOverlap="1" wp14:anchorId="767F2EF4" wp14:editId="083945F3">
            <wp:simplePos x="0" y="0"/>
            <wp:positionH relativeFrom="column">
              <wp:posOffset>1545590</wp:posOffset>
            </wp:positionH>
            <wp:positionV relativeFrom="paragraph">
              <wp:posOffset>85725</wp:posOffset>
            </wp:positionV>
            <wp:extent cx="2865755" cy="2376170"/>
            <wp:effectExtent l="0" t="0" r="0" b="508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865755" cy="2376170"/>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14:paraId="540C61A5" w14:textId="77777777" w:rsidR="00C814B9" w:rsidRDefault="00C814B9" w:rsidP="00C814B9">
      <w:pPr>
        <w:pStyle w:val="Heading1"/>
        <w:tabs>
          <w:tab w:val="left" w:pos="0"/>
        </w:tabs>
        <w:spacing w:line="360" w:lineRule="auto"/>
        <w:jc w:val="both"/>
        <w:rPr>
          <w:rFonts w:ascii="Times New Roman" w:hAnsi="Times New Roman" w:cs="Times New Roman"/>
          <w:sz w:val="24"/>
          <w:szCs w:val="24"/>
        </w:rPr>
      </w:pPr>
    </w:p>
    <w:p w14:paraId="7A0ACBE8" w14:textId="77777777" w:rsidR="00C814B9" w:rsidRDefault="00C814B9" w:rsidP="00C814B9">
      <w:pPr>
        <w:pStyle w:val="Heading1"/>
        <w:tabs>
          <w:tab w:val="left" w:pos="0"/>
        </w:tabs>
        <w:spacing w:line="360" w:lineRule="auto"/>
        <w:jc w:val="both"/>
        <w:rPr>
          <w:rFonts w:ascii="Times New Roman" w:hAnsi="Times New Roman" w:cs="Times New Roman"/>
          <w:sz w:val="24"/>
          <w:szCs w:val="24"/>
        </w:rPr>
      </w:pPr>
    </w:p>
    <w:p w14:paraId="0B3D82BD" w14:textId="77777777" w:rsidR="00C814B9" w:rsidRDefault="00C814B9" w:rsidP="00C814B9">
      <w:pPr>
        <w:pStyle w:val="Heading1"/>
        <w:tabs>
          <w:tab w:val="left" w:pos="0"/>
        </w:tabs>
        <w:spacing w:line="360" w:lineRule="auto"/>
        <w:jc w:val="both"/>
        <w:rPr>
          <w:rFonts w:ascii="Times New Roman" w:hAnsi="Times New Roman" w:cs="Times New Roman"/>
          <w:sz w:val="24"/>
          <w:szCs w:val="24"/>
        </w:rPr>
      </w:pPr>
    </w:p>
    <w:p w14:paraId="51CD3F16" w14:textId="77777777" w:rsidR="00C814B9" w:rsidRDefault="00C814B9" w:rsidP="00C814B9">
      <w:pPr>
        <w:pStyle w:val="Heading1"/>
        <w:tabs>
          <w:tab w:val="left" w:pos="0"/>
        </w:tabs>
        <w:spacing w:line="360" w:lineRule="auto"/>
        <w:jc w:val="both"/>
        <w:rPr>
          <w:rFonts w:ascii="Times New Roman" w:hAnsi="Times New Roman" w:cs="Times New Roman"/>
          <w:sz w:val="24"/>
          <w:szCs w:val="24"/>
        </w:rPr>
      </w:pPr>
    </w:p>
    <w:p w14:paraId="49FA1232" w14:textId="0DF89AB8" w:rsidR="00C814B9" w:rsidRDefault="00C814B9" w:rsidP="00BE4C06">
      <w:pPr>
        <w:pStyle w:val="Heading1"/>
        <w:numPr>
          <w:ilvl w:val="0"/>
          <w:numId w:val="0"/>
        </w:numPr>
        <w:spacing w:line="360" w:lineRule="auto"/>
        <w:jc w:val="both"/>
        <w:rPr>
          <w:rFonts w:ascii="Times New Roman" w:hAnsi="Times New Roman" w:cs="Times New Roman"/>
          <w:sz w:val="24"/>
          <w:szCs w:val="24"/>
        </w:rPr>
      </w:pPr>
    </w:p>
    <w:p w14:paraId="155436D3" w14:textId="77777777" w:rsidR="00BE4C06" w:rsidRPr="00BE4C06" w:rsidRDefault="00BE4C06" w:rsidP="00BE4C06">
      <w:pPr>
        <w:pStyle w:val="BodyText"/>
      </w:pPr>
    </w:p>
    <w:p w14:paraId="1998F4E3" w14:textId="77777777" w:rsidR="00C814B9" w:rsidRDefault="00C814B9" w:rsidP="009D33BF">
      <w:pPr>
        <w:pStyle w:val="Heading1"/>
        <w:tabs>
          <w:tab w:val="left" w:pos="0"/>
        </w:tabs>
        <w:spacing w:line="480" w:lineRule="auto"/>
        <w:jc w:val="both"/>
      </w:pPr>
      <w:bookmarkStart w:id="1" w:name="__RefHeading___Toc58112520"/>
      <w:bookmarkEnd w:id="1"/>
      <w:r>
        <w:rPr>
          <w:rFonts w:ascii="Times New Roman" w:hAnsi="Times New Roman" w:cs="Times New Roman"/>
          <w:sz w:val="24"/>
          <w:szCs w:val="24"/>
        </w:rPr>
        <w:t>Main stages of marketing process</w:t>
      </w:r>
    </w:p>
    <w:p w14:paraId="1BF77173" w14:textId="77777777" w:rsidR="00C814B9" w:rsidRDefault="00C814B9" w:rsidP="009D33BF">
      <w:pPr>
        <w:pStyle w:val="BodyText"/>
        <w:spacing w:line="480" w:lineRule="auto"/>
        <w:ind w:firstLine="720"/>
        <w:jc w:val="both"/>
      </w:pPr>
      <w:r>
        <w:rPr>
          <w:rFonts w:ascii="Times New Roman" w:hAnsi="Times New Roman" w:cs="Times New Roman"/>
        </w:rPr>
        <w:t>Marketing process includes the various stages which are mission, situational analysis, marketing strategy, marketing mix and implementation and control. The first step for the company is to understand the mission. Mission statement is required to include the business and its benefit for customers.</w:t>
      </w:r>
    </w:p>
    <w:p w14:paraId="7EC7F91A" w14:textId="364E06C0" w:rsidR="00C814B9" w:rsidRDefault="00C814B9" w:rsidP="009D33BF">
      <w:pPr>
        <w:pStyle w:val="LO-Normal"/>
        <w:spacing w:line="480" w:lineRule="auto"/>
        <w:ind w:firstLine="720"/>
        <w:jc w:val="both"/>
      </w:pPr>
      <w:r>
        <w:rPr>
          <w:rFonts w:ascii="Times New Roman" w:hAnsi="Times New Roman" w:cs="Times New Roman"/>
        </w:rPr>
        <w:lastRenderedPageBreak/>
        <w:t xml:space="preserve">In situational analysis, it includes to </w:t>
      </w:r>
      <w:r w:rsidR="002231CC">
        <w:rPr>
          <w:rFonts w:ascii="Times New Roman" w:hAnsi="Times New Roman" w:cs="Times New Roman"/>
        </w:rPr>
        <w:t>analyse</w:t>
      </w:r>
      <w:r>
        <w:rPr>
          <w:rFonts w:ascii="Times New Roman" w:hAnsi="Times New Roman" w:cs="Times New Roman"/>
        </w:rPr>
        <w:t xml:space="preserve"> the opportunities for satisfying the unfulfilled customer needs. It includes to </w:t>
      </w:r>
      <w:r w:rsidR="002231CC">
        <w:rPr>
          <w:rFonts w:ascii="Times New Roman" w:hAnsi="Times New Roman" w:cs="Times New Roman"/>
        </w:rPr>
        <w:t>analyse</w:t>
      </w:r>
      <w:r>
        <w:rPr>
          <w:rFonts w:ascii="Times New Roman" w:hAnsi="Times New Roman" w:cs="Times New Roman"/>
        </w:rPr>
        <w:t xml:space="preserve"> the capabilities of the company. External and internal environment is required to be considered which is necessary for analysing the situation. It includes the framework which can be used for adding structure is 5C analysis which are company, customers, competitors, </w:t>
      </w:r>
      <w:r w:rsidR="00A64D37">
        <w:rPr>
          <w:rFonts w:ascii="Times New Roman" w:hAnsi="Times New Roman" w:cs="Times New Roman"/>
        </w:rPr>
        <w:t>climate,</w:t>
      </w:r>
      <w:r>
        <w:rPr>
          <w:rFonts w:ascii="Times New Roman" w:hAnsi="Times New Roman" w:cs="Times New Roman"/>
        </w:rPr>
        <w:t xml:space="preserve"> and collaborators (</w:t>
      </w:r>
      <w:proofErr w:type="spellStart"/>
      <w:r>
        <w:rPr>
          <w:rFonts w:ascii="Times New Roman" w:hAnsi="Times New Roman" w:cs="Times New Roman"/>
        </w:rPr>
        <w:t>Hollensen</w:t>
      </w:r>
      <w:proofErr w:type="spellEnd"/>
      <w:r>
        <w:rPr>
          <w:rFonts w:ascii="Times New Roman" w:hAnsi="Times New Roman" w:cs="Times New Roman"/>
        </w:rPr>
        <w:t xml:space="preserve">, 2019). Marketing strategy is the next step which includes market segmentation as the customers from different market includes the different needs. Market segment requirements are accessible, </w:t>
      </w:r>
      <w:proofErr w:type="gramStart"/>
      <w:r>
        <w:rPr>
          <w:rFonts w:ascii="Times New Roman" w:hAnsi="Times New Roman" w:cs="Times New Roman"/>
        </w:rPr>
        <w:t>indefinable</w:t>
      </w:r>
      <w:proofErr w:type="gramEnd"/>
      <w:r>
        <w:rPr>
          <w:rFonts w:ascii="Times New Roman" w:hAnsi="Times New Roman" w:cs="Times New Roman"/>
        </w:rPr>
        <w:t xml:space="preserve"> and substantial. The basis of market segmentation is required to be included which are geographic, demographic, psychographic and behaviouristic segmentation.</w:t>
      </w:r>
    </w:p>
    <w:p w14:paraId="58AC60B7" w14:textId="0A808DF6" w:rsidR="00C814B9" w:rsidRDefault="00C814B9" w:rsidP="009D33BF">
      <w:pPr>
        <w:pStyle w:val="BodyText"/>
        <w:spacing w:line="480" w:lineRule="auto"/>
        <w:jc w:val="both"/>
        <w:rPr>
          <w:rFonts w:ascii="Times New Roman" w:hAnsi="Times New Roman" w:cs="Times New Roman"/>
        </w:rPr>
      </w:pPr>
      <w:r>
        <w:rPr>
          <w:rFonts w:ascii="Times New Roman" w:hAnsi="Times New Roman" w:cs="Times New Roman"/>
        </w:rPr>
        <w:t xml:space="preserve">Marketing mix stage includes the four categories which are product, price, </w:t>
      </w:r>
      <w:proofErr w:type="gramStart"/>
      <w:r>
        <w:rPr>
          <w:rFonts w:ascii="Times New Roman" w:hAnsi="Times New Roman" w:cs="Times New Roman"/>
        </w:rPr>
        <w:t>place</w:t>
      </w:r>
      <w:proofErr w:type="gramEnd"/>
      <w:r>
        <w:rPr>
          <w:rFonts w:ascii="Times New Roman" w:hAnsi="Times New Roman" w:cs="Times New Roman"/>
        </w:rPr>
        <w:t xml:space="preserve"> and promotion. The last stage is implementation and control in which marketing plan is developed and product is launched by the company. Implementation is required for making the changes and continuously monitoring for fulfilling the needs of the customers. Control helps in making sure that the marketing program for moving in the direction (Dobbs, 2014).</w:t>
      </w:r>
    </w:p>
    <w:p w14:paraId="00D2DD07" w14:textId="6C19E332" w:rsidR="002231CC" w:rsidRDefault="002231CC" w:rsidP="009D33BF">
      <w:pPr>
        <w:pStyle w:val="BodyText"/>
        <w:spacing w:line="480" w:lineRule="auto"/>
        <w:jc w:val="both"/>
        <w:rPr>
          <w:rFonts w:ascii="Times New Roman" w:hAnsi="Times New Roman" w:cs="Times New Roman"/>
          <w:b/>
          <w:bCs/>
        </w:rPr>
      </w:pPr>
      <w:r>
        <w:rPr>
          <w:rFonts w:ascii="Times New Roman" w:hAnsi="Times New Roman" w:cs="Times New Roman"/>
          <w:b/>
          <w:bCs/>
        </w:rPr>
        <w:t xml:space="preserve">  </w:t>
      </w:r>
      <w:r w:rsidRPr="002231CC">
        <w:rPr>
          <w:rFonts w:ascii="Times New Roman" w:hAnsi="Times New Roman" w:cs="Times New Roman"/>
          <w:b/>
          <w:bCs/>
        </w:rPr>
        <w:t xml:space="preserve">Stakeholders </w:t>
      </w:r>
    </w:p>
    <w:p w14:paraId="382DE868" w14:textId="061FF8E4" w:rsidR="002231CC" w:rsidRPr="003F310D" w:rsidRDefault="002231CC" w:rsidP="002231CC">
      <w:pPr>
        <w:pStyle w:val="BodyText"/>
        <w:spacing w:line="480" w:lineRule="auto"/>
        <w:ind w:firstLine="720"/>
        <w:jc w:val="both"/>
        <w:rPr>
          <w:rFonts w:ascii="Times New Roman" w:hAnsi="Times New Roman" w:cs="Times New Roman"/>
          <w:lang w:val="en-GB"/>
        </w:rPr>
      </w:pPr>
      <w:r w:rsidRPr="002231CC">
        <w:rPr>
          <w:rFonts w:ascii="Times New Roman" w:hAnsi="Times New Roman" w:cs="Times New Roman"/>
        </w:rPr>
        <w:t xml:space="preserve">The importance </w:t>
      </w:r>
      <w:r w:rsidRPr="002231CC">
        <w:rPr>
          <w:rFonts w:ascii="Times New Roman" w:hAnsi="Times New Roman" w:cs="Times New Roman"/>
          <w:lang w:val="en-GB"/>
        </w:rPr>
        <w:t>of shareholder</w:t>
      </w:r>
      <w:r>
        <w:rPr>
          <w:rFonts w:ascii="Times New Roman" w:hAnsi="Times New Roman" w:cs="Times New Roman"/>
          <w:lang w:val="en-GB"/>
        </w:rPr>
        <w:t xml:space="preserve"> </w:t>
      </w:r>
      <w:r w:rsidRPr="002231CC">
        <w:rPr>
          <w:rFonts w:ascii="Times New Roman" w:hAnsi="Times New Roman" w:cs="Times New Roman"/>
          <w:lang w:val="en-GB"/>
        </w:rPr>
        <w:t>means to be interested from being involved in the design of the project an in the project itself as a result to achieve success and other goals</w:t>
      </w:r>
      <w:r>
        <w:rPr>
          <w:rFonts w:ascii="Times New Roman" w:hAnsi="Times New Roman" w:cs="Times New Roman"/>
          <w:lang w:val="en-GB"/>
        </w:rPr>
        <w:t>.</w:t>
      </w:r>
      <w:r w:rsidR="00140B23">
        <w:rPr>
          <w:rFonts w:ascii="Times New Roman" w:hAnsi="Times New Roman" w:cs="Times New Roman"/>
          <w:lang w:val="en-GB"/>
        </w:rPr>
        <w:t xml:space="preserve"> </w:t>
      </w:r>
      <w:r w:rsidR="00140B23" w:rsidRPr="00140B23">
        <w:rPr>
          <w:rFonts w:ascii="Times New Roman" w:hAnsi="Times New Roman" w:cs="Times New Roman"/>
          <w:lang w:val="en-GB"/>
        </w:rPr>
        <w:t>Typical</w:t>
      </w:r>
      <w:r w:rsidR="00140B23">
        <w:rPr>
          <w:rFonts w:ascii="Times New Roman" w:hAnsi="Times New Roman" w:cs="Times New Roman"/>
          <w:lang w:val="en-GB"/>
        </w:rPr>
        <w:t xml:space="preserve"> </w:t>
      </w:r>
      <w:r w:rsidR="00140B23" w:rsidRPr="00140B23">
        <w:rPr>
          <w:rFonts w:ascii="Times New Roman" w:hAnsi="Times New Roman" w:cs="Times New Roman"/>
          <w:lang w:val="en-GB"/>
        </w:rPr>
        <w:t>stakeholders are investors</w:t>
      </w:r>
      <w:r w:rsidR="00140B23">
        <w:rPr>
          <w:rFonts w:ascii="Times New Roman" w:hAnsi="Times New Roman" w:cs="Times New Roman"/>
          <w:lang w:val="en-GB"/>
        </w:rPr>
        <w:t>,</w:t>
      </w:r>
      <w:r w:rsidR="00140B23" w:rsidRPr="00140B23">
        <w:rPr>
          <w:rFonts w:ascii="Times New Roman" w:hAnsi="Times New Roman" w:cs="Times New Roman"/>
          <w:lang w:val="en-GB"/>
        </w:rPr>
        <w:t xml:space="preserve"> employees</w:t>
      </w:r>
      <w:r w:rsidR="00140B23">
        <w:rPr>
          <w:rFonts w:ascii="Times New Roman" w:hAnsi="Times New Roman" w:cs="Times New Roman"/>
          <w:lang w:val="en-GB"/>
        </w:rPr>
        <w:t>,</w:t>
      </w:r>
      <w:r w:rsidR="00140B23" w:rsidRPr="00140B23">
        <w:rPr>
          <w:rFonts w:ascii="Times New Roman" w:hAnsi="Times New Roman" w:cs="Times New Roman"/>
          <w:lang w:val="en-GB"/>
        </w:rPr>
        <w:t xml:space="preserve"> customers</w:t>
      </w:r>
      <w:r w:rsidR="00140B23">
        <w:rPr>
          <w:rFonts w:ascii="Times New Roman" w:hAnsi="Times New Roman" w:cs="Times New Roman"/>
          <w:lang w:val="en-GB"/>
        </w:rPr>
        <w:t>,</w:t>
      </w:r>
      <w:r w:rsidR="00140B23" w:rsidRPr="00140B23">
        <w:rPr>
          <w:rFonts w:ascii="Times New Roman" w:hAnsi="Times New Roman" w:cs="Times New Roman"/>
          <w:lang w:val="en-GB"/>
        </w:rPr>
        <w:t xml:space="preserve"> suppliers</w:t>
      </w:r>
      <w:r w:rsidR="00140B23">
        <w:rPr>
          <w:rFonts w:ascii="Times New Roman" w:hAnsi="Times New Roman" w:cs="Times New Roman"/>
          <w:lang w:val="en-GB"/>
        </w:rPr>
        <w:t>,</w:t>
      </w:r>
      <w:r w:rsidR="00140B23" w:rsidRPr="00140B23">
        <w:rPr>
          <w:rFonts w:ascii="Times New Roman" w:hAnsi="Times New Roman" w:cs="Times New Roman"/>
          <w:lang w:val="en-GB"/>
        </w:rPr>
        <w:t xml:space="preserve"> community</w:t>
      </w:r>
      <w:r w:rsidR="00140B23">
        <w:rPr>
          <w:rFonts w:ascii="Times New Roman" w:hAnsi="Times New Roman" w:cs="Times New Roman"/>
          <w:lang w:val="en-GB"/>
        </w:rPr>
        <w:t>,</w:t>
      </w:r>
      <w:r w:rsidR="00140B23" w:rsidRPr="00140B23">
        <w:rPr>
          <w:rFonts w:ascii="Times New Roman" w:hAnsi="Times New Roman" w:cs="Times New Roman"/>
          <w:lang w:val="en-GB"/>
        </w:rPr>
        <w:t xml:space="preserve"> governments</w:t>
      </w:r>
      <w:r w:rsidR="00140B23">
        <w:rPr>
          <w:rFonts w:ascii="Times New Roman" w:hAnsi="Times New Roman" w:cs="Times New Roman"/>
          <w:lang w:val="en-GB"/>
        </w:rPr>
        <w:t>,</w:t>
      </w:r>
      <w:r w:rsidR="00140B23" w:rsidRPr="00140B23">
        <w:rPr>
          <w:rFonts w:ascii="Times New Roman" w:hAnsi="Times New Roman" w:cs="Times New Roman"/>
          <w:lang w:val="en-GB"/>
        </w:rPr>
        <w:t xml:space="preserve"> or trade associations</w:t>
      </w:r>
      <w:r w:rsidR="00140B23">
        <w:rPr>
          <w:rFonts w:ascii="Times New Roman" w:hAnsi="Times New Roman" w:cs="Times New Roman"/>
          <w:lang w:val="en-GB"/>
        </w:rPr>
        <w:t xml:space="preserve">, </w:t>
      </w:r>
      <w:r w:rsidR="00140B23" w:rsidRPr="00140B23">
        <w:rPr>
          <w:rFonts w:ascii="Times New Roman" w:hAnsi="Times New Roman" w:cs="Times New Roman"/>
          <w:lang w:val="en-GB"/>
        </w:rPr>
        <w:t>an entity</w:t>
      </w:r>
      <w:r w:rsidR="00140B23">
        <w:rPr>
          <w:rFonts w:ascii="Times New Roman" w:hAnsi="Times New Roman" w:cs="Times New Roman"/>
          <w:lang w:val="en-GB"/>
        </w:rPr>
        <w:t>’s</w:t>
      </w:r>
      <w:r w:rsidR="00140B23" w:rsidRPr="00140B23">
        <w:rPr>
          <w:rFonts w:ascii="Times New Roman" w:hAnsi="Times New Roman" w:cs="Times New Roman"/>
          <w:lang w:val="en-GB"/>
        </w:rPr>
        <w:t xml:space="preserve"> stakeholders can be both internal </w:t>
      </w:r>
      <w:r w:rsidR="006E7D81" w:rsidRPr="00140B23">
        <w:rPr>
          <w:rFonts w:ascii="Times New Roman" w:hAnsi="Times New Roman" w:cs="Times New Roman"/>
          <w:lang w:val="en-GB"/>
        </w:rPr>
        <w:t>and</w:t>
      </w:r>
      <w:r w:rsidR="00140B23" w:rsidRPr="00140B23">
        <w:rPr>
          <w:rFonts w:ascii="Times New Roman" w:hAnsi="Times New Roman" w:cs="Times New Roman"/>
          <w:lang w:val="en-GB"/>
        </w:rPr>
        <w:t xml:space="preserve"> external to the organisation</w:t>
      </w:r>
      <w:r w:rsidR="00140B23">
        <w:rPr>
          <w:rFonts w:ascii="Times New Roman" w:hAnsi="Times New Roman" w:cs="Times New Roman"/>
          <w:lang w:val="en-GB"/>
        </w:rPr>
        <w:t>.</w:t>
      </w:r>
      <w:r w:rsidR="00AE0766">
        <w:rPr>
          <w:rFonts w:ascii="Times New Roman" w:hAnsi="Times New Roman" w:cs="Times New Roman"/>
          <w:lang w:val="en-GB"/>
        </w:rPr>
        <w:t xml:space="preserve"> </w:t>
      </w:r>
      <w:r w:rsidR="00AE0766" w:rsidRPr="00AE0766">
        <w:rPr>
          <w:rFonts w:ascii="Times New Roman" w:hAnsi="Times New Roman" w:cs="Times New Roman"/>
          <w:lang w:val="en-GB"/>
        </w:rPr>
        <w:t>Diageo's sales are so well distributed that include regions like United Kingdom</w:t>
      </w:r>
      <w:r w:rsidR="00AE0766">
        <w:rPr>
          <w:rFonts w:ascii="Times New Roman" w:hAnsi="Times New Roman" w:cs="Times New Roman"/>
          <w:lang w:val="en-GB"/>
        </w:rPr>
        <w:t>,</w:t>
      </w:r>
      <w:r w:rsidR="00AE0766" w:rsidRPr="00AE0766">
        <w:rPr>
          <w:rFonts w:ascii="Times New Roman" w:hAnsi="Times New Roman" w:cs="Times New Roman"/>
          <w:lang w:val="en-GB"/>
        </w:rPr>
        <w:t xml:space="preserve"> United States</w:t>
      </w:r>
      <w:r w:rsidR="00AE0766">
        <w:rPr>
          <w:rFonts w:ascii="Times New Roman" w:hAnsi="Times New Roman" w:cs="Times New Roman"/>
          <w:lang w:val="en-GB"/>
        </w:rPr>
        <w:t>,</w:t>
      </w:r>
      <w:r w:rsidR="00AE0766" w:rsidRPr="00AE0766">
        <w:rPr>
          <w:rFonts w:ascii="Times New Roman" w:hAnsi="Times New Roman" w:cs="Times New Roman"/>
          <w:lang w:val="en-GB"/>
        </w:rPr>
        <w:t xml:space="preserve"> Asia Pacific</w:t>
      </w:r>
      <w:r w:rsidR="00AE0766">
        <w:rPr>
          <w:rFonts w:ascii="Times New Roman" w:hAnsi="Times New Roman" w:cs="Times New Roman"/>
          <w:lang w:val="en-GB"/>
        </w:rPr>
        <w:t>,</w:t>
      </w:r>
      <w:r w:rsidR="00AE0766" w:rsidRPr="00AE0766">
        <w:rPr>
          <w:rFonts w:ascii="Times New Roman" w:hAnsi="Times New Roman" w:cs="Times New Roman"/>
          <w:lang w:val="en-GB"/>
        </w:rPr>
        <w:t xml:space="preserve"> Africa</w:t>
      </w:r>
      <w:r w:rsidR="00AE0766">
        <w:rPr>
          <w:rFonts w:ascii="Times New Roman" w:hAnsi="Times New Roman" w:cs="Times New Roman"/>
          <w:lang w:val="en-GB"/>
        </w:rPr>
        <w:t>,</w:t>
      </w:r>
      <w:r w:rsidR="00AE0766" w:rsidRPr="00AE0766">
        <w:rPr>
          <w:rFonts w:ascii="Times New Roman" w:hAnsi="Times New Roman" w:cs="Times New Roman"/>
          <w:lang w:val="en-GB"/>
        </w:rPr>
        <w:t xml:space="preserve"> Latin </w:t>
      </w:r>
      <w:r w:rsidR="00AE0766" w:rsidRPr="003F310D">
        <w:rPr>
          <w:rFonts w:ascii="Times New Roman" w:hAnsi="Times New Roman" w:cs="Times New Roman"/>
          <w:lang w:val="en-GB"/>
        </w:rPr>
        <w:t xml:space="preserve">America and Caribbean, India, North America, Netherlands, and other. </w:t>
      </w:r>
    </w:p>
    <w:tbl>
      <w:tblPr>
        <w:tblW w:w="5000" w:type="pct"/>
        <w:tblCellSpacing w:w="0" w:type="dxa"/>
        <w:shd w:val="clear" w:color="auto" w:fill="FFFFFF"/>
        <w:tblCellMar>
          <w:left w:w="0" w:type="dxa"/>
          <w:right w:w="0" w:type="dxa"/>
        </w:tblCellMar>
        <w:tblLook w:val="04A0" w:firstRow="1" w:lastRow="0" w:firstColumn="1" w:lastColumn="0" w:noHBand="0" w:noVBand="1"/>
      </w:tblPr>
      <w:tblGrid>
        <w:gridCol w:w="9638"/>
      </w:tblGrid>
      <w:tr w:rsidR="003F310D" w:rsidRPr="003F310D" w14:paraId="15E62CFB" w14:textId="77777777" w:rsidTr="003F310D">
        <w:trPr>
          <w:tblCellSpacing w:w="0" w:type="dxa"/>
        </w:trPr>
        <w:tc>
          <w:tcPr>
            <w:tcW w:w="0" w:type="auto"/>
            <w:shd w:val="clear" w:color="auto" w:fill="FFFFFF"/>
            <w:vAlign w:val="center"/>
            <w:hideMark/>
          </w:tcPr>
          <w:tbl>
            <w:tblPr>
              <w:tblW w:w="9600" w:type="dxa"/>
              <w:tblCellSpacing w:w="0" w:type="dxa"/>
              <w:shd w:val="clear" w:color="auto" w:fill="EEEEEE"/>
              <w:tblCellMar>
                <w:left w:w="0" w:type="dxa"/>
                <w:right w:w="0" w:type="dxa"/>
              </w:tblCellMar>
              <w:tblLook w:val="04A0" w:firstRow="1" w:lastRow="0" w:firstColumn="1" w:lastColumn="0" w:noHBand="0" w:noVBand="1"/>
            </w:tblPr>
            <w:tblGrid>
              <w:gridCol w:w="9600"/>
            </w:tblGrid>
            <w:tr w:rsidR="003F310D" w:rsidRPr="003F310D" w14:paraId="41481EAC" w14:textId="77777777" w:rsidTr="003F310D">
              <w:trPr>
                <w:trHeight w:val="865"/>
                <w:tblCellSpacing w:w="0" w:type="dxa"/>
              </w:trPr>
              <w:tc>
                <w:tcPr>
                  <w:tcW w:w="0" w:type="auto"/>
                  <w:shd w:val="clear" w:color="auto" w:fill="EEEEEE"/>
                  <w:noWrap/>
                  <w:tcMar>
                    <w:top w:w="0" w:type="dxa"/>
                    <w:left w:w="150" w:type="dxa"/>
                    <w:bottom w:w="0" w:type="dxa"/>
                    <w:right w:w="225" w:type="dxa"/>
                  </w:tcMar>
                  <w:vAlign w:val="center"/>
                  <w:hideMark/>
                </w:tcPr>
                <w:p w14:paraId="4DD00B23" w14:textId="77777777" w:rsidR="003F310D" w:rsidRPr="003F310D" w:rsidRDefault="003F310D">
                  <w:pPr>
                    <w:pBdr>
                      <w:top w:val="none" w:sz="0" w:space="0" w:color="auto"/>
                      <w:left w:val="none" w:sz="0" w:space="0" w:color="auto"/>
                      <w:bottom w:val="none" w:sz="0" w:space="0" w:color="auto"/>
                      <w:right w:val="none" w:sz="0" w:space="0" w:color="auto"/>
                    </w:pBdr>
                    <w:suppressAutoHyphens w:val="0"/>
                    <w:textAlignment w:val="auto"/>
                    <w:rPr>
                      <w:rFonts w:ascii="Arial" w:eastAsia="Times New Roman" w:hAnsi="Arial" w:cs="Arial"/>
                      <w:kern w:val="0"/>
                      <w:sz w:val="18"/>
                      <w:szCs w:val="18"/>
                      <w:lang w:val="en-GB" w:eastAsia="en-GB" w:bidi="ar-SA"/>
                    </w:rPr>
                  </w:pPr>
                  <w:r w:rsidRPr="003F310D">
                    <w:rPr>
                      <w:rFonts w:ascii="Arial" w:hAnsi="Arial" w:cs="Arial"/>
                      <w:b/>
                      <w:bCs/>
                      <w:sz w:val="18"/>
                      <w:szCs w:val="18"/>
                    </w:rPr>
                    <w:t>Managers and Directors</w:t>
                  </w:r>
                </w:p>
              </w:tc>
            </w:tr>
          </w:tbl>
          <w:p w14:paraId="06CD87FA" w14:textId="77777777" w:rsidR="003F310D" w:rsidRPr="003F310D" w:rsidRDefault="003F310D">
            <w:pPr>
              <w:spacing w:before="300"/>
              <w:rPr>
                <w:rFonts w:ascii="Arial" w:hAnsi="Arial" w:cs="Arial"/>
                <w:sz w:val="18"/>
                <w:szCs w:val="18"/>
              </w:rPr>
            </w:pPr>
          </w:p>
        </w:tc>
      </w:tr>
      <w:tr w:rsidR="003F310D" w:rsidRPr="003F310D" w14:paraId="216C6B6E" w14:textId="77777777" w:rsidTr="003F310D">
        <w:trPr>
          <w:tblCellSpacing w:w="0" w:type="dxa"/>
        </w:trPr>
        <w:tc>
          <w:tcPr>
            <w:tcW w:w="0" w:type="auto"/>
            <w:shd w:val="clear" w:color="auto" w:fill="FFFFFF"/>
            <w:tcMar>
              <w:top w:w="60" w:type="dxa"/>
              <w:left w:w="0" w:type="dxa"/>
              <w:bottom w:w="0" w:type="dxa"/>
              <w:right w:w="0" w:type="dxa"/>
            </w:tcMar>
            <w:vAlign w:val="center"/>
            <w:hideMark/>
          </w:tcPr>
          <w:tbl>
            <w:tblPr>
              <w:tblW w:w="5000" w:type="pct"/>
              <w:jc w:val="center"/>
              <w:tblCellMar>
                <w:left w:w="0" w:type="dxa"/>
                <w:right w:w="0" w:type="dxa"/>
              </w:tblCellMar>
              <w:tblLook w:val="04A0" w:firstRow="1" w:lastRow="0" w:firstColumn="1" w:lastColumn="0" w:noHBand="0" w:noVBand="1"/>
            </w:tblPr>
            <w:tblGrid>
              <w:gridCol w:w="3318"/>
              <w:gridCol w:w="356"/>
              <w:gridCol w:w="589"/>
              <w:gridCol w:w="5359"/>
            </w:tblGrid>
            <w:tr w:rsidR="003F310D" w:rsidRPr="003F310D" w14:paraId="53F2F99E" w14:textId="77777777">
              <w:trPr>
                <w:jc w:val="center"/>
              </w:trPr>
              <w:tc>
                <w:tcPr>
                  <w:tcW w:w="0" w:type="auto"/>
                  <w:tcBorders>
                    <w:top w:val="single" w:sz="6" w:space="0" w:color="CCCCCC"/>
                    <w:left w:val="single" w:sz="6" w:space="0" w:color="CCCCCC"/>
                    <w:bottom w:val="single" w:sz="6" w:space="0" w:color="CCCCCC"/>
                    <w:right w:val="single" w:sz="6" w:space="0" w:color="CCCCCC"/>
                  </w:tcBorders>
                  <w:shd w:val="clear" w:color="auto" w:fill="F1F1F1"/>
                  <w:tcMar>
                    <w:top w:w="60" w:type="dxa"/>
                    <w:left w:w="0" w:type="dxa"/>
                    <w:bottom w:w="60" w:type="dxa"/>
                    <w:right w:w="0" w:type="dxa"/>
                  </w:tcMar>
                  <w:vAlign w:val="center"/>
                  <w:hideMark/>
                </w:tcPr>
                <w:p w14:paraId="3A5864A3" w14:textId="77777777" w:rsidR="003F310D" w:rsidRPr="003F310D" w:rsidRDefault="003F310D">
                  <w:pPr>
                    <w:jc w:val="center"/>
                    <w:rPr>
                      <w:sz w:val="17"/>
                      <w:szCs w:val="17"/>
                    </w:rPr>
                  </w:pPr>
                  <w:r w:rsidRPr="003F310D">
                    <w:rPr>
                      <w:sz w:val="17"/>
                      <w:szCs w:val="17"/>
                    </w:rPr>
                    <w:t>Name</w:t>
                  </w:r>
                </w:p>
              </w:tc>
              <w:tc>
                <w:tcPr>
                  <w:tcW w:w="0" w:type="auto"/>
                  <w:tcBorders>
                    <w:top w:val="single" w:sz="6" w:space="0" w:color="CCCCCC"/>
                    <w:left w:val="single" w:sz="6" w:space="0" w:color="CCCCCC"/>
                    <w:bottom w:val="single" w:sz="6" w:space="0" w:color="CCCCCC"/>
                    <w:right w:val="single" w:sz="6" w:space="0" w:color="CCCCCC"/>
                  </w:tcBorders>
                  <w:shd w:val="clear" w:color="auto" w:fill="F1F1F1"/>
                  <w:tcMar>
                    <w:top w:w="60" w:type="dxa"/>
                    <w:left w:w="0" w:type="dxa"/>
                    <w:bottom w:w="60" w:type="dxa"/>
                    <w:right w:w="0" w:type="dxa"/>
                  </w:tcMar>
                  <w:vAlign w:val="center"/>
                  <w:hideMark/>
                </w:tcPr>
                <w:p w14:paraId="6C1997AE" w14:textId="77777777" w:rsidR="003F310D" w:rsidRPr="003F310D" w:rsidRDefault="003F310D">
                  <w:pPr>
                    <w:jc w:val="center"/>
                    <w:rPr>
                      <w:sz w:val="17"/>
                      <w:szCs w:val="17"/>
                    </w:rPr>
                  </w:pPr>
                  <w:r w:rsidRPr="003F310D">
                    <w:rPr>
                      <w:sz w:val="17"/>
                      <w:szCs w:val="17"/>
                    </w:rPr>
                    <w:t>Age</w:t>
                  </w:r>
                </w:p>
              </w:tc>
              <w:tc>
                <w:tcPr>
                  <w:tcW w:w="0" w:type="auto"/>
                  <w:tcBorders>
                    <w:top w:val="single" w:sz="6" w:space="0" w:color="CCCCCC"/>
                    <w:left w:val="single" w:sz="6" w:space="0" w:color="CCCCCC"/>
                    <w:bottom w:val="single" w:sz="6" w:space="0" w:color="CCCCCC"/>
                    <w:right w:val="single" w:sz="6" w:space="0" w:color="CCCCCC"/>
                  </w:tcBorders>
                  <w:shd w:val="clear" w:color="auto" w:fill="F1F1F1"/>
                  <w:tcMar>
                    <w:top w:w="60" w:type="dxa"/>
                    <w:left w:w="0" w:type="dxa"/>
                    <w:bottom w:w="60" w:type="dxa"/>
                    <w:right w:w="0" w:type="dxa"/>
                  </w:tcMar>
                  <w:vAlign w:val="center"/>
                  <w:hideMark/>
                </w:tcPr>
                <w:p w14:paraId="2CDCDF94" w14:textId="77777777" w:rsidR="003F310D" w:rsidRPr="003F310D" w:rsidRDefault="003F310D">
                  <w:pPr>
                    <w:jc w:val="center"/>
                    <w:rPr>
                      <w:sz w:val="17"/>
                      <w:szCs w:val="17"/>
                    </w:rPr>
                  </w:pPr>
                  <w:r w:rsidRPr="003F310D">
                    <w:rPr>
                      <w:sz w:val="17"/>
                      <w:szCs w:val="17"/>
                    </w:rPr>
                    <w:t>Since</w:t>
                  </w:r>
                </w:p>
              </w:tc>
              <w:tc>
                <w:tcPr>
                  <w:tcW w:w="0" w:type="auto"/>
                  <w:tcBorders>
                    <w:top w:val="single" w:sz="6" w:space="0" w:color="CCCCCC"/>
                    <w:left w:val="single" w:sz="6" w:space="0" w:color="CCCCCC"/>
                    <w:bottom w:val="single" w:sz="6" w:space="0" w:color="CCCCCC"/>
                    <w:right w:val="single" w:sz="6" w:space="0" w:color="CCCCCC"/>
                  </w:tcBorders>
                  <w:shd w:val="clear" w:color="auto" w:fill="F1F1F1"/>
                  <w:tcMar>
                    <w:top w:w="60" w:type="dxa"/>
                    <w:left w:w="0" w:type="dxa"/>
                    <w:bottom w:w="60" w:type="dxa"/>
                    <w:right w:w="0" w:type="dxa"/>
                  </w:tcMar>
                  <w:vAlign w:val="center"/>
                  <w:hideMark/>
                </w:tcPr>
                <w:p w14:paraId="307A03DD" w14:textId="77777777" w:rsidR="003F310D" w:rsidRPr="003F310D" w:rsidRDefault="003F310D">
                  <w:pPr>
                    <w:jc w:val="center"/>
                    <w:rPr>
                      <w:sz w:val="17"/>
                      <w:szCs w:val="17"/>
                    </w:rPr>
                  </w:pPr>
                  <w:r w:rsidRPr="003F310D">
                    <w:rPr>
                      <w:sz w:val="17"/>
                      <w:szCs w:val="17"/>
                    </w:rPr>
                    <w:t>Title</w:t>
                  </w:r>
                </w:p>
              </w:tc>
            </w:tr>
            <w:tr w:rsidR="003F310D" w:rsidRPr="003F310D" w14:paraId="519A535A" w14:textId="77777777">
              <w:trPr>
                <w:jc w:val="center"/>
              </w:trPr>
              <w:tc>
                <w:tcPr>
                  <w:tcW w:w="0" w:type="auto"/>
                  <w:tcBorders>
                    <w:top w:val="single" w:sz="6" w:space="0" w:color="CCCCCC"/>
                    <w:left w:val="single" w:sz="6" w:space="0" w:color="CCCCCC"/>
                    <w:bottom w:val="single" w:sz="6" w:space="0" w:color="CCCCCC"/>
                    <w:right w:val="single" w:sz="6" w:space="0" w:color="CCCCCC"/>
                  </w:tcBorders>
                  <w:tcMar>
                    <w:top w:w="60" w:type="dxa"/>
                    <w:left w:w="75" w:type="dxa"/>
                    <w:bottom w:w="60" w:type="dxa"/>
                    <w:right w:w="0" w:type="dxa"/>
                  </w:tcMar>
                  <w:hideMark/>
                </w:tcPr>
                <w:p w14:paraId="2B5F156A" w14:textId="77777777" w:rsidR="003F310D" w:rsidRPr="003F310D" w:rsidRDefault="003F310D">
                  <w:hyperlink r:id="rId19" w:history="1">
                    <w:r w:rsidRPr="003F310D">
                      <w:rPr>
                        <w:rStyle w:val="Hyperlink"/>
                        <w:color w:val="auto"/>
                      </w:rPr>
                      <w:t>Ivan Menezes</w:t>
                    </w:r>
                  </w:hyperlink>
                </w:p>
              </w:tc>
              <w:tc>
                <w:tcPr>
                  <w:tcW w:w="0" w:type="auto"/>
                  <w:tcBorders>
                    <w:top w:val="single" w:sz="6" w:space="0" w:color="CCCCCC"/>
                    <w:left w:val="single" w:sz="6" w:space="0" w:color="CCCCCC"/>
                    <w:bottom w:val="single" w:sz="6" w:space="0" w:color="CCCCCC"/>
                    <w:right w:val="single" w:sz="6" w:space="0" w:color="CCCCCC"/>
                  </w:tcBorders>
                  <w:tcMar>
                    <w:top w:w="60" w:type="dxa"/>
                    <w:left w:w="0" w:type="dxa"/>
                    <w:bottom w:w="60" w:type="dxa"/>
                    <w:right w:w="0" w:type="dxa"/>
                  </w:tcMar>
                  <w:hideMark/>
                </w:tcPr>
                <w:p w14:paraId="79C55660" w14:textId="77777777" w:rsidR="003F310D" w:rsidRPr="003F310D" w:rsidRDefault="003F310D">
                  <w:pPr>
                    <w:jc w:val="center"/>
                  </w:pPr>
                  <w:r w:rsidRPr="003F310D">
                    <w:t>61</w:t>
                  </w:r>
                </w:p>
              </w:tc>
              <w:tc>
                <w:tcPr>
                  <w:tcW w:w="0" w:type="auto"/>
                  <w:tcBorders>
                    <w:top w:val="single" w:sz="6" w:space="0" w:color="CCCCCC"/>
                    <w:left w:val="single" w:sz="6" w:space="0" w:color="CCCCCC"/>
                    <w:bottom w:val="single" w:sz="6" w:space="0" w:color="CCCCCC"/>
                    <w:right w:val="single" w:sz="6" w:space="0" w:color="CCCCCC"/>
                  </w:tcBorders>
                  <w:tcMar>
                    <w:top w:w="60" w:type="dxa"/>
                    <w:left w:w="0" w:type="dxa"/>
                    <w:bottom w:w="60" w:type="dxa"/>
                    <w:right w:w="0" w:type="dxa"/>
                  </w:tcMar>
                  <w:hideMark/>
                </w:tcPr>
                <w:p w14:paraId="228F9D09" w14:textId="77777777" w:rsidR="003F310D" w:rsidRPr="003F310D" w:rsidRDefault="003F310D">
                  <w:pPr>
                    <w:jc w:val="center"/>
                  </w:pPr>
                  <w:r w:rsidRPr="003F310D">
                    <w:t>2013</w:t>
                  </w:r>
                </w:p>
              </w:tc>
              <w:tc>
                <w:tcPr>
                  <w:tcW w:w="0" w:type="auto"/>
                  <w:tcBorders>
                    <w:top w:val="single" w:sz="6" w:space="0" w:color="CCCCCC"/>
                    <w:left w:val="single" w:sz="6" w:space="0" w:color="CCCCCC"/>
                    <w:bottom w:val="single" w:sz="6" w:space="0" w:color="CCCCCC"/>
                    <w:right w:val="single" w:sz="6" w:space="0" w:color="CCCCCC"/>
                  </w:tcBorders>
                  <w:tcMar>
                    <w:top w:w="60" w:type="dxa"/>
                    <w:left w:w="75" w:type="dxa"/>
                    <w:bottom w:w="60" w:type="dxa"/>
                    <w:right w:w="0" w:type="dxa"/>
                  </w:tcMar>
                  <w:hideMark/>
                </w:tcPr>
                <w:p w14:paraId="7A8814FE" w14:textId="77777777" w:rsidR="003F310D" w:rsidRPr="003F310D" w:rsidRDefault="003F310D">
                  <w:r w:rsidRPr="003F310D">
                    <w:t>Chief Executive Officer &amp; Executive Director</w:t>
                  </w:r>
                </w:p>
              </w:tc>
            </w:tr>
            <w:tr w:rsidR="003F310D" w:rsidRPr="003F310D" w14:paraId="6633D65A" w14:textId="77777777">
              <w:trPr>
                <w:jc w:val="center"/>
              </w:trPr>
              <w:tc>
                <w:tcPr>
                  <w:tcW w:w="0" w:type="auto"/>
                  <w:tcBorders>
                    <w:top w:val="single" w:sz="6" w:space="0" w:color="CCCCCC"/>
                    <w:left w:val="single" w:sz="6" w:space="0" w:color="CCCCCC"/>
                    <w:bottom w:val="single" w:sz="6" w:space="0" w:color="CCCCCC"/>
                    <w:right w:val="single" w:sz="6" w:space="0" w:color="CCCCCC"/>
                  </w:tcBorders>
                  <w:tcMar>
                    <w:top w:w="60" w:type="dxa"/>
                    <w:left w:w="75" w:type="dxa"/>
                    <w:bottom w:w="60" w:type="dxa"/>
                    <w:right w:w="0" w:type="dxa"/>
                  </w:tcMar>
                  <w:hideMark/>
                </w:tcPr>
                <w:p w14:paraId="287C7FEF" w14:textId="77777777" w:rsidR="003F310D" w:rsidRPr="003F310D" w:rsidRDefault="003F310D">
                  <w:hyperlink r:id="rId20" w:history="1">
                    <w:r w:rsidRPr="003F310D">
                      <w:rPr>
                        <w:rStyle w:val="Hyperlink"/>
                        <w:color w:val="auto"/>
                      </w:rPr>
                      <w:t xml:space="preserve">Javier </w:t>
                    </w:r>
                    <w:proofErr w:type="spellStart"/>
                    <w:r w:rsidRPr="003F310D">
                      <w:rPr>
                        <w:rStyle w:val="Hyperlink"/>
                        <w:color w:val="auto"/>
                      </w:rPr>
                      <w:t>Ferrán</w:t>
                    </w:r>
                    <w:proofErr w:type="spellEnd"/>
                  </w:hyperlink>
                </w:p>
              </w:tc>
              <w:tc>
                <w:tcPr>
                  <w:tcW w:w="0" w:type="auto"/>
                  <w:tcBorders>
                    <w:top w:val="single" w:sz="6" w:space="0" w:color="CCCCCC"/>
                    <w:left w:val="single" w:sz="6" w:space="0" w:color="CCCCCC"/>
                    <w:bottom w:val="single" w:sz="6" w:space="0" w:color="CCCCCC"/>
                    <w:right w:val="single" w:sz="6" w:space="0" w:color="CCCCCC"/>
                  </w:tcBorders>
                  <w:tcMar>
                    <w:top w:w="60" w:type="dxa"/>
                    <w:left w:w="0" w:type="dxa"/>
                    <w:bottom w:w="60" w:type="dxa"/>
                    <w:right w:w="0" w:type="dxa"/>
                  </w:tcMar>
                  <w:hideMark/>
                </w:tcPr>
                <w:p w14:paraId="4B44BE4D" w14:textId="77777777" w:rsidR="003F310D" w:rsidRPr="003F310D" w:rsidRDefault="003F310D">
                  <w:pPr>
                    <w:jc w:val="center"/>
                  </w:pPr>
                  <w:r w:rsidRPr="003F310D">
                    <w:t>64</w:t>
                  </w:r>
                </w:p>
              </w:tc>
              <w:tc>
                <w:tcPr>
                  <w:tcW w:w="0" w:type="auto"/>
                  <w:tcBorders>
                    <w:top w:val="single" w:sz="6" w:space="0" w:color="CCCCCC"/>
                    <w:left w:val="single" w:sz="6" w:space="0" w:color="CCCCCC"/>
                    <w:bottom w:val="single" w:sz="6" w:space="0" w:color="CCCCCC"/>
                    <w:right w:val="single" w:sz="6" w:space="0" w:color="CCCCCC"/>
                  </w:tcBorders>
                  <w:tcMar>
                    <w:top w:w="60" w:type="dxa"/>
                    <w:left w:w="0" w:type="dxa"/>
                    <w:bottom w:w="60" w:type="dxa"/>
                    <w:right w:w="0" w:type="dxa"/>
                  </w:tcMar>
                  <w:hideMark/>
                </w:tcPr>
                <w:p w14:paraId="27457EF1" w14:textId="77777777" w:rsidR="003F310D" w:rsidRPr="003F310D" w:rsidRDefault="003F310D">
                  <w:pPr>
                    <w:jc w:val="center"/>
                  </w:pPr>
                  <w:r w:rsidRPr="003F310D">
                    <w:t>2017</w:t>
                  </w:r>
                </w:p>
              </w:tc>
              <w:tc>
                <w:tcPr>
                  <w:tcW w:w="0" w:type="auto"/>
                  <w:tcBorders>
                    <w:top w:val="single" w:sz="6" w:space="0" w:color="CCCCCC"/>
                    <w:left w:val="single" w:sz="6" w:space="0" w:color="CCCCCC"/>
                    <w:bottom w:val="single" w:sz="6" w:space="0" w:color="CCCCCC"/>
                    <w:right w:val="single" w:sz="6" w:space="0" w:color="CCCCCC"/>
                  </w:tcBorders>
                  <w:tcMar>
                    <w:top w:w="60" w:type="dxa"/>
                    <w:left w:w="75" w:type="dxa"/>
                    <w:bottom w:w="60" w:type="dxa"/>
                    <w:right w:w="0" w:type="dxa"/>
                  </w:tcMar>
                  <w:hideMark/>
                </w:tcPr>
                <w:p w14:paraId="3023BDC4" w14:textId="77777777" w:rsidR="003F310D" w:rsidRPr="003F310D" w:rsidRDefault="003F310D">
                  <w:r w:rsidRPr="003F310D">
                    <w:t>Chairman</w:t>
                  </w:r>
                </w:p>
              </w:tc>
            </w:tr>
            <w:tr w:rsidR="003F310D" w:rsidRPr="003F310D" w14:paraId="53D3F1AC" w14:textId="77777777">
              <w:trPr>
                <w:jc w:val="center"/>
              </w:trPr>
              <w:tc>
                <w:tcPr>
                  <w:tcW w:w="0" w:type="auto"/>
                  <w:tcBorders>
                    <w:top w:val="single" w:sz="6" w:space="0" w:color="CCCCCC"/>
                    <w:left w:val="single" w:sz="6" w:space="0" w:color="CCCCCC"/>
                    <w:bottom w:val="single" w:sz="6" w:space="0" w:color="CCCCCC"/>
                    <w:right w:val="single" w:sz="6" w:space="0" w:color="CCCCCC"/>
                  </w:tcBorders>
                  <w:tcMar>
                    <w:top w:w="60" w:type="dxa"/>
                    <w:left w:w="75" w:type="dxa"/>
                    <w:bottom w:w="60" w:type="dxa"/>
                    <w:right w:w="0" w:type="dxa"/>
                  </w:tcMar>
                  <w:hideMark/>
                </w:tcPr>
                <w:p w14:paraId="6DB325D7" w14:textId="77777777" w:rsidR="003F310D" w:rsidRPr="003F310D" w:rsidRDefault="003F310D">
                  <w:hyperlink r:id="rId21" w:history="1">
                    <w:r w:rsidRPr="003F310D">
                      <w:rPr>
                        <w:rStyle w:val="Hyperlink"/>
                        <w:color w:val="auto"/>
                      </w:rPr>
                      <w:t xml:space="preserve">Kathryn A. </w:t>
                    </w:r>
                    <w:proofErr w:type="spellStart"/>
                    <w:r w:rsidRPr="003F310D">
                      <w:rPr>
                        <w:rStyle w:val="Hyperlink"/>
                        <w:color w:val="auto"/>
                      </w:rPr>
                      <w:t>Mikells</w:t>
                    </w:r>
                    <w:proofErr w:type="spellEnd"/>
                  </w:hyperlink>
                </w:p>
              </w:tc>
              <w:tc>
                <w:tcPr>
                  <w:tcW w:w="0" w:type="auto"/>
                  <w:tcBorders>
                    <w:top w:val="single" w:sz="6" w:space="0" w:color="CCCCCC"/>
                    <w:left w:val="single" w:sz="6" w:space="0" w:color="CCCCCC"/>
                    <w:bottom w:val="single" w:sz="6" w:space="0" w:color="CCCCCC"/>
                    <w:right w:val="single" w:sz="6" w:space="0" w:color="CCCCCC"/>
                  </w:tcBorders>
                  <w:tcMar>
                    <w:top w:w="60" w:type="dxa"/>
                    <w:left w:w="0" w:type="dxa"/>
                    <w:bottom w:w="60" w:type="dxa"/>
                    <w:right w:w="0" w:type="dxa"/>
                  </w:tcMar>
                  <w:hideMark/>
                </w:tcPr>
                <w:p w14:paraId="0CBF9F92" w14:textId="77777777" w:rsidR="003F310D" w:rsidRPr="003F310D" w:rsidRDefault="003F310D">
                  <w:pPr>
                    <w:jc w:val="center"/>
                  </w:pPr>
                  <w:r w:rsidRPr="003F310D">
                    <w:t>54</w:t>
                  </w:r>
                </w:p>
              </w:tc>
              <w:tc>
                <w:tcPr>
                  <w:tcW w:w="0" w:type="auto"/>
                  <w:tcBorders>
                    <w:top w:val="single" w:sz="6" w:space="0" w:color="CCCCCC"/>
                    <w:left w:val="single" w:sz="6" w:space="0" w:color="CCCCCC"/>
                    <w:bottom w:val="single" w:sz="6" w:space="0" w:color="CCCCCC"/>
                    <w:right w:val="single" w:sz="6" w:space="0" w:color="CCCCCC"/>
                  </w:tcBorders>
                  <w:tcMar>
                    <w:top w:w="60" w:type="dxa"/>
                    <w:left w:w="0" w:type="dxa"/>
                    <w:bottom w:w="60" w:type="dxa"/>
                    <w:right w:w="0" w:type="dxa"/>
                  </w:tcMar>
                  <w:hideMark/>
                </w:tcPr>
                <w:p w14:paraId="2E595E42" w14:textId="77777777" w:rsidR="003F310D" w:rsidRPr="003F310D" w:rsidRDefault="003F310D">
                  <w:pPr>
                    <w:jc w:val="center"/>
                  </w:pPr>
                  <w:r w:rsidRPr="003F310D">
                    <w:t>2015</w:t>
                  </w:r>
                </w:p>
              </w:tc>
              <w:tc>
                <w:tcPr>
                  <w:tcW w:w="0" w:type="auto"/>
                  <w:tcBorders>
                    <w:top w:val="single" w:sz="6" w:space="0" w:color="CCCCCC"/>
                    <w:left w:val="single" w:sz="6" w:space="0" w:color="CCCCCC"/>
                    <w:bottom w:val="single" w:sz="6" w:space="0" w:color="CCCCCC"/>
                    <w:right w:val="single" w:sz="6" w:space="0" w:color="CCCCCC"/>
                  </w:tcBorders>
                  <w:tcMar>
                    <w:top w:w="60" w:type="dxa"/>
                    <w:left w:w="75" w:type="dxa"/>
                    <w:bottom w:w="60" w:type="dxa"/>
                    <w:right w:w="0" w:type="dxa"/>
                  </w:tcMar>
                  <w:hideMark/>
                </w:tcPr>
                <w:p w14:paraId="3581E8FD" w14:textId="77777777" w:rsidR="003F310D" w:rsidRPr="003F310D" w:rsidRDefault="003F310D">
                  <w:r w:rsidRPr="003F310D">
                    <w:t>Chief Financial Officer &amp; Executive Director</w:t>
                  </w:r>
                </w:p>
              </w:tc>
            </w:tr>
            <w:tr w:rsidR="003F310D" w:rsidRPr="003F310D" w14:paraId="02C8E251" w14:textId="77777777">
              <w:trPr>
                <w:jc w:val="center"/>
              </w:trPr>
              <w:tc>
                <w:tcPr>
                  <w:tcW w:w="0" w:type="auto"/>
                  <w:tcBorders>
                    <w:top w:val="single" w:sz="6" w:space="0" w:color="CCCCCC"/>
                    <w:left w:val="single" w:sz="6" w:space="0" w:color="CCCCCC"/>
                    <w:bottom w:val="single" w:sz="6" w:space="0" w:color="CCCCCC"/>
                    <w:right w:val="single" w:sz="6" w:space="0" w:color="CCCCCC"/>
                  </w:tcBorders>
                  <w:tcMar>
                    <w:top w:w="60" w:type="dxa"/>
                    <w:left w:w="75" w:type="dxa"/>
                    <w:bottom w:w="60" w:type="dxa"/>
                    <w:right w:w="0" w:type="dxa"/>
                  </w:tcMar>
                  <w:hideMark/>
                </w:tcPr>
                <w:p w14:paraId="04EB436E" w14:textId="77777777" w:rsidR="003F310D" w:rsidRPr="003F310D" w:rsidRDefault="003F310D">
                  <w:hyperlink r:id="rId22" w:history="1">
                    <w:r w:rsidRPr="003F310D">
                      <w:rPr>
                        <w:rStyle w:val="Hyperlink"/>
                        <w:color w:val="auto"/>
                      </w:rPr>
                      <w:t>Alan James Harris Stewart</w:t>
                    </w:r>
                  </w:hyperlink>
                </w:p>
              </w:tc>
              <w:tc>
                <w:tcPr>
                  <w:tcW w:w="0" w:type="auto"/>
                  <w:tcBorders>
                    <w:top w:val="single" w:sz="6" w:space="0" w:color="CCCCCC"/>
                    <w:left w:val="single" w:sz="6" w:space="0" w:color="CCCCCC"/>
                    <w:bottom w:val="single" w:sz="6" w:space="0" w:color="CCCCCC"/>
                    <w:right w:val="single" w:sz="6" w:space="0" w:color="CCCCCC"/>
                  </w:tcBorders>
                  <w:tcMar>
                    <w:top w:w="60" w:type="dxa"/>
                    <w:left w:w="0" w:type="dxa"/>
                    <w:bottom w:w="60" w:type="dxa"/>
                    <w:right w:w="0" w:type="dxa"/>
                  </w:tcMar>
                  <w:hideMark/>
                </w:tcPr>
                <w:p w14:paraId="508694AC" w14:textId="77777777" w:rsidR="003F310D" w:rsidRPr="003F310D" w:rsidRDefault="003F310D">
                  <w:pPr>
                    <w:jc w:val="center"/>
                  </w:pPr>
                  <w:r w:rsidRPr="003F310D">
                    <w:t>60</w:t>
                  </w:r>
                </w:p>
              </w:tc>
              <w:tc>
                <w:tcPr>
                  <w:tcW w:w="0" w:type="auto"/>
                  <w:tcBorders>
                    <w:top w:val="single" w:sz="6" w:space="0" w:color="CCCCCC"/>
                    <w:left w:val="single" w:sz="6" w:space="0" w:color="CCCCCC"/>
                    <w:bottom w:val="single" w:sz="6" w:space="0" w:color="CCCCCC"/>
                    <w:right w:val="single" w:sz="6" w:space="0" w:color="CCCCCC"/>
                  </w:tcBorders>
                  <w:tcMar>
                    <w:top w:w="60" w:type="dxa"/>
                    <w:left w:w="0" w:type="dxa"/>
                    <w:bottom w:w="60" w:type="dxa"/>
                    <w:right w:w="0" w:type="dxa"/>
                  </w:tcMar>
                  <w:hideMark/>
                </w:tcPr>
                <w:p w14:paraId="56026FC9" w14:textId="77777777" w:rsidR="003F310D" w:rsidRPr="003F310D" w:rsidRDefault="003F310D">
                  <w:pPr>
                    <w:jc w:val="center"/>
                  </w:pPr>
                  <w:r w:rsidRPr="003F310D">
                    <w:t>2014</w:t>
                  </w:r>
                </w:p>
              </w:tc>
              <w:tc>
                <w:tcPr>
                  <w:tcW w:w="0" w:type="auto"/>
                  <w:tcBorders>
                    <w:top w:val="single" w:sz="6" w:space="0" w:color="CCCCCC"/>
                    <w:left w:val="single" w:sz="6" w:space="0" w:color="CCCCCC"/>
                    <w:bottom w:val="single" w:sz="6" w:space="0" w:color="CCCCCC"/>
                    <w:right w:val="single" w:sz="6" w:space="0" w:color="CCCCCC"/>
                  </w:tcBorders>
                  <w:tcMar>
                    <w:top w:w="60" w:type="dxa"/>
                    <w:left w:w="75" w:type="dxa"/>
                    <w:bottom w:w="60" w:type="dxa"/>
                    <w:right w:w="0" w:type="dxa"/>
                  </w:tcMar>
                  <w:hideMark/>
                </w:tcPr>
                <w:p w14:paraId="3687620A" w14:textId="77777777" w:rsidR="003F310D" w:rsidRPr="003F310D" w:rsidRDefault="003F310D">
                  <w:r w:rsidRPr="003F310D">
                    <w:t>Independent Non-Executive Director</w:t>
                  </w:r>
                </w:p>
              </w:tc>
            </w:tr>
            <w:tr w:rsidR="003F310D" w:rsidRPr="003F310D" w14:paraId="22ADC4C7" w14:textId="77777777">
              <w:trPr>
                <w:jc w:val="center"/>
              </w:trPr>
              <w:tc>
                <w:tcPr>
                  <w:tcW w:w="0" w:type="auto"/>
                  <w:tcBorders>
                    <w:top w:val="single" w:sz="6" w:space="0" w:color="CCCCCC"/>
                    <w:left w:val="single" w:sz="6" w:space="0" w:color="CCCCCC"/>
                    <w:bottom w:val="single" w:sz="6" w:space="0" w:color="CCCCCC"/>
                    <w:right w:val="single" w:sz="6" w:space="0" w:color="CCCCCC"/>
                  </w:tcBorders>
                  <w:tcMar>
                    <w:top w:w="60" w:type="dxa"/>
                    <w:left w:w="75" w:type="dxa"/>
                    <w:bottom w:w="60" w:type="dxa"/>
                    <w:right w:w="0" w:type="dxa"/>
                  </w:tcMar>
                  <w:hideMark/>
                </w:tcPr>
                <w:p w14:paraId="6F9EF83E" w14:textId="77777777" w:rsidR="003F310D" w:rsidRPr="003F310D" w:rsidRDefault="003F310D">
                  <w:hyperlink r:id="rId23" w:history="1">
                    <w:r w:rsidRPr="003F310D">
                      <w:rPr>
                        <w:rStyle w:val="Hyperlink"/>
                        <w:color w:val="auto"/>
                      </w:rPr>
                      <w:t>Nicola S. Mendelsohn</w:t>
                    </w:r>
                  </w:hyperlink>
                </w:p>
              </w:tc>
              <w:tc>
                <w:tcPr>
                  <w:tcW w:w="0" w:type="auto"/>
                  <w:tcBorders>
                    <w:top w:val="single" w:sz="6" w:space="0" w:color="CCCCCC"/>
                    <w:left w:val="single" w:sz="6" w:space="0" w:color="CCCCCC"/>
                    <w:bottom w:val="single" w:sz="6" w:space="0" w:color="CCCCCC"/>
                    <w:right w:val="single" w:sz="6" w:space="0" w:color="CCCCCC"/>
                  </w:tcBorders>
                  <w:tcMar>
                    <w:top w:w="60" w:type="dxa"/>
                    <w:left w:w="0" w:type="dxa"/>
                    <w:bottom w:w="60" w:type="dxa"/>
                    <w:right w:w="0" w:type="dxa"/>
                  </w:tcMar>
                  <w:hideMark/>
                </w:tcPr>
                <w:p w14:paraId="40A652EB" w14:textId="77777777" w:rsidR="003F310D" w:rsidRPr="003F310D" w:rsidRDefault="003F310D">
                  <w:pPr>
                    <w:jc w:val="center"/>
                  </w:pPr>
                  <w:r w:rsidRPr="003F310D">
                    <w:t>-</w:t>
                  </w:r>
                </w:p>
              </w:tc>
              <w:tc>
                <w:tcPr>
                  <w:tcW w:w="0" w:type="auto"/>
                  <w:tcBorders>
                    <w:top w:val="single" w:sz="6" w:space="0" w:color="CCCCCC"/>
                    <w:left w:val="single" w:sz="6" w:space="0" w:color="CCCCCC"/>
                    <w:bottom w:val="single" w:sz="6" w:space="0" w:color="CCCCCC"/>
                    <w:right w:val="single" w:sz="6" w:space="0" w:color="CCCCCC"/>
                  </w:tcBorders>
                  <w:tcMar>
                    <w:top w:w="60" w:type="dxa"/>
                    <w:left w:w="0" w:type="dxa"/>
                    <w:bottom w:w="60" w:type="dxa"/>
                    <w:right w:w="0" w:type="dxa"/>
                  </w:tcMar>
                  <w:hideMark/>
                </w:tcPr>
                <w:p w14:paraId="47C7DD9C" w14:textId="77777777" w:rsidR="003F310D" w:rsidRPr="003F310D" w:rsidRDefault="003F310D">
                  <w:pPr>
                    <w:jc w:val="center"/>
                  </w:pPr>
                  <w:r w:rsidRPr="003F310D">
                    <w:t>2014</w:t>
                  </w:r>
                </w:p>
              </w:tc>
              <w:tc>
                <w:tcPr>
                  <w:tcW w:w="0" w:type="auto"/>
                  <w:tcBorders>
                    <w:top w:val="single" w:sz="6" w:space="0" w:color="CCCCCC"/>
                    <w:left w:val="single" w:sz="6" w:space="0" w:color="CCCCCC"/>
                    <w:bottom w:val="single" w:sz="6" w:space="0" w:color="CCCCCC"/>
                    <w:right w:val="single" w:sz="6" w:space="0" w:color="CCCCCC"/>
                  </w:tcBorders>
                  <w:tcMar>
                    <w:top w:w="60" w:type="dxa"/>
                    <w:left w:w="75" w:type="dxa"/>
                    <w:bottom w:w="60" w:type="dxa"/>
                    <w:right w:w="0" w:type="dxa"/>
                  </w:tcMar>
                  <w:hideMark/>
                </w:tcPr>
                <w:p w14:paraId="598D7426" w14:textId="77777777" w:rsidR="003F310D" w:rsidRPr="003F310D" w:rsidRDefault="003F310D">
                  <w:r w:rsidRPr="003F310D">
                    <w:t>Independent Non-Executive Director</w:t>
                  </w:r>
                </w:p>
              </w:tc>
            </w:tr>
            <w:tr w:rsidR="003F310D" w:rsidRPr="003F310D" w14:paraId="7B36DA43" w14:textId="77777777">
              <w:trPr>
                <w:jc w:val="center"/>
              </w:trPr>
              <w:tc>
                <w:tcPr>
                  <w:tcW w:w="0" w:type="auto"/>
                  <w:tcBorders>
                    <w:top w:val="single" w:sz="6" w:space="0" w:color="CCCCCC"/>
                    <w:left w:val="single" w:sz="6" w:space="0" w:color="CCCCCC"/>
                    <w:bottom w:val="single" w:sz="6" w:space="0" w:color="CCCCCC"/>
                    <w:right w:val="single" w:sz="6" w:space="0" w:color="CCCCCC"/>
                  </w:tcBorders>
                  <w:tcMar>
                    <w:top w:w="60" w:type="dxa"/>
                    <w:left w:w="75" w:type="dxa"/>
                    <w:bottom w:w="60" w:type="dxa"/>
                    <w:right w:w="0" w:type="dxa"/>
                  </w:tcMar>
                  <w:hideMark/>
                </w:tcPr>
                <w:p w14:paraId="7F62BA24" w14:textId="77777777" w:rsidR="003F310D" w:rsidRPr="003F310D" w:rsidRDefault="003F310D">
                  <w:hyperlink r:id="rId24" w:history="1">
                    <w:r w:rsidRPr="003F310D">
                      <w:rPr>
                        <w:rStyle w:val="Hyperlink"/>
                        <w:color w:val="auto"/>
                      </w:rPr>
                      <w:t xml:space="preserve">Susan </w:t>
                    </w:r>
                    <w:proofErr w:type="spellStart"/>
                    <w:r w:rsidRPr="003F310D">
                      <w:rPr>
                        <w:rStyle w:val="Hyperlink"/>
                        <w:color w:val="auto"/>
                      </w:rPr>
                      <w:t>Kilsby</w:t>
                    </w:r>
                    <w:proofErr w:type="spellEnd"/>
                  </w:hyperlink>
                </w:p>
              </w:tc>
              <w:tc>
                <w:tcPr>
                  <w:tcW w:w="0" w:type="auto"/>
                  <w:tcBorders>
                    <w:top w:val="single" w:sz="6" w:space="0" w:color="CCCCCC"/>
                    <w:left w:val="single" w:sz="6" w:space="0" w:color="CCCCCC"/>
                    <w:bottom w:val="single" w:sz="6" w:space="0" w:color="CCCCCC"/>
                    <w:right w:val="single" w:sz="6" w:space="0" w:color="CCCCCC"/>
                  </w:tcBorders>
                  <w:tcMar>
                    <w:top w:w="60" w:type="dxa"/>
                    <w:left w:w="0" w:type="dxa"/>
                    <w:bottom w:w="60" w:type="dxa"/>
                    <w:right w:w="0" w:type="dxa"/>
                  </w:tcMar>
                  <w:hideMark/>
                </w:tcPr>
                <w:p w14:paraId="098BEB98" w14:textId="77777777" w:rsidR="003F310D" w:rsidRPr="003F310D" w:rsidRDefault="003F310D">
                  <w:pPr>
                    <w:jc w:val="center"/>
                  </w:pPr>
                  <w:r w:rsidRPr="003F310D">
                    <w:t>61</w:t>
                  </w:r>
                </w:p>
              </w:tc>
              <w:tc>
                <w:tcPr>
                  <w:tcW w:w="0" w:type="auto"/>
                  <w:tcBorders>
                    <w:top w:val="single" w:sz="6" w:space="0" w:color="CCCCCC"/>
                    <w:left w:val="single" w:sz="6" w:space="0" w:color="CCCCCC"/>
                    <w:bottom w:val="single" w:sz="6" w:space="0" w:color="CCCCCC"/>
                    <w:right w:val="single" w:sz="6" w:space="0" w:color="CCCCCC"/>
                  </w:tcBorders>
                  <w:tcMar>
                    <w:top w:w="60" w:type="dxa"/>
                    <w:left w:w="0" w:type="dxa"/>
                    <w:bottom w:w="60" w:type="dxa"/>
                    <w:right w:w="0" w:type="dxa"/>
                  </w:tcMar>
                  <w:hideMark/>
                </w:tcPr>
                <w:p w14:paraId="57D9EB14" w14:textId="77777777" w:rsidR="003F310D" w:rsidRPr="003F310D" w:rsidRDefault="003F310D">
                  <w:pPr>
                    <w:jc w:val="center"/>
                  </w:pPr>
                  <w:r w:rsidRPr="003F310D">
                    <w:t>2019</w:t>
                  </w:r>
                </w:p>
              </w:tc>
              <w:tc>
                <w:tcPr>
                  <w:tcW w:w="0" w:type="auto"/>
                  <w:tcBorders>
                    <w:top w:val="single" w:sz="6" w:space="0" w:color="CCCCCC"/>
                    <w:left w:val="single" w:sz="6" w:space="0" w:color="CCCCCC"/>
                    <w:bottom w:val="single" w:sz="6" w:space="0" w:color="CCCCCC"/>
                    <w:right w:val="single" w:sz="6" w:space="0" w:color="CCCCCC"/>
                  </w:tcBorders>
                  <w:tcMar>
                    <w:top w:w="60" w:type="dxa"/>
                    <w:left w:w="75" w:type="dxa"/>
                    <w:bottom w:w="60" w:type="dxa"/>
                    <w:right w:w="0" w:type="dxa"/>
                  </w:tcMar>
                  <w:hideMark/>
                </w:tcPr>
                <w:p w14:paraId="5E1C3555" w14:textId="77777777" w:rsidR="003F310D" w:rsidRPr="003F310D" w:rsidRDefault="003F310D">
                  <w:r w:rsidRPr="003F310D">
                    <w:t>Senior Independent Director</w:t>
                  </w:r>
                </w:p>
              </w:tc>
            </w:tr>
            <w:tr w:rsidR="003F310D" w:rsidRPr="003F310D" w14:paraId="2DA42577" w14:textId="77777777">
              <w:trPr>
                <w:jc w:val="center"/>
              </w:trPr>
              <w:tc>
                <w:tcPr>
                  <w:tcW w:w="0" w:type="auto"/>
                  <w:tcBorders>
                    <w:top w:val="single" w:sz="6" w:space="0" w:color="CCCCCC"/>
                    <w:left w:val="single" w:sz="6" w:space="0" w:color="CCCCCC"/>
                    <w:bottom w:val="single" w:sz="6" w:space="0" w:color="CCCCCC"/>
                    <w:right w:val="single" w:sz="6" w:space="0" w:color="CCCCCC"/>
                  </w:tcBorders>
                  <w:tcMar>
                    <w:top w:w="60" w:type="dxa"/>
                    <w:left w:w="75" w:type="dxa"/>
                    <w:bottom w:w="60" w:type="dxa"/>
                    <w:right w:w="0" w:type="dxa"/>
                  </w:tcMar>
                  <w:hideMark/>
                </w:tcPr>
                <w:p w14:paraId="02603B1F" w14:textId="77777777" w:rsidR="003F310D" w:rsidRPr="003F310D" w:rsidRDefault="003F310D">
                  <w:hyperlink r:id="rId25" w:history="1">
                    <w:r w:rsidRPr="003F310D">
                      <w:rPr>
                        <w:rStyle w:val="Hyperlink"/>
                        <w:color w:val="auto"/>
                      </w:rPr>
                      <w:t>Melissa Bethell</w:t>
                    </w:r>
                  </w:hyperlink>
                </w:p>
              </w:tc>
              <w:tc>
                <w:tcPr>
                  <w:tcW w:w="0" w:type="auto"/>
                  <w:tcBorders>
                    <w:top w:val="single" w:sz="6" w:space="0" w:color="CCCCCC"/>
                    <w:left w:val="single" w:sz="6" w:space="0" w:color="CCCCCC"/>
                    <w:bottom w:val="single" w:sz="6" w:space="0" w:color="CCCCCC"/>
                    <w:right w:val="single" w:sz="6" w:space="0" w:color="CCCCCC"/>
                  </w:tcBorders>
                  <w:tcMar>
                    <w:top w:w="60" w:type="dxa"/>
                    <w:left w:w="0" w:type="dxa"/>
                    <w:bottom w:w="60" w:type="dxa"/>
                    <w:right w:w="0" w:type="dxa"/>
                  </w:tcMar>
                  <w:hideMark/>
                </w:tcPr>
                <w:p w14:paraId="40C8D4A0" w14:textId="77777777" w:rsidR="003F310D" w:rsidRPr="003F310D" w:rsidRDefault="003F310D">
                  <w:pPr>
                    <w:jc w:val="center"/>
                  </w:pPr>
                  <w:r w:rsidRPr="003F310D">
                    <w:t>46</w:t>
                  </w:r>
                </w:p>
              </w:tc>
              <w:tc>
                <w:tcPr>
                  <w:tcW w:w="0" w:type="auto"/>
                  <w:tcBorders>
                    <w:top w:val="single" w:sz="6" w:space="0" w:color="CCCCCC"/>
                    <w:left w:val="single" w:sz="6" w:space="0" w:color="CCCCCC"/>
                    <w:bottom w:val="single" w:sz="6" w:space="0" w:color="CCCCCC"/>
                    <w:right w:val="single" w:sz="6" w:space="0" w:color="CCCCCC"/>
                  </w:tcBorders>
                  <w:tcMar>
                    <w:top w:w="60" w:type="dxa"/>
                    <w:left w:w="0" w:type="dxa"/>
                    <w:bottom w:w="60" w:type="dxa"/>
                    <w:right w:w="0" w:type="dxa"/>
                  </w:tcMar>
                  <w:hideMark/>
                </w:tcPr>
                <w:p w14:paraId="7391D916" w14:textId="77777777" w:rsidR="003F310D" w:rsidRPr="003F310D" w:rsidRDefault="003F310D">
                  <w:pPr>
                    <w:jc w:val="center"/>
                  </w:pPr>
                  <w:r w:rsidRPr="003F310D">
                    <w:t>2020</w:t>
                  </w:r>
                </w:p>
              </w:tc>
              <w:tc>
                <w:tcPr>
                  <w:tcW w:w="0" w:type="auto"/>
                  <w:tcBorders>
                    <w:top w:val="single" w:sz="6" w:space="0" w:color="CCCCCC"/>
                    <w:left w:val="single" w:sz="6" w:space="0" w:color="CCCCCC"/>
                    <w:bottom w:val="single" w:sz="6" w:space="0" w:color="CCCCCC"/>
                    <w:right w:val="single" w:sz="6" w:space="0" w:color="CCCCCC"/>
                  </w:tcBorders>
                  <w:tcMar>
                    <w:top w:w="60" w:type="dxa"/>
                    <w:left w:w="75" w:type="dxa"/>
                    <w:bottom w:w="60" w:type="dxa"/>
                    <w:right w:w="0" w:type="dxa"/>
                  </w:tcMar>
                  <w:hideMark/>
                </w:tcPr>
                <w:p w14:paraId="3D422577" w14:textId="77777777" w:rsidR="003F310D" w:rsidRPr="003F310D" w:rsidRDefault="003F310D">
                  <w:r w:rsidRPr="003F310D">
                    <w:t>Independent Non-Executive Director</w:t>
                  </w:r>
                </w:p>
              </w:tc>
            </w:tr>
            <w:tr w:rsidR="003F310D" w:rsidRPr="003F310D" w14:paraId="60D9AEEE" w14:textId="77777777">
              <w:trPr>
                <w:jc w:val="center"/>
              </w:trPr>
              <w:tc>
                <w:tcPr>
                  <w:tcW w:w="0" w:type="auto"/>
                  <w:tcBorders>
                    <w:top w:val="single" w:sz="6" w:space="0" w:color="CCCCCC"/>
                    <w:left w:val="single" w:sz="6" w:space="0" w:color="CCCCCC"/>
                    <w:bottom w:val="single" w:sz="6" w:space="0" w:color="CCCCCC"/>
                    <w:right w:val="single" w:sz="6" w:space="0" w:color="CCCCCC"/>
                  </w:tcBorders>
                  <w:tcMar>
                    <w:top w:w="60" w:type="dxa"/>
                    <w:left w:w="75" w:type="dxa"/>
                    <w:bottom w:w="60" w:type="dxa"/>
                    <w:right w:w="0" w:type="dxa"/>
                  </w:tcMar>
                  <w:hideMark/>
                </w:tcPr>
                <w:p w14:paraId="0D3E1AE7" w14:textId="77777777" w:rsidR="003F310D" w:rsidRPr="003F310D" w:rsidRDefault="003F310D">
                  <w:hyperlink r:id="rId26" w:history="1">
                    <w:r w:rsidRPr="003F310D">
                      <w:rPr>
                        <w:rStyle w:val="Hyperlink"/>
                        <w:color w:val="auto"/>
                      </w:rPr>
                      <w:t>John Alexander Manzoni</w:t>
                    </w:r>
                  </w:hyperlink>
                </w:p>
              </w:tc>
              <w:tc>
                <w:tcPr>
                  <w:tcW w:w="0" w:type="auto"/>
                  <w:tcBorders>
                    <w:top w:val="single" w:sz="6" w:space="0" w:color="CCCCCC"/>
                    <w:left w:val="single" w:sz="6" w:space="0" w:color="CCCCCC"/>
                    <w:bottom w:val="single" w:sz="6" w:space="0" w:color="CCCCCC"/>
                    <w:right w:val="single" w:sz="6" w:space="0" w:color="CCCCCC"/>
                  </w:tcBorders>
                  <w:tcMar>
                    <w:top w:w="60" w:type="dxa"/>
                    <w:left w:w="0" w:type="dxa"/>
                    <w:bottom w:w="60" w:type="dxa"/>
                    <w:right w:w="0" w:type="dxa"/>
                  </w:tcMar>
                  <w:hideMark/>
                </w:tcPr>
                <w:p w14:paraId="229ACD23" w14:textId="77777777" w:rsidR="003F310D" w:rsidRPr="003F310D" w:rsidRDefault="003F310D">
                  <w:pPr>
                    <w:jc w:val="center"/>
                  </w:pPr>
                  <w:r w:rsidRPr="003F310D">
                    <w:t>60</w:t>
                  </w:r>
                </w:p>
              </w:tc>
              <w:tc>
                <w:tcPr>
                  <w:tcW w:w="0" w:type="auto"/>
                  <w:tcBorders>
                    <w:top w:val="single" w:sz="6" w:space="0" w:color="CCCCCC"/>
                    <w:left w:val="single" w:sz="6" w:space="0" w:color="CCCCCC"/>
                    <w:bottom w:val="single" w:sz="6" w:space="0" w:color="CCCCCC"/>
                    <w:right w:val="single" w:sz="6" w:space="0" w:color="CCCCCC"/>
                  </w:tcBorders>
                  <w:tcMar>
                    <w:top w:w="60" w:type="dxa"/>
                    <w:left w:w="0" w:type="dxa"/>
                    <w:bottom w:w="60" w:type="dxa"/>
                    <w:right w:w="0" w:type="dxa"/>
                  </w:tcMar>
                  <w:hideMark/>
                </w:tcPr>
                <w:p w14:paraId="27BC7A8D" w14:textId="77777777" w:rsidR="003F310D" w:rsidRPr="003F310D" w:rsidRDefault="003F310D">
                  <w:pPr>
                    <w:jc w:val="center"/>
                  </w:pPr>
                  <w:r w:rsidRPr="003F310D">
                    <w:t>2020</w:t>
                  </w:r>
                </w:p>
              </w:tc>
              <w:tc>
                <w:tcPr>
                  <w:tcW w:w="0" w:type="auto"/>
                  <w:tcBorders>
                    <w:top w:val="single" w:sz="6" w:space="0" w:color="CCCCCC"/>
                    <w:left w:val="single" w:sz="6" w:space="0" w:color="CCCCCC"/>
                    <w:bottom w:val="single" w:sz="6" w:space="0" w:color="CCCCCC"/>
                    <w:right w:val="single" w:sz="6" w:space="0" w:color="CCCCCC"/>
                  </w:tcBorders>
                  <w:tcMar>
                    <w:top w:w="60" w:type="dxa"/>
                    <w:left w:w="75" w:type="dxa"/>
                    <w:bottom w:w="60" w:type="dxa"/>
                    <w:right w:w="0" w:type="dxa"/>
                  </w:tcMar>
                  <w:hideMark/>
                </w:tcPr>
                <w:p w14:paraId="04B64DF7" w14:textId="77777777" w:rsidR="003F310D" w:rsidRPr="003F310D" w:rsidRDefault="003F310D">
                  <w:r w:rsidRPr="003F310D">
                    <w:t>Non-Executive Director</w:t>
                  </w:r>
                </w:p>
              </w:tc>
            </w:tr>
            <w:tr w:rsidR="003F310D" w:rsidRPr="003F310D" w14:paraId="4E8690A9" w14:textId="77777777">
              <w:trPr>
                <w:jc w:val="center"/>
              </w:trPr>
              <w:tc>
                <w:tcPr>
                  <w:tcW w:w="0" w:type="auto"/>
                  <w:tcBorders>
                    <w:top w:val="single" w:sz="6" w:space="0" w:color="CCCCCC"/>
                    <w:left w:val="single" w:sz="6" w:space="0" w:color="CCCCCC"/>
                    <w:bottom w:val="single" w:sz="6" w:space="0" w:color="CCCCCC"/>
                    <w:right w:val="single" w:sz="6" w:space="0" w:color="CCCCCC"/>
                  </w:tcBorders>
                  <w:tcMar>
                    <w:top w:w="60" w:type="dxa"/>
                    <w:left w:w="75" w:type="dxa"/>
                    <w:bottom w:w="60" w:type="dxa"/>
                    <w:right w:w="0" w:type="dxa"/>
                  </w:tcMar>
                  <w:hideMark/>
                </w:tcPr>
                <w:p w14:paraId="1A18D520" w14:textId="77777777" w:rsidR="003F310D" w:rsidRPr="003F310D" w:rsidRDefault="003F310D">
                  <w:hyperlink r:id="rId27" w:history="1">
                    <w:r w:rsidRPr="003F310D">
                      <w:rPr>
                        <w:rStyle w:val="Hyperlink"/>
                        <w:color w:val="auto"/>
                      </w:rPr>
                      <w:t xml:space="preserve">Ireena Gopal </w:t>
                    </w:r>
                    <w:proofErr w:type="spellStart"/>
                    <w:r w:rsidRPr="003F310D">
                      <w:rPr>
                        <w:rStyle w:val="Hyperlink"/>
                        <w:color w:val="auto"/>
                      </w:rPr>
                      <w:t>Vittal</w:t>
                    </w:r>
                    <w:proofErr w:type="spellEnd"/>
                  </w:hyperlink>
                </w:p>
              </w:tc>
              <w:tc>
                <w:tcPr>
                  <w:tcW w:w="0" w:type="auto"/>
                  <w:tcBorders>
                    <w:top w:val="single" w:sz="6" w:space="0" w:color="CCCCCC"/>
                    <w:left w:val="single" w:sz="6" w:space="0" w:color="CCCCCC"/>
                    <w:bottom w:val="single" w:sz="6" w:space="0" w:color="CCCCCC"/>
                    <w:right w:val="single" w:sz="6" w:space="0" w:color="CCCCCC"/>
                  </w:tcBorders>
                  <w:tcMar>
                    <w:top w:w="60" w:type="dxa"/>
                    <w:left w:w="0" w:type="dxa"/>
                    <w:bottom w:w="60" w:type="dxa"/>
                    <w:right w:w="0" w:type="dxa"/>
                  </w:tcMar>
                  <w:hideMark/>
                </w:tcPr>
                <w:p w14:paraId="45B4FF59" w14:textId="77777777" w:rsidR="003F310D" w:rsidRPr="003F310D" w:rsidRDefault="003F310D">
                  <w:pPr>
                    <w:jc w:val="center"/>
                  </w:pPr>
                  <w:r w:rsidRPr="003F310D">
                    <w:t>51</w:t>
                  </w:r>
                </w:p>
              </w:tc>
              <w:tc>
                <w:tcPr>
                  <w:tcW w:w="0" w:type="auto"/>
                  <w:tcBorders>
                    <w:top w:val="single" w:sz="6" w:space="0" w:color="CCCCCC"/>
                    <w:left w:val="single" w:sz="6" w:space="0" w:color="CCCCCC"/>
                    <w:bottom w:val="single" w:sz="6" w:space="0" w:color="CCCCCC"/>
                    <w:right w:val="single" w:sz="6" w:space="0" w:color="CCCCCC"/>
                  </w:tcBorders>
                  <w:tcMar>
                    <w:top w:w="60" w:type="dxa"/>
                    <w:left w:w="0" w:type="dxa"/>
                    <w:bottom w:w="60" w:type="dxa"/>
                    <w:right w:w="0" w:type="dxa"/>
                  </w:tcMar>
                  <w:hideMark/>
                </w:tcPr>
                <w:p w14:paraId="4BB4C130" w14:textId="77777777" w:rsidR="003F310D" w:rsidRPr="003F310D" w:rsidRDefault="003F310D">
                  <w:pPr>
                    <w:jc w:val="center"/>
                  </w:pPr>
                  <w:r w:rsidRPr="003F310D">
                    <w:t>2020</w:t>
                  </w:r>
                </w:p>
              </w:tc>
              <w:tc>
                <w:tcPr>
                  <w:tcW w:w="0" w:type="auto"/>
                  <w:tcBorders>
                    <w:top w:val="single" w:sz="6" w:space="0" w:color="CCCCCC"/>
                    <w:left w:val="single" w:sz="6" w:space="0" w:color="CCCCCC"/>
                    <w:bottom w:val="single" w:sz="6" w:space="0" w:color="CCCCCC"/>
                    <w:right w:val="single" w:sz="6" w:space="0" w:color="CCCCCC"/>
                  </w:tcBorders>
                  <w:tcMar>
                    <w:top w:w="60" w:type="dxa"/>
                    <w:left w:w="75" w:type="dxa"/>
                    <w:bottom w:w="60" w:type="dxa"/>
                    <w:right w:w="0" w:type="dxa"/>
                  </w:tcMar>
                  <w:hideMark/>
                </w:tcPr>
                <w:p w14:paraId="70642FB1" w14:textId="77777777" w:rsidR="003F310D" w:rsidRPr="003F310D" w:rsidRDefault="003F310D">
                  <w:r w:rsidRPr="003F310D">
                    <w:t>Non-Executive Director</w:t>
                  </w:r>
                </w:p>
              </w:tc>
            </w:tr>
            <w:tr w:rsidR="003F310D" w:rsidRPr="003F310D" w14:paraId="26DECDD8" w14:textId="77777777">
              <w:trPr>
                <w:jc w:val="center"/>
              </w:trPr>
              <w:tc>
                <w:tcPr>
                  <w:tcW w:w="0" w:type="auto"/>
                  <w:tcBorders>
                    <w:top w:val="single" w:sz="6" w:space="0" w:color="CCCCCC"/>
                    <w:left w:val="single" w:sz="6" w:space="0" w:color="CCCCCC"/>
                    <w:bottom w:val="single" w:sz="6" w:space="0" w:color="CCCCCC"/>
                    <w:right w:val="single" w:sz="6" w:space="0" w:color="CCCCCC"/>
                  </w:tcBorders>
                  <w:tcMar>
                    <w:top w:w="60" w:type="dxa"/>
                    <w:left w:w="75" w:type="dxa"/>
                    <w:bottom w:w="60" w:type="dxa"/>
                    <w:right w:w="0" w:type="dxa"/>
                  </w:tcMar>
                  <w:hideMark/>
                </w:tcPr>
                <w:p w14:paraId="1B688AE0" w14:textId="77777777" w:rsidR="003F310D" w:rsidRPr="003F310D" w:rsidRDefault="003F310D">
                  <w:hyperlink r:id="rId28" w:history="1">
                    <w:r w:rsidRPr="003F310D">
                      <w:rPr>
                        <w:rStyle w:val="Hyperlink"/>
                        <w:color w:val="auto"/>
                      </w:rPr>
                      <w:t xml:space="preserve">Valérie </w:t>
                    </w:r>
                    <w:proofErr w:type="spellStart"/>
                    <w:r w:rsidRPr="003F310D">
                      <w:rPr>
                        <w:rStyle w:val="Hyperlink"/>
                        <w:color w:val="auto"/>
                      </w:rPr>
                      <w:t>Chapoulaud-Floquet</w:t>
                    </w:r>
                    <w:proofErr w:type="spellEnd"/>
                  </w:hyperlink>
                </w:p>
              </w:tc>
              <w:tc>
                <w:tcPr>
                  <w:tcW w:w="0" w:type="auto"/>
                  <w:tcBorders>
                    <w:top w:val="single" w:sz="6" w:space="0" w:color="CCCCCC"/>
                    <w:left w:val="single" w:sz="6" w:space="0" w:color="CCCCCC"/>
                    <w:bottom w:val="single" w:sz="6" w:space="0" w:color="CCCCCC"/>
                    <w:right w:val="single" w:sz="6" w:space="0" w:color="CCCCCC"/>
                  </w:tcBorders>
                  <w:tcMar>
                    <w:top w:w="60" w:type="dxa"/>
                    <w:left w:w="0" w:type="dxa"/>
                    <w:bottom w:w="60" w:type="dxa"/>
                    <w:right w:w="0" w:type="dxa"/>
                  </w:tcMar>
                  <w:hideMark/>
                </w:tcPr>
                <w:p w14:paraId="14A460EF" w14:textId="77777777" w:rsidR="003F310D" w:rsidRPr="003F310D" w:rsidRDefault="003F310D">
                  <w:pPr>
                    <w:jc w:val="center"/>
                  </w:pPr>
                  <w:r w:rsidRPr="003F310D">
                    <w:t>-</w:t>
                  </w:r>
                </w:p>
              </w:tc>
              <w:tc>
                <w:tcPr>
                  <w:tcW w:w="0" w:type="auto"/>
                  <w:tcBorders>
                    <w:top w:val="single" w:sz="6" w:space="0" w:color="CCCCCC"/>
                    <w:left w:val="single" w:sz="6" w:space="0" w:color="CCCCCC"/>
                    <w:bottom w:val="single" w:sz="6" w:space="0" w:color="CCCCCC"/>
                    <w:right w:val="single" w:sz="6" w:space="0" w:color="CCCCCC"/>
                  </w:tcBorders>
                  <w:tcMar>
                    <w:top w:w="60" w:type="dxa"/>
                    <w:left w:w="0" w:type="dxa"/>
                    <w:bottom w:w="60" w:type="dxa"/>
                    <w:right w:w="0" w:type="dxa"/>
                  </w:tcMar>
                  <w:hideMark/>
                </w:tcPr>
                <w:p w14:paraId="01277517" w14:textId="77777777" w:rsidR="003F310D" w:rsidRPr="003F310D" w:rsidRDefault="003F310D">
                  <w:pPr>
                    <w:jc w:val="center"/>
                  </w:pPr>
                  <w:r w:rsidRPr="003F310D">
                    <w:t>-</w:t>
                  </w:r>
                </w:p>
              </w:tc>
              <w:tc>
                <w:tcPr>
                  <w:tcW w:w="0" w:type="auto"/>
                  <w:tcBorders>
                    <w:top w:val="single" w:sz="6" w:space="0" w:color="CCCCCC"/>
                    <w:left w:val="single" w:sz="6" w:space="0" w:color="CCCCCC"/>
                    <w:bottom w:val="single" w:sz="6" w:space="0" w:color="CCCCCC"/>
                    <w:right w:val="single" w:sz="6" w:space="0" w:color="CCCCCC"/>
                  </w:tcBorders>
                  <w:tcMar>
                    <w:top w:w="60" w:type="dxa"/>
                    <w:left w:w="75" w:type="dxa"/>
                    <w:bottom w:w="60" w:type="dxa"/>
                    <w:right w:w="0" w:type="dxa"/>
                  </w:tcMar>
                  <w:hideMark/>
                </w:tcPr>
                <w:p w14:paraId="61C392AC" w14:textId="77777777" w:rsidR="003F310D" w:rsidRPr="003F310D" w:rsidRDefault="003F310D">
                  <w:r w:rsidRPr="003F310D">
                    <w:t>Non-Executive Director</w:t>
                  </w:r>
                </w:p>
              </w:tc>
            </w:tr>
          </w:tbl>
          <w:p w14:paraId="4C8B91FD" w14:textId="77777777" w:rsidR="003F310D" w:rsidRPr="003F310D" w:rsidRDefault="003F310D">
            <w:pPr>
              <w:spacing w:before="300"/>
              <w:jc w:val="center"/>
              <w:rPr>
                <w:rFonts w:ascii="Arial" w:hAnsi="Arial" w:cs="Arial"/>
                <w:sz w:val="18"/>
                <w:szCs w:val="18"/>
              </w:rPr>
            </w:pPr>
          </w:p>
        </w:tc>
      </w:tr>
    </w:tbl>
    <w:p w14:paraId="14351C86" w14:textId="15EE254E" w:rsidR="002231CC" w:rsidRPr="002231CC" w:rsidRDefault="002231CC" w:rsidP="009D33BF">
      <w:pPr>
        <w:pStyle w:val="BodyText"/>
        <w:spacing w:line="480" w:lineRule="auto"/>
        <w:jc w:val="both"/>
        <w:rPr>
          <w:rFonts w:ascii="Times New Roman" w:hAnsi="Times New Roman" w:cs="Times New Roman"/>
        </w:rPr>
      </w:pPr>
    </w:p>
    <w:p w14:paraId="68073980" w14:textId="77777777" w:rsidR="00C814B9" w:rsidRDefault="00C814B9" w:rsidP="009D33BF">
      <w:pPr>
        <w:pStyle w:val="Heading1"/>
        <w:tabs>
          <w:tab w:val="left" w:pos="0"/>
        </w:tabs>
        <w:spacing w:line="480" w:lineRule="auto"/>
        <w:jc w:val="both"/>
      </w:pPr>
      <w:bookmarkStart w:id="2" w:name="__RefHeading___Toc58112521"/>
      <w:bookmarkEnd w:id="2"/>
      <w:r>
        <w:rPr>
          <w:rFonts w:ascii="Times New Roman" w:hAnsi="Times New Roman" w:cs="Times New Roman"/>
          <w:sz w:val="24"/>
          <w:szCs w:val="24"/>
        </w:rPr>
        <w:t>PESTEL analysis of Diageo company</w:t>
      </w:r>
    </w:p>
    <w:p w14:paraId="7835C85A" w14:textId="77777777" w:rsidR="00C814B9" w:rsidRPr="00C1169A" w:rsidRDefault="00C814B9" w:rsidP="009D33BF">
      <w:pPr>
        <w:pStyle w:val="BodyText"/>
        <w:spacing w:line="480" w:lineRule="auto"/>
        <w:ind w:firstLine="720"/>
        <w:jc w:val="both"/>
        <w:rPr>
          <w:b/>
          <w:bCs/>
        </w:rPr>
      </w:pPr>
      <w:r w:rsidRPr="00C1169A">
        <w:rPr>
          <w:rFonts w:ascii="Times New Roman" w:hAnsi="Times New Roman" w:cs="Times New Roman"/>
          <w:b/>
          <w:bCs/>
        </w:rPr>
        <w:t>Political factor</w:t>
      </w:r>
    </w:p>
    <w:p w14:paraId="42541144" w14:textId="77777777" w:rsidR="00C814B9" w:rsidRDefault="00C814B9" w:rsidP="009D33BF">
      <w:pPr>
        <w:pStyle w:val="BodyText"/>
        <w:spacing w:line="480" w:lineRule="auto"/>
        <w:ind w:firstLine="720"/>
        <w:jc w:val="both"/>
      </w:pPr>
      <w:r>
        <w:rPr>
          <w:rFonts w:ascii="Times New Roman" w:hAnsi="Times New Roman" w:cs="Times New Roman"/>
        </w:rPr>
        <w:t>Political factors have played one of the most important responsibilities in the market development of Diageo Plc, including personnel development, technology development and the establishment of technology transfer institutions.</w:t>
      </w:r>
    </w:p>
    <w:p w14:paraId="2E273F30" w14:textId="77777777" w:rsidR="00C814B9" w:rsidRPr="00C1169A" w:rsidRDefault="00C814B9" w:rsidP="009D33BF">
      <w:pPr>
        <w:pStyle w:val="BodyText"/>
        <w:spacing w:line="480" w:lineRule="auto"/>
        <w:ind w:firstLine="720"/>
        <w:jc w:val="both"/>
        <w:rPr>
          <w:b/>
          <w:bCs/>
        </w:rPr>
      </w:pPr>
      <w:r w:rsidRPr="00C1169A">
        <w:rPr>
          <w:rFonts w:ascii="Times New Roman" w:hAnsi="Times New Roman" w:cs="Times New Roman"/>
          <w:b/>
          <w:bCs/>
        </w:rPr>
        <w:t>Economic factor</w:t>
      </w:r>
    </w:p>
    <w:p w14:paraId="32AFD3FA" w14:textId="77777777" w:rsidR="00C814B9" w:rsidRDefault="00C814B9" w:rsidP="009D33BF">
      <w:pPr>
        <w:pStyle w:val="LO-Normal"/>
        <w:spacing w:line="480" w:lineRule="auto"/>
        <w:ind w:firstLine="720"/>
        <w:jc w:val="both"/>
      </w:pPr>
      <w:r>
        <w:rPr>
          <w:rFonts w:ascii="Times New Roman" w:hAnsi="Times New Roman" w:cs="Times New Roman"/>
        </w:rPr>
        <w:t>The Diageo Plc industry is experiencing a situation where supply exceeds supply, and this is not the only financial concern in the market. The oversupply in this sector resulted in prices being lower than Diageo Plc's prices, which created cash flow problems for manufacturers (Ernst, et al., 2010).</w:t>
      </w:r>
    </w:p>
    <w:p w14:paraId="7CEA9CA2" w14:textId="77777777" w:rsidR="00F00213" w:rsidRDefault="00C814B9" w:rsidP="00F00213">
      <w:pPr>
        <w:pStyle w:val="BodyText"/>
        <w:spacing w:line="360" w:lineRule="auto"/>
        <w:ind w:firstLine="720"/>
        <w:jc w:val="both"/>
        <w:rPr>
          <w:b/>
          <w:bCs/>
        </w:rPr>
      </w:pPr>
      <w:r w:rsidRPr="00C1169A">
        <w:rPr>
          <w:rFonts w:ascii="Times New Roman" w:hAnsi="Times New Roman" w:cs="Times New Roman"/>
          <w:b/>
          <w:bCs/>
        </w:rPr>
        <w:t>Social factor</w:t>
      </w:r>
    </w:p>
    <w:p w14:paraId="7C4EDDFE" w14:textId="26393D1F" w:rsidR="00C814B9" w:rsidRPr="00F00213" w:rsidRDefault="00C814B9" w:rsidP="00F00213">
      <w:pPr>
        <w:pStyle w:val="BodyText"/>
        <w:spacing w:line="360" w:lineRule="auto"/>
        <w:ind w:firstLine="720"/>
        <w:jc w:val="both"/>
        <w:rPr>
          <w:b/>
          <w:bCs/>
        </w:rPr>
      </w:pPr>
      <w:r>
        <w:rPr>
          <w:rFonts w:ascii="Times New Roman" w:hAnsi="Times New Roman" w:cs="Times New Roman"/>
        </w:rPr>
        <w:t xml:space="preserve">Social factors have also added impetus to the development of Diageo's Plc market. The government has </w:t>
      </w:r>
      <w:proofErr w:type="gramStart"/>
      <w:r>
        <w:rPr>
          <w:rFonts w:ascii="Times New Roman" w:hAnsi="Times New Roman" w:cs="Times New Roman"/>
        </w:rPr>
        <w:t>actually improved</w:t>
      </w:r>
      <w:proofErr w:type="gramEnd"/>
      <w:r>
        <w:rPr>
          <w:rFonts w:ascii="Times New Roman" w:hAnsi="Times New Roman" w:cs="Times New Roman"/>
        </w:rPr>
        <w:t xml:space="preserve"> the professionalism of market resources through training, thus focusing its energy on the development of human resources in the market.</w:t>
      </w:r>
    </w:p>
    <w:p w14:paraId="78A763D0" w14:textId="77777777" w:rsidR="00C814B9" w:rsidRPr="00C1169A" w:rsidRDefault="00C814B9" w:rsidP="009D33BF">
      <w:pPr>
        <w:pStyle w:val="BodyText"/>
        <w:spacing w:line="480" w:lineRule="auto"/>
        <w:ind w:firstLine="720"/>
        <w:jc w:val="both"/>
        <w:rPr>
          <w:b/>
          <w:bCs/>
        </w:rPr>
      </w:pPr>
      <w:r w:rsidRPr="00C1169A">
        <w:rPr>
          <w:rFonts w:ascii="Times New Roman" w:hAnsi="Times New Roman" w:cs="Times New Roman"/>
          <w:b/>
          <w:bCs/>
        </w:rPr>
        <w:t>Technological factor</w:t>
      </w:r>
    </w:p>
    <w:p w14:paraId="48AD1D38" w14:textId="77777777" w:rsidR="00C814B9" w:rsidRDefault="00C814B9" w:rsidP="009D33BF">
      <w:pPr>
        <w:pStyle w:val="LO-Normal"/>
        <w:spacing w:line="480" w:lineRule="auto"/>
        <w:ind w:firstLine="720"/>
        <w:jc w:val="both"/>
      </w:pPr>
      <w:r>
        <w:rPr>
          <w:rFonts w:ascii="Times New Roman" w:hAnsi="Times New Roman" w:cs="Times New Roman"/>
        </w:rPr>
        <w:t>Diageo company faces the various technical problems especially because Diageo Plc manufacturers does not include own technology and still rely on international technology partner. The involvement of federal government in the industry has been dedicated on modifying the Diageo Plc division to reduce this dependence (Grant, 2016).</w:t>
      </w:r>
    </w:p>
    <w:p w14:paraId="3446D485" w14:textId="782350AC" w:rsidR="00C814B9" w:rsidRPr="00C1169A" w:rsidRDefault="00C814B9" w:rsidP="009D33BF">
      <w:pPr>
        <w:pStyle w:val="BodyText"/>
        <w:spacing w:line="480" w:lineRule="auto"/>
        <w:ind w:left="720"/>
        <w:jc w:val="both"/>
        <w:rPr>
          <w:b/>
          <w:bCs/>
        </w:rPr>
      </w:pPr>
      <w:r w:rsidRPr="00C1169A">
        <w:rPr>
          <w:rFonts w:ascii="Times New Roman" w:hAnsi="Times New Roman" w:cs="Times New Roman"/>
          <w:b/>
          <w:bCs/>
        </w:rPr>
        <w:lastRenderedPageBreak/>
        <w:t>Environmental factor</w:t>
      </w:r>
    </w:p>
    <w:p w14:paraId="1C53D0BB" w14:textId="77777777" w:rsidR="00C814B9" w:rsidRDefault="00C814B9" w:rsidP="009D33BF">
      <w:pPr>
        <w:pStyle w:val="BodyText"/>
        <w:spacing w:line="480" w:lineRule="auto"/>
        <w:ind w:firstLine="720"/>
        <w:jc w:val="both"/>
      </w:pPr>
      <w:r>
        <w:rPr>
          <w:rFonts w:ascii="Times New Roman" w:hAnsi="Times New Roman" w:cs="Times New Roman"/>
        </w:rPr>
        <w:t>The basic evaluation suggestion for the setting is that different markets are a supplementary area manufactured by Diageo Plc, which can easily be seen from the capacity development of Diageo Plc market. The fact that the region provides production capacity further strengthens this monitoring.</w:t>
      </w:r>
    </w:p>
    <w:p w14:paraId="567B4450" w14:textId="0E722126" w:rsidR="00C814B9" w:rsidRPr="00C1169A" w:rsidRDefault="00C814B9" w:rsidP="009D33BF">
      <w:pPr>
        <w:pStyle w:val="BodyText"/>
        <w:spacing w:line="480" w:lineRule="auto"/>
        <w:ind w:firstLine="720"/>
        <w:jc w:val="both"/>
        <w:rPr>
          <w:b/>
          <w:bCs/>
        </w:rPr>
      </w:pPr>
      <w:r w:rsidRPr="00C1169A">
        <w:rPr>
          <w:rFonts w:ascii="Times New Roman" w:hAnsi="Times New Roman" w:cs="Times New Roman"/>
          <w:b/>
          <w:bCs/>
        </w:rPr>
        <w:t>Legal factor</w:t>
      </w:r>
    </w:p>
    <w:p w14:paraId="51F89B9C" w14:textId="77777777" w:rsidR="00C814B9" w:rsidRDefault="00C814B9" w:rsidP="009D33BF">
      <w:pPr>
        <w:pStyle w:val="LO-Normal"/>
        <w:spacing w:line="480" w:lineRule="auto"/>
        <w:ind w:firstLine="720"/>
        <w:jc w:val="both"/>
      </w:pPr>
      <w:r>
        <w:rPr>
          <w:rFonts w:ascii="Times New Roman" w:hAnsi="Times New Roman" w:cs="Times New Roman"/>
        </w:rPr>
        <w:t xml:space="preserve">Diageo Plc's legal atmosphere has problems and opportunities in the form of intellectual property civil liberties and legal contracts. The company has a legal </w:t>
      </w:r>
      <w:proofErr w:type="spellStart"/>
      <w:r>
        <w:rPr>
          <w:rFonts w:ascii="Times New Roman" w:hAnsi="Times New Roman" w:cs="Times New Roman"/>
        </w:rPr>
        <w:t>defense</w:t>
      </w:r>
      <w:proofErr w:type="spellEnd"/>
      <w:r>
        <w:rPr>
          <w:rFonts w:ascii="Times New Roman" w:hAnsi="Times New Roman" w:cs="Times New Roman"/>
        </w:rPr>
        <w:t xml:space="preserve"> to ensure the security of its intellectual property (IP), processing and modern technology, which increases the dependence of others on it. The Diageo Plc market is also very important for legal agreements (Grant, 2016).</w:t>
      </w:r>
    </w:p>
    <w:p w14:paraId="497694C0" w14:textId="77777777" w:rsidR="00C814B9" w:rsidRDefault="00C814B9" w:rsidP="009D33BF">
      <w:pPr>
        <w:pStyle w:val="Heading1"/>
        <w:numPr>
          <w:ilvl w:val="3"/>
          <w:numId w:val="1"/>
        </w:numPr>
        <w:tabs>
          <w:tab w:val="left" w:pos="0"/>
        </w:tabs>
        <w:spacing w:line="480" w:lineRule="auto"/>
        <w:jc w:val="both"/>
      </w:pPr>
      <w:bookmarkStart w:id="3" w:name="__RefHeading___Toc58112522"/>
      <w:bookmarkEnd w:id="3"/>
      <w:r>
        <w:rPr>
          <w:rFonts w:ascii="Times New Roman" w:hAnsi="Times New Roman" w:cs="Times New Roman"/>
          <w:sz w:val="24"/>
          <w:szCs w:val="24"/>
        </w:rPr>
        <w:t>Porter 5 forces model</w:t>
      </w:r>
    </w:p>
    <w:p w14:paraId="653564DC" w14:textId="676F16CA" w:rsidR="00C814B9" w:rsidRDefault="00C814B9" w:rsidP="009D33BF">
      <w:pPr>
        <w:pStyle w:val="BodyText"/>
        <w:spacing w:line="480" w:lineRule="auto"/>
        <w:jc w:val="both"/>
      </w:pPr>
      <w:r>
        <w:rPr>
          <w:rFonts w:ascii="Times New Roman" w:hAnsi="Times New Roman" w:cs="Times New Roman"/>
          <w:color w:val="000000"/>
        </w:rPr>
        <w:t>The model includes the five forces which are</w:t>
      </w:r>
      <w:r w:rsidR="00BE4C06">
        <w:rPr>
          <w:rFonts w:ascii="Times New Roman" w:hAnsi="Times New Roman" w:cs="Times New Roman"/>
          <w:color w:val="000000"/>
        </w:rPr>
        <w:t>:</w:t>
      </w:r>
    </w:p>
    <w:p w14:paraId="4C6B4754" w14:textId="77777777" w:rsidR="00C814B9" w:rsidRDefault="00C814B9" w:rsidP="009D33BF">
      <w:pPr>
        <w:pStyle w:val="LO-Normal"/>
        <w:spacing w:line="480" w:lineRule="auto"/>
        <w:ind w:firstLine="720"/>
        <w:jc w:val="both"/>
      </w:pPr>
      <w:r>
        <w:rPr>
          <w:rFonts w:ascii="Times New Roman" w:hAnsi="Times New Roman" w:cs="Times New Roman"/>
          <w:color w:val="000000"/>
        </w:rPr>
        <w:t xml:space="preserve">Threat of New Entrants- In the alcoholic beverage industry the products vary widely. Diageo products have </w:t>
      </w:r>
      <w:proofErr w:type="spellStart"/>
      <w:proofErr w:type="gramStart"/>
      <w:r>
        <w:rPr>
          <w:rFonts w:ascii="Times New Roman" w:hAnsi="Times New Roman" w:cs="Times New Roman"/>
          <w:color w:val="000000"/>
        </w:rPr>
        <w:t>a</w:t>
      </w:r>
      <w:proofErr w:type="spellEnd"/>
      <w:proofErr w:type="gramEnd"/>
      <w:r>
        <w:rPr>
          <w:rFonts w:ascii="Times New Roman" w:hAnsi="Times New Roman" w:cs="Times New Roman"/>
          <w:color w:val="000000"/>
        </w:rPr>
        <w:t xml:space="preserve"> effective brand as well as quality. For example, according to the Impact Databank, Diageo's Smirnoff vodka ranked first in sales, and Johnnie Walker whisky ranked first in value. Moreover, capital requirements are high. Diageo invest lot of money on warehouses, company marketing, global brand distribution and technology </w:t>
      </w:r>
      <w:r>
        <w:rPr>
          <w:rFonts w:ascii="Times New Roman" w:hAnsi="Times New Roman" w:cs="Times New Roman"/>
        </w:rPr>
        <w:t xml:space="preserve">(Hastings and </w:t>
      </w:r>
      <w:proofErr w:type="spellStart"/>
      <w:r>
        <w:rPr>
          <w:rFonts w:ascii="Times New Roman" w:hAnsi="Times New Roman" w:cs="Times New Roman"/>
        </w:rPr>
        <w:t>Domegan</w:t>
      </w:r>
      <w:proofErr w:type="spellEnd"/>
      <w:r>
        <w:rPr>
          <w:rFonts w:ascii="Times New Roman" w:hAnsi="Times New Roman" w:cs="Times New Roman"/>
        </w:rPr>
        <w:t>, 2017)</w:t>
      </w:r>
      <w:r>
        <w:rPr>
          <w:rFonts w:ascii="Times New Roman" w:hAnsi="Times New Roman" w:cs="Times New Roman"/>
          <w:color w:val="000000"/>
        </w:rPr>
        <w:t>.</w:t>
      </w:r>
    </w:p>
    <w:p w14:paraId="4A9C4193" w14:textId="77777777" w:rsidR="00C814B9" w:rsidRDefault="00C814B9" w:rsidP="009D33BF">
      <w:pPr>
        <w:pStyle w:val="BodyText"/>
        <w:numPr>
          <w:ilvl w:val="0"/>
          <w:numId w:val="2"/>
        </w:numPr>
        <w:spacing w:after="0" w:line="480" w:lineRule="auto"/>
        <w:jc w:val="both"/>
      </w:pPr>
      <w:r>
        <w:rPr>
          <w:rFonts w:ascii="Times New Roman" w:hAnsi="Times New Roman" w:cs="Times New Roman"/>
          <w:color w:val="000000"/>
        </w:rPr>
        <w:t xml:space="preserve">Bargaining Power of Suppliers- It is analysed as low bargaining power of suppliers which is because of various reasons. First, the company is one of the largest alcoholic beverage producers across the world and purchase the raw materials in large quantities. Therefore, suppliers do not want for losing major customers like Diageo. Also, Diageo company includes the contracts for long term which helps in limiting the ability of suppliers on prices. </w:t>
      </w:r>
    </w:p>
    <w:p w14:paraId="678C78FF" w14:textId="1696CD01" w:rsidR="00C814B9" w:rsidRDefault="00C814B9" w:rsidP="009D33BF">
      <w:pPr>
        <w:pStyle w:val="BodyText"/>
        <w:numPr>
          <w:ilvl w:val="0"/>
          <w:numId w:val="2"/>
        </w:numPr>
        <w:spacing w:after="0" w:line="480" w:lineRule="auto"/>
        <w:jc w:val="both"/>
      </w:pPr>
      <w:r>
        <w:rPr>
          <w:rFonts w:ascii="Times New Roman" w:hAnsi="Times New Roman" w:cs="Times New Roman"/>
          <w:color w:val="000000"/>
        </w:rPr>
        <w:t xml:space="preserve">Bargaining Power of Buyers- The beverages buyers </w:t>
      </w:r>
      <w:r w:rsidR="00D05DA8">
        <w:rPr>
          <w:rFonts w:ascii="Times New Roman" w:hAnsi="Times New Roman" w:cs="Times New Roman"/>
          <w:color w:val="000000"/>
        </w:rPr>
        <w:t>include</w:t>
      </w:r>
      <w:r>
        <w:rPr>
          <w:rFonts w:ascii="Times New Roman" w:hAnsi="Times New Roman" w:cs="Times New Roman"/>
          <w:color w:val="000000"/>
        </w:rPr>
        <w:t xml:space="preserve"> the wholesales, clubs, </w:t>
      </w:r>
      <w:proofErr w:type="gramStart"/>
      <w:r>
        <w:rPr>
          <w:rFonts w:ascii="Times New Roman" w:hAnsi="Times New Roman" w:cs="Times New Roman"/>
          <w:color w:val="000000"/>
        </w:rPr>
        <w:t>restaurants</w:t>
      </w:r>
      <w:proofErr w:type="gramEnd"/>
      <w:r>
        <w:rPr>
          <w:rFonts w:ascii="Times New Roman" w:hAnsi="Times New Roman" w:cs="Times New Roman"/>
          <w:color w:val="000000"/>
        </w:rPr>
        <w:t xml:space="preserve"> and supermarkets to which the switching costs are </w:t>
      </w:r>
      <w:r w:rsidR="00D05DA8">
        <w:rPr>
          <w:rFonts w:ascii="Times New Roman" w:hAnsi="Times New Roman" w:cs="Times New Roman"/>
          <w:color w:val="000000"/>
        </w:rPr>
        <w:t>analysed</w:t>
      </w:r>
      <w:r>
        <w:rPr>
          <w:rFonts w:ascii="Times New Roman" w:hAnsi="Times New Roman" w:cs="Times New Roman"/>
          <w:color w:val="000000"/>
        </w:rPr>
        <w:t xml:space="preserve"> as high for the buyers. It is </w:t>
      </w:r>
      <w:r w:rsidR="00D05DA8">
        <w:rPr>
          <w:rFonts w:ascii="Times New Roman" w:hAnsi="Times New Roman" w:cs="Times New Roman"/>
          <w:color w:val="000000"/>
        </w:rPr>
        <w:t>analysed</w:t>
      </w:r>
      <w:r>
        <w:rPr>
          <w:rFonts w:ascii="Times New Roman" w:hAnsi="Times New Roman" w:cs="Times New Roman"/>
          <w:color w:val="000000"/>
        </w:rPr>
        <w:t xml:space="preserve"> that the industry includes the oligopolistic nature. It is </w:t>
      </w:r>
      <w:r w:rsidR="00D05DA8">
        <w:rPr>
          <w:rFonts w:ascii="Times New Roman" w:hAnsi="Times New Roman" w:cs="Times New Roman"/>
          <w:color w:val="000000"/>
        </w:rPr>
        <w:t>analysed</w:t>
      </w:r>
      <w:r>
        <w:rPr>
          <w:rFonts w:ascii="Times New Roman" w:hAnsi="Times New Roman" w:cs="Times New Roman"/>
          <w:color w:val="000000"/>
        </w:rPr>
        <w:t xml:space="preserve"> that the company does not include the substitutes of the products </w:t>
      </w:r>
      <w:r>
        <w:rPr>
          <w:rFonts w:ascii="Times New Roman" w:hAnsi="Times New Roman" w:cs="Times New Roman"/>
        </w:rPr>
        <w:t>(</w:t>
      </w:r>
      <w:proofErr w:type="spellStart"/>
      <w:r>
        <w:rPr>
          <w:rFonts w:ascii="Times New Roman" w:hAnsi="Times New Roman" w:cs="Times New Roman"/>
        </w:rPr>
        <w:t>Foxall</w:t>
      </w:r>
      <w:proofErr w:type="spellEnd"/>
      <w:r>
        <w:rPr>
          <w:rFonts w:ascii="Times New Roman" w:hAnsi="Times New Roman" w:cs="Times New Roman"/>
        </w:rPr>
        <w:t>, 2014)</w:t>
      </w:r>
      <w:r>
        <w:rPr>
          <w:rFonts w:ascii="Times New Roman" w:hAnsi="Times New Roman" w:cs="Times New Roman"/>
          <w:color w:val="000000"/>
        </w:rPr>
        <w:t xml:space="preserve">. </w:t>
      </w:r>
    </w:p>
    <w:p w14:paraId="130AAB40" w14:textId="77777777" w:rsidR="00C814B9" w:rsidRDefault="00C814B9" w:rsidP="009D33BF">
      <w:pPr>
        <w:pStyle w:val="BodyText"/>
        <w:numPr>
          <w:ilvl w:val="0"/>
          <w:numId w:val="2"/>
        </w:numPr>
        <w:spacing w:after="0" w:line="480" w:lineRule="auto"/>
        <w:jc w:val="both"/>
      </w:pPr>
      <w:r>
        <w:rPr>
          <w:rFonts w:ascii="Times New Roman" w:hAnsi="Times New Roman" w:cs="Times New Roman"/>
          <w:color w:val="000000"/>
        </w:rPr>
        <w:lastRenderedPageBreak/>
        <w:t xml:space="preserve">Threat from Substitute Products- The threat of substitutes is very high because there are </w:t>
      </w:r>
      <w:proofErr w:type="gramStart"/>
      <w:r>
        <w:rPr>
          <w:rFonts w:ascii="Times New Roman" w:hAnsi="Times New Roman" w:cs="Times New Roman"/>
          <w:color w:val="000000"/>
        </w:rPr>
        <w:t>a large number of</w:t>
      </w:r>
      <w:proofErr w:type="gramEnd"/>
      <w:r>
        <w:rPr>
          <w:rFonts w:ascii="Times New Roman" w:hAnsi="Times New Roman" w:cs="Times New Roman"/>
          <w:color w:val="000000"/>
        </w:rPr>
        <w:t xml:space="preserve"> substitutes available like soft drinks.</w:t>
      </w:r>
    </w:p>
    <w:p w14:paraId="1B587D36" w14:textId="77777777" w:rsidR="00C814B9" w:rsidRDefault="00C814B9" w:rsidP="009D33BF">
      <w:pPr>
        <w:pStyle w:val="LO-Normal"/>
        <w:spacing w:line="480" w:lineRule="auto"/>
        <w:jc w:val="both"/>
      </w:pPr>
      <w:r>
        <w:rPr>
          <w:rFonts w:ascii="Times New Roman" w:hAnsi="Times New Roman" w:cs="Times New Roman"/>
          <w:color w:val="000000"/>
        </w:rPr>
        <w:t xml:space="preserve">Rivalry among the existing players- </w:t>
      </w:r>
      <w:proofErr w:type="gramStart"/>
      <w:r>
        <w:rPr>
          <w:rFonts w:ascii="Times New Roman" w:hAnsi="Times New Roman" w:cs="Times New Roman"/>
          <w:color w:val="000000"/>
        </w:rPr>
        <w:t>First of all</w:t>
      </w:r>
      <w:proofErr w:type="gramEnd"/>
      <w:r>
        <w:rPr>
          <w:rFonts w:ascii="Times New Roman" w:hAnsi="Times New Roman" w:cs="Times New Roman"/>
          <w:color w:val="000000"/>
        </w:rPr>
        <w:t xml:space="preserve">, the operations of Diageo includes the oligopoly. The large companies are included which provides the alcoholic beverages like Pernod Ricard and Bacardi. The buyers of the competitors are same which includes the high force </w:t>
      </w:r>
      <w:r>
        <w:rPr>
          <w:rFonts w:ascii="Times New Roman" w:hAnsi="Times New Roman" w:cs="Times New Roman"/>
        </w:rPr>
        <w:t>(</w:t>
      </w:r>
      <w:proofErr w:type="spellStart"/>
      <w:r>
        <w:rPr>
          <w:rFonts w:ascii="Times New Roman" w:hAnsi="Times New Roman" w:cs="Times New Roman"/>
        </w:rPr>
        <w:t>Foxall</w:t>
      </w:r>
      <w:proofErr w:type="spellEnd"/>
      <w:r>
        <w:rPr>
          <w:rFonts w:ascii="Times New Roman" w:hAnsi="Times New Roman" w:cs="Times New Roman"/>
        </w:rPr>
        <w:t>, 2014)</w:t>
      </w:r>
      <w:r>
        <w:rPr>
          <w:rFonts w:ascii="Times New Roman" w:hAnsi="Times New Roman" w:cs="Times New Roman"/>
          <w:color w:val="000000"/>
        </w:rPr>
        <w:t xml:space="preserve">. </w:t>
      </w:r>
    </w:p>
    <w:p w14:paraId="2CC8349E" w14:textId="77777777" w:rsidR="00C814B9" w:rsidRDefault="00C814B9" w:rsidP="009D33BF">
      <w:pPr>
        <w:pStyle w:val="Heading1"/>
        <w:tabs>
          <w:tab w:val="left" w:pos="0"/>
        </w:tabs>
        <w:spacing w:line="480" w:lineRule="auto"/>
        <w:jc w:val="both"/>
      </w:pPr>
      <w:bookmarkStart w:id="4" w:name="__RefHeading___Toc58112523"/>
      <w:bookmarkEnd w:id="4"/>
      <w:r>
        <w:rPr>
          <w:rFonts w:ascii="Times New Roman" w:hAnsi="Times New Roman" w:cs="Times New Roman"/>
          <w:sz w:val="24"/>
          <w:szCs w:val="24"/>
        </w:rPr>
        <w:t>SWOT analysis</w:t>
      </w:r>
    </w:p>
    <w:p w14:paraId="17976D7D" w14:textId="77777777" w:rsidR="00C814B9" w:rsidRDefault="00C814B9" w:rsidP="009D33BF">
      <w:pPr>
        <w:pStyle w:val="BodyText"/>
        <w:spacing w:line="480" w:lineRule="auto"/>
        <w:jc w:val="both"/>
      </w:pPr>
      <w:r>
        <w:rPr>
          <w:rFonts w:ascii="Times New Roman" w:hAnsi="Times New Roman" w:cs="Times New Roman"/>
        </w:rPr>
        <w:t xml:space="preserve">The SWOT analysis of Diageo company includes the strengths, weaknesses, </w:t>
      </w:r>
      <w:proofErr w:type="gramStart"/>
      <w:r>
        <w:rPr>
          <w:rFonts w:ascii="Times New Roman" w:hAnsi="Times New Roman" w:cs="Times New Roman"/>
        </w:rPr>
        <w:t>opportunities</w:t>
      </w:r>
      <w:proofErr w:type="gramEnd"/>
      <w:r>
        <w:rPr>
          <w:rFonts w:ascii="Times New Roman" w:hAnsi="Times New Roman" w:cs="Times New Roman"/>
        </w:rPr>
        <w:t xml:space="preserve"> and threats.</w:t>
      </w:r>
    </w:p>
    <w:p w14:paraId="275010F4" w14:textId="77777777" w:rsidR="00C814B9" w:rsidRDefault="00C814B9" w:rsidP="009D33BF">
      <w:pPr>
        <w:pStyle w:val="BodyText"/>
        <w:spacing w:line="480" w:lineRule="auto"/>
        <w:ind w:firstLine="720"/>
        <w:jc w:val="both"/>
      </w:pPr>
      <w:r>
        <w:rPr>
          <w:rFonts w:ascii="Times New Roman" w:hAnsi="Times New Roman" w:cs="Times New Roman"/>
          <w:b/>
          <w:bCs/>
        </w:rPr>
        <w:t>Strengths</w:t>
      </w:r>
    </w:p>
    <w:p w14:paraId="45A7317D" w14:textId="77777777" w:rsidR="00C814B9" w:rsidRDefault="00C814B9" w:rsidP="009D33BF">
      <w:pPr>
        <w:pStyle w:val="LO-Normal"/>
        <w:spacing w:line="480" w:lineRule="auto"/>
        <w:ind w:firstLine="720"/>
        <w:jc w:val="both"/>
      </w:pPr>
      <w:r>
        <w:rPr>
          <w:rFonts w:ascii="Times New Roman" w:hAnsi="Times New Roman" w:cs="Times New Roman"/>
        </w:rPr>
        <w:t>The strengths of the company are market leadership. Diageo owns an old brand through a relatively new company, some of which have existed for more than 350 years. The various strategic decisions of the company are made for a long-term perspective, and its strategy is to create shared value (Haider, et al., 2017).</w:t>
      </w:r>
    </w:p>
    <w:p w14:paraId="3A2261E0" w14:textId="77777777" w:rsidR="00C814B9" w:rsidRDefault="00C814B9" w:rsidP="009D33BF">
      <w:pPr>
        <w:pStyle w:val="LO-Normal"/>
        <w:spacing w:line="480" w:lineRule="auto"/>
        <w:jc w:val="both"/>
      </w:pPr>
      <w:r>
        <w:rPr>
          <w:rFonts w:ascii="Times New Roman" w:hAnsi="Times New Roman" w:cs="Times New Roman"/>
        </w:rPr>
        <w:t xml:space="preserve">Geographical coverage: One of Diageo's core strengths is its extensive geographic coverage. The company is operated in more than 180 countries/regions, which are divided into 21 geographic regions. In emerging economies, the company includes more than 43% of business and these emerging economies are emerging (Morgan, et al., 2012). Brewers have operations at multiple price points and operate various kinds of alcohol, such as vodka, rum, </w:t>
      </w:r>
      <w:proofErr w:type="gramStart"/>
      <w:r>
        <w:rPr>
          <w:rFonts w:ascii="Times New Roman" w:hAnsi="Times New Roman" w:cs="Times New Roman"/>
        </w:rPr>
        <w:t>whiskey</w:t>
      </w:r>
      <w:proofErr w:type="gramEnd"/>
      <w:r>
        <w:rPr>
          <w:rFonts w:ascii="Times New Roman" w:hAnsi="Times New Roman" w:cs="Times New Roman"/>
        </w:rPr>
        <w:t xml:space="preserve"> and beer, to ensure that they provide suitable products for all types of consumers.</w:t>
      </w:r>
    </w:p>
    <w:p w14:paraId="5411A391" w14:textId="77777777" w:rsidR="00C814B9" w:rsidRDefault="00C814B9" w:rsidP="009D33BF">
      <w:pPr>
        <w:pStyle w:val="BodyText"/>
        <w:spacing w:line="480" w:lineRule="auto"/>
        <w:ind w:firstLine="720"/>
        <w:jc w:val="both"/>
      </w:pPr>
      <w:r>
        <w:rPr>
          <w:rFonts w:ascii="Times New Roman" w:hAnsi="Times New Roman" w:cs="Times New Roman"/>
          <w:b/>
          <w:bCs/>
        </w:rPr>
        <w:t>Weakness</w:t>
      </w:r>
    </w:p>
    <w:p w14:paraId="43BCDFAC" w14:textId="474B52A3" w:rsidR="00C814B9" w:rsidRDefault="00C814B9" w:rsidP="009D33BF">
      <w:pPr>
        <w:pStyle w:val="BodyText"/>
        <w:spacing w:line="480" w:lineRule="auto"/>
        <w:ind w:firstLine="720"/>
        <w:jc w:val="both"/>
      </w:pPr>
      <w:r>
        <w:rPr>
          <w:rFonts w:ascii="Times New Roman" w:hAnsi="Times New Roman" w:cs="Times New Roman"/>
        </w:rPr>
        <w:t xml:space="preserve">Wine presence: In various regions, the demand for wine is higher than other types of alcohol. Diageo does not include the wine which impacts on the business of the company in various market. </w:t>
      </w:r>
    </w:p>
    <w:p w14:paraId="3FDD95D6" w14:textId="77777777" w:rsidR="00C814B9" w:rsidRDefault="00C814B9" w:rsidP="009D33BF">
      <w:pPr>
        <w:pStyle w:val="LO-Normal"/>
        <w:spacing w:line="480" w:lineRule="auto"/>
        <w:jc w:val="both"/>
      </w:pPr>
      <w:r>
        <w:rPr>
          <w:rFonts w:ascii="Times New Roman" w:hAnsi="Times New Roman" w:cs="Times New Roman"/>
        </w:rPr>
        <w:t>Low penetration rate: Although Diageo focuses on emerging economies, it is declining compared to local companies. Developed economies like Europe and the United States are trapped in alcohol, and the only hope lies in emerging economies (Wilson and Gilligan, 2012).</w:t>
      </w:r>
    </w:p>
    <w:p w14:paraId="32CA101B" w14:textId="77777777" w:rsidR="00C814B9" w:rsidRDefault="00C814B9" w:rsidP="009D33BF">
      <w:pPr>
        <w:pStyle w:val="BodyText"/>
        <w:spacing w:line="480" w:lineRule="auto"/>
        <w:jc w:val="both"/>
      </w:pPr>
      <w:r>
        <w:rPr>
          <w:rFonts w:ascii="Times New Roman" w:hAnsi="Times New Roman" w:cs="Times New Roman"/>
        </w:rPr>
        <w:lastRenderedPageBreak/>
        <w:t>Diageo is in a lot of financial troubles due to Brexit and related trade restrictions because highly of the Scotch whisky that makes up more than 25% of its business is made in the UK.</w:t>
      </w:r>
    </w:p>
    <w:p w14:paraId="0CD89BBA" w14:textId="77777777" w:rsidR="00C814B9" w:rsidRDefault="00C814B9" w:rsidP="009D33BF">
      <w:pPr>
        <w:pStyle w:val="BodyText"/>
        <w:spacing w:line="480" w:lineRule="auto"/>
        <w:ind w:firstLine="720"/>
        <w:jc w:val="both"/>
      </w:pPr>
      <w:r>
        <w:rPr>
          <w:rFonts w:ascii="Times New Roman" w:hAnsi="Times New Roman" w:cs="Times New Roman"/>
          <w:b/>
          <w:bCs/>
        </w:rPr>
        <w:t>Opportunities</w:t>
      </w:r>
    </w:p>
    <w:p w14:paraId="6CDADFB9" w14:textId="77777777" w:rsidR="00C814B9" w:rsidRDefault="00C814B9" w:rsidP="009D33BF">
      <w:pPr>
        <w:pStyle w:val="BodyText"/>
        <w:spacing w:line="480" w:lineRule="auto"/>
        <w:ind w:firstLine="720"/>
        <w:jc w:val="both"/>
      </w:pPr>
      <w:r>
        <w:rPr>
          <w:rFonts w:ascii="Times New Roman" w:hAnsi="Times New Roman" w:cs="Times New Roman"/>
        </w:rPr>
        <w:t xml:space="preserve">Retail consumption: Compared with the earlier period when customers prefers drinking in bars or pubs, the trend has changed. The custom of drinking at home is increasing majorly in emerging economies in which the retailing of liquor is increasing. </w:t>
      </w:r>
    </w:p>
    <w:p w14:paraId="23C59C0B" w14:textId="2F162BD8" w:rsidR="00C814B9" w:rsidRDefault="00C814B9" w:rsidP="009D33BF">
      <w:pPr>
        <w:pStyle w:val="LO-Normal"/>
        <w:spacing w:line="480" w:lineRule="auto"/>
        <w:ind w:firstLine="720"/>
        <w:jc w:val="both"/>
      </w:pPr>
      <w:r>
        <w:rPr>
          <w:rFonts w:ascii="Times New Roman" w:hAnsi="Times New Roman" w:cs="Times New Roman"/>
        </w:rPr>
        <w:t xml:space="preserve">The popularity continues to increase: People are becoming more aware of various kinds of alcohol around the world, and individuals' awareness of global brands is also increasing. They prefer to </w:t>
      </w:r>
      <w:r w:rsidR="00BE4C06">
        <w:rPr>
          <w:rFonts w:ascii="Times New Roman" w:hAnsi="Times New Roman" w:cs="Times New Roman"/>
        </w:rPr>
        <w:t>include</w:t>
      </w:r>
      <w:r>
        <w:rPr>
          <w:rFonts w:ascii="Times New Roman" w:hAnsi="Times New Roman" w:cs="Times New Roman"/>
        </w:rPr>
        <w:t xml:space="preserve"> the well-known brands of alcoholic beverages at </w:t>
      </w:r>
      <w:proofErr w:type="gramStart"/>
      <w:r>
        <w:rPr>
          <w:rFonts w:ascii="Times New Roman" w:hAnsi="Times New Roman" w:cs="Times New Roman"/>
        </w:rPr>
        <w:t>home, or</w:t>
      </w:r>
      <w:proofErr w:type="gramEnd"/>
      <w:r>
        <w:rPr>
          <w:rFonts w:ascii="Times New Roman" w:hAnsi="Times New Roman" w:cs="Times New Roman"/>
        </w:rPr>
        <w:t xml:space="preserve"> ask for particular alcoholic beverages when they go to bars or pubs. Brand of alcoholic beverages. Multinational companies like Diageo can promote from this growing awareness (Slater, et al., 2010).</w:t>
      </w:r>
    </w:p>
    <w:p w14:paraId="6F0011C2" w14:textId="77777777" w:rsidR="00C814B9" w:rsidRDefault="00C814B9" w:rsidP="009D33BF">
      <w:pPr>
        <w:pStyle w:val="BodyText"/>
        <w:spacing w:line="480" w:lineRule="auto"/>
        <w:ind w:firstLine="720"/>
        <w:jc w:val="both"/>
      </w:pPr>
      <w:r>
        <w:rPr>
          <w:rFonts w:ascii="Times New Roman" w:hAnsi="Times New Roman" w:cs="Times New Roman"/>
          <w:b/>
          <w:bCs/>
        </w:rPr>
        <w:t>Threats</w:t>
      </w:r>
    </w:p>
    <w:p w14:paraId="70B62F6B" w14:textId="58ED7BCE" w:rsidR="00C814B9" w:rsidRDefault="00C814B9" w:rsidP="009D33BF">
      <w:pPr>
        <w:pStyle w:val="LO-Normal"/>
        <w:spacing w:line="480" w:lineRule="auto"/>
        <w:ind w:firstLine="720"/>
        <w:jc w:val="both"/>
      </w:pPr>
      <w:r>
        <w:rPr>
          <w:rFonts w:ascii="Times New Roman" w:hAnsi="Times New Roman" w:cs="Times New Roman"/>
        </w:rPr>
        <w:t xml:space="preserve">The competition in market is </w:t>
      </w:r>
      <w:r w:rsidR="003F310D">
        <w:rPr>
          <w:rFonts w:ascii="Times New Roman" w:hAnsi="Times New Roman" w:cs="Times New Roman"/>
        </w:rPr>
        <w:t>analysed</w:t>
      </w:r>
      <w:r>
        <w:rPr>
          <w:rFonts w:ascii="Times New Roman" w:hAnsi="Times New Roman" w:cs="Times New Roman"/>
        </w:rPr>
        <w:t xml:space="preserve"> as the threat to the company. Regulatory framework in most countries/regions have a strict regulatory framework for the sale of alcoholic beverages. Most liquor companies have found that breaking these legislative obstacles faces a huge challenge, and this is even a challenge facing Diageo (Wibowo and </w:t>
      </w:r>
      <w:proofErr w:type="spellStart"/>
      <w:r>
        <w:rPr>
          <w:rFonts w:ascii="Times New Roman" w:hAnsi="Times New Roman" w:cs="Times New Roman"/>
        </w:rPr>
        <w:t>Alfen</w:t>
      </w:r>
      <w:proofErr w:type="spellEnd"/>
      <w:r>
        <w:rPr>
          <w:rFonts w:ascii="Times New Roman" w:hAnsi="Times New Roman" w:cs="Times New Roman"/>
        </w:rPr>
        <w:t>, 2014).</w:t>
      </w:r>
    </w:p>
    <w:p w14:paraId="18460419" w14:textId="77777777" w:rsidR="00C814B9" w:rsidRDefault="00C814B9" w:rsidP="009D33BF">
      <w:pPr>
        <w:pStyle w:val="Heading1"/>
        <w:numPr>
          <w:ilvl w:val="2"/>
          <w:numId w:val="1"/>
        </w:numPr>
        <w:tabs>
          <w:tab w:val="left" w:pos="0"/>
        </w:tabs>
        <w:spacing w:line="480" w:lineRule="auto"/>
        <w:jc w:val="both"/>
      </w:pPr>
      <w:bookmarkStart w:id="5" w:name="__RefHeading___Toc58112524"/>
      <w:bookmarkEnd w:id="5"/>
      <w:r>
        <w:rPr>
          <w:rFonts w:ascii="Times New Roman" w:hAnsi="Times New Roman" w:cs="Times New Roman"/>
          <w:sz w:val="24"/>
          <w:szCs w:val="24"/>
        </w:rPr>
        <w:t>Advantages and disadvantages of SWOT analysis</w:t>
      </w:r>
    </w:p>
    <w:p w14:paraId="51180008" w14:textId="681A5033" w:rsidR="00C814B9" w:rsidRDefault="00C814B9" w:rsidP="009D33BF">
      <w:pPr>
        <w:pStyle w:val="BodyText"/>
        <w:spacing w:line="480" w:lineRule="auto"/>
        <w:ind w:firstLine="720"/>
        <w:jc w:val="both"/>
      </w:pPr>
      <w:r>
        <w:rPr>
          <w:rFonts w:ascii="Times New Roman" w:hAnsi="Times New Roman" w:cs="Times New Roman"/>
        </w:rPr>
        <w:t xml:space="preserve">SWOT analysis is </w:t>
      </w:r>
      <w:r w:rsidR="003F310D">
        <w:rPr>
          <w:rFonts w:ascii="Times New Roman" w:hAnsi="Times New Roman" w:cs="Times New Roman"/>
        </w:rPr>
        <w:t>analysed</w:t>
      </w:r>
      <w:r>
        <w:rPr>
          <w:rFonts w:ascii="Times New Roman" w:hAnsi="Times New Roman" w:cs="Times New Roman"/>
        </w:rPr>
        <w:t xml:space="preserve"> as the most effective tool for reviewing as well as </w:t>
      </w:r>
      <w:proofErr w:type="spellStart"/>
      <w:r>
        <w:rPr>
          <w:rFonts w:ascii="Times New Roman" w:hAnsi="Times New Roman" w:cs="Times New Roman"/>
        </w:rPr>
        <w:t>analyzing</w:t>
      </w:r>
      <w:proofErr w:type="spellEnd"/>
      <w:r>
        <w:rPr>
          <w:rFonts w:ascii="Times New Roman" w:hAnsi="Times New Roman" w:cs="Times New Roman"/>
        </w:rPr>
        <w:t xml:space="preserve"> the strategic position of the organization as well as environment. The main purpose includes to determine the strategy for creating the model of the business by aligning with the resources as well as capabilities with the requirement in the environment. </w:t>
      </w:r>
    </w:p>
    <w:p w14:paraId="20C621A7" w14:textId="77777777" w:rsidR="00C814B9" w:rsidRPr="00BE4C06" w:rsidRDefault="00C814B9" w:rsidP="009D33BF">
      <w:pPr>
        <w:pStyle w:val="BodyText"/>
        <w:spacing w:line="480" w:lineRule="auto"/>
        <w:ind w:firstLine="720"/>
        <w:jc w:val="both"/>
        <w:rPr>
          <w:b/>
          <w:bCs/>
        </w:rPr>
      </w:pPr>
      <w:r w:rsidRPr="00BE4C06">
        <w:rPr>
          <w:rFonts w:ascii="Times New Roman" w:hAnsi="Times New Roman" w:cs="Times New Roman"/>
          <w:b/>
          <w:bCs/>
        </w:rPr>
        <w:t>Advantages</w:t>
      </w:r>
    </w:p>
    <w:p w14:paraId="6C05C8F9" w14:textId="664851BB" w:rsidR="00C814B9" w:rsidRDefault="00C814B9" w:rsidP="009D33BF">
      <w:pPr>
        <w:pStyle w:val="LO-Normal"/>
        <w:spacing w:line="480" w:lineRule="auto"/>
        <w:ind w:firstLine="720"/>
        <w:jc w:val="both"/>
      </w:pPr>
      <w:r>
        <w:rPr>
          <w:rFonts w:ascii="Times New Roman" w:hAnsi="Times New Roman" w:cs="Times New Roman"/>
        </w:rPr>
        <w:t xml:space="preserve">SWOT analysis helps for formulating as well as selecting the strategies. It is a strong tool, but it includes the lot of subjective elements. It is best to use it as a guide rather than a prescription. Successful companies depend on the strengths, overcome their weaknesses, and protect from the </w:t>
      </w:r>
      <w:r>
        <w:rPr>
          <w:rFonts w:ascii="Times New Roman" w:hAnsi="Times New Roman" w:cs="Times New Roman"/>
        </w:rPr>
        <w:lastRenderedPageBreak/>
        <w:t>internal weaknesses as well as external threats. They also pay close attention to the business environment as well as discover and taking the advantage for the new opportunities faster than their competitors (Wilson and Gilligan, 2012).</w:t>
      </w:r>
    </w:p>
    <w:p w14:paraId="41991BE7" w14:textId="77777777" w:rsidR="00C814B9" w:rsidRPr="00BE4C06" w:rsidRDefault="00C814B9" w:rsidP="009D33BF">
      <w:pPr>
        <w:pStyle w:val="BodyText"/>
        <w:spacing w:line="480" w:lineRule="auto"/>
        <w:ind w:left="720"/>
        <w:jc w:val="both"/>
        <w:rPr>
          <w:b/>
          <w:bCs/>
        </w:rPr>
      </w:pPr>
      <w:r w:rsidRPr="00BE4C06">
        <w:rPr>
          <w:rFonts w:ascii="Times New Roman" w:hAnsi="Times New Roman" w:cs="Times New Roman"/>
          <w:b/>
          <w:bCs/>
        </w:rPr>
        <w:t>Disadvantages</w:t>
      </w:r>
    </w:p>
    <w:p w14:paraId="29D04795" w14:textId="3BC483E5" w:rsidR="00C814B9" w:rsidRDefault="00C814B9" w:rsidP="009D33BF">
      <w:pPr>
        <w:pStyle w:val="LO-Normal"/>
        <w:spacing w:line="480" w:lineRule="auto"/>
        <w:ind w:firstLine="720"/>
        <w:jc w:val="both"/>
      </w:pPr>
      <w:r>
        <w:rPr>
          <w:rFonts w:ascii="Times New Roman" w:hAnsi="Times New Roman" w:cs="Times New Roman"/>
        </w:rPr>
        <w:t xml:space="preserve">The disadvantages of SWOT analysis </w:t>
      </w:r>
      <w:proofErr w:type="gramStart"/>
      <w:r>
        <w:rPr>
          <w:rFonts w:ascii="Times New Roman" w:hAnsi="Times New Roman" w:cs="Times New Roman"/>
        </w:rPr>
        <w:t>is</w:t>
      </w:r>
      <w:proofErr w:type="gramEnd"/>
      <w:r>
        <w:rPr>
          <w:rFonts w:ascii="Times New Roman" w:hAnsi="Times New Roman" w:cs="Times New Roman"/>
        </w:rPr>
        <w:t xml:space="preserve"> that it is prone to ambiguity. Executing SWOT helps in producing the long list of advantages, disadvantages, </w:t>
      </w:r>
      <w:proofErr w:type="gramStart"/>
      <w:r>
        <w:rPr>
          <w:rFonts w:ascii="Times New Roman" w:hAnsi="Times New Roman" w:cs="Times New Roman"/>
        </w:rPr>
        <w:t>threats</w:t>
      </w:r>
      <w:proofErr w:type="gramEnd"/>
      <w:r>
        <w:rPr>
          <w:rFonts w:ascii="Times New Roman" w:hAnsi="Times New Roman" w:cs="Times New Roman"/>
        </w:rPr>
        <w:t xml:space="preserve"> and opportunities which exit in environment. However, the entire framework does not provide the mechanism to rank the items in the list or determine which identified factor has the greater weight. However, the key disadvantage of using SWOT analysis is its </w:t>
      </w:r>
      <w:r w:rsidR="003F310D">
        <w:rPr>
          <w:rFonts w:ascii="Times New Roman" w:hAnsi="Times New Roman" w:cs="Times New Roman"/>
        </w:rPr>
        <w:t>limitations because</w:t>
      </w:r>
      <w:r>
        <w:rPr>
          <w:rFonts w:ascii="Times New Roman" w:hAnsi="Times New Roman" w:cs="Times New Roman"/>
        </w:rPr>
        <w:t xml:space="preserve"> it tends to produce vague and subjective data or information. The analysis tool cannot be used alone because it does not </w:t>
      </w:r>
      <w:r w:rsidR="003F310D">
        <w:rPr>
          <w:rFonts w:ascii="Times New Roman" w:hAnsi="Times New Roman" w:cs="Times New Roman"/>
        </w:rPr>
        <w:t>define</w:t>
      </w:r>
      <w:r>
        <w:rPr>
          <w:rFonts w:ascii="Times New Roman" w:hAnsi="Times New Roman" w:cs="Times New Roman"/>
        </w:rPr>
        <w:t xml:space="preserve"> the strategic implications of the </w:t>
      </w:r>
      <w:r w:rsidR="003F310D">
        <w:rPr>
          <w:rFonts w:ascii="Times New Roman" w:hAnsi="Times New Roman" w:cs="Times New Roman"/>
        </w:rPr>
        <w:t>analysed</w:t>
      </w:r>
      <w:r>
        <w:rPr>
          <w:rFonts w:ascii="Times New Roman" w:hAnsi="Times New Roman" w:cs="Times New Roman"/>
        </w:rPr>
        <w:t xml:space="preserve"> strengths, weaknesses, opportunities, and threats (Mullins, et al., 2013).</w:t>
      </w:r>
    </w:p>
    <w:p w14:paraId="3656F0BA" w14:textId="77777777" w:rsidR="00C814B9" w:rsidRDefault="00C814B9" w:rsidP="009D33BF">
      <w:pPr>
        <w:pStyle w:val="BodyText"/>
        <w:spacing w:line="480" w:lineRule="auto"/>
        <w:jc w:val="both"/>
        <w:rPr>
          <w:rFonts w:ascii="Times New Roman" w:hAnsi="Times New Roman" w:cs="Times New Roman"/>
        </w:rPr>
      </w:pPr>
    </w:p>
    <w:p w14:paraId="405DE1FE" w14:textId="77777777" w:rsidR="00C814B9" w:rsidRDefault="00C814B9" w:rsidP="009D33BF">
      <w:pPr>
        <w:pStyle w:val="Heading1"/>
        <w:numPr>
          <w:ilvl w:val="3"/>
          <w:numId w:val="1"/>
        </w:numPr>
        <w:tabs>
          <w:tab w:val="left" w:pos="0"/>
        </w:tabs>
        <w:spacing w:line="480" w:lineRule="auto"/>
        <w:jc w:val="both"/>
      </w:pPr>
      <w:bookmarkStart w:id="6" w:name="__RefHeading___Toc58112525"/>
      <w:bookmarkEnd w:id="6"/>
      <w:r>
        <w:rPr>
          <w:rFonts w:ascii="Times New Roman" w:hAnsi="Times New Roman" w:cs="Times New Roman"/>
          <w:sz w:val="24"/>
          <w:szCs w:val="24"/>
        </w:rPr>
        <w:t>Conclusion</w:t>
      </w:r>
    </w:p>
    <w:p w14:paraId="6CB39F9E" w14:textId="77777777" w:rsidR="00C814B9" w:rsidRDefault="00C814B9" w:rsidP="009D33BF">
      <w:pPr>
        <w:pStyle w:val="BodyText"/>
        <w:spacing w:line="480" w:lineRule="auto"/>
        <w:ind w:firstLine="720"/>
        <w:jc w:val="both"/>
      </w:pPr>
      <w:r>
        <w:rPr>
          <w:rFonts w:ascii="Times New Roman" w:hAnsi="Times New Roman" w:cs="Times New Roman"/>
        </w:rPr>
        <w:t xml:space="preserve">In conclusion, the marketing and marketing process are included in the report which are essential for the company. The analysis of Diageo company is included along with the five stages of marketing process which is important to be included for the marketing. The macro environmental factors which are political, economic, social, technological, </w:t>
      </w:r>
      <w:proofErr w:type="gramStart"/>
      <w:r>
        <w:rPr>
          <w:rFonts w:ascii="Times New Roman" w:hAnsi="Times New Roman" w:cs="Times New Roman"/>
        </w:rPr>
        <w:t>legal</w:t>
      </w:r>
      <w:proofErr w:type="gramEnd"/>
      <w:r>
        <w:rPr>
          <w:rFonts w:ascii="Times New Roman" w:hAnsi="Times New Roman" w:cs="Times New Roman"/>
        </w:rPr>
        <w:t xml:space="preserve"> and environmental factor which impacts on the company. The porter’s five forces model is included for analysing the force on the company. The SWOT analysis of the Diageo company is discussed along with its advantages and disadvantages.</w:t>
      </w:r>
    </w:p>
    <w:p w14:paraId="41FF6224" w14:textId="77777777" w:rsidR="00C814B9" w:rsidRDefault="00C814B9" w:rsidP="009D33BF">
      <w:pPr>
        <w:pStyle w:val="BodyText"/>
        <w:spacing w:line="480" w:lineRule="auto"/>
        <w:jc w:val="both"/>
        <w:rPr>
          <w:rFonts w:ascii="Times New Roman" w:hAnsi="Times New Roman" w:cs="Times New Roman"/>
        </w:rPr>
      </w:pPr>
    </w:p>
    <w:p w14:paraId="0BF91FAD" w14:textId="6F40F0CF" w:rsidR="003F310D" w:rsidRDefault="003F310D" w:rsidP="00C814B9">
      <w:pPr>
        <w:pStyle w:val="BodyText"/>
        <w:spacing w:line="360" w:lineRule="auto"/>
        <w:jc w:val="both"/>
        <w:rPr>
          <w:rFonts w:ascii="Times New Roman" w:hAnsi="Times New Roman" w:cs="Times New Roman"/>
        </w:rPr>
      </w:pPr>
    </w:p>
    <w:p w14:paraId="2963218C" w14:textId="5B0AC482" w:rsidR="003F310D" w:rsidRDefault="003F310D" w:rsidP="00C814B9">
      <w:pPr>
        <w:pStyle w:val="BodyText"/>
        <w:spacing w:line="360" w:lineRule="auto"/>
        <w:jc w:val="both"/>
        <w:rPr>
          <w:rFonts w:ascii="Times New Roman" w:hAnsi="Times New Roman" w:cs="Times New Roman"/>
        </w:rPr>
      </w:pPr>
    </w:p>
    <w:p w14:paraId="4721A876" w14:textId="77777777" w:rsidR="003F310D" w:rsidRDefault="003F310D" w:rsidP="00C814B9">
      <w:pPr>
        <w:pStyle w:val="BodyText"/>
        <w:spacing w:line="360" w:lineRule="auto"/>
        <w:jc w:val="both"/>
        <w:rPr>
          <w:rFonts w:ascii="Times New Roman" w:hAnsi="Times New Roman" w:cs="Times New Roman"/>
        </w:rPr>
      </w:pPr>
    </w:p>
    <w:p w14:paraId="2FFC74C7" w14:textId="77777777" w:rsidR="009D33BF" w:rsidRDefault="009D33BF" w:rsidP="00C814B9">
      <w:pPr>
        <w:pStyle w:val="BodyText"/>
        <w:spacing w:line="360" w:lineRule="auto"/>
        <w:jc w:val="both"/>
        <w:rPr>
          <w:rFonts w:ascii="Times New Roman" w:hAnsi="Times New Roman" w:cs="Times New Roman"/>
        </w:rPr>
      </w:pPr>
    </w:p>
    <w:p w14:paraId="1FC9345B" w14:textId="77777777" w:rsidR="00C814B9" w:rsidRDefault="00C814B9" w:rsidP="00C814B9">
      <w:pPr>
        <w:pStyle w:val="Heading1"/>
        <w:tabs>
          <w:tab w:val="left" w:pos="0"/>
        </w:tabs>
        <w:spacing w:line="360" w:lineRule="auto"/>
        <w:jc w:val="both"/>
      </w:pPr>
      <w:bookmarkStart w:id="7" w:name="__RefHeading___Toc58112526"/>
      <w:bookmarkEnd w:id="7"/>
      <w:r>
        <w:rPr>
          <w:rFonts w:ascii="Times New Roman" w:hAnsi="Times New Roman" w:cs="Times New Roman"/>
          <w:sz w:val="24"/>
          <w:szCs w:val="24"/>
        </w:rPr>
        <w:lastRenderedPageBreak/>
        <w:t>Reference</w:t>
      </w:r>
    </w:p>
    <w:p w14:paraId="04EA5D28" w14:textId="77777777" w:rsidR="00C814B9" w:rsidRDefault="00C814B9" w:rsidP="00C814B9">
      <w:pPr>
        <w:pStyle w:val="BodyText"/>
        <w:spacing w:line="360" w:lineRule="auto"/>
        <w:jc w:val="both"/>
      </w:pPr>
      <w:r>
        <w:rPr>
          <w:rFonts w:ascii="Times New Roman" w:hAnsi="Times New Roman" w:cs="Times New Roman"/>
          <w:color w:val="222222"/>
        </w:rPr>
        <w:t>Dobbs, M.E., 2014. Guidelines for applying Porter's five forces framework: a set of industry analysis templates. </w:t>
      </w:r>
      <w:r>
        <w:rPr>
          <w:rFonts w:ascii="Times New Roman" w:hAnsi="Times New Roman" w:cs="Times New Roman"/>
          <w:i/>
          <w:color w:val="222222"/>
        </w:rPr>
        <w:t>Competitiveness Review</w:t>
      </w:r>
      <w:r>
        <w:rPr>
          <w:rFonts w:ascii="Times New Roman" w:hAnsi="Times New Roman" w:cs="Times New Roman"/>
          <w:color w:val="222222"/>
        </w:rPr>
        <w:t>.</w:t>
      </w:r>
    </w:p>
    <w:p w14:paraId="2E046FB2" w14:textId="77777777" w:rsidR="00C814B9" w:rsidRDefault="00C814B9" w:rsidP="00C814B9">
      <w:pPr>
        <w:pStyle w:val="BodyText"/>
        <w:spacing w:line="360" w:lineRule="auto"/>
        <w:jc w:val="both"/>
      </w:pPr>
      <w:r>
        <w:rPr>
          <w:rFonts w:ascii="Times New Roman" w:hAnsi="Times New Roman" w:cs="Times New Roman"/>
          <w:color w:val="222222"/>
        </w:rPr>
        <w:t xml:space="preserve">Ernst, H., Hoyer, W.D. and </w:t>
      </w:r>
      <w:proofErr w:type="spellStart"/>
      <w:r>
        <w:rPr>
          <w:rFonts w:ascii="Times New Roman" w:hAnsi="Times New Roman" w:cs="Times New Roman"/>
          <w:color w:val="222222"/>
        </w:rPr>
        <w:t>Rübsaamen</w:t>
      </w:r>
      <w:proofErr w:type="spellEnd"/>
      <w:r>
        <w:rPr>
          <w:rFonts w:ascii="Times New Roman" w:hAnsi="Times New Roman" w:cs="Times New Roman"/>
          <w:color w:val="222222"/>
        </w:rPr>
        <w:t>, C., 2010. Sales, marketing, and research-and-development cooperation across new product development stages: implications for success. </w:t>
      </w:r>
      <w:r>
        <w:rPr>
          <w:rFonts w:ascii="Times New Roman" w:hAnsi="Times New Roman" w:cs="Times New Roman"/>
          <w:i/>
          <w:color w:val="222222"/>
        </w:rPr>
        <w:t>Journal of Marketing</w:t>
      </w:r>
      <w:r>
        <w:rPr>
          <w:rFonts w:ascii="Times New Roman" w:hAnsi="Times New Roman" w:cs="Times New Roman"/>
          <w:color w:val="222222"/>
        </w:rPr>
        <w:t>, </w:t>
      </w:r>
      <w:r>
        <w:rPr>
          <w:rFonts w:ascii="Times New Roman" w:hAnsi="Times New Roman" w:cs="Times New Roman"/>
          <w:i/>
          <w:color w:val="222222"/>
        </w:rPr>
        <w:t>74</w:t>
      </w:r>
      <w:r>
        <w:rPr>
          <w:rFonts w:ascii="Times New Roman" w:hAnsi="Times New Roman" w:cs="Times New Roman"/>
          <w:color w:val="222222"/>
        </w:rPr>
        <w:t>(5), pp.80-92.</w:t>
      </w:r>
    </w:p>
    <w:p w14:paraId="7B3DC0EC" w14:textId="77777777" w:rsidR="00C814B9" w:rsidRDefault="00C814B9" w:rsidP="00C814B9">
      <w:pPr>
        <w:pStyle w:val="BodyText"/>
        <w:spacing w:line="360" w:lineRule="auto"/>
        <w:jc w:val="both"/>
      </w:pPr>
      <w:proofErr w:type="spellStart"/>
      <w:r>
        <w:rPr>
          <w:rFonts w:ascii="Times New Roman" w:hAnsi="Times New Roman" w:cs="Times New Roman"/>
          <w:color w:val="222222"/>
        </w:rPr>
        <w:t>Foxall</w:t>
      </w:r>
      <w:proofErr w:type="spellEnd"/>
      <w:r>
        <w:rPr>
          <w:rFonts w:ascii="Times New Roman" w:hAnsi="Times New Roman" w:cs="Times New Roman"/>
          <w:color w:val="222222"/>
        </w:rPr>
        <w:t>, G., 2014. </w:t>
      </w:r>
      <w:r>
        <w:rPr>
          <w:rFonts w:ascii="Times New Roman" w:hAnsi="Times New Roman" w:cs="Times New Roman"/>
          <w:i/>
          <w:color w:val="222222"/>
        </w:rPr>
        <w:t>Strategic Marketing Management (RLE Marketing)</w:t>
      </w:r>
      <w:r>
        <w:rPr>
          <w:rFonts w:ascii="Times New Roman" w:hAnsi="Times New Roman" w:cs="Times New Roman"/>
          <w:color w:val="222222"/>
        </w:rPr>
        <w:t>. Routledge.</w:t>
      </w:r>
    </w:p>
    <w:p w14:paraId="0B1F25F5" w14:textId="77777777" w:rsidR="00C814B9" w:rsidRDefault="00C814B9" w:rsidP="00C814B9">
      <w:pPr>
        <w:pStyle w:val="BodyText"/>
        <w:spacing w:line="360" w:lineRule="auto"/>
        <w:jc w:val="both"/>
      </w:pPr>
      <w:r>
        <w:rPr>
          <w:rFonts w:ascii="Times New Roman" w:hAnsi="Times New Roman" w:cs="Times New Roman"/>
          <w:color w:val="222222"/>
        </w:rPr>
        <w:t>Grant, R.M., 2016. </w:t>
      </w:r>
      <w:r>
        <w:rPr>
          <w:rFonts w:ascii="Times New Roman" w:hAnsi="Times New Roman" w:cs="Times New Roman"/>
          <w:i/>
          <w:color w:val="222222"/>
        </w:rPr>
        <w:t>Contemporary strategy analysis: Text and cases edition</w:t>
      </w:r>
      <w:r>
        <w:rPr>
          <w:rFonts w:ascii="Times New Roman" w:hAnsi="Times New Roman" w:cs="Times New Roman"/>
          <w:color w:val="222222"/>
        </w:rPr>
        <w:t>. John Wiley &amp; Sons.</w:t>
      </w:r>
    </w:p>
    <w:p w14:paraId="44FFE42C" w14:textId="77777777" w:rsidR="00C814B9" w:rsidRDefault="00C814B9" w:rsidP="00C814B9">
      <w:pPr>
        <w:pStyle w:val="BodyText"/>
        <w:spacing w:line="360" w:lineRule="auto"/>
        <w:jc w:val="both"/>
      </w:pPr>
      <w:r>
        <w:rPr>
          <w:rFonts w:ascii="Times New Roman" w:hAnsi="Times New Roman" w:cs="Times New Roman"/>
          <w:color w:val="222222"/>
        </w:rPr>
        <w:t>Haider, A.A., Zafar, A., Khalid, A., Majid, A., Abdullah, M.A. and Sarwar, M.B., 2017. Marketing Management. </w:t>
      </w:r>
      <w:r>
        <w:rPr>
          <w:rFonts w:ascii="Times New Roman" w:hAnsi="Times New Roman" w:cs="Times New Roman"/>
          <w:i/>
          <w:color w:val="222222"/>
        </w:rPr>
        <w:t>Head, B</w:t>
      </w:r>
      <w:r>
        <w:rPr>
          <w:rFonts w:ascii="Times New Roman" w:hAnsi="Times New Roman" w:cs="Times New Roman"/>
          <w:color w:val="222222"/>
        </w:rPr>
        <w:t>, p.22.</w:t>
      </w:r>
    </w:p>
    <w:p w14:paraId="27E1405B" w14:textId="77777777" w:rsidR="00C814B9" w:rsidRDefault="00C814B9" w:rsidP="00C814B9">
      <w:pPr>
        <w:pStyle w:val="BodyText"/>
        <w:spacing w:line="360" w:lineRule="auto"/>
        <w:jc w:val="both"/>
      </w:pPr>
      <w:r>
        <w:rPr>
          <w:rFonts w:ascii="Times New Roman" w:hAnsi="Times New Roman" w:cs="Times New Roman"/>
          <w:color w:val="222222"/>
        </w:rPr>
        <w:t xml:space="preserve">Hastings, G. and </w:t>
      </w:r>
      <w:proofErr w:type="spellStart"/>
      <w:r>
        <w:rPr>
          <w:rFonts w:ascii="Times New Roman" w:hAnsi="Times New Roman" w:cs="Times New Roman"/>
          <w:color w:val="222222"/>
        </w:rPr>
        <w:t>Domegan</w:t>
      </w:r>
      <w:proofErr w:type="spellEnd"/>
      <w:r>
        <w:rPr>
          <w:rFonts w:ascii="Times New Roman" w:hAnsi="Times New Roman" w:cs="Times New Roman"/>
          <w:color w:val="222222"/>
        </w:rPr>
        <w:t>, C., 2017. Competitive analysis. In </w:t>
      </w:r>
      <w:r>
        <w:rPr>
          <w:rFonts w:ascii="Times New Roman" w:hAnsi="Times New Roman" w:cs="Times New Roman"/>
          <w:i/>
          <w:color w:val="222222"/>
        </w:rPr>
        <w:t>Social Marketing</w:t>
      </w:r>
      <w:r>
        <w:rPr>
          <w:rFonts w:ascii="Times New Roman" w:hAnsi="Times New Roman" w:cs="Times New Roman"/>
          <w:color w:val="222222"/>
        </w:rPr>
        <w:t> (pp. 187-213). Routledge.</w:t>
      </w:r>
    </w:p>
    <w:p w14:paraId="076EAAC5" w14:textId="77777777" w:rsidR="00C814B9" w:rsidRDefault="00C814B9" w:rsidP="00C814B9">
      <w:pPr>
        <w:pStyle w:val="BodyText"/>
        <w:spacing w:line="360" w:lineRule="auto"/>
        <w:jc w:val="both"/>
      </w:pPr>
      <w:proofErr w:type="spellStart"/>
      <w:r>
        <w:rPr>
          <w:rFonts w:ascii="Times New Roman" w:hAnsi="Times New Roman" w:cs="Times New Roman"/>
          <w:color w:val="222222"/>
        </w:rPr>
        <w:t>Hollensen</w:t>
      </w:r>
      <w:proofErr w:type="spellEnd"/>
      <w:r>
        <w:rPr>
          <w:rFonts w:ascii="Times New Roman" w:hAnsi="Times New Roman" w:cs="Times New Roman"/>
          <w:color w:val="222222"/>
        </w:rPr>
        <w:t>, S., 2019. </w:t>
      </w:r>
      <w:r>
        <w:rPr>
          <w:rFonts w:ascii="Times New Roman" w:hAnsi="Times New Roman" w:cs="Times New Roman"/>
          <w:i/>
          <w:color w:val="222222"/>
        </w:rPr>
        <w:t>Marketing management: A relationship approach</w:t>
      </w:r>
      <w:r>
        <w:rPr>
          <w:rFonts w:ascii="Times New Roman" w:hAnsi="Times New Roman" w:cs="Times New Roman"/>
          <w:color w:val="222222"/>
        </w:rPr>
        <w:t>. Pearson Education.</w:t>
      </w:r>
    </w:p>
    <w:p w14:paraId="3B99F486" w14:textId="77777777" w:rsidR="00C814B9" w:rsidRDefault="00C814B9" w:rsidP="00C814B9">
      <w:pPr>
        <w:pStyle w:val="BodyText"/>
        <w:spacing w:line="360" w:lineRule="auto"/>
        <w:jc w:val="both"/>
      </w:pPr>
      <w:r>
        <w:rPr>
          <w:rFonts w:ascii="Times New Roman" w:hAnsi="Times New Roman" w:cs="Times New Roman"/>
          <w:color w:val="222222"/>
        </w:rPr>
        <w:t xml:space="preserve">Morgan, N.A., </w:t>
      </w:r>
      <w:proofErr w:type="spellStart"/>
      <w:r>
        <w:rPr>
          <w:rFonts w:ascii="Times New Roman" w:hAnsi="Times New Roman" w:cs="Times New Roman"/>
          <w:color w:val="222222"/>
        </w:rPr>
        <w:t>Katsikeas</w:t>
      </w:r>
      <w:proofErr w:type="spellEnd"/>
      <w:r>
        <w:rPr>
          <w:rFonts w:ascii="Times New Roman" w:hAnsi="Times New Roman" w:cs="Times New Roman"/>
          <w:color w:val="222222"/>
        </w:rPr>
        <w:t xml:space="preserve">, C.S. and </w:t>
      </w:r>
      <w:proofErr w:type="spellStart"/>
      <w:r>
        <w:rPr>
          <w:rFonts w:ascii="Times New Roman" w:hAnsi="Times New Roman" w:cs="Times New Roman"/>
          <w:color w:val="222222"/>
        </w:rPr>
        <w:t>Vorhies</w:t>
      </w:r>
      <w:proofErr w:type="spellEnd"/>
      <w:r>
        <w:rPr>
          <w:rFonts w:ascii="Times New Roman" w:hAnsi="Times New Roman" w:cs="Times New Roman"/>
          <w:color w:val="222222"/>
        </w:rPr>
        <w:t>, D.W., 2012. Export marketing strategy implementation, export marketing capabilities, and export venture performance. </w:t>
      </w:r>
      <w:r>
        <w:rPr>
          <w:rFonts w:ascii="Times New Roman" w:hAnsi="Times New Roman" w:cs="Times New Roman"/>
          <w:i/>
          <w:color w:val="222222"/>
        </w:rPr>
        <w:t>Journal of the academy of marketing science</w:t>
      </w:r>
      <w:r>
        <w:rPr>
          <w:rFonts w:ascii="Times New Roman" w:hAnsi="Times New Roman" w:cs="Times New Roman"/>
          <w:color w:val="222222"/>
        </w:rPr>
        <w:t>, </w:t>
      </w:r>
      <w:r>
        <w:rPr>
          <w:rFonts w:ascii="Times New Roman" w:hAnsi="Times New Roman" w:cs="Times New Roman"/>
          <w:i/>
          <w:color w:val="222222"/>
        </w:rPr>
        <w:t>40</w:t>
      </w:r>
      <w:r>
        <w:rPr>
          <w:rFonts w:ascii="Times New Roman" w:hAnsi="Times New Roman" w:cs="Times New Roman"/>
          <w:color w:val="222222"/>
        </w:rPr>
        <w:t>(2), pp.271-289.</w:t>
      </w:r>
    </w:p>
    <w:p w14:paraId="1C4691EC" w14:textId="77777777" w:rsidR="00C814B9" w:rsidRDefault="00C814B9" w:rsidP="00C814B9">
      <w:pPr>
        <w:pStyle w:val="BodyText"/>
        <w:spacing w:line="360" w:lineRule="auto"/>
        <w:jc w:val="both"/>
      </w:pPr>
      <w:bookmarkStart w:id="8" w:name="_Hlk60682890"/>
      <w:r>
        <w:rPr>
          <w:rFonts w:ascii="Times New Roman" w:hAnsi="Times New Roman" w:cs="Times New Roman"/>
          <w:color w:val="222222"/>
        </w:rPr>
        <w:t xml:space="preserve">Mullins, J.W., Walker, O.C., Boyd, H.W. and </w:t>
      </w:r>
      <w:proofErr w:type="spellStart"/>
      <w:r>
        <w:rPr>
          <w:rFonts w:ascii="Times New Roman" w:hAnsi="Times New Roman" w:cs="Times New Roman"/>
          <w:color w:val="222222"/>
        </w:rPr>
        <w:t>Larréché</w:t>
      </w:r>
      <w:proofErr w:type="spellEnd"/>
      <w:r>
        <w:rPr>
          <w:rFonts w:ascii="Times New Roman" w:hAnsi="Times New Roman" w:cs="Times New Roman"/>
          <w:color w:val="222222"/>
        </w:rPr>
        <w:t>, J.C., 2013. </w:t>
      </w:r>
      <w:r>
        <w:rPr>
          <w:rFonts w:ascii="Times New Roman" w:hAnsi="Times New Roman" w:cs="Times New Roman"/>
          <w:i/>
          <w:color w:val="222222"/>
        </w:rPr>
        <w:t>Marketing management: A strategic decision-making approach</w:t>
      </w:r>
      <w:r>
        <w:rPr>
          <w:rFonts w:ascii="Times New Roman" w:hAnsi="Times New Roman" w:cs="Times New Roman"/>
          <w:color w:val="222222"/>
        </w:rPr>
        <w:t>. New York: McGraw-Hill.</w:t>
      </w:r>
    </w:p>
    <w:bookmarkEnd w:id="8"/>
    <w:p w14:paraId="5A58CB06" w14:textId="77777777" w:rsidR="00C814B9" w:rsidRDefault="00C814B9" w:rsidP="00C814B9">
      <w:pPr>
        <w:pStyle w:val="BodyText"/>
        <w:spacing w:line="360" w:lineRule="auto"/>
        <w:jc w:val="both"/>
      </w:pPr>
      <w:r>
        <w:rPr>
          <w:rFonts w:ascii="Times New Roman" w:hAnsi="Times New Roman" w:cs="Times New Roman"/>
          <w:color w:val="222222"/>
        </w:rPr>
        <w:t xml:space="preserve">Slater, S.F., </w:t>
      </w:r>
      <w:proofErr w:type="spellStart"/>
      <w:r>
        <w:rPr>
          <w:rFonts w:ascii="Times New Roman" w:hAnsi="Times New Roman" w:cs="Times New Roman"/>
          <w:color w:val="222222"/>
        </w:rPr>
        <w:t>Hult</w:t>
      </w:r>
      <w:proofErr w:type="spellEnd"/>
      <w:r>
        <w:rPr>
          <w:rFonts w:ascii="Times New Roman" w:hAnsi="Times New Roman" w:cs="Times New Roman"/>
          <w:color w:val="222222"/>
        </w:rPr>
        <w:t>, G.T.M. and Olson, E.M., 2010. Factors influencing the relative importance of marketing strategy creativity and marketing strategy implementation effectiveness. </w:t>
      </w:r>
      <w:r>
        <w:rPr>
          <w:rFonts w:ascii="Times New Roman" w:hAnsi="Times New Roman" w:cs="Times New Roman"/>
          <w:i/>
          <w:color w:val="222222"/>
        </w:rPr>
        <w:t>Industrial Marketing Management</w:t>
      </w:r>
      <w:r>
        <w:rPr>
          <w:rFonts w:ascii="Times New Roman" w:hAnsi="Times New Roman" w:cs="Times New Roman"/>
          <w:color w:val="222222"/>
        </w:rPr>
        <w:t>, </w:t>
      </w:r>
      <w:r>
        <w:rPr>
          <w:rFonts w:ascii="Times New Roman" w:hAnsi="Times New Roman" w:cs="Times New Roman"/>
          <w:i/>
          <w:color w:val="222222"/>
        </w:rPr>
        <w:t>39</w:t>
      </w:r>
      <w:r>
        <w:rPr>
          <w:rFonts w:ascii="Times New Roman" w:hAnsi="Times New Roman" w:cs="Times New Roman"/>
          <w:color w:val="222222"/>
        </w:rPr>
        <w:t>(4), pp.551-559.</w:t>
      </w:r>
    </w:p>
    <w:p w14:paraId="1B71792D" w14:textId="77777777" w:rsidR="00C814B9" w:rsidRDefault="00C814B9" w:rsidP="00C814B9">
      <w:pPr>
        <w:pStyle w:val="BodyText"/>
        <w:spacing w:line="360" w:lineRule="auto"/>
        <w:jc w:val="both"/>
      </w:pPr>
      <w:bookmarkStart w:id="9" w:name="_Hlk60682903"/>
      <w:r>
        <w:rPr>
          <w:rFonts w:ascii="Times New Roman" w:hAnsi="Times New Roman" w:cs="Times New Roman"/>
          <w:color w:val="222222"/>
        </w:rPr>
        <w:t xml:space="preserve">Wibowo, A. and </w:t>
      </w:r>
      <w:proofErr w:type="spellStart"/>
      <w:r>
        <w:rPr>
          <w:rFonts w:ascii="Times New Roman" w:hAnsi="Times New Roman" w:cs="Times New Roman"/>
          <w:color w:val="222222"/>
        </w:rPr>
        <w:t>Alfen</w:t>
      </w:r>
      <w:proofErr w:type="spellEnd"/>
      <w:r>
        <w:rPr>
          <w:rFonts w:ascii="Times New Roman" w:hAnsi="Times New Roman" w:cs="Times New Roman"/>
          <w:color w:val="222222"/>
        </w:rPr>
        <w:t>, H.W., 2014. Identifying macro-environmental critical success factors and key areas for improvement to promote public-private partnerships in infrastructure. </w:t>
      </w:r>
      <w:r>
        <w:rPr>
          <w:rFonts w:ascii="Times New Roman" w:hAnsi="Times New Roman" w:cs="Times New Roman"/>
          <w:i/>
          <w:color w:val="222222"/>
        </w:rPr>
        <w:t>Engineering, Construction and Architectural Management</w:t>
      </w:r>
      <w:r>
        <w:rPr>
          <w:rFonts w:ascii="Times New Roman" w:hAnsi="Times New Roman" w:cs="Times New Roman"/>
          <w:color w:val="222222"/>
        </w:rPr>
        <w:t>.</w:t>
      </w:r>
    </w:p>
    <w:p w14:paraId="6B427E93" w14:textId="77777777" w:rsidR="00C814B9" w:rsidRDefault="00C814B9" w:rsidP="00C814B9">
      <w:pPr>
        <w:pStyle w:val="BodyText"/>
        <w:spacing w:line="360" w:lineRule="auto"/>
        <w:jc w:val="both"/>
      </w:pPr>
      <w:bookmarkStart w:id="10" w:name="_Hlk60682859"/>
      <w:bookmarkEnd w:id="9"/>
      <w:r>
        <w:rPr>
          <w:rFonts w:ascii="Times New Roman" w:hAnsi="Times New Roman" w:cs="Times New Roman"/>
          <w:color w:val="222222"/>
        </w:rPr>
        <w:t>Wilson, R.M. and Gilligan, C., 2012. </w:t>
      </w:r>
      <w:r>
        <w:rPr>
          <w:rFonts w:ascii="Times New Roman" w:hAnsi="Times New Roman" w:cs="Times New Roman"/>
          <w:i/>
          <w:color w:val="222222"/>
        </w:rPr>
        <w:t>Strategic marketing management</w:t>
      </w:r>
      <w:r>
        <w:rPr>
          <w:rFonts w:ascii="Times New Roman" w:hAnsi="Times New Roman" w:cs="Times New Roman"/>
          <w:color w:val="222222"/>
        </w:rPr>
        <w:t>. Routledge.</w:t>
      </w:r>
      <w:bookmarkEnd w:id="10"/>
    </w:p>
    <w:p w14:paraId="70FEB553" w14:textId="3E579E88" w:rsidR="00C814B9" w:rsidRDefault="003F310D">
      <w:pPr>
        <w:rPr>
          <w:b/>
          <w:bCs/>
        </w:rPr>
      </w:pPr>
      <w:r w:rsidRPr="003F310D">
        <w:rPr>
          <w:b/>
          <w:bCs/>
        </w:rPr>
        <w:t>Websites</w:t>
      </w:r>
    </w:p>
    <w:p w14:paraId="4269AE82" w14:textId="6B5888AA" w:rsidR="003F310D" w:rsidRDefault="003F310D">
      <w:pPr>
        <w:rPr>
          <w:b/>
          <w:bCs/>
        </w:rPr>
      </w:pPr>
    </w:p>
    <w:p w14:paraId="3E7FE0FD" w14:textId="6E5FF551" w:rsidR="003F310D" w:rsidRDefault="003F310D">
      <w:pPr>
        <w:rPr>
          <w:b/>
          <w:bCs/>
        </w:rPr>
      </w:pPr>
      <w:hyperlink r:id="rId29" w:history="1">
        <w:r w:rsidRPr="007507BC">
          <w:rPr>
            <w:rStyle w:val="Hyperlink"/>
            <w:b/>
            <w:bCs/>
          </w:rPr>
          <w:t>https://www.marketscreener.com/quote/stock/DIAGEO-PLC-4000514/company/</w:t>
        </w:r>
      </w:hyperlink>
    </w:p>
    <w:p w14:paraId="14D37325" w14:textId="3B069954" w:rsidR="003F310D" w:rsidRDefault="003F310D">
      <w:pPr>
        <w:rPr>
          <w:b/>
          <w:bCs/>
        </w:rPr>
      </w:pPr>
    </w:p>
    <w:p w14:paraId="0735067B" w14:textId="102E78AB" w:rsidR="003F310D" w:rsidRDefault="003F310D">
      <w:pPr>
        <w:rPr>
          <w:b/>
          <w:bCs/>
        </w:rPr>
      </w:pPr>
      <w:hyperlink r:id="rId30" w:history="1">
        <w:r w:rsidRPr="007507BC">
          <w:rPr>
            <w:rStyle w:val="Hyperlink"/>
            <w:b/>
            <w:bCs/>
          </w:rPr>
          <w:t>https://www.investopedia.com/terms/s/stakeholder.asp</w:t>
        </w:r>
      </w:hyperlink>
    </w:p>
    <w:p w14:paraId="7638A9D8" w14:textId="3805EC30" w:rsidR="003F310D" w:rsidRDefault="003F310D">
      <w:pPr>
        <w:rPr>
          <w:b/>
          <w:bCs/>
        </w:rPr>
      </w:pPr>
    </w:p>
    <w:p w14:paraId="5642C82D" w14:textId="77777777" w:rsidR="003F310D" w:rsidRPr="003F310D" w:rsidRDefault="003F310D">
      <w:pPr>
        <w:rPr>
          <w:b/>
          <w:bCs/>
        </w:rPr>
      </w:pPr>
    </w:p>
    <w:sectPr w:rsidR="003F310D" w:rsidRPr="003F310D">
      <w:headerReference w:type="default" r:id="rId31"/>
      <w:headerReference w:type="first" r:id="rId32"/>
      <w:pgSz w:w="11906" w:h="16838"/>
      <w:pgMar w:top="1134" w:right="1134" w:bottom="720" w:left="1134" w:header="720" w:footer="720" w:gutter="0"/>
      <w:cols w:space="720"/>
      <w:titlePg/>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7D5542" w14:textId="77777777" w:rsidR="00647A88" w:rsidRDefault="00647A88">
      <w:r>
        <w:separator/>
      </w:r>
    </w:p>
  </w:endnote>
  <w:endnote w:type="continuationSeparator" w:id="0">
    <w:p w14:paraId="05EA2F8D" w14:textId="77777777" w:rsidR="00647A88" w:rsidRDefault="00647A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02"/>
    <w:family w:val="auto"/>
    <w:pitch w:val="default"/>
  </w:font>
  <w:font w:name="Calibri">
    <w:panose1 w:val="020F0502020204030204"/>
    <w:charset w:val="00"/>
    <w:family w:val="swiss"/>
    <w:pitch w:val="variable"/>
    <w:sig w:usb0="E4002EFF" w:usb1="C000247B" w:usb2="00000009" w:usb3="00000000" w:csb0="000001FF" w:csb1="00000000"/>
  </w:font>
  <w:font w:name="Liberation Serif">
    <w:altName w:val="Times New Roman"/>
    <w:charset w:val="01"/>
    <w:family w:val="roman"/>
    <w:pitch w:val="variable"/>
  </w:font>
  <w:font w:name="Noto Sans CJK SC Regular">
    <w:altName w:val="Calibri"/>
    <w:charset w:val="00"/>
    <w:family w:val="auto"/>
    <w:pitch w:val="variable"/>
  </w:font>
  <w:font w:name="FreeSans">
    <w:altName w:val="Calibri"/>
    <w:charset w:val="00"/>
    <w:family w:val="auto"/>
    <w:pitch w:val="variable"/>
  </w:font>
  <w:font w:name="Liberation Sans">
    <w:altName w:val="Arial"/>
    <w:charset w:val="00"/>
    <w:family w:val="swiss"/>
    <w:pitch w:val="variable"/>
  </w:font>
  <w:font w:name="Calibri Light">
    <w:panose1 w:val="020F03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176752" w14:textId="77777777" w:rsidR="00647A88" w:rsidRDefault="00647A88">
      <w:r>
        <w:separator/>
      </w:r>
    </w:p>
  </w:footnote>
  <w:footnote w:type="continuationSeparator" w:id="0">
    <w:p w14:paraId="69495434" w14:textId="77777777" w:rsidR="00647A88" w:rsidRDefault="00647A8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7AE0252" w14:textId="77777777" w:rsidR="00905466" w:rsidRDefault="00F00213">
    <w:pPr>
      <w:pStyle w:val="Header"/>
    </w:pPr>
    <w:r>
      <w:tab/>
    </w:r>
    <w:r>
      <w:tab/>
    </w:r>
    <w:r>
      <w:fldChar w:fldCharType="begin"/>
    </w:r>
    <w:r>
      <w:instrText xml:space="preserve"> PAGE </w:instrText>
    </w:r>
    <w:r>
      <w:fldChar w:fldCharType="separate"/>
    </w:r>
    <w:r>
      <w:t>8</w:t>
    </w:r>
    <w:r>
      <w:fldChar w:fldCharType="end"/>
    </w:r>
  </w:p>
  <w:p w14:paraId="099BD324" w14:textId="77777777" w:rsidR="00905466" w:rsidRDefault="00647A8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728498" w14:textId="77777777" w:rsidR="00905466" w:rsidRDefault="00F00213">
    <w:pPr>
      <w:pStyle w:val="Header"/>
    </w:pPr>
    <w:r>
      <w:tab/>
    </w:r>
    <w:r>
      <w:tab/>
    </w:r>
    <w:r>
      <w:fldChar w:fldCharType="begin"/>
    </w:r>
    <w:r>
      <w:instrText xml:space="preserve"> PAGE </w:instrText>
    </w:r>
    <w:r>
      <w:fldChar w:fldCharType="separate"/>
    </w:r>
    <w:r>
      <w:t>1</w:t>
    </w:r>
    <w:r>
      <w:fldChar w:fldCharType="end"/>
    </w:r>
  </w:p>
  <w:p w14:paraId="35557B5C" w14:textId="77777777" w:rsidR="00905466" w:rsidRDefault="00647A8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0" w:firstLine="0"/>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0"/>
        </w:tabs>
        <w:ind w:left="0" w:firstLine="0"/>
      </w:pPr>
      <w:rPr>
        <w:rFonts w:ascii="Symbol" w:hAnsi="Symbol" w:cs="OpenSymbol"/>
      </w:rPr>
    </w:lvl>
    <w:lvl w:ilvl="1">
      <w:start w:val="1"/>
      <w:numFmt w:val="bullet"/>
      <w:lvlText w:val=""/>
      <w:lvlJc w:val="left"/>
      <w:pPr>
        <w:tabs>
          <w:tab w:val="num" w:pos="0"/>
        </w:tabs>
        <w:ind w:left="1414" w:hanging="283"/>
      </w:pPr>
      <w:rPr>
        <w:rFonts w:ascii="Symbol" w:hAnsi="Symbol" w:cs="OpenSymbol"/>
      </w:rPr>
    </w:lvl>
    <w:lvl w:ilvl="2">
      <w:start w:val="1"/>
      <w:numFmt w:val="bullet"/>
      <w:lvlText w:val=""/>
      <w:lvlJc w:val="left"/>
      <w:pPr>
        <w:tabs>
          <w:tab w:val="num" w:pos="0"/>
        </w:tabs>
        <w:ind w:left="2121" w:hanging="283"/>
      </w:pPr>
      <w:rPr>
        <w:rFonts w:ascii="Symbol" w:hAnsi="Symbol" w:cs="OpenSymbol"/>
      </w:rPr>
    </w:lvl>
    <w:lvl w:ilvl="3">
      <w:start w:val="1"/>
      <w:numFmt w:val="bullet"/>
      <w:lvlText w:val=""/>
      <w:lvlJc w:val="left"/>
      <w:pPr>
        <w:tabs>
          <w:tab w:val="num" w:pos="0"/>
        </w:tabs>
        <w:ind w:left="2828" w:hanging="283"/>
      </w:pPr>
      <w:rPr>
        <w:rFonts w:ascii="Symbol" w:hAnsi="Symbol" w:cs="OpenSymbol"/>
      </w:rPr>
    </w:lvl>
    <w:lvl w:ilvl="4">
      <w:start w:val="1"/>
      <w:numFmt w:val="bullet"/>
      <w:lvlText w:val=""/>
      <w:lvlJc w:val="left"/>
      <w:pPr>
        <w:tabs>
          <w:tab w:val="num" w:pos="0"/>
        </w:tabs>
        <w:ind w:left="3535" w:hanging="283"/>
      </w:pPr>
      <w:rPr>
        <w:rFonts w:ascii="Symbol" w:hAnsi="Symbol" w:cs="OpenSymbol"/>
      </w:rPr>
    </w:lvl>
    <w:lvl w:ilvl="5">
      <w:start w:val="1"/>
      <w:numFmt w:val="bullet"/>
      <w:lvlText w:val=""/>
      <w:lvlJc w:val="left"/>
      <w:pPr>
        <w:tabs>
          <w:tab w:val="num" w:pos="0"/>
        </w:tabs>
        <w:ind w:left="4242" w:hanging="283"/>
      </w:pPr>
      <w:rPr>
        <w:rFonts w:ascii="Symbol" w:hAnsi="Symbol" w:cs="OpenSymbol"/>
      </w:rPr>
    </w:lvl>
    <w:lvl w:ilvl="6">
      <w:start w:val="1"/>
      <w:numFmt w:val="bullet"/>
      <w:lvlText w:val=""/>
      <w:lvlJc w:val="left"/>
      <w:pPr>
        <w:tabs>
          <w:tab w:val="num" w:pos="0"/>
        </w:tabs>
        <w:ind w:left="4949" w:hanging="283"/>
      </w:pPr>
      <w:rPr>
        <w:rFonts w:ascii="Symbol" w:hAnsi="Symbol" w:cs="OpenSymbol"/>
      </w:rPr>
    </w:lvl>
    <w:lvl w:ilvl="7">
      <w:start w:val="1"/>
      <w:numFmt w:val="bullet"/>
      <w:lvlText w:val=""/>
      <w:lvlJc w:val="left"/>
      <w:pPr>
        <w:tabs>
          <w:tab w:val="num" w:pos="0"/>
        </w:tabs>
        <w:ind w:left="5656" w:hanging="283"/>
      </w:pPr>
      <w:rPr>
        <w:rFonts w:ascii="Symbol" w:hAnsi="Symbol" w:cs="OpenSymbol"/>
      </w:rPr>
    </w:lvl>
    <w:lvl w:ilvl="8">
      <w:start w:val="1"/>
      <w:numFmt w:val="bullet"/>
      <w:lvlText w:val=""/>
      <w:lvlJc w:val="left"/>
      <w:pPr>
        <w:tabs>
          <w:tab w:val="num" w:pos="0"/>
        </w:tabs>
        <w:ind w:left="6363" w:hanging="283"/>
      </w:pPr>
      <w:rPr>
        <w:rFonts w:ascii="Symbol" w:hAnsi="Symbol" w:cs="OpenSymbol"/>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14B9"/>
    <w:rsid w:val="00140B23"/>
    <w:rsid w:val="002231CC"/>
    <w:rsid w:val="003F310D"/>
    <w:rsid w:val="00647A88"/>
    <w:rsid w:val="006E7D81"/>
    <w:rsid w:val="00734487"/>
    <w:rsid w:val="008E1B2E"/>
    <w:rsid w:val="009D33BF"/>
    <w:rsid w:val="00A64D37"/>
    <w:rsid w:val="00AE0766"/>
    <w:rsid w:val="00BE4C06"/>
    <w:rsid w:val="00C1169A"/>
    <w:rsid w:val="00C12FBE"/>
    <w:rsid w:val="00C738E7"/>
    <w:rsid w:val="00C814B9"/>
    <w:rsid w:val="00D05DA8"/>
    <w:rsid w:val="00E70B45"/>
    <w:rsid w:val="00E87873"/>
    <w:rsid w:val="00EA701E"/>
    <w:rsid w:val="00F002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0B7961"/>
  <w15:chartTrackingRefBased/>
  <w15:docId w15:val="{6BE88A5D-019B-449E-98F3-F21F761820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0"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0"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14B9"/>
    <w:pPr>
      <w:pBdr>
        <w:top w:val="none" w:sz="0" w:space="0" w:color="000000"/>
        <w:left w:val="none" w:sz="0" w:space="0" w:color="000000"/>
        <w:bottom w:val="none" w:sz="0" w:space="0" w:color="000000"/>
        <w:right w:val="none" w:sz="0" w:space="0" w:color="000000"/>
      </w:pBdr>
      <w:suppressAutoHyphens/>
      <w:spacing w:after="0" w:line="240" w:lineRule="auto"/>
      <w:textAlignment w:val="baseline"/>
    </w:pPr>
    <w:rPr>
      <w:rFonts w:ascii="Liberation Serif" w:eastAsia="Noto Sans CJK SC Regular" w:hAnsi="Liberation Serif" w:cs="FreeSans"/>
      <w:kern w:val="1"/>
      <w:sz w:val="24"/>
      <w:szCs w:val="24"/>
      <w:lang w:val="en-IN" w:eastAsia="zh-CN" w:bidi="hi-IN"/>
    </w:rPr>
  </w:style>
  <w:style w:type="paragraph" w:styleId="Heading1">
    <w:name w:val="heading 1"/>
    <w:basedOn w:val="Normal"/>
    <w:next w:val="BodyText"/>
    <w:link w:val="Heading1Char"/>
    <w:qFormat/>
    <w:rsid w:val="00C814B9"/>
    <w:pPr>
      <w:keepNext/>
      <w:numPr>
        <w:numId w:val="1"/>
      </w:numPr>
      <w:spacing w:before="240" w:after="120"/>
      <w:outlineLvl w:val="0"/>
    </w:pPr>
    <w:rPr>
      <w:rFonts w:ascii="Liberation Sans" w:hAnsi="Liberation Sans" w:cs="Liberation Sans"/>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C814B9"/>
    <w:rPr>
      <w:rFonts w:ascii="Liberation Sans" w:eastAsia="Noto Sans CJK SC Regular" w:hAnsi="Liberation Sans" w:cs="Liberation Sans"/>
      <w:b/>
      <w:bCs/>
      <w:kern w:val="1"/>
      <w:sz w:val="28"/>
      <w:szCs w:val="28"/>
      <w:lang w:val="en-IN" w:eastAsia="zh-CN" w:bidi="hi-IN"/>
    </w:rPr>
  </w:style>
  <w:style w:type="character" w:customStyle="1" w:styleId="IndexLink">
    <w:name w:val="Index Link"/>
    <w:rsid w:val="00C814B9"/>
  </w:style>
  <w:style w:type="character" w:styleId="Hyperlink">
    <w:name w:val="Hyperlink"/>
    <w:rsid w:val="00C814B9"/>
    <w:rPr>
      <w:color w:val="0563C1"/>
      <w:u w:val="single"/>
    </w:rPr>
  </w:style>
  <w:style w:type="paragraph" w:styleId="BodyText">
    <w:name w:val="Body Text"/>
    <w:basedOn w:val="Normal"/>
    <w:link w:val="BodyTextChar"/>
    <w:rsid w:val="00C814B9"/>
    <w:pPr>
      <w:spacing w:after="140" w:line="288" w:lineRule="auto"/>
    </w:pPr>
  </w:style>
  <w:style w:type="character" w:customStyle="1" w:styleId="BodyTextChar">
    <w:name w:val="Body Text Char"/>
    <w:basedOn w:val="DefaultParagraphFont"/>
    <w:link w:val="BodyText"/>
    <w:rsid w:val="00C814B9"/>
    <w:rPr>
      <w:rFonts w:ascii="Liberation Serif" w:eastAsia="Noto Sans CJK SC Regular" w:hAnsi="Liberation Serif" w:cs="FreeSans"/>
      <w:kern w:val="1"/>
      <w:sz w:val="24"/>
      <w:szCs w:val="24"/>
      <w:lang w:val="en-IN" w:eastAsia="zh-CN" w:bidi="hi-IN"/>
    </w:rPr>
  </w:style>
  <w:style w:type="paragraph" w:customStyle="1" w:styleId="LO-Normal">
    <w:name w:val="LO-Normal"/>
    <w:rsid w:val="00C814B9"/>
    <w:pPr>
      <w:pBdr>
        <w:top w:val="none" w:sz="0" w:space="0" w:color="000000"/>
        <w:left w:val="none" w:sz="0" w:space="0" w:color="000000"/>
        <w:bottom w:val="none" w:sz="0" w:space="0" w:color="000000"/>
        <w:right w:val="none" w:sz="0" w:space="0" w:color="000000"/>
      </w:pBdr>
      <w:suppressAutoHyphens/>
      <w:spacing w:after="0" w:line="240" w:lineRule="auto"/>
      <w:textAlignment w:val="baseline"/>
    </w:pPr>
    <w:rPr>
      <w:rFonts w:ascii="Liberation Serif" w:eastAsia="Noto Sans CJK SC Regular" w:hAnsi="Liberation Serif" w:cs="FreeSans"/>
      <w:kern w:val="1"/>
      <w:sz w:val="24"/>
      <w:szCs w:val="24"/>
      <w:lang w:val="en-IN" w:eastAsia="zh-CN" w:bidi="hi-IN"/>
    </w:rPr>
  </w:style>
  <w:style w:type="paragraph" w:styleId="TOCHeading">
    <w:name w:val="TOC Heading"/>
    <w:basedOn w:val="Heading1"/>
    <w:next w:val="LO-Normal"/>
    <w:qFormat/>
    <w:rsid w:val="00C814B9"/>
    <w:pPr>
      <w:keepLines/>
      <w:numPr>
        <w:numId w:val="0"/>
      </w:numPr>
      <w:suppressAutoHyphens w:val="0"/>
      <w:spacing w:before="0" w:after="0" w:line="254" w:lineRule="auto"/>
      <w:textAlignment w:val="auto"/>
    </w:pPr>
    <w:rPr>
      <w:rFonts w:ascii="Calibri Light" w:eastAsia="Times New Roman" w:hAnsi="Calibri Light" w:cs="Times New Roman"/>
      <w:b w:val="0"/>
      <w:bCs w:val="0"/>
      <w:color w:val="2F5496"/>
      <w:sz w:val="32"/>
      <w:szCs w:val="32"/>
      <w:lang w:val="en-US" w:eastAsia="en-US" w:bidi="ar-SA"/>
    </w:rPr>
  </w:style>
  <w:style w:type="paragraph" w:styleId="TOC1">
    <w:name w:val="toc 1"/>
    <w:basedOn w:val="LO-Normal"/>
    <w:next w:val="LO-Normal"/>
    <w:rsid w:val="00C814B9"/>
    <w:pPr>
      <w:spacing w:after="100"/>
    </w:pPr>
    <w:rPr>
      <w:rFonts w:cs="Mangal"/>
      <w:szCs w:val="21"/>
    </w:rPr>
  </w:style>
  <w:style w:type="paragraph" w:styleId="Header">
    <w:name w:val="header"/>
    <w:basedOn w:val="LO-Normal"/>
    <w:link w:val="HeaderChar"/>
    <w:rsid w:val="00C814B9"/>
    <w:pPr>
      <w:tabs>
        <w:tab w:val="center" w:pos="4513"/>
        <w:tab w:val="right" w:pos="9026"/>
      </w:tabs>
    </w:pPr>
    <w:rPr>
      <w:rFonts w:cs="Mangal"/>
      <w:szCs w:val="21"/>
    </w:rPr>
  </w:style>
  <w:style w:type="character" w:customStyle="1" w:styleId="HeaderChar">
    <w:name w:val="Header Char"/>
    <w:basedOn w:val="DefaultParagraphFont"/>
    <w:link w:val="Header"/>
    <w:rsid w:val="00C814B9"/>
    <w:rPr>
      <w:rFonts w:ascii="Liberation Serif" w:eastAsia="Noto Sans CJK SC Regular" w:hAnsi="Liberation Serif" w:cs="Mangal"/>
      <w:kern w:val="1"/>
      <w:sz w:val="24"/>
      <w:szCs w:val="21"/>
      <w:lang w:val="en-IN" w:eastAsia="zh-CN" w:bidi="hi-IN"/>
    </w:rPr>
  </w:style>
  <w:style w:type="paragraph" w:customStyle="1" w:styleId="TimeNewRoman">
    <w:name w:val="Time New Roman"/>
    <w:basedOn w:val="Normal"/>
    <w:rsid w:val="00C814B9"/>
    <w:pPr>
      <w:pBdr>
        <w:top w:val="none" w:sz="0" w:space="0" w:color="auto"/>
        <w:left w:val="none" w:sz="0" w:space="0" w:color="auto"/>
        <w:bottom w:val="none" w:sz="0" w:space="0" w:color="auto"/>
        <w:right w:val="none" w:sz="0" w:space="0" w:color="auto"/>
      </w:pBdr>
      <w:autoSpaceDN w:val="0"/>
      <w:spacing w:line="360" w:lineRule="auto"/>
      <w:jc w:val="center"/>
    </w:pPr>
    <w:rPr>
      <w:rFonts w:ascii="Times New Roman" w:eastAsia="Times New Roman" w:hAnsi="Times New Roman" w:cs="Times New Roman"/>
      <w:kern w:val="0"/>
      <w:sz w:val="32"/>
      <w:szCs w:val="32"/>
      <w:lang w:val="en-US" w:eastAsia="ru-RU" w:bidi="ar-SA"/>
    </w:rPr>
  </w:style>
  <w:style w:type="paragraph" w:styleId="NormalWeb">
    <w:name w:val="Normal (Web)"/>
    <w:basedOn w:val="Normal"/>
    <w:rsid w:val="00C814B9"/>
    <w:pPr>
      <w:pBdr>
        <w:top w:val="none" w:sz="0" w:space="0" w:color="auto"/>
        <w:left w:val="none" w:sz="0" w:space="0" w:color="auto"/>
        <w:bottom w:val="none" w:sz="0" w:space="0" w:color="auto"/>
        <w:right w:val="none" w:sz="0" w:space="0" w:color="auto"/>
      </w:pBdr>
      <w:autoSpaceDN w:val="0"/>
      <w:spacing w:before="100" w:after="100"/>
    </w:pPr>
    <w:rPr>
      <w:rFonts w:ascii="Times New Roman" w:eastAsia="Times New Roman" w:hAnsi="Times New Roman" w:cs="Times New Roman"/>
      <w:kern w:val="0"/>
      <w:lang w:val="ru-RU" w:eastAsia="ru-RU" w:bidi="ar-SA"/>
    </w:rPr>
  </w:style>
  <w:style w:type="character" w:styleId="UnresolvedMention">
    <w:name w:val="Unresolved Mention"/>
    <w:basedOn w:val="DefaultParagraphFont"/>
    <w:uiPriority w:val="99"/>
    <w:semiHidden/>
    <w:unhideWhenUsed/>
    <w:rsid w:val="003F31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38948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_blank" TargetMode="External"/><Relationship Id="rId18" Type="http://schemas.openxmlformats.org/officeDocument/2006/relationships/image" Target="media/image1.png"/><Relationship Id="rId26" Type="http://schemas.openxmlformats.org/officeDocument/2006/relationships/hyperlink" Target="https://www.marketscreener.com/business-leaders/John-Manzoni-05KV29-E/biography/" TargetMode="External"/><Relationship Id="rId3" Type="http://schemas.openxmlformats.org/officeDocument/2006/relationships/customXml" Target="../customXml/item3.xml"/><Relationship Id="rId21" Type="http://schemas.openxmlformats.org/officeDocument/2006/relationships/hyperlink" Target="https://www.marketscreener.com/business-leaders/Kathryn-Mikells-06V2V8-E/biography/" TargetMode="External"/><Relationship Id="rId34"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_blank" TargetMode="External"/><Relationship Id="rId17" Type="http://schemas.openxmlformats.org/officeDocument/2006/relationships/hyperlink" Target="_blank" TargetMode="External"/><Relationship Id="rId25" Type="http://schemas.openxmlformats.org/officeDocument/2006/relationships/hyperlink" Target="https://www.marketscreener.com/business-leaders/Melissa-Bethell-067NHJ-E/biography/"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_blank" TargetMode="External"/><Relationship Id="rId20" Type="http://schemas.openxmlformats.org/officeDocument/2006/relationships/hyperlink" Target="https://www.marketscreener.com/business-leaders/Javier-Ferr-n-5648/biography/" TargetMode="External"/><Relationship Id="rId29" Type="http://schemas.openxmlformats.org/officeDocument/2006/relationships/hyperlink" Target="https://www.marketscreener.com/quote/stock/DIAGEO-PLC-4000514/company/"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_blank" TargetMode="External"/><Relationship Id="rId24" Type="http://schemas.openxmlformats.org/officeDocument/2006/relationships/hyperlink" Target="https://www.marketscreener.com/business-leaders/Susan-Kilsby-3272/biography/" TargetMode="External"/><Relationship Id="rId32" Type="http://schemas.openxmlformats.org/officeDocument/2006/relationships/header" Target="header2.xml"/><Relationship Id="rId5" Type="http://schemas.openxmlformats.org/officeDocument/2006/relationships/styles" Target="styles.xml"/><Relationship Id="rId15" Type="http://schemas.openxmlformats.org/officeDocument/2006/relationships/hyperlink" Target="_blank" TargetMode="External"/><Relationship Id="rId23" Type="http://schemas.openxmlformats.org/officeDocument/2006/relationships/hyperlink" Target="https://www.marketscreener.com/business-leaders/Nicola-Mendelsohn-0BTSM6-E/biography/" TargetMode="External"/><Relationship Id="rId28" Type="http://schemas.openxmlformats.org/officeDocument/2006/relationships/hyperlink" Target="https://www.marketscreener.com/business-leaders/Valerie-Chapoulaud-Floquet-7694/biography/" TargetMode="External"/><Relationship Id="rId10" Type="http://schemas.openxmlformats.org/officeDocument/2006/relationships/hyperlink" Target="_blank" TargetMode="External"/><Relationship Id="rId19" Type="http://schemas.openxmlformats.org/officeDocument/2006/relationships/hyperlink" Target="https://www.marketscreener.com/business-leaders/Ivan-Menezes-3725/biography/" TargetMode="External"/><Relationship Id="rId31"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_blank" TargetMode="External"/><Relationship Id="rId22" Type="http://schemas.openxmlformats.org/officeDocument/2006/relationships/hyperlink" Target="https://www.marketscreener.com/business-leaders/Alan-Stewart-05VFG0-E/biography/" TargetMode="External"/><Relationship Id="rId27" Type="http://schemas.openxmlformats.org/officeDocument/2006/relationships/hyperlink" Target="https://www.marketscreener.com/business-leaders/Ireena-Gopal-Vittal-0CTXY1-E/biography/" TargetMode="External"/><Relationship Id="rId30" Type="http://schemas.openxmlformats.org/officeDocument/2006/relationships/hyperlink" Target="https://www.investopedia.com/terms/s/stakeholder.asp" TargetMode="Externa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00156283AFBE640A399E02E54C55F98" ma:contentTypeVersion="0" ma:contentTypeDescription="Create a new document." ma:contentTypeScope="" ma:versionID="acabe66d451827c3c932c2bd525b1288">
  <xsd:schema xmlns:xsd="http://www.w3.org/2001/XMLSchema" xmlns:xs="http://www.w3.org/2001/XMLSchema" xmlns:p="http://schemas.microsoft.com/office/2006/metadata/properties" targetNamespace="http://schemas.microsoft.com/office/2006/metadata/properties" ma:root="true" ma:fieldsID="284589e84e00154c623bfcd4bd544180">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1CF292C-AB88-4CA1-BEA7-E75321BAD34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C57C05F1-DC38-45A1-A222-2A476806384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5E9AD65-15BE-4A71-89D0-DA75B1BAEDE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38</TotalTime>
  <Pages>10</Pages>
  <Words>2427</Words>
  <Characters>13834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Stefania Prohnitchi (1917713)</dc:creator>
  <cp:keywords/>
  <dc:description/>
  <cp:lastModifiedBy>Stefania</cp:lastModifiedBy>
  <cp:revision>13</cp:revision>
  <dcterms:created xsi:type="dcterms:W3CDTF">2021-01-06T12:07:00Z</dcterms:created>
  <dcterms:modified xsi:type="dcterms:W3CDTF">2021-01-06T20:58:00Z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0x010100800156283AFBE640A399E02E54C55F98</vt:lpwstr>
  </property>
</Properties>
</file>