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2B0ED9D4" w14:textId="44FBFB16" w:rsidR="00495D3F" w:rsidRDefault="00495D3F">
      <w:r>
        <w:rPr>
          <w:noProof/>
          <w:lang w:eastAsia="en-GB"/>
        </w:rPr>
        <w:drawing>
          <wp:anchor distT="0" distB="0" distL="114300" distR="114300" simplePos="0" relativeHeight="251658240" behindDoc="0" locked="0" layoutInCell="1" allowOverlap="1" wp14:anchorId="0C2AD4AF" wp14:editId="622DFDC9">
            <wp:simplePos x="0" y="0"/>
            <wp:positionH relativeFrom="margin">
              <wp:align>left</wp:align>
            </wp:positionH>
            <wp:positionV relativeFrom="paragraph">
              <wp:posOffset>1238250</wp:posOffset>
            </wp:positionV>
            <wp:extent cx="8299450" cy="5827395"/>
            <wp:effectExtent l="0" t="2223" r="4128" b="4127"/>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jpg"/>
                    <pic:cNvPicPr/>
                  </pic:nvPicPr>
                  <pic:blipFill>
                    <a:blip r:embed="rId6">
                      <a:extLst>
                        <a:ext uri="{28A0092B-C50C-407E-A947-70E740481C1C}">
                          <a14:useLocalDpi xmlns:a14="http://schemas.microsoft.com/office/drawing/2010/main" val="0"/>
                        </a:ext>
                      </a:extLst>
                    </a:blip>
                    <a:stretch>
                      <a:fillRect/>
                    </a:stretch>
                  </pic:blipFill>
                  <pic:spPr>
                    <a:xfrm rot="16200000">
                      <a:off x="0" y="0"/>
                      <a:ext cx="8299450" cy="5827395"/>
                    </a:xfrm>
                    <a:prstGeom prst="rect">
                      <a:avLst/>
                    </a:prstGeom>
                  </pic:spPr>
                </pic:pic>
              </a:graphicData>
            </a:graphic>
            <wp14:sizeRelH relativeFrom="page">
              <wp14:pctWidth>0</wp14:pctWidth>
            </wp14:sizeRelH>
            <wp14:sizeRelV relativeFrom="page">
              <wp14:pctHeight>0</wp14:pctHeight>
            </wp14:sizeRelV>
          </wp:anchor>
        </w:drawing>
      </w:r>
    </w:p>
    <w:p w14:paraId="73C774D3" w14:textId="77777777" w:rsidR="00495D3F" w:rsidRDefault="00495D3F"/>
    <w:p w14:paraId="1A4489E9" w14:textId="55D0EF5F" w:rsidR="00AA5EE0" w:rsidRPr="000628AC" w:rsidRDefault="000628AC">
      <w:pPr>
        <w:rPr>
          <w:u w:val="single"/>
        </w:rPr>
      </w:pPr>
      <w:r>
        <w:rPr>
          <w:u w:val="single"/>
        </w:rPr>
        <w:lastRenderedPageBreak/>
        <w:t>Part One.</w:t>
      </w:r>
    </w:p>
    <w:p w14:paraId="7EA95834" w14:textId="0C3FBD97" w:rsidR="00AA5EE0" w:rsidRDefault="001F1088" w:rsidP="001F1088">
      <w:pPr>
        <w:ind w:firstLine="720"/>
      </w:pPr>
      <w:r>
        <w:t xml:space="preserve">Immediately what stands out as a taphonomic problem are the comparable context layers between 2 and 5, and from 6 to 11. The stratigraphic layers are easily visible from the first few </w:t>
      </w:r>
      <w:r w:rsidR="00BB7FB8">
        <w:t xml:space="preserve">and retrieving a core sample would give better reliable evidence to the aging of that particular context. However, as the contexts seem to pass context layer 6 the archaeology starts to become disturbed and instead of giving clear-lines of stratigraphy it starts to cause problems for how reliable a source would be for the archaeology. </w:t>
      </w:r>
    </w:p>
    <w:p w14:paraId="0458FFBC" w14:textId="2C2BB81C" w:rsidR="00BB7FB8" w:rsidRDefault="00BB7FB8" w:rsidP="001F1088">
      <w:pPr>
        <w:ind w:firstLine="720"/>
      </w:pPr>
      <w:r>
        <w:t xml:space="preserve">Sherd features, marked to be from the Beaker period, seem to mingle with archaeology from the Romano-British periods and whereas this is clear indication of disruption it becomes difficult to determine the ages of the molluscs in the context. Taphonomy may be altered in a number of ways, including, but not limiting to, </w:t>
      </w:r>
      <w:r w:rsidR="00A11DFF">
        <w:t>basic agricultural activities, or animals disturbing the land to bury their items (though possible, it is highly unlikely it would cause much of a difference in disturbing land, especially seeing on the diagram it is almost two meters worth).</w:t>
      </w:r>
      <w:r>
        <w:t xml:space="preserve"> </w:t>
      </w:r>
      <w:r w:rsidR="009C32B5">
        <w:t xml:space="preserve">Reitz and Wing (1999) suggest a way of being able to determine whether a taphonomical disturbance happened is finding the state in which the mollusc was found in. For example, the shell of a mollusc is durable and therefore won’t decompose the same way as its softer-body or bone; if kept in-situ and left to fossilise without being interrupted until archaeologists discover it in the future, in theory the shell should be complete (or close to complete) and in relatively good shape (Reitz, Wing 1999). </w:t>
      </w:r>
      <w:r w:rsidR="00082F44">
        <w:t>Ascribing a taphonomical history to the molluscs in this example</w:t>
      </w:r>
      <w:r w:rsidR="00940ED2">
        <w:t>,</w:t>
      </w:r>
      <w:r w:rsidR="00082F44">
        <w:t xml:space="preserve"> in particular</w:t>
      </w:r>
      <w:r w:rsidR="00940ED2">
        <w:t>,</w:t>
      </w:r>
      <w:r w:rsidR="00082F44">
        <w:t xml:space="preserve"> would be unrepresentative of all ages which it covers if only one context layer ate these creatures or if the creatures only lived there for a certain amount of time. </w:t>
      </w:r>
      <w:r w:rsidR="00940ED2">
        <w:t>Another problem would be an archaeologist would not have a profile like the one shown, unless the site has been dug to find a side profile like this, and if molluscs were found it is highly possible a pattern may be missed</w:t>
      </w:r>
      <w:r w:rsidR="00FC2919">
        <w:t xml:space="preserve"> and not recorded due to</w:t>
      </w:r>
      <w:r w:rsidR="00940ED2">
        <w:t xml:space="preserve"> human error.</w:t>
      </w:r>
    </w:p>
    <w:p w14:paraId="2442D94C" w14:textId="415C16D5" w:rsidR="00D0167F" w:rsidRDefault="00A517D0" w:rsidP="001F1088">
      <w:pPr>
        <w:ind w:firstLine="720"/>
      </w:pPr>
      <w:r>
        <w:t xml:space="preserve">Therefore, due to the nature of the context layers, it would be representative to say the estimated earliest date would be from the Romano-Britain period and latest activity would be farming in the medieval period but would be difficult to determine whether the species came before that settlement, during, after, or in continuous usage before the site became arable farmland. </w:t>
      </w:r>
    </w:p>
    <w:p w14:paraId="5B60F1BA" w14:textId="77777777" w:rsidR="00BA31F7" w:rsidRDefault="00BA31F7"/>
    <w:p w14:paraId="45D9C88D" w14:textId="7F1B96C8" w:rsidR="00786692" w:rsidRPr="000628AC" w:rsidRDefault="000628AC">
      <w:pPr>
        <w:rPr>
          <w:u w:val="single"/>
        </w:rPr>
      </w:pPr>
      <w:r>
        <w:rPr>
          <w:u w:val="single"/>
        </w:rPr>
        <w:t>Part Two.</w:t>
      </w:r>
    </w:p>
    <w:p w14:paraId="29A0355C" w14:textId="60AC9531" w:rsidR="000628AC" w:rsidRDefault="000628AC" w:rsidP="000628AC">
      <w:r>
        <w:tab/>
      </w:r>
      <w:r>
        <w:t xml:space="preserve">The information shown on diagram 2 varies with the importance of changes which occur to the molluscs found. If to start from the bottom right using the species of </w:t>
      </w:r>
      <w:r>
        <w:rPr>
          <w:i/>
        </w:rPr>
        <w:t>Vertigo pygmaea</w:t>
      </w:r>
      <w:r>
        <w:t xml:space="preserve"> and </w:t>
      </w:r>
      <w:r>
        <w:rPr>
          <w:i/>
        </w:rPr>
        <w:t>Helicello itala</w:t>
      </w:r>
      <w:r>
        <w:t xml:space="preserve"> it is shown that traces of these species can be discovered in tundra planes which survive in the soil; other species such as </w:t>
      </w:r>
      <w:r>
        <w:rPr>
          <w:i/>
        </w:rPr>
        <w:t>Vallonia pulchello</w:t>
      </w:r>
      <w:r>
        <w:t xml:space="preserve">, </w:t>
      </w:r>
      <w:r>
        <w:rPr>
          <w:i/>
        </w:rPr>
        <w:t>Vallonia costata</w:t>
      </w:r>
      <w:r>
        <w:t xml:space="preserve">, </w:t>
      </w:r>
      <w:r>
        <w:rPr>
          <w:i/>
        </w:rPr>
        <w:t>punctum / euconulus virtina / R. Radiotula</w:t>
      </w:r>
      <w:r>
        <w:t xml:space="preserve"> can also be found within in the planes. Compare that to the ‘Open Woodland’ section of the graph, the species still seem to flourish but fluctuate between the times and soil depths; in this section more species are being added and ‘shade-loving species’ are introduced to the graph where they begin to dominate under the protection of the woodland. However, an interesting aspect of the graph is the section highlighted in purple. The duration of ‘Dry grassland, Grassland / Arable’, and especially through the ‘clearance phase’ the diagram depicts an increase of species which previously started to decrease throughout the ‘Open Woodland’ period and increasing in number, dominating once again over species such as Cochicopa and Agriotimax which seemed to flourish the most during the previous era. </w:t>
      </w:r>
    </w:p>
    <w:p w14:paraId="022BD1C2" w14:textId="57E459E8" w:rsidR="000628AC" w:rsidRDefault="000628AC" w:rsidP="000628AC">
      <w:r>
        <w:rPr>
          <w:noProof/>
          <w:lang w:eastAsia="en-GB"/>
        </w:rPr>
        <w:lastRenderedPageBreak/>
        <w:drawing>
          <wp:anchor distT="0" distB="0" distL="114300" distR="114300" simplePos="0" relativeHeight="251661312" behindDoc="0" locked="0" layoutInCell="1" allowOverlap="1" wp14:anchorId="28DD117D" wp14:editId="4AD04D54">
            <wp:simplePos x="0" y="0"/>
            <wp:positionH relativeFrom="margin">
              <wp:align>left</wp:align>
            </wp:positionH>
            <wp:positionV relativeFrom="paragraph">
              <wp:posOffset>90805</wp:posOffset>
            </wp:positionV>
            <wp:extent cx="3449278" cy="41529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558_001.jpg"/>
                    <pic:cNvPicPr/>
                  </pic:nvPicPr>
                  <pic:blipFill rotWithShape="1">
                    <a:blip r:embed="rId7" cstate="print">
                      <a:extLst>
                        <a:ext uri="{28A0092B-C50C-407E-A947-70E740481C1C}">
                          <a14:useLocalDpi xmlns:a14="http://schemas.microsoft.com/office/drawing/2010/main" val="0"/>
                        </a:ext>
                      </a:extLst>
                    </a:blip>
                    <a:srcRect l="23432" t="5407" r="1618" b="30777"/>
                    <a:stretch/>
                  </pic:blipFill>
                  <pic:spPr bwMode="auto">
                    <a:xfrm>
                      <a:off x="0" y="0"/>
                      <a:ext cx="3449278" cy="4152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There are numerous amount of reasons which may suggest why there was a sudden increase in molluscan remains which fluctuate over time, two will be assessed in this assignment. Woodland have an environment fit for most molluscs; it is dark, damp, which is ideal for ‘shade-loving’ molluscs (</w:t>
      </w:r>
      <w:r w:rsidRPr="00056313">
        <w:rPr>
          <w:color w:val="000000" w:themeColor="text1"/>
        </w:rPr>
        <w:t>Allen 2017</w:t>
      </w:r>
      <w:r>
        <w:t>). If the environment is ideal, the higher chance of breeding will happen and allow for a species to keep going. Limicolaria adapted to use the oxygen from the rainfall to coat their shells (</w:t>
      </w:r>
      <w:r w:rsidRPr="00056313">
        <w:rPr>
          <w:color w:val="000000" w:themeColor="text1"/>
        </w:rPr>
        <w:t>Brothwell 2001</w:t>
      </w:r>
      <w:r>
        <w:t>) and therefore provide high records of past seasonal climate change and as the woodland is constantly full of captured moisture Limicolaria can thrive there (</w:t>
      </w:r>
      <w:r w:rsidRPr="00056313">
        <w:rPr>
          <w:color w:val="000000" w:themeColor="text1"/>
        </w:rPr>
        <w:t>Brothwell 2001</w:t>
      </w:r>
      <w:r>
        <w:rPr>
          <w:color w:val="000000" w:themeColor="text1"/>
        </w:rPr>
        <w:t>, see also: Davies 2008</w:t>
      </w:r>
      <w:r>
        <w:t>). The ground is also less acidic (</w:t>
      </w:r>
      <w:r w:rsidRPr="000A1E2A">
        <w:rPr>
          <w:color w:val="000000" w:themeColor="text1"/>
        </w:rPr>
        <w:t>Preece 2001</w:t>
      </w:r>
      <w:r>
        <w:t>) which also allows for molluscs and land snails to survive. If this environment was to change to grassland, as diagram 2 suggests, it can cause quite some damage which can also be seen on the diagram. Grassland, or dry grassland, has hardly any moisture and protection for the species to live in (</w:t>
      </w:r>
      <w:r w:rsidRPr="00056313">
        <w:rPr>
          <w:color w:val="000000" w:themeColor="text1"/>
        </w:rPr>
        <w:t>Davies 2008</w:t>
      </w:r>
      <w:r>
        <w:t xml:space="preserve">); they are unprotected and vulnerable.  Even a small environmental change could cause devastation to an ecosystem as delicate as molluscs. Farming during the Medieval period may disrupt fossilised shells and can lead to a misinterpretation of the site found on. </w:t>
      </w:r>
    </w:p>
    <w:p w14:paraId="2CF2D77D" w14:textId="60747655" w:rsidR="00364328" w:rsidRDefault="000628AC">
      <w:r>
        <w:t xml:space="preserve">Using Preece’s (2001) explanation of “Molluscan zonation revisited” and how they describe what a decrease or increase of a certain species means in context of a period, an estimation can be made to compare with diagram 2. When </w:t>
      </w:r>
      <w:r>
        <w:rPr>
          <w:i/>
        </w:rPr>
        <w:t>Vallonia or Pupilla or Vitrina</w:t>
      </w:r>
      <w:r>
        <w:t xml:space="preserve"> dominate it is estimated between 11,210 BCE and 9580 BCE, during the Late-Glacial period. On the diagram it shows Vallonia dominating the tundra section and so one may compare those dates. Using the same logic this can be seen with species appearing and Vallonia continuing until 7870 BCE. However, there is a decrease in other plants as the late-glacial period goes into the Pre-boreal period. It can be assumed, or guessed, that during the times after 7870 BCE shows the section of Open Woodland on the diagram when new species dominate while the ones previously decrease rapidly. By 3670 BCE, during the Sub-boreal or Epi-Atlantic, Preece states that the species in rapid decline start to expand once more and comparing to the ‘Clearance Phase’ and ‘Grassland’ section on the diagram, it shows this transformation. Therefore, can be used to estimate the date of the molluscs shown. </w:t>
      </w:r>
    </w:p>
    <w:p w14:paraId="1D64AEDA" w14:textId="3A94B2CB" w:rsidR="00364328" w:rsidRDefault="00364328"/>
    <w:p w14:paraId="759BE82A" w14:textId="79268BF7" w:rsidR="00364328" w:rsidRDefault="00364328"/>
    <w:p w14:paraId="56D4748C" w14:textId="2F87F567" w:rsidR="00364328" w:rsidRDefault="00364328"/>
    <w:p w14:paraId="033D6661" w14:textId="77777777" w:rsidR="000628AC" w:rsidRDefault="000628AC"/>
    <w:p w14:paraId="62FD711B" w14:textId="6EEC887F" w:rsidR="00364328" w:rsidRDefault="00364328">
      <w:pPr>
        <w:rPr>
          <w:u w:val="single"/>
        </w:rPr>
      </w:pPr>
      <w:r w:rsidRPr="00364328">
        <w:rPr>
          <w:u w:val="single"/>
        </w:rPr>
        <w:lastRenderedPageBreak/>
        <w:t>References.</w:t>
      </w:r>
    </w:p>
    <w:p w14:paraId="37827357" w14:textId="03A5DB44" w:rsidR="00364328" w:rsidRDefault="00364328">
      <w:r>
        <w:t xml:space="preserve">Allen, </w:t>
      </w:r>
      <w:r w:rsidR="00BB1DEE">
        <w:t xml:space="preserve">M. 2017. </w:t>
      </w:r>
      <w:r w:rsidR="00BB1DEE">
        <w:rPr>
          <w:i/>
        </w:rPr>
        <w:t>Molluscs in Archaeology: Methods, Approaches and Applications</w:t>
      </w:r>
      <w:r w:rsidR="00BB1DEE">
        <w:t>. Oxford: OXBOW Books. pp. 92.</w:t>
      </w:r>
    </w:p>
    <w:p w14:paraId="0CD96073" w14:textId="6093F236" w:rsidR="00E97350" w:rsidRPr="00E97350" w:rsidRDefault="00E97350">
      <w:r>
        <w:t xml:space="preserve">Bell, M., Boardman, J. 1992. </w:t>
      </w:r>
      <w:r>
        <w:rPr>
          <w:i/>
        </w:rPr>
        <w:t>Past and Present Soil Erosion. Archaeological and Geographical Perspectives</w:t>
      </w:r>
      <w:r>
        <w:t>. Oxford: OXBOW Books.</w:t>
      </w:r>
      <w:bookmarkStart w:id="0" w:name="_GoBack"/>
      <w:bookmarkEnd w:id="0"/>
    </w:p>
    <w:p w14:paraId="46109B5A" w14:textId="77B8235F" w:rsidR="00BB1DEE" w:rsidRDefault="00BB1DEE">
      <w:r>
        <w:t xml:space="preserve">Brothwell, D., Pollard, A. 2001. </w:t>
      </w:r>
      <w:r>
        <w:rPr>
          <w:i/>
        </w:rPr>
        <w:t>Archaeological Sciences</w:t>
      </w:r>
      <w:r>
        <w:t>. Chichester: John Wiley &amp; Sons Ltd. pp. 137, 142.</w:t>
      </w:r>
    </w:p>
    <w:p w14:paraId="572DEBCE" w14:textId="6E31F895" w:rsidR="00BB1DEE" w:rsidRDefault="00BB1DEE" w:rsidP="00BB1DEE">
      <w:pPr>
        <w:tabs>
          <w:tab w:val="left" w:pos="2250"/>
        </w:tabs>
      </w:pPr>
      <w:r>
        <w:t xml:space="preserve">Davies, P. 2008. </w:t>
      </w:r>
      <w:r>
        <w:rPr>
          <w:i/>
        </w:rPr>
        <w:t>Snails. Archaeology and Landscape Change</w:t>
      </w:r>
      <w:r>
        <w:t>. Oxford: OXBOW books. pp. 9, 33.</w:t>
      </w:r>
    </w:p>
    <w:p w14:paraId="5F12B995" w14:textId="658D3CA0" w:rsidR="00BB1DEE" w:rsidRDefault="00BB1DEE" w:rsidP="004230FC">
      <w:pPr>
        <w:tabs>
          <w:tab w:val="left" w:pos="2250"/>
        </w:tabs>
      </w:pPr>
      <w:r>
        <w:t xml:space="preserve">Preece, R. 2001. </w:t>
      </w:r>
      <w:r>
        <w:rPr>
          <w:i/>
        </w:rPr>
        <w:t>Archaeological Sciences: Non-Marine Mollusca and Archaeology</w:t>
      </w:r>
      <w:r>
        <w:t xml:space="preserve">. Chichester: John Wiley &amp; Sons Ltd. pp. </w:t>
      </w:r>
      <w:r w:rsidR="004230FC">
        <w:t xml:space="preserve">40, 47-49, </w:t>
      </w:r>
      <w:r>
        <w:t>135-6</w:t>
      </w:r>
      <w:r w:rsidR="004230FC">
        <w:t>.</w:t>
      </w:r>
    </w:p>
    <w:p w14:paraId="765BB877" w14:textId="324ED9D2" w:rsidR="000628AC" w:rsidRPr="000628AC" w:rsidRDefault="000628AC" w:rsidP="004230FC">
      <w:pPr>
        <w:tabs>
          <w:tab w:val="left" w:pos="2250"/>
        </w:tabs>
      </w:pPr>
      <w:r>
        <w:t xml:space="preserve">Reitz, E., Wing, E. 1999. </w:t>
      </w:r>
      <w:r>
        <w:rPr>
          <w:i/>
        </w:rPr>
        <w:t>Zooarchaeology</w:t>
      </w:r>
      <w:r>
        <w:t xml:space="preserve">. Cambridge: University of Cambridge. </w:t>
      </w:r>
    </w:p>
    <w:sectPr w:rsidR="000628AC" w:rsidRPr="000628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B4214D" w14:textId="77777777" w:rsidR="00C83C51" w:rsidRDefault="00C83C51" w:rsidP="00495D3F">
      <w:pPr>
        <w:spacing w:after="0" w:line="240" w:lineRule="auto"/>
      </w:pPr>
      <w:r>
        <w:separator/>
      </w:r>
    </w:p>
  </w:endnote>
  <w:endnote w:type="continuationSeparator" w:id="0">
    <w:p w14:paraId="7B78E6AF" w14:textId="77777777" w:rsidR="00C83C51" w:rsidRDefault="00C83C51" w:rsidP="00495D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AF085" w14:textId="77777777" w:rsidR="00C83C51" w:rsidRDefault="00C83C51" w:rsidP="00495D3F">
      <w:pPr>
        <w:spacing w:after="0" w:line="240" w:lineRule="auto"/>
      </w:pPr>
      <w:r>
        <w:separator/>
      </w:r>
    </w:p>
  </w:footnote>
  <w:footnote w:type="continuationSeparator" w:id="0">
    <w:p w14:paraId="5F209E93" w14:textId="77777777" w:rsidR="00C83C51" w:rsidRDefault="00C83C51" w:rsidP="00495D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D3F"/>
    <w:rsid w:val="00056313"/>
    <w:rsid w:val="000628AC"/>
    <w:rsid w:val="00082F44"/>
    <w:rsid w:val="000A1E2A"/>
    <w:rsid w:val="0013696B"/>
    <w:rsid w:val="001E148F"/>
    <w:rsid w:val="001F1088"/>
    <w:rsid w:val="002359A5"/>
    <w:rsid w:val="00277757"/>
    <w:rsid w:val="002E395B"/>
    <w:rsid w:val="002E75D1"/>
    <w:rsid w:val="00364328"/>
    <w:rsid w:val="003E57FB"/>
    <w:rsid w:val="004230FC"/>
    <w:rsid w:val="00495D3F"/>
    <w:rsid w:val="00592FE2"/>
    <w:rsid w:val="005959FB"/>
    <w:rsid w:val="00662550"/>
    <w:rsid w:val="0070439D"/>
    <w:rsid w:val="00786692"/>
    <w:rsid w:val="00801A81"/>
    <w:rsid w:val="008D57AC"/>
    <w:rsid w:val="008E3EBE"/>
    <w:rsid w:val="00940ED2"/>
    <w:rsid w:val="009C32B5"/>
    <w:rsid w:val="00A11DFF"/>
    <w:rsid w:val="00A517D0"/>
    <w:rsid w:val="00A5452D"/>
    <w:rsid w:val="00A93435"/>
    <w:rsid w:val="00AA5EE0"/>
    <w:rsid w:val="00AE317A"/>
    <w:rsid w:val="00BA31F7"/>
    <w:rsid w:val="00BB1DEE"/>
    <w:rsid w:val="00BB7FB8"/>
    <w:rsid w:val="00BF453B"/>
    <w:rsid w:val="00C83C51"/>
    <w:rsid w:val="00D0167F"/>
    <w:rsid w:val="00E65C98"/>
    <w:rsid w:val="00E97350"/>
    <w:rsid w:val="00F17846"/>
    <w:rsid w:val="00F2589F"/>
    <w:rsid w:val="00F832C5"/>
    <w:rsid w:val="00FC2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CC75B"/>
  <w15:chartTrackingRefBased/>
  <w15:docId w15:val="{EBE1D63C-D4DC-404E-8952-AB82EDD85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B1DE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5D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D3F"/>
  </w:style>
  <w:style w:type="paragraph" w:styleId="Footer">
    <w:name w:val="footer"/>
    <w:basedOn w:val="Normal"/>
    <w:link w:val="FooterChar"/>
    <w:uiPriority w:val="99"/>
    <w:unhideWhenUsed/>
    <w:rsid w:val="00495D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D3F"/>
  </w:style>
  <w:style w:type="character" w:customStyle="1" w:styleId="Heading1Char">
    <w:name w:val="Heading 1 Char"/>
    <w:basedOn w:val="DefaultParagraphFont"/>
    <w:link w:val="Heading1"/>
    <w:uiPriority w:val="9"/>
    <w:rsid w:val="00BB1DEE"/>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AA5E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0430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4</Pages>
  <Words>1020</Words>
  <Characters>5816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Hodges (1601396)</dc:creator>
  <cp:keywords/>
  <dc:description/>
  <cp:lastModifiedBy>Chelsea Hodges (1601396)</cp:lastModifiedBy>
  <cp:revision>30</cp:revision>
  <dcterms:created xsi:type="dcterms:W3CDTF">2018-03-29T18:02:00Z</dcterms:created>
  <dcterms:modified xsi:type="dcterms:W3CDTF">2018-03-29T21:13:00Z</dcterms:modified>
</cp:coreProperties>
</file>