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94878D" w14:textId="77777777" w:rsidR="00F413C9" w:rsidRPr="00622C86" w:rsidRDefault="00F413C9" w:rsidP="00F413C9">
      <w:pPr>
        <w:spacing w:line="480" w:lineRule="auto"/>
        <w:jc w:val="center"/>
        <w:rPr>
          <w:rFonts w:ascii="Times New Roman" w:hAnsi="Times New Roman" w:cs="Times New Roman"/>
          <w:bCs/>
        </w:rPr>
      </w:pPr>
      <w:r w:rsidRPr="00622C86">
        <w:rPr>
          <w:rFonts w:ascii="Times New Roman" w:hAnsi="Times New Roman" w:cs="Times New Roman"/>
          <w:bCs/>
        </w:rPr>
        <w:t>HPPH7010</w:t>
      </w:r>
    </w:p>
    <w:p w14:paraId="2920FD72" w14:textId="77777777" w:rsidR="00F413C9" w:rsidRPr="00622C86" w:rsidRDefault="00F413C9" w:rsidP="00F413C9">
      <w:pPr>
        <w:spacing w:line="480" w:lineRule="auto"/>
        <w:jc w:val="center"/>
        <w:rPr>
          <w:rFonts w:ascii="Times New Roman" w:hAnsi="Times New Roman" w:cs="Times New Roman"/>
          <w:bCs/>
        </w:rPr>
      </w:pPr>
      <w:r w:rsidRPr="00622C86">
        <w:rPr>
          <w:rFonts w:ascii="Times New Roman" w:hAnsi="Times New Roman" w:cs="Times New Roman"/>
          <w:bCs/>
        </w:rPr>
        <w:t>KNOWLEDGE, REASON AND REALITY, ASSIGNMENT 2</w:t>
      </w:r>
    </w:p>
    <w:p w14:paraId="71A7D45B" w14:textId="77777777" w:rsidR="00F413C9" w:rsidRPr="00622C86" w:rsidRDefault="00F413C9" w:rsidP="00F413C9">
      <w:pPr>
        <w:spacing w:line="480" w:lineRule="auto"/>
        <w:jc w:val="center"/>
        <w:rPr>
          <w:rFonts w:ascii="Times New Roman" w:hAnsi="Times New Roman" w:cs="Times New Roman"/>
          <w:bCs/>
        </w:rPr>
      </w:pPr>
      <w:r w:rsidRPr="00622C86">
        <w:rPr>
          <w:rFonts w:ascii="Times New Roman" w:hAnsi="Times New Roman" w:cs="Times New Roman"/>
          <w:bCs/>
        </w:rPr>
        <w:t>ROBERT B. RICHARDSON, STUDENT NO: 2117379</w:t>
      </w:r>
    </w:p>
    <w:p w14:paraId="4E8A8E02" w14:textId="77777777" w:rsidR="00F413C9" w:rsidRPr="00622C86" w:rsidRDefault="00F413C9" w:rsidP="00F413C9">
      <w:pPr>
        <w:spacing w:line="480" w:lineRule="auto"/>
        <w:jc w:val="center"/>
        <w:rPr>
          <w:rFonts w:ascii="Times New Roman" w:hAnsi="Times New Roman" w:cs="Times New Roman"/>
          <w:bCs/>
        </w:rPr>
      </w:pPr>
      <w:r>
        <w:rPr>
          <w:rFonts w:ascii="Times New Roman" w:hAnsi="Times New Roman" w:cs="Times New Roman"/>
          <w:bCs/>
        </w:rPr>
        <w:t xml:space="preserve">ESSAY </w:t>
      </w:r>
    </w:p>
    <w:p w14:paraId="3476D2BF" w14:textId="77777777" w:rsidR="00F413C9" w:rsidRDefault="00F413C9" w:rsidP="00F413C9">
      <w:pPr>
        <w:spacing w:line="480" w:lineRule="auto"/>
        <w:ind w:firstLine="720"/>
        <w:jc w:val="center"/>
        <w:rPr>
          <w:rFonts w:ascii="Times New Roman" w:hAnsi="Times New Roman" w:cs="Times New Roman"/>
          <w:lang w:val="en-US"/>
        </w:rPr>
      </w:pPr>
    </w:p>
    <w:p w14:paraId="4D7FB211" w14:textId="77777777" w:rsidR="00F413C9" w:rsidRDefault="00F413C9" w:rsidP="00F413C9">
      <w:pPr>
        <w:spacing w:line="480" w:lineRule="auto"/>
        <w:ind w:firstLine="720"/>
        <w:rPr>
          <w:rFonts w:ascii="Times New Roman" w:hAnsi="Times New Roman" w:cs="Times New Roman"/>
          <w:lang w:val="en-US"/>
        </w:rPr>
      </w:pPr>
    </w:p>
    <w:p w14:paraId="36DF175C" w14:textId="77777777" w:rsidR="00F413C9" w:rsidRDefault="00F413C9" w:rsidP="00F413C9">
      <w:pPr>
        <w:spacing w:line="480" w:lineRule="auto"/>
        <w:ind w:firstLine="720"/>
        <w:rPr>
          <w:rFonts w:ascii="Times New Roman" w:hAnsi="Times New Roman" w:cs="Times New Roman"/>
          <w:lang w:val="en-US"/>
        </w:rPr>
      </w:pPr>
    </w:p>
    <w:p w14:paraId="278FEE74" w14:textId="77777777" w:rsidR="00F413C9" w:rsidRDefault="00F413C9" w:rsidP="00F413C9">
      <w:pPr>
        <w:spacing w:line="480" w:lineRule="auto"/>
        <w:ind w:firstLine="720"/>
        <w:rPr>
          <w:rFonts w:ascii="Times New Roman" w:hAnsi="Times New Roman" w:cs="Times New Roman"/>
          <w:lang w:val="en-US"/>
        </w:rPr>
      </w:pPr>
    </w:p>
    <w:p w14:paraId="57BB9D4C" w14:textId="77777777" w:rsidR="00F413C9" w:rsidRDefault="00F413C9" w:rsidP="00F413C9">
      <w:pPr>
        <w:spacing w:line="480" w:lineRule="auto"/>
        <w:ind w:firstLine="720"/>
        <w:rPr>
          <w:rFonts w:ascii="Times New Roman" w:hAnsi="Times New Roman" w:cs="Times New Roman"/>
          <w:lang w:val="en-US"/>
        </w:rPr>
      </w:pPr>
    </w:p>
    <w:p w14:paraId="538E5F8C" w14:textId="77777777" w:rsidR="00F413C9" w:rsidRDefault="00F413C9" w:rsidP="00F413C9">
      <w:pPr>
        <w:spacing w:line="480" w:lineRule="auto"/>
        <w:ind w:firstLine="720"/>
        <w:rPr>
          <w:rFonts w:ascii="Times New Roman" w:hAnsi="Times New Roman" w:cs="Times New Roman"/>
          <w:lang w:val="en-US"/>
        </w:rPr>
      </w:pPr>
    </w:p>
    <w:p w14:paraId="17F47021" w14:textId="77777777" w:rsidR="00F413C9" w:rsidRDefault="00F413C9" w:rsidP="00F413C9">
      <w:pPr>
        <w:spacing w:line="480" w:lineRule="auto"/>
        <w:ind w:firstLine="720"/>
        <w:rPr>
          <w:rFonts w:ascii="Times New Roman" w:hAnsi="Times New Roman" w:cs="Times New Roman"/>
          <w:lang w:val="en-US"/>
        </w:rPr>
      </w:pPr>
    </w:p>
    <w:p w14:paraId="177E558B" w14:textId="77777777" w:rsidR="00F413C9" w:rsidRDefault="00F413C9" w:rsidP="00F413C9">
      <w:pPr>
        <w:spacing w:line="480" w:lineRule="auto"/>
        <w:ind w:firstLine="720"/>
        <w:rPr>
          <w:rFonts w:ascii="Times New Roman" w:hAnsi="Times New Roman" w:cs="Times New Roman"/>
          <w:lang w:val="en-US"/>
        </w:rPr>
      </w:pPr>
    </w:p>
    <w:p w14:paraId="64A467C5" w14:textId="77777777" w:rsidR="00F413C9" w:rsidRDefault="00F413C9" w:rsidP="00F413C9">
      <w:pPr>
        <w:spacing w:line="480" w:lineRule="auto"/>
        <w:ind w:firstLine="720"/>
        <w:rPr>
          <w:rFonts w:ascii="Times New Roman" w:hAnsi="Times New Roman" w:cs="Times New Roman"/>
          <w:lang w:val="en-US"/>
        </w:rPr>
      </w:pPr>
    </w:p>
    <w:p w14:paraId="122DEC34" w14:textId="77777777" w:rsidR="00F413C9" w:rsidRDefault="00F413C9" w:rsidP="00F413C9">
      <w:pPr>
        <w:spacing w:line="480" w:lineRule="auto"/>
        <w:ind w:firstLine="720"/>
        <w:rPr>
          <w:rFonts w:ascii="Times New Roman" w:hAnsi="Times New Roman" w:cs="Times New Roman"/>
          <w:lang w:val="en-US"/>
        </w:rPr>
      </w:pPr>
    </w:p>
    <w:p w14:paraId="06CB2F22" w14:textId="77777777" w:rsidR="00F413C9" w:rsidRDefault="00F413C9" w:rsidP="00F413C9">
      <w:pPr>
        <w:spacing w:line="480" w:lineRule="auto"/>
        <w:ind w:firstLine="720"/>
        <w:rPr>
          <w:rFonts w:ascii="Times New Roman" w:hAnsi="Times New Roman" w:cs="Times New Roman"/>
          <w:lang w:val="en-US"/>
        </w:rPr>
      </w:pPr>
    </w:p>
    <w:p w14:paraId="3BDBCD38" w14:textId="77777777" w:rsidR="00F413C9" w:rsidRDefault="00F413C9" w:rsidP="00F413C9">
      <w:pPr>
        <w:spacing w:line="480" w:lineRule="auto"/>
        <w:ind w:firstLine="720"/>
        <w:rPr>
          <w:rFonts w:ascii="Times New Roman" w:hAnsi="Times New Roman" w:cs="Times New Roman"/>
          <w:lang w:val="en-US"/>
        </w:rPr>
      </w:pPr>
    </w:p>
    <w:p w14:paraId="7A5CBB13" w14:textId="77777777" w:rsidR="00F413C9" w:rsidRDefault="00F413C9" w:rsidP="00F413C9">
      <w:pPr>
        <w:spacing w:line="480" w:lineRule="auto"/>
        <w:ind w:firstLine="720"/>
        <w:rPr>
          <w:rFonts w:ascii="Times New Roman" w:hAnsi="Times New Roman" w:cs="Times New Roman"/>
          <w:lang w:val="en-US"/>
        </w:rPr>
      </w:pPr>
    </w:p>
    <w:p w14:paraId="5281D105" w14:textId="77777777" w:rsidR="00F413C9" w:rsidRDefault="00F413C9" w:rsidP="00F413C9">
      <w:pPr>
        <w:spacing w:line="480" w:lineRule="auto"/>
        <w:ind w:firstLine="720"/>
        <w:rPr>
          <w:rFonts w:ascii="Times New Roman" w:hAnsi="Times New Roman" w:cs="Times New Roman"/>
          <w:lang w:val="en-US"/>
        </w:rPr>
      </w:pPr>
    </w:p>
    <w:p w14:paraId="593C963D" w14:textId="77777777" w:rsidR="00F413C9" w:rsidRDefault="00F413C9" w:rsidP="00F413C9">
      <w:pPr>
        <w:spacing w:line="480" w:lineRule="auto"/>
        <w:rPr>
          <w:rFonts w:ascii="Times New Roman" w:hAnsi="Times New Roman" w:cs="Times New Roman"/>
          <w:lang w:val="en-US"/>
        </w:rPr>
      </w:pPr>
    </w:p>
    <w:p w14:paraId="045C91CF" w14:textId="77777777" w:rsidR="00F413C9" w:rsidRDefault="00F413C9" w:rsidP="00F413C9">
      <w:pPr>
        <w:rPr>
          <w:rFonts w:ascii="Times New Roman" w:hAnsi="Times New Roman" w:cs="Times New Roman"/>
          <w:lang w:val="en-US"/>
        </w:rPr>
      </w:pPr>
    </w:p>
    <w:p w14:paraId="6E525809" w14:textId="77777777" w:rsidR="00F413C9" w:rsidRDefault="00F413C9" w:rsidP="00F413C9">
      <w:pPr>
        <w:rPr>
          <w:rFonts w:ascii="Times New Roman" w:hAnsi="Times New Roman" w:cs="Times New Roman"/>
          <w:lang w:val="en-US"/>
        </w:rPr>
      </w:pPr>
    </w:p>
    <w:p w14:paraId="0DB4CD57" w14:textId="77777777" w:rsidR="00F413C9" w:rsidRDefault="00F413C9" w:rsidP="00F413C9">
      <w:pPr>
        <w:spacing w:line="300" w:lineRule="auto"/>
        <w:jc w:val="center"/>
        <w:rPr>
          <w:rFonts w:ascii="Times New Roman" w:hAnsi="Times New Roman" w:cs="Times New Roman"/>
          <w:color w:val="000000" w:themeColor="text1"/>
          <w:lang w:val="en-US"/>
        </w:rPr>
      </w:pPr>
    </w:p>
    <w:p w14:paraId="6C3644EA" w14:textId="77777777" w:rsidR="00F413C9" w:rsidRDefault="00F413C9" w:rsidP="00F413C9">
      <w:pPr>
        <w:spacing w:line="300" w:lineRule="auto"/>
        <w:jc w:val="center"/>
        <w:rPr>
          <w:rFonts w:ascii="Times New Roman" w:hAnsi="Times New Roman" w:cs="Times New Roman"/>
          <w:color w:val="000000" w:themeColor="text1"/>
          <w:lang w:val="en-US"/>
        </w:rPr>
      </w:pPr>
    </w:p>
    <w:p w14:paraId="78FEBBB1" w14:textId="77777777" w:rsidR="00F413C9" w:rsidRDefault="00F413C9" w:rsidP="00F413C9">
      <w:pPr>
        <w:spacing w:line="300" w:lineRule="auto"/>
        <w:jc w:val="center"/>
        <w:rPr>
          <w:rFonts w:ascii="Times New Roman" w:hAnsi="Times New Roman" w:cs="Times New Roman"/>
          <w:color w:val="000000" w:themeColor="text1"/>
          <w:lang w:val="en-US"/>
        </w:rPr>
      </w:pPr>
    </w:p>
    <w:p w14:paraId="5F736AB6" w14:textId="77777777" w:rsidR="00F413C9" w:rsidRDefault="00F413C9" w:rsidP="00F413C9">
      <w:pPr>
        <w:spacing w:line="300" w:lineRule="auto"/>
        <w:jc w:val="center"/>
        <w:rPr>
          <w:rFonts w:ascii="Times New Roman" w:hAnsi="Times New Roman" w:cs="Times New Roman"/>
          <w:color w:val="000000" w:themeColor="text1"/>
          <w:lang w:val="en-US"/>
        </w:rPr>
      </w:pPr>
    </w:p>
    <w:p w14:paraId="69D1BA3B" w14:textId="77777777" w:rsidR="00F413C9" w:rsidRDefault="00F413C9" w:rsidP="00F413C9">
      <w:pPr>
        <w:spacing w:line="300" w:lineRule="auto"/>
        <w:jc w:val="center"/>
        <w:rPr>
          <w:rFonts w:ascii="Times New Roman" w:hAnsi="Times New Roman" w:cs="Times New Roman"/>
          <w:color w:val="000000" w:themeColor="text1"/>
          <w:lang w:val="en-US"/>
        </w:rPr>
      </w:pPr>
    </w:p>
    <w:p w14:paraId="2DE25BC7" w14:textId="77777777" w:rsidR="00F413C9" w:rsidRDefault="00F413C9" w:rsidP="00F413C9">
      <w:pPr>
        <w:spacing w:line="300" w:lineRule="auto"/>
        <w:jc w:val="center"/>
        <w:rPr>
          <w:rFonts w:ascii="Times New Roman" w:hAnsi="Times New Roman" w:cs="Times New Roman"/>
          <w:color w:val="000000" w:themeColor="text1"/>
          <w:lang w:val="en-US"/>
        </w:rPr>
      </w:pPr>
    </w:p>
    <w:p w14:paraId="5FE79BCF" w14:textId="77777777" w:rsidR="00F413C9" w:rsidRDefault="00F413C9" w:rsidP="00F413C9">
      <w:pPr>
        <w:spacing w:line="300" w:lineRule="auto"/>
        <w:jc w:val="center"/>
        <w:rPr>
          <w:rFonts w:ascii="Times New Roman" w:hAnsi="Times New Roman" w:cs="Times New Roman"/>
          <w:color w:val="000000" w:themeColor="text1"/>
          <w:lang w:val="en-US"/>
        </w:rPr>
      </w:pPr>
    </w:p>
    <w:p w14:paraId="53514F15" w14:textId="77777777" w:rsidR="00F413C9" w:rsidRDefault="00F413C9" w:rsidP="00F413C9">
      <w:pPr>
        <w:spacing w:line="300" w:lineRule="auto"/>
        <w:jc w:val="center"/>
        <w:rPr>
          <w:rFonts w:ascii="Times New Roman" w:hAnsi="Times New Roman" w:cs="Times New Roman"/>
          <w:color w:val="000000" w:themeColor="text1"/>
          <w:lang w:val="en-US"/>
        </w:rPr>
      </w:pPr>
    </w:p>
    <w:p w14:paraId="6808470E" w14:textId="77777777" w:rsidR="00F413C9" w:rsidRPr="00CB37AB" w:rsidRDefault="00F413C9" w:rsidP="00F413C9">
      <w:pPr>
        <w:spacing w:line="300" w:lineRule="auto"/>
        <w:jc w:val="center"/>
        <w:rPr>
          <w:rFonts w:ascii="Times New Roman" w:hAnsi="Times New Roman" w:cs="Times New Roman"/>
          <w:color w:val="000000" w:themeColor="text1"/>
          <w:lang w:val="en-US"/>
        </w:rPr>
      </w:pPr>
      <w:r w:rsidRPr="00CB37AB">
        <w:rPr>
          <w:rFonts w:ascii="Times New Roman" w:hAnsi="Times New Roman" w:cs="Times New Roman"/>
          <w:color w:val="000000" w:themeColor="text1"/>
          <w:lang w:val="en-US"/>
        </w:rPr>
        <w:lastRenderedPageBreak/>
        <w:t>Heraclitus:  A Futuristic Revolution</w:t>
      </w:r>
    </w:p>
    <w:p w14:paraId="209AD29B" w14:textId="77777777" w:rsidR="00F413C9" w:rsidRPr="00CB37AB" w:rsidRDefault="00F413C9" w:rsidP="00F413C9">
      <w:pPr>
        <w:spacing w:line="300" w:lineRule="auto"/>
        <w:jc w:val="center"/>
        <w:rPr>
          <w:rFonts w:ascii="Times New Roman" w:hAnsi="Times New Roman" w:cs="Times New Roman"/>
          <w:color w:val="000000" w:themeColor="text1"/>
          <w:lang w:val="en-US"/>
        </w:rPr>
      </w:pPr>
      <w:r w:rsidRPr="00CB37AB">
        <w:rPr>
          <w:rFonts w:ascii="Times New Roman" w:hAnsi="Times New Roman" w:cs="Times New Roman"/>
          <w:color w:val="000000" w:themeColor="text1"/>
          <w:lang w:val="en-US"/>
        </w:rPr>
        <w:t>in Knowledge, Science and Life</w:t>
      </w:r>
    </w:p>
    <w:p w14:paraId="6E8E5B13" w14:textId="77777777" w:rsidR="00F413C9" w:rsidRDefault="00F413C9" w:rsidP="00F413C9">
      <w:pPr>
        <w:ind w:firstLine="720"/>
        <w:jc w:val="center"/>
        <w:rPr>
          <w:rFonts w:ascii="Times New Roman" w:hAnsi="Times New Roman" w:cs="Times New Roman"/>
          <w:b/>
          <w:i/>
          <w:lang w:val="en-US"/>
        </w:rPr>
      </w:pPr>
    </w:p>
    <w:p w14:paraId="6648CEC7" w14:textId="77777777" w:rsidR="00F413C9" w:rsidRPr="0076783B" w:rsidRDefault="00F413C9" w:rsidP="00F413C9">
      <w:pPr>
        <w:ind w:firstLine="720"/>
        <w:jc w:val="center"/>
        <w:rPr>
          <w:rFonts w:ascii="Times New Roman" w:hAnsi="Times New Roman" w:cs="Times New Roman"/>
          <w:b/>
          <w:i/>
          <w:lang w:val="en-US"/>
        </w:rPr>
      </w:pPr>
      <w:r>
        <w:rPr>
          <w:rFonts w:ascii="Times New Roman" w:hAnsi="Times New Roman" w:cs="Times New Roman"/>
          <w:b/>
          <w:i/>
          <w:lang w:val="en-US"/>
        </w:rPr>
        <w:t xml:space="preserve"> </w:t>
      </w:r>
    </w:p>
    <w:p w14:paraId="12319145" w14:textId="7289561F" w:rsidR="00F413C9" w:rsidRDefault="00F413C9" w:rsidP="00F413C9">
      <w:pPr>
        <w:spacing w:line="480" w:lineRule="auto"/>
        <w:ind w:firstLine="720"/>
        <w:rPr>
          <w:rFonts w:ascii="Times New Roman" w:hAnsi="Times New Roman" w:cs="Times New Roman"/>
          <w:lang w:val="en-US"/>
        </w:rPr>
      </w:pPr>
      <w:r>
        <w:rPr>
          <w:rFonts w:ascii="Times New Roman" w:hAnsi="Times New Roman" w:cs="Times New Roman"/>
          <w:lang w:val="en-US"/>
        </w:rPr>
        <w:t xml:space="preserve">This paper will primarily emphasize the contributions of one Presocratic philosopher, Heraclitus, and emphasize his “flux doctrine”. Specifically, this evaluation has a crucial bearing on what the status of so called knowledge is. Oftentimes, the flux doctrine has been taken to imply a certain skepticism and relativism </w:t>
      </w:r>
      <w:proofErr w:type="gramStart"/>
      <w:r>
        <w:rPr>
          <w:rFonts w:ascii="Times New Roman" w:hAnsi="Times New Roman" w:cs="Times New Roman"/>
          <w:lang w:val="en-US"/>
        </w:rPr>
        <w:t>with regard to</w:t>
      </w:r>
      <w:proofErr w:type="gramEnd"/>
      <w:r>
        <w:rPr>
          <w:rFonts w:ascii="Times New Roman" w:hAnsi="Times New Roman" w:cs="Times New Roman"/>
          <w:lang w:val="en-US"/>
        </w:rPr>
        <w:t xml:space="preserve"> knowledge claims in the bearing that such a theory would have upon these claims. While, this is true, and a common understanding of the flux doctrine this should not be taken wholesale as a theory of knowledge implied or stated in this doctrine of Heraclitus. Specifically, this idea and interpretation of flux is often imputed to Heraclitus, but to some extent this imputation derives from various restatements of the doctrine, likely due to distortions that would perhaps have not have occurred and are based on various assumptions made by later thinkers in their attempt to fill in the blanks as part of a doxographical tradition that was unsatisfied with the fragmentary information we have regarding Heraclitus’ actual sayings and theories. Ultimately, therefore, to some extent, this essay constitutes an attempt to regain some of the lineaments that are </w:t>
      </w:r>
      <w:proofErr w:type="gramStart"/>
      <w:r>
        <w:rPr>
          <w:rFonts w:ascii="Times New Roman" w:hAnsi="Times New Roman" w:cs="Times New Roman"/>
          <w:lang w:val="en-US"/>
        </w:rPr>
        <w:t>more or less established</w:t>
      </w:r>
      <w:proofErr w:type="gramEnd"/>
      <w:r>
        <w:rPr>
          <w:rFonts w:ascii="Times New Roman" w:hAnsi="Times New Roman" w:cs="Times New Roman"/>
          <w:lang w:val="en-US"/>
        </w:rPr>
        <w:t xml:space="preserve"> regarding Heraclitus’ statements, in their “pure” form, as opposed to the various assumptions, inferences and imputations that later doxographers have attached to the few accurate statements that we have no reason to judge as spurious. An emphasis on the flux doctrine, the primary emphasis of the paper, should do something to rescind and temper the popular often misunderstood nature of the flux doctrine as implying the attributions, that I have mentioned (skepticism, relativism) that are commonly falsely ascribed, therefore, to the nature of flux, as undermining epistemic, and knowledge oriented presuppositions of common sense, that cannot stand up in the face of flux. To the contrary, the corresponding notion of </w:t>
      </w:r>
      <w:r w:rsidRPr="001077D3">
        <w:rPr>
          <w:rFonts w:ascii="Times New Roman" w:hAnsi="Times New Roman" w:cs="Times New Roman"/>
          <w:i/>
          <w:lang w:val="en-US"/>
        </w:rPr>
        <w:t>logos</w:t>
      </w:r>
      <w:r>
        <w:rPr>
          <w:rFonts w:ascii="Times New Roman" w:hAnsi="Times New Roman" w:cs="Times New Roman"/>
          <w:lang w:val="en-US"/>
        </w:rPr>
        <w:t xml:space="preserve">—another key aspect of Heraclitus’ thinking, should do something to resolve this assumption, of skepticism and relativism—a common </w:t>
      </w:r>
      <w:r>
        <w:rPr>
          <w:rFonts w:ascii="Times New Roman" w:hAnsi="Times New Roman" w:cs="Times New Roman"/>
          <w:lang w:val="en-US"/>
        </w:rPr>
        <w:lastRenderedPageBreak/>
        <w:t xml:space="preserve">charge perhaps unjustly attributed as basic or implied in Heraclitus’ statement about the truth of flux. These notions, while apparently simple and straightforward, have importance and ramifications of our understanding of knowledge from Plato, to Hegel, to contemporary philosophy, as well as much of modern philosophy. Largely implicit in these presuppositions is the need to situate or delineate analytic styles of philosophy from continental styles and approaches, ontological assumptions etc. </w:t>
      </w:r>
      <w:r w:rsidRPr="00372C5E">
        <w:rPr>
          <w:rFonts w:ascii="Times New Roman" w:eastAsia="Times New Roman" w:hAnsi="Times New Roman" w:cs="Times New Roman"/>
          <w:color w:val="000000"/>
        </w:rPr>
        <w:t>Let me now evaluate briefly, in outline, some of the philosophical thinking that is oftentimes viewed as analytic and the philosophy which is viewed as more cont</w:t>
      </w:r>
      <w:r>
        <w:rPr>
          <w:rFonts w:ascii="Times New Roman" w:eastAsia="Times New Roman" w:hAnsi="Times New Roman" w:cs="Times New Roman"/>
          <w:color w:val="000000"/>
        </w:rPr>
        <w:t>inental, attempting to loosen</w:t>
      </w:r>
      <w:r w:rsidRPr="00372C5E">
        <w:rPr>
          <w:rFonts w:ascii="Times New Roman" w:eastAsia="Times New Roman" w:hAnsi="Times New Roman" w:cs="Times New Roman"/>
          <w:color w:val="000000"/>
        </w:rPr>
        <w:t xml:space="preserve"> the boundaries a bit and establish a common ground between what are viewed as the more specific objective styles of thought in analytic philosophy and the more metaphysical tendenc</w:t>
      </w:r>
      <w:r>
        <w:rPr>
          <w:rFonts w:ascii="Times New Roman" w:eastAsia="Times New Roman" w:hAnsi="Times New Roman" w:cs="Times New Roman"/>
          <w:color w:val="000000"/>
        </w:rPr>
        <w:t xml:space="preserve">ies of continental philosophy. In doing so this will help to lay the foundation for the later parts of my presentation and argument about the basic points of contention </w:t>
      </w:r>
      <w:r w:rsidR="000A6280">
        <w:rPr>
          <w:rFonts w:ascii="Times New Roman" w:eastAsia="Times New Roman" w:hAnsi="Times New Roman" w:cs="Times New Roman"/>
          <w:color w:val="000000"/>
        </w:rPr>
        <w:t>in analytic and continental philosophy and the approach of science currently and the possibility to revolutionize science in, I argue a better direction.</w:t>
      </w:r>
      <w:r>
        <w:rPr>
          <w:rFonts w:ascii="Times New Roman" w:eastAsia="Times New Roman" w:hAnsi="Times New Roman" w:cs="Times New Roman"/>
          <w:color w:val="000000"/>
        </w:rPr>
        <w:br/>
        <w:t xml:space="preserve"> </w:t>
      </w:r>
      <w:r>
        <w:rPr>
          <w:rFonts w:ascii="Times New Roman" w:eastAsia="Times New Roman" w:hAnsi="Times New Roman" w:cs="Times New Roman"/>
          <w:color w:val="000000"/>
        </w:rPr>
        <w:tab/>
      </w:r>
      <w:r w:rsidRPr="00372C5E">
        <w:rPr>
          <w:rFonts w:ascii="Times New Roman" w:eastAsia="Times New Roman" w:hAnsi="Times New Roman" w:cs="Times New Roman"/>
          <w:color w:val="000000"/>
        </w:rPr>
        <w:t>While by no means the only issue, the illusive nature of experience, and its statements, has been variously charac</w:t>
      </w:r>
      <w:r>
        <w:rPr>
          <w:rFonts w:ascii="Times New Roman" w:eastAsia="Times New Roman" w:hAnsi="Times New Roman" w:cs="Times New Roman"/>
          <w:color w:val="000000"/>
        </w:rPr>
        <w:t>terized by individuals such as Carnap</w:t>
      </w:r>
      <w:r w:rsidRPr="00372C5E">
        <w:rPr>
          <w:rFonts w:ascii="Times New Roman" w:eastAsia="Times New Roman" w:hAnsi="Times New Roman" w:cs="Times New Roman"/>
          <w:color w:val="000000"/>
        </w:rPr>
        <w:t xml:space="preserve"> and in the operatic programme and agenda of the Vienna Circle, as meaningless, or lacking truth content or verification, and therefore unscientific or uncertain, and not really based upon the practices of science which is oftentimes thought to imply a strict determinism. Philosophers and sociologists, like Mannheim (sociologist of knowledge and ideology, social planner, futurist political </w:t>
      </w:r>
      <w:proofErr w:type="spellStart"/>
      <w:r w:rsidRPr="00372C5E">
        <w:rPr>
          <w:rFonts w:ascii="Times New Roman" w:eastAsia="Times New Roman" w:hAnsi="Times New Roman" w:cs="Times New Roman"/>
          <w:color w:val="000000"/>
        </w:rPr>
        <w:t>utopist</w:t>
      </w:r>
      <w:proofErr w:type="spellEnd"/>
      <w:r w:rsidRPr="00372C5E">
        <w:rPr>
          <w:rFonts w:ascii="Times New Roman" w:eastAsia="Times New Roman" w:hAnsi="Times New Roman" w:cs="Times New Roman"/>
          <w:color w:val="000000"/>
        </w:rPr>
        <w:t>, and sociologist of culture), Kuhn (philosopher of science) and Cassirer (philosopher of science, symbolic forms, and culture) and others while existing somewhat at the periphery of this discussion and not therefore, popular among the positivist tradition—which traces to Aristotle’s close observations and which</w:t>
      </w:r>
      <w:r>
        <w:rPr>
          <w:rFonts w:ascii="Times New Roman" w:eastAsia="Times New Roman" w:hAnsi="Times New Roman" w:cs="Times New Roman"/>
          <w:color w:val="000000"/>
        </w:rPr>
        <w:t xml:space="preserve"> is</w:t>
      </w:r>
      <w:r w:rsidRPr="00372C5E">
        <w:rPr>
          <w:rFonts w:ascii="Times New Roman" w:eastAsia="Times New Roman" w:hAnsi="Times New Roman" w:cs="Times New Roman"/>
          <w:color w:val="000000"/>
        </w:rPr>
        <w:t xml:space="preserve"> presented more systematically in Comte, and Mill for instance, as a doctrine of empiricism, not to mention much of Enlightenment thinking, grounded as it was largely if not explicitly in the belief in something </w:t>
      </w:r>
      <w:r w:rsidRPr="00372C5E">
        <w:rPr>
          <w:rFonts w:ascii="Times New Roman" w:eastAsia="Times New Roman" w:hAnsi="Times New Roman" w:cs="Times New Roman"/>
          <w:color w:val="000000"/>
        </w:rPr>
        <w:lastRenderedPageBreak/>
        <w:t>akin to the Kantian principle of the Enlightenment to dare to use one’s reason, and in the belief of the mind to transform the world in light of this reason— are productive in the sense that they do not distinguish so firmly where the line should be drawn between art, literature, subjectivity, value, and</w:t>
      </w:r>
      <w:r>
        <w:rPr>
          <w:rFonts w:ascii="Times New Roman" w:eastAsia="Times New Roman" w:hAnsi="Times New Roman" w:cs="Times New Roman"/>
          <w:color w:val="000000"/>
        </w:rPr>
        <w:t>,</w:t>
      </w:r>
      <w:r w:rsidRPr="00372C5E">
        <w:rPr>
          <w:rFonts w:ascii="Times New Roman" w:eastAsia="Times New Roman" w:hAnsi="Times New Roman" w:cs="Times New Roman"/>
          <w:color w:val="000000"/>
        </w:rPr>
        <w:t xml:space="preserve"> opinion and the more strict “scientific” methods of science—seeing each as complimentary and being more able to understand the subjectivity in scientific thinking as well as being more robust in building scientific systems of subjectivity. The rehabilitation and recognition of this type of thinking as productive, is a point that much of science and more purportedly subjective disciplines need to recognize in their shared heritage, which once realized, I think, only superficially dichotomized the cultural and the scientific spheres into a radical schism and opposition.</w:t>
      </w:r>
      <w:r>
        <w:rPr>
          <w:rFonts w:ascii="Times New Roman" w:eastAsia="Times New Roman" w:hAnsi="Times New Roman" w:cs="Times New Roman"/>
          <w:lang w:eastAsia="en-GB"/>
        </w:rPr>
        <w:t xml:space="preserve"> </w:t>
      </w:r>
      <w:r>
        <w:rPr>
          <w:rFonts w:ascii="Times New Roman" w:hAnsi="Times New Roman" w:cs="Times New Roman"/>
          <w:lang w:val="en-US"/>
        </w:rPr>
        <w:t xml:space="preserve">Goethe, incidentally, seemed much at home in scientific as well as cultural studies and his aesthetic as well as disposition suggests an interrelationship and co-formation of shared methods and observation being both rational and at the same time subjective and dependent upon each other; Berkeley states this observation more systematically—a central part of his work, in </w:t>
      </w:r>
      <w:r w:rsidRPr="00BF74B3">
        <w:rPr>
          <w:rFonts w:ascii="Times New Roman" w:hAnsi="Times New Roman" w:cs="Times New Roman"/>
          <w:i/>
          <w:lang w:val="en-US"/>
        </w:rPr>
        <w:t>Three Dia</w:t>
      </w:r>
      <w:r>
        <w:rPr>
          <w:rFonts w:ascii="Times New Roman" w:hAnsi="Times New Roman" w:cs="Times New Roman"/>
          <w:i/>
          <w:lang w:val="en-US"/>
        </w:rPr>
        <w:t xml:space="preserve">logues Between </w:t>
      </w:r>
      <w:proofErr w:type="spellStart"/>
      <w:r>
        <w:rPr>
          <w:rFonts w:ascii="Times New Roman" w:hAnsi="Times New Roman" w:cs="Times New Roman"/>
          <w:i/>
          <w:lang w:val="en-US"/>
        </w:rPr>
        <w:t>Hylas</w:t>
      </w:r>
      <w:proofErr w:type="spellEnd"/>
      <w:r>
        <w:rPr>
          <w:rFonts w:ascii="Times New Roman" w:hAnsi="Times New Roman" w:cs="Times New Roman"/>
          <w:i/>
          <w:lang w:val="en-US"/>
        </w:rPr>
        <w:t xml:space="preserve"> and </w:t>
      </w:r>
      <w:proofErr w:type="spellStart"/>
      <w:r>
        <w:rPr>
          <w:rFonts w:ascii="Times New Roman" w:hAnsi="Times New Roman" w:cs="Times New Roman"/>
          <w:i/>
          <w:lang w:val="en-US"/>
        </w:rPr>
        <w:t>Philonou</w:t>
      </w:r>
      <w:r w:rsidRPr="00BF74B3">
        <w:rPr>
          <w:rFonts w:ascii="Times New Roman" w:hAnsi="Times New Roman" w:cs="Times New Roman"/>
          <w:i/>
          <w:lang w:val="en-US"/>
        </w:rPr>
        <w:t>s</w:t>
      </w:r>
      <w:proofErr w:type="spellEnd"/>
      <w:r>
        <w:rPr>
          <w:rFonts w:ascii="Times New Roman" w:hAnsi="Times New Roman" w:cs="Times New Roman"/>
          <w:lang w:val="en-US"/>
        </w:rPr>
        <w:t xml:space="preserve"> and his </w:t>
      </w:r>
      <w:r w:rsidRPr="007C7ADD">
        <w:rPr>
          <w:rFonts w:ascii="Times New Roman" w:hAnsi="Times New Roman" w:cs="Times New Roman"/>
          <w:i/>
          <w:lang w:val="en-US"/>
        </w:rPr>
        <w:t>A Treatise Concerning the Principles of Human Knowledge</w:t>
      </w:r>
      <w:r>
        <w:rPr>
          <w:rFonts w:ascii="Times New Roman" w:hAnsi="Times New Roman" w:cs="Times New Roman"/>
          <w:lang w:val="en-US"/>
        </w:rPr>
        <w:t xml:space="preserve"> by arguing for the sole existence of a subjective perception of the world, known as idealism, while denying that there is a separate independent and non-conscious material world that can be inferred from consciousness (our only means by which to argue anything, including materialism); consequently, Berkeley’s argument, and similar idealisms such as Hegel’s—</w:t>
      </w:r>
    </w:p>
    <w:p w14:paraId="129EC9E7" w14:textId="77777777" w:rsidR="00F413C9" w:rsidRPr="00712844" w:rsidRDefault="00F413C9" w:rsidP="00F413C9">
      <w:pPr>
        <w:spacing w:line="480" w:lineRule="auto"/>
        <w:rPr>
          <w:rFonts w:ascii="Times New Roman" w:hAnsi="Times New Roman" w:cs="Times New Roman"/>
          <w:lang w:val="en-US"/>
        </w:rPr>
      </w:pPr>
      <w:r>
        <w:rPr>
          <w:rFonts w:ascii="Times New Roman" w:hAnsi="Times New Roman" w:cs="Times New Roman"/>
          <w:lang w:val="en-US"/>
        </w:rPr>
        <w:t xml:space="preserve">as found most famously in his </w:t>
      </w:r>
      <w:r w:rsidRPr="00DE5825">
        <w:rPr>
          <w:rFonts w:ascii="Times New Roman" w:hAnsi="Times New Roman" w:cs="Times New Roman"/>
          <w:i/>
          <w:lang w:val="en-US"/>
        </w:rPr>
        <w:t xml:space="preserve">The Phenomenology of Spirit </w:t>
      </w:r>
      <w:r>
        <w:rPr>
          <w:rFonts w:ascii="Times New Roman" w:hAnsi="Times New Roman" w:cs="Times New Roman"/>
          <w:lang w:val="en-US"/>
        </w:rPr>
        <w:t xml:space="preserve">and implicit in much of his other works—which I will not find it necessary to belabor, are distant from, opposed to, and are fundamentally characterized and differ from the bare materialist assumptions found in other materialist antecedents. This include but are not limited to, of course, those found in, Thomas Hobbes, Bacon, and later Diderot then Marx in dialectical materialism (incorrectly inferred as a consequence of the Hegelian dialectic) and implicit (before Diderot and Marx) in the whole </w:t>
      </w:r>
      <w:r>
        <w:rPr>
          <w:rFonts w:ascii="Times New Roman" w:hAnsi="Times New Roman" w:cs="Times New Roman"/>
          <w:lang w:val="en-US"/>
        </w:rPr>
        <w:lastRenderedPageBreak/>
        <w:t xml:space="preserve">scientific revolution (Copernicus (b. 1473), Galileo (b. 1564), Newton (b.1643) etc.) oftentimes or more recently in Dennett (see </w:t>
      </w:r>
      <w:r>
        <w:rPr>
          <w:rFonts w:ascii="Times New Roman" w:hAnsi="Times New Roman" w:cs="Times New Roman"/>
          <w:i/>
          <w:lang w:val="en-US"/>
        </w:rPr>
        <w:t>Consciousness E</w:t>
      </w:r>
      <w:r w:rsidRPr="001A316C">
        <w:rPr>
          <w:rFonts w:ascii="Times New Roman" w:hAnsi="Times New Roman" w:cs="Times New Roman"/>
          <w:i/>
          <w:lang w:val="en-US"/>
        </w:rPr>
        <w:t>xplained</w:t>
      </w:r>
      <w:r>
        <w:rPr>
          <w:rFonts w:ascii="Times New Roman" w:hAnsi="Times New Roman" w:cs="Times New Roman"/>
          <w:lang w:val="en-US"/>
        </w:rPr>
        <w:t xml:space="preserve">), and Quine (see the essay “Two Dogmas of Empiricism”); they are found in more mixed forms in say the functionalism of Fodor or the dualism of Searle, or earlier contemporaneous with Quine in Carnap (see the essay “Empiricism, Semantics and Ontology”); they are also inherent within the other logical positivists (philosophers: Ayer, </w:t>
      </w:r>
      <w:proofErr w:type="spellStart"/>
      <w:r>
        <w:rPr>
          <w:rFonts w:ascii="Times New Roman" w:hAnsi="Times New Roman" w:cs="Times New Roman"/>
          <w:lang w:val="en-US"/>
        </w:rPr>
        <w:t>Neurath</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Schlick</w:t>
      </w:r>
      <w:proofErr w:type="spellEnd"/>
      <w:r>
        <w:rPr>
          <w:rFonts w:ascii="Times New Roman" w:hAnsi="Times New Roman" w:cs="Times New Roman"/>
          <w:lang w:val="en-US"/>
        </w:rPr>
        <w:t xml:space="preserve">) and scientist </w:t>
      </w:r>
      <w:proofErr w:type="spellStart"/>
      <w:r>
        <w:rPr>
          <w:rFonts w:ascii="Times New Roman" w:hAnsi="Times New Roman" w:cs="Times New Roman"/>
          <w:lang w:val="en-US"/>
        </w:rPr>
        <w:t>Godel</w:t>
      </w:r>
      <w:proofErr w:type="spellEnd"/>
      <w:r>
        <w:rPr>
          <w:rFonts w:ascii="Times New Roman" w:hAnsi="Times New Roman" w:cs="Times New Roman"/>
          <w:lang w:val="en-US"/>
        </w:rPr>
        <w:t xml:space="preserve">—some twenty or so primary members in the “Vienna Circle” in addition to others, systematically promoting a scientific worldview expressed notably in the programmatic outline of their worldview by </w:t>
      </w:r>
      <w:proofErr w:type="spellStart"/>
      <w:r>
        <w:rPr>
          <w:rFonts w:ascii="Times New Roman" w:hAnsi="Times New Roman" w:cs="Times New Roman"/>
          <w:lang w:val="en-US"/>
        </w:rPr>
        <w:t>Neurath</w:t>
      </w:r>
      <w:proofErr w:type="spellEnd"/>
      <w:r>
        <w:rPr>
          <w:rFonts w:ascii="Times New Roman" w:hAnsi="Times New Roman" w:cs="Times New Roman"/>
          <w:lang w:val="en-US"/>
        </w:rPr>
        <w:t xml:space="preserve">, Hahn, and </w:t>
      </w:r>
      <w:proofErr w:type="spellStart"/>
      <w:r>
        <w:rPr>
          <w:rFonts w:ascii="Times New Roman" w:hAnsi="Times New Roman" w:cs="Times New Roman"/>
          <w:lang w:val="en-US"/>
        </w:rPr>
        <w:t>Schlick</w:t>
      </w:r>
      <w:proofErr w:type="spellEnd"/>
      <w:r>
        <w:rPr>
          <w:rFonts w:ascii="Times New Roman" w:hAnsi="Times New Roman" w:cs="Times New Roman"/>
          <w:lang w:val="en-US"/>
        </w:rPr>
        <w:t>, in “</w:t>
      </w:r>
      <w:r w:rsidRPr="00F23B27">
        <w:rPr>
          <w:rFonts w:ascii="Times New Roman" w:hAnsi="Times New Roman" w:cs="Times New Roman"/>
          <w:lang w:val="en-US"/>
        </w:rPr>
        <w:t>The Sci</w:t>
      </w:r>
      <w:r>
        <w:rPr>
          <w:rFonts w:ascii="Times New Roman" w:hAnsi="Times New Roman" w:cs="Times New Roman"/>
          <w:lang w:val="en-US"/>
        </w:rPr>
        <w:t>entific Conception of the World:</w:t>
      </w:r>
      <w:r w:rsidRPr="00F23B27">
        <w:rPr>
          <w:rFonts w:ascii="Times New Roman" w:hAnsi="Times New Roman" w:cs="Times New Roman"/>
          <w:lang w:val="en-US"/>
        </w:rPr>
        <w:t xml:space="preserve"> The Vienna Circle</w:t>
      </w:r>
      <w:r>
        <w:rPr>
          <w:rFonts w:ascii="Times New Roman" w:hAnsi="Times New Roman" w:cs="Times New Roman"/>
          <w:lang w:val="en-US"/>
        </w:rPr>
        <w:t xml:space="preserve">”. In any case, suffice it to say there is a large historical following of philosophers and scientists primarily promoting and/or involved with material concerns. One of my main concerns, as specified prior in this essay, will be to </w:t>
      </w:r>
      <w:proofErr w:type="gramStart"/>
      <w:r>
        <w:rPr>
          <w:rFonts w:ascii="Times New Roman" w:hAnsi="Times New Roman" w:cs="Times New Roman"/>
          <w:lang w:val="en-US"/>
        </w:rPr>
        <w:t>located</w:t>
      </w:r>
      <w:proofErr w:type="gramEnd"/>
      <w:r>
        <w:rPr>
          <w:rFonts w:ascii="Times New Roman" w:hAnsi="Times New Roman" w:cs="Times New Roman"/>
          <w:lang w:val="en-US"/>
        </w:rPr>
        <w:t xml:space="preserve"> and to differentiate these material approaches from, from my preferred approaches found in the “idealism” present in the mixed interactionism and idealism of Hegel, Cassirer, Berkeley, Heraclitus and so forth. Unfortunately, Hegel, however, and Heraclitus are the only thinkers that I could afford to go into in an essay of this length. But my argument, if extended, and relying on the prior knowledge and intellectual imagination of the reader, should I think be found to apply and be relevant too much of continental thinking more broadly and constitute a critique and reformulation of science more generally. I leave it to the reader to determine for themselves whether I have succeeded in this undertaking and to supply the necessary corrections, scrutiny and additions as will be found to be wanting in what can only be an incomplete, though I think largely correct if not suggestive characterization of these issues.</w:t>
      </w:r>
    </w:p>
    <w:p w14:paraId="70B4617B" w14:textId="77777777" w:rsidR="00F413C9" w:rsidRDefault="00F413C9" w:rsidP="00F413C9">
      <w:pPr>
        <w:spacing w:line="480" w:lineRule="auto"/>
        <w:rPr>
          <w:rFonts w:ascii="Times New Roman" w:hAnsi="Times New Roman" w:cs="Times New Roman"/>
          <w:lang w:val="en-US"/>
        </w:rPr>
      </w:pPr>
      <w:r>
        <w:rPr>
          <w:rFonts w:ascii="Times New Roman" w:hAnsi="Times New Roman" w:cs="Times New Roman"/>
          <w:lang w:val="en-US"/>
        </w:rPr>
        <w:tab/>
        <w:t xml:space="preserve">As I was saying earlier, Heraclitus not only embodies the principle of flux in his perspective but also the </w:t>
      </w:r>
      <w:r w:rsidRPr="001B60DD">
        <w:rPr>
          <w:rFonts w:ascii="Times New Roman" w:hAnsi="Times New Roman" w:cs="Times New Roman"/>
          <w:i/>
          <w:lang w:val="en-US"/>
        </w:rPr>
        <w:t>logos</w:t>
      </w:r>
      <w:r>
        <w:rPr>
          <w:rFonts w:ascii="Times New Roman" w:hAnsi="Times New Roman" w:cs="Times New Roman"/>
          <w:lang w:val="en-US"/>
        </w:rPr>
        <w:t xml:space="preserve">, etymologically meaning “reason” or “plan” and often associated with “divine reason implicit in the cosmos”, “giving it form or meaning” </w:t>
      </w:r>
      <w:r>
        <w:rPr>
          <w:rFonts w:ascii="Times New Roman" w:hAnsi="Times New Roman" w:cs="Times New Roman"/>
          <w:lang w:val="en-US"/>
        </w:rPr>
        <w:lastRenderedPageBreak/>
        <w:t>(Britannica). As such, the definition of “reason” comes to rely on that which is divine. As Catherine Osbourne says in her article, “Heraclitus”, referring to the Presocratics’ belief and viewpoint of divine influence over the material world more generally, “Physics and theology are still closely linked, even in Xenophanes.” (Osbourne, 90). Therefore, the physical world, was not separate from the gods, in Presocratic cosmological philosophy, they were intertwined. Similarly, I will make the point that clearly humans, like the gods, shape their material world (they are world builders)—both the inner world of life and the outer world of /Greek/: matter (</w:t>
      </w:r>
      <w:proofErr w:type="spellStart"/>
      <w:r>
        <w:rPr>
          <w:rFonts w:ascii="Times New Roman" w:hAnsi="Times New Roman" w:cs="Times New Roman"/>
          <w:lang w:val="en-US"/>
        </w:rPr>
        <w:t>hule</w:t>
      </w:r>
      <w:proofErr w:type="spellEnd"/>
      <w:r>
        <w:rPr>
          <w:rFonts w:ascii="Times New Roman" w:hAnsi="Times New Roman" w:cs="Times New Roman"/>
          <w:lang w:val="en-US"/>
        </w:rPr>
        <w:t>) and form (eidos)—an Aristotelian doctrine— known since the late 19</w:t>
      </w:r>
      <w:r w:rsidRPr="0037470D">
        <w:rPr>
          <w:rFonts w:ascii="Times New Roman" w:hAnsi="Times New Roman" w:cs="Times New Roman"/>
          <w:vertAlign w:val="superscript"/>
          <w:lang w:val="en-US"/>
        </w:rPr>
        <w:t>th</w:t>
      </w:r>
      <w:r>
        <w:rPr>
          <w:rFonts w:ascii="Times New Roman" w:hAnsi="Times New Roman" w:cs="Times New Roman"/>
          <w:lang w:val="en-US"/>
        </w:rPr>
        <w:t xml:space="preserve"> century portmanteau coinage of </w:t>
      </w:r>
      <w:proofErr w:type="spellStart"/>
      <w:r>
        <w:rPr>
          <w:rFonts w:ascii="Times New Roman" w:hAnsi="Times New Roman" w:cs="Times New Roman"/>
          <w:lang w:val="en-US"/>
        </w:rPr>
        <w:t>hule</w:t>
      </w:r>
      <w:proofErr w:type="spellEnd"/>
      <w:r>
        <w:rPr>
          <w:rFonts w:ascii="Times New Roman" w:hAnsi="Times New Roman" w:cs="Times New Roman"/>
          <w:lang w:val="en-US"/>
        </w:rPr>
        <w:t xml:space="preserve"> and </w:t>
      </w:r>
      <w:proofErr w:type="spellStart"/>
      <w:r>
        <w:rPr>
          <w:rFonts w:ascii="Times New Roman" w:hAnsi="Times New Roman" w:cs="Times New Roman"/>
          <w:lang w:val="en-US"/>
        </w:rPr>
        <w:t>morphe</w:t>
      </w:r>
      <w:proofErr w:type="spellEnd"/>
      <w:r>
        <w:rPr>
          <w:rFonts w:ascii="Times New Roman" w:hAnsi="Times New Roman" w:cs="Times New Roman"/>
          <w:lang w:val="en-US"/>
        </w:rPr>
        <w:t xml:space="preserve"> as hylomorphism (SEP). Understanding the Greek doctrine and principle of divine causation requires a similarly human causation. </w:t>
      </w:r>
    </w:p>
    <w:p w14:paraId="530C9F39" w14:textId="77777777" w:rsidR="00F413C9" w:rsidRDefault="00F413C9" w:rsidP="00F413C9">
      <w:pPr>
        <w:spacing w:line="480" w:lineRule="auto"/>
        <w:ind w:firstLine="720"/>
        <w:rPr>
          <w:rFonts w:ascii="Times New Roman" w:hAnsi="Times New Roman" w:cs="Times New Roman"/>
          <w:lang w:val="en-US"/>
        </w:rPr>
      </w:pPr>
      <w:r>
        <w:rPr>
          <w:rFonts w:ascii="Times New Roman" w:hAnsi="Times New Roman" w:cs="Times New Roman"/>
          <w:lang w:val="en-US"/>
        </w:rPr>
        <w:t xml:space="preserve">As per, representationalism—the philosophical claim that what we understand are our representations of matter, not the matter that exists outside of our consciousness—as differentiated from panpsychism (the view that everything is conscious) or philosophical idealism (that human perception and ideas is the only reality)—which excludes possible alien consciousness and other conscious animals—representationalism concludes that while matter (a substrate) is capable of representation, with an eidos (hence not formless, and therefore spatially extended) there isn’t any separate existence to “seeing” and “feeling” the world that isn’t coterminous with our representation of matter. Furthermore, to get to my point, representationalism is related to hylomorphism in the sense that matter and form (again, </w:t>
      </w:r>
      <w:proofErr w:type="spellStart"/>
      <w:r>
        <w:rPr>
          <w:rFonts w:ascii="Times New Roman" w:hAnsi="Times New Roman" w:cs="Times New Roman"/>
          <w:lang w:val="en-US"/>
        </w:rPr>
        <w:t>hule</w:t>
      </w:r>
      <w:proofErr w:type="spellEnd"/>
      <w:r>
        <w:rPr>
          <w:rFonts w:ascii="Times New Roman" w:hAnsi="Times New Roman" w:cs="Times New Roman"/>
          <w:lang w:val="en-US"/>
        </w:rPr>
        <w:t xml:space="preserve"> and eidos) confer this upon the representation: we coin a phrase and say that this is “hylomorphically representative”, to emphasis the duality and dependence of representation on the form and matter. This is all assuming that philosophical idealism isn’t correct, or other </w:t>
      </w:r>
      <w:proofErr w:type="spellStart"/>
      <w:r>
        <w:rPr>
          <w:rFonts w:ascii="Times New Roman" w:hAnsi="Times New Roman" w:cs="Times New Roman"/>
          <w:lang w:val="en-US"/>
        </w:rPr>
        <w:t>monisms</w:t>
      </w:r>
      <w:proofErr w:type="spellEnd"/>
      <w:r>
        <w:rPr>
          <w:rFonts w:ascii="Times New Roman" w:hAnsi="Times New Roman" w:cs="Times New Roman"/>
          <w:lang w:val="en-US"/>
        </w:rPr>
        <w:t xml:space="preserve"> like strict materialism: it is dualistic. The funny thing is that strict materialism (that materialism denying any existence to mind, soul, spirit) and claiming the existence of atomic theory, or molecular theory, seems to undermine its own position </w:t>
      </w:r>
      <w:proofErr w:type="gramStart"/>
      <w:r>
        <w:rPr>
          <w:rFonts w:ascii="Times New Roman" w:hAnsi="Times New Roman" w:cs="Times New Roman"/>
          <w:lang w:val="en-US"/>
        </w:rPr>
        <w:t>on the basis of</w:t>
      </w:r>
      <w:proofErr w:type="gramEnd"/>
      <w:r>
        <w:rPr>
          <w:rFonts w:ascii="Times New Roman" w:hAnsi="Times New Roman" w:cs="Times New Roman"/>
          <w:lang w:val="en-US"/>
        </w:rPr>
        <w:t xml:space="preserve"> these </w:t>
      </w:r>
      <w:r>
        <w:rPr>
          <w:rFonts w:ascii="Times New Roman" w:hAnsi="Times New Roman" w:cs="Times New Roman"/>
          <w:lang w:val="en-US"/>
        </w:rPr>
        <w:lastRenderedPageBreak/>
        <w:t xml:space="preserve">assumptions. Let me explain. Our coined dual term phraseology of “hylomorphically representative”, implies that there must be a consciousness to mirror or represent the matter, for instance, as talked about in a book I read some of, </w:t>
      </w:r>
      <w:r w:rsidRPr="00483306">
        <w:rPr>
          <w:rFonts w:ascii="Times New Roman" w:hAnsi="Times New Roman" w:cs="Times New Roman"/>
          <w:i/>
          <w:lang w:val="en-US"/>
        </w:rPr>
        <w:t>Philosophy and the Mirror of Nature</w:t>
      </w:r>
      <w:r>
        <w:rPr>
          <w:rFonts w:ascii="Times New Roman" w:hAnsi="Times New Roman" w:cs="Times New Roman"/>
          <w:lang w:val="en-US"/>
        </w:rPr>
        <w:t xml:space="preserve">, written by </w:t>
      </w:r>
      <w:proofErr w:type="spellStart"/>
      <w:r>
        <w:rPr>
          <w:rFonts w:ascii="Times New Roman" w:hAnsi="Times New Roman" w:cs="Times New Roman"/>
          <w:lang w:val="en-US"/>
        </w:rPr>
        <w:t>Rorty</w:t>
      </w:r>
      <w:proofErr w:type="spellEnd"/>
      <w:r>
        <w:rPr>
          <w:rFonts w:ascii="Times New Roman" w:hAnsi="Times New Roman" w:cs="Times New Roman"/>
          <w:lang w:val="en-US"/>
        </w:rPr>
        <w:t xml:space="preserve">. Such is fundamental to Descartes’ dualism, for instance, which </w:t>
      </w:r>
      <w:proofErr w:type="spellStart"/>
      <w:r>
        <w:rPr>
          <w:rFonts w:ascii="Times New Roman" w:hAnsi="Times New Roman" w:cs="Times New Roman"/>
          <w:lang w:val="en-US"/>
        </w:rPr>
        <w:t>Rorty</w:t>
      </w:r>
      <w:proofErr w:type="spellEnd"/>
      <w:r>
        <w:rPr>
          <w:rFonts w:ascii="Times New Roman" w:hAnsi="Times New Roman" w:cs="Times New Roman"/>
          <w:lang w:val="en-US"/>
        </w:rPr>
        <w:t xml:space="preserve"> is criticizing as mirroring nature. I’m more a Berkeleyan myself, but by entertaining the idea of “</w:t>
      </w:r>
      <w:r w:rsidRPr="007112EC">
        <w:rPr>
          <w:rFonts w:ascii="Times New Roman" w:hAnsi="Times New Roman" w:cs="Times New Roman"/>
          <w:lang w:val="en-US"/>
        </w:rPr>
        <w:t>dualism</w:t>
      </w:r>
      <w:r>
        <w:rPr>
          <w:rFonts w:ascii="Times New Roman" w:hAnsi="Times New Roman" w:cs="Times New Roman"/>
          <w:lang w:val="en-US"/>
        </w:rPr>
        <w:t xml:space="preserve">” and the other possibility “eliminative materialism” or what I have called “strict materialism” which is also another term for this I notice what appears to be a basic fatal irony in this materialism, one in fact which I have noticed earlier on, namely, that without this mirroring relationship of dualism, without the “hylomorphically representative” relationship of a hylomorphic representative, materialism would in fact be impossible to confirm owing to the reliance on empirical methods that require a conscious person to read, look at, and interpret the data. To state again, more simply, consciousness would be needed to confirm the existence of matter in order, quoting myself, ‘read, look at, and interpret the data’ which was necessary to notice the existence of atoms molecules and so on. It can’t be, therefore, argued that consciousness doesn’t exist.  So, in a sense strict materialism is self-refuting. This has several implications for the discussion of flux and how Heraclitus’s dual emphasis on flux and </w:t>
      </w:r>
      <w:r w:rsidRPr="00874BA9">
        <w:rPr>
          <w:rFonts w:ascii="Times New Roman" w:hAnsi="Times New Roman" w:cs="Times New Roman"/>
          <w:i/>
          <w:lang w:val="en-US"/>
        </w:rPr>
        <w:t>logos</w:t>
      </w:r>
      <w:r>
        <w:rPr>
          <w:rFonts w:ascii="Times New Roman" w:hAnsi="Times New Roman" w:cs="Times New Roman"/>
          <w:lang w:val="en-US"/>
        </w:rPr>
        <w:t xml:space="preserve"> avoids this rather simple but perhaps difficult to realize because of its simplicity, objectionable metaphysical and epistemic trap. As I will discuss, and as restated more specifically as compared to earlier, Hegel’s and Cassirer’s analysis and interplay of a consciousness directed towards different forms in matter, as forms of consciousness (world historical and cultural) as a species of “hylomorphism”, will benefit through this assessment, whereas the various tenets that propose that only matter exists will find it difficult to support their contention for the reasons mentioned so far, as I will go on to demonstrate later in the paper. For now, I will turn to an imputed quote of Heraclitus’ according to the doxographical tradition in relation to a key point regarding the differentiation between the profane and </w:t>
      </w:r>
      <w:r>
        <w:rPr>
          <w:rFonts w:ascii="Times New Roman" w:hAnsi="Times New Roman" w:cs="Times New Roman"/>
          <w:lang w:val="en-US"/>
        </w:rPr>
        <w:lastRenderedPageBreak/>
        <w:t xml:space="preserve">sacred understanding of Heraclitus’ thinking and thinking more generally. That should help pave the way for my characterization of materialism as profane, and invalid, and provide an analysis that validates the existence of “hylomorphism”, or an interplay between </w:t>
      </w:r>
      <w:proofErr w:type="spellStart"/>
      <w:r>
        <w:rPr>
          <w:rFonts w:ascii="Times New Roman" w:hAnsi="Times New Roman" w:cs="Times New Roman"/>
          <w:lang w:val="en-US"/>
        </w:rPr>
        <w:t>hule</w:t>
      </w:r>
      <w:proofErr w:type="spellEnd"/>
      <w:r>
        <w:rPr>
          <w:rFonts w:ascii="Times New Roman" w:hAnsi="Times New Roman" w:cs="Times New Roman"/>
          <w:lang w:val="en-US"/>
        </w:rPr>
        <w:t xml:space="preserve"> and eidos—initially perhaps viewed an apparent parallax of syncretic manifest co-existent </w:t>
      </w:r>
      <w:proofErr w:type="spellStart"/>
      <w:r>
        <w:rPr>
          <w:rFonts w:ascii="Times New Roman" w:hAnsi="Times New Roman" w:cs="Times New Roman"/>
          <w:lang w:val="en-US"/>
        </w:rPr>
        <w:t>indiscernibles</w:t>
      </w:r>
      <w:proofErr w:type="spellEnd"/>
      <w:r>
        <w:rPr>
          <w:rFonts w:ascii="Times New Roman" w:hAnsi="Times New Roman" w:cs="Times New Roman"/>
          <w:lang w:val="en-US"/>
        </w:rPr>
        <w:t xml:space="preserve"> somehow interacting across a parallax gap (as Zizek likes to call it), but hopefully seen in my concluding analysis a productive and necessary reality for the proper re-orientation of science, social life, and life more generally.  </w:t>
      </w:r>
    </w:p>
    <w:p w14:paraId="26452B25" w14:textId="487D7518" w:rsidR="00F413C9" w:rsidRPr="00AC7119" w:rsidRDefault="00F413C9" w:rsidP="00F413C9">
      <w:pPr>
        <w:spacing w:line="480" w:lineRule="auto"/>
        <w:rPr>
          <w:rFonts w:ascii="Times New Roman" w:eastAsia="Times New Roman" w:hAnsi="Times New Roman" w:cs="Times New Roman"/>
          <w:lang w:eastAsia="en-GB"/>
        </w:rPr>
      </w:pPr>
      <w:r>
        <w:rPr>
          <w:rFonts w:ascii="Times New Roman" w:hAnsi="Times New Roman" w:cs="Times New Roman"/>
          <w:lang w:val="en-US"/>
        </w:rPr>
        <w:tab/>
        <w:t xml:space="preserve">I now turn towards the doxographical tradition. This concerns the differentiation between the sacred and regal side of knowledge on the one hand and the profane understanding. </w:t>
      </w:r>
      <w:r>
        <w:rPr>
          <w:rFonts w:ascii="Times New Roman" w:eastAsia="Times New Roman" w:hAnsi="Times New Roman" w:cs="Times New Roman"/>
          <w:color w:val="000000" w:themeColor="text1"/>
          <w:shd w:val="clear" w:color="auto" w:fill="FFFFFF"/>
          <w:lang w:eastAsia="en-GB"/>
        </w:rPr>
        <w:t xml:space="preserve">We may be able to infer something, though it is not clear, namely, his misanthropy or at least mockery of what we have been calling profane people from two statements, the first made by </w:t>
      </w:r>
      <w:proofErr w:type="spellStart"/>
      <w:r>
        <w:rPr>
          <w:rFonts w:ascii="Times New Roman" w:eastAsia="Times New Roman" w:hAnsi="Times New Roman" w:cs="Times New Roman"/>
          <w:color w:val="000000" w:themeColor="text1"/>
          <w:shd w:val="clear" w:color="auto" w:fill="FFFFFF"/>
          <w:lang w:eastAsia="en-GB"/>
        </w:rPr>
        <w:t>Atheanaeus</w:t>
      </w:r>
      <w:proofErr w:type="spellEnd"/>
      <w:r>
        <w:rPr>
          <w:rFonts w:ascii="Times New Roman" w:eastAsia="Times New Roman" w:hAnsi="Times New Roman" w:cs="Times New Roman"/>
          <w:color w:val="000000" w:themeColor="text1"/>
          <w:shd w:val="clear" w:color="auto" w:fill="FFFFFF"/>
          <w:lang w:eastAsia="en-GB"/>
        </w:rPr>
        <w:t xml:space="preserve">, the second by </w:t>
      </w:r>
      <w:proofErr w:type="spellStart"/>
      <w:r>
        <w:rPr>
          <w:rFonts w:ascii="Times New Roman" w:eastAsia="Times New Roman" w:hAnsi="Times New Roman" w:cs="Times New Roman"/>
          <w:color w:val="000000" w:themeColor="text1"/>
          <w:shd w:val="clear" w:color="auto" w:fill="FFFFFF"/>
          <w:lang w:eastAsia="en-GB"/>
        </w:rPr>
        <w:t>Protrepticus</w:t>
      </w:r>
      <w:proofErr w:type="spellEnd"/>
      <w:r>
        <w:rPr>
          <w:rFonts w:ascii="Times New Roman" w:eastAsia="Times New Roman" w:hAnsi="Times New Roman" w:cs="Times New Roman"/>
          <w:color w:val="000000" w:themeColor="text1"/>
          <w:shd w:val="clear" w:color="auto" w:fill="FFFFFF"/>
          <w:lang w:eastAsia="en-GB"/>
        </w:rPr>
        <w:t>, which I quote in part. The first is, as cited by Kirk, “for the true gentleman should neither be dirty nor unwashed nor rejoice in mire as Heraclitus says.” (Kirk</w:t>
      </w:r>
      <w:r w:rsidR="00C31730">
        <w:rPr>
          <w:rFonts w:ascii="Times New Roman" w:eastAsia="Times New Roman" w:hAnsi="Times New Roman" w:cs="Times New Roman"/>
          <w:color w:val="000000" w:themeColor="text1"/>
          <w:shd w:val="clear" w:color="auto" w:fill="FFFFFF"/>
          <w:lang w:eastAsia="en-GB"/>
        </w:rPr>
        <w:t>, 76</w:t>
      </w:r>
      <w:r>
        <w:rPr>
          <w:rFonts w:ascii="Times New Roman" w:eastAsia="Times New Roman" w:hAnsi="Times New Roman" w:cs="Times New Roman"/>
          <w:color w:val="000000" w:themeColor="text1"/>
          <w:shd w:val="clear" w:color="auto" w:fill="FFFFFF"/>
          <w:lang w:eastAsia="en-GB"/>
        </w:rPr>
        <w:t>) The second is, also by Kirk, “…pig like fellows. For pigs he says delight in mire rather than in clean water…” (Kirk</w:t>
      </w:r>
      <w:r w:rsidR="00C31730">
        <w:rPr>
          <w:rFonts w:ascii="Times New Roman" w:eastAsia="Times New Roman" w:hAnsi="Times New Roman" w:cs="Times New Roman"/>
          <w:color w:val="000000" w:themeColor="text1"/>
          <w:shd w:val="clear" w:color="auto" w:fill="FFFFFF"/>
          <w:lang w:eastAsia="en-GB"/>
        </w:rPr>
        <w:t>, 76</w:t>
      </w:r>
      <w:r>
        <w:rPr>
          <w:rFonts w:ascii="Times New Roman" w:eastAsia="Times New Roman" w:hAnsi="Times New Roman" w:cs="Times New Roman"/>
          <w:color w:val="000000" w:themeColor="text1"/>
          <w:shd w:val="clear" w:color="auto" w:fill="FFFFFF"/>
          <w:lang w:eastAsia="en-GB"/>
        </w:rPr>
        <w:t xml:space="preserve">) Relevant here is a point that </w:t>
      </w:r>
      <w:proofErr w:type="spellStart"/>
      <w:r>
        <w:rPr>
          <w:rFonts w:ascii="Times New Roman" w:eastAsia="Times New Roman" w:hAnsi="Times New Roman" w:cs="Times New Roman"/>
          <w:color w:val="000000" w:themeColor="text1"/>
          <w:shd w:val="clear" w:color="auto" w:fill="FFFFFF"/>
          <w:lang w:eastAsia="en-GB"/>
        </w:rPr>
        <w:t>Moyal</w:t>
      </w:r>
      <w:proofErr w:type="spellEnd"/>
      <w:r>
        <w:rPr>
          <w:rFonts w:ascii="Times New Roman" w:eastAsia="Times New Roman" w:hAnsi="Times New Roman" w:cs="Times New Roman"/>
          <w:color w:val="000000" w:themeColor="text1"/>
          <w:shd w:val="clear" w:color="auto" w:fill="FFFFFF"/>
          <w:lang w:eastAsia="en-GB"/>
        </w:rPr>
        <w:t xml:space="preserve"> makes about Heraclitus’ notion of the logos, as such, in his article titled “On Heraclitus’s Misanthropy”, “But for Heraclitus, the truth is not only that men fail to understand the logos, but that their failure is in some way reprehensible.” (</w:t>
      </w:r>
      <w:proofErr w:type="spellStart"/>
      <w:r>
        <w:rPr>
          <w:rFonts w:ascii="Times New Roman" w:eastAsia="Times New Roman" w:hAnsi="Times New Roman" w:cs="Times New Roman"/>
          <w:color w:val="000000" w:themeColor="text1"/>
          <w:shd w:val="clear" w:color="auto" w:fill="FFFFFF"/>
          <w:lang w:eastAsia="en-GB"/>
        </w:rPr>
        <w:t>Moyal</w:t>
      </w:r>
      <w:proofErr w:type="spellEnd"/>
      <w:r w:rsidR="00C94568">
        <w:rPr>
          <w:rFonts w:ascii="Times New Roman" w:eastAsia="Times New Roman" w:hAnsi="Times New Roman" w:cs="Times New Roman"/>
          <w:color w:val="000000" w:themeColor="text1"/>
          <w:shd w:val="clear" w:color="auto" w:fill="FFFFFF"/>
          <w:lang w:eastAsia="en-GB"/>
        </w:rPr>
        <w:t>, 131</w:t>
      </w:r>
      <w:r>
        <w:rPr>
          <w:rFonts w:ascii="Times New Roman" w:eastAsia="Times New Roman" w:hAnsi="Times New Roman" w:cs="Times New Roman"/>
          <w:color w:val="000000" w:themeColor="text1"/>
          <w:shd w:val="clear" w:color="auto" w:fill="FFFFFF"/>
          <w:lang w:eastAsia="en-GB"/>
        </w:rPr>
        <w:t>) As Heraclitus says, “</w:t>
      </w:r>
      <w:r w:rsidRPr="00A64347">
        <w:rPr>
          <w:rFonts w:ascii="Times New Roman" w:eastAsia="Times New Roman" w:hAnsi="Times New Roman" w:cs="Times New Roman"/>
          <w:color w:val="000000" w:themeColor="text1"/>
          <w:lang w:eastAsia="en-GB"/>
        </w:rPr>
        <w:t>Divine things for the most part escape recognition because of unbelief</w:t>
      </w:r>
      <w:r>
        <w:rPr>
          <w:rFonts w:ascii="Times New Roman" w:eastAsia="Times New Roman" w:hAnsi="Times New Roman" w:cs="Times New Roman"/>
          <w:color w:val="000000" w:themeColor="text1"/>
          <w:lang w:eastAsia="en-GB"/>
        </w:rPr>
        <w:t>.” (Heraclitus</w:t>
      </w:r>
      <w:r w:rsidR="00820AC4">
        <w:rPr>
          <w:rFonts w:ascii="Times New Roman" w:eastAsia="Times New Roman" w:hAnsi="Times New Roman" w:cs="Times New Roman"/>
          <w:color w:val="000000" w:themeColor="text1"/>
          <w:lang w:eastAsia="en-GB"/>
        </w:rPr>
        <w:t>, 47</w:t>
      </w:r>
      <w:r>
        <w:rPr>
          <w:rFonts w:ascii="Times New Roman" w:eastAsia="Times New Roman" w:hAnsi="Times New Roman" w:cs="Times New Roman"/>
          <w:color w:val="000000" w:themeColor="text1"/>
          <w:lang w:eastAsia="en-GB"/>
        </w:rPr>
        <w:t xml:space="preserve">) He also says, </w:t>
      </w:r>
      <w:r w:rsidRPr="00D05BA3">
        <w:rPr>
          <w:rFonts w:ascii="Times New Roman" w:eastAsia="Times New Roman" w:hAnsi="Times New Roman" w:cs="Times New Roman"/>
          <w:color w:val="000000" w:themeColor="text1"/>
          <w:lang w:eastAsia="en-GB"/>
        </w:rPr>
        <w:t>“</w:t>
      </w:r>
      <w:r w:rsidRPr="00AC7119">
        <w:rPr>
          <w:rFonts w:ascii="Times New Roman" w:eastAsia="Times New Roman" w:hAnsi="Times New Roman" w:cs="Times New Roman"/>
          <w:color w:val="000000" w:themeColor="text1"/>
          <w:shd w:val="clear" w:color="auto" w:fill="FFFFFF"/>
          <w:lang w:eastAsia="en-GB"/>
        </w:rPr>
        <w:t>For even the best of them choose one thing above all others, immortal glory among mortals, while most of them are glutted like beasts.</w:t>
      </w:r>
      <w:r>
        <w:rPr>
          <w:rFonts w:ascii="Times New Roman" w:eastAsia="Times New Roman" w:hAnsi="Times New Roman" w:cs="Times New Roman"/>
          <w:color w:val="000000" w:themeColor="text1"/>
          <w:shd w:val="clear" w:color="auto" w:fill="FFFFFF"/>
          <w:lang w:eastAsia="en-GB"/>
        </w:rPr>
        <w:t xml:space="preserve">” (Heraclitus). </w:t>
      </w:r>
    </w:p>
    <w:p w14:paraId="4694F153" w14:textId="50C7A04E" w:rsidR="00F413C9" w:rsidRDefault="00F413C9" w:rsidP="00F413C9">
      <w:pPr>
        <w:spacing w:line="480" w:lineRule="auto"/>
        <w:ind w:firstLine="720"/>
        <w:rPr>
          <w:rFonts w:ascii="Times New Roman" w:eastAsia="Times New Roman" w:hAnsi="Times New Roman" w:cs="Times New Roman"/>
          <w:color w:val="000000" w:themeColor="text1"/>
          <w:shd w:val="clear" w:color="auto" w:fill="FFFFFF"/>
          <w:lang w:eastAsia="en-GB"/>
        </w:rPr>
      </w:pPr>
      <w:r>
        <w:rPr>
          <w:rFonts w:ascii="Times New Roman" w:eastAsia="Times New Roman" w:hAnsi="Times New Roman" w:cs="Times New Roman"/>
          <w:color w:val="000000" w:themeColor="text1"/>
          <w:shd w:val="clear" w:color="auto" w:fill="FFFFFF"/>
          <w:lang w:eastAsia="en-GB"/>
        </w:rPr>
        <w:t xml:space="preserve">Later in the paper, </w:t>
      </w:r>
      <w:proofErr w:type="spellStart"/>
      <w:r>
        <w:rPr>
          <w:rFonts w:ascii="Times New Roman" w:eastAsia="Times New Roman" w:hAnsi="Times New Roman" w:cs="Times New Roman"/>
          <w:color w:val="000000" w:themeColor="text1"/>
          <w:shd w:val="clear" w:color="auto" w:fill="FFFFFF"/>
          <w:lang w:eastAsia="en-GB"/>
        </w:rPr>
        <w:t>Moyal</w:t>
      </w:r>
      <w:proofErr w:type="spellEnd"/>
      <w:r>
        <w:rPr>
          <w:rFonts w:ascii="Times New Roman" w:eastAsia="Times New Roman" w:hAnsi="Times New Roman" w:cs="Times New Roman"/>
          <w:color w:val="000000" w:themeColor="text1"/>
          <w:shd w:val="clear" w:color="auto" w:fill="FFFFFF"/>
          <w:lang w:eastAsia="en-GB"/>
        </w:rPr>
        <w:t xml:space="preserve"> makes a point about how Heraclitus comes somewhat close to the idea of referencing the mind within his system. Logos may be suggestive of mind and was more connected with the idea of the indifference of the gods to the affairs of men which suggests a mind as they watch the cosmic unfolding of the universe with a sense of calm </w:t>
      </w:r>
      <w:r>
        <w:rPr>
          <w:rFonts w:ascii="Times New Roman" w:eastAsia="Times New Roman" w:hAnsi="Times New Roman" w:cs="Times New Roman"/>
          <w:color w:val="000000" w:themeColor="text1"/>
          <w:shd w:val="clear" w:color="auto" w:fill="FFFFFF"/>
          <w:lang w:eastAsia="en-GB"/>
        </w:rPr>
        <w:lastRenderedPageBreak/>
        <w:t>accounting for all the change in the world of mortals, summed up in the unity of opposites that seems indifferent to the apparent war between different elements of experience of a contradictory nature. This emphasis on the divine element, of justice, is described by Heraclitus thusly, “</w:t>
      </w:r>
      <w:r w:rsidRPr="00165878">
        <w:rPr>
          <w:rFonts w:ascii="Times New Roman" w:eastAsia="Times New Roman" w:hAnsi="Times New Roman" w:cs="Times New Roman"/>
          <w:lang w:eastAsia="en-GB"/>
        </w:rPr>
        <w:t>It is necessary to know that war is common and justice is strife and that all things happen in accordance with strife and necessity.</w:t>
      </w:r>
      <w:r>
        <w:rPr>
          <w:rFonts w:ascii="Times New Roman" w:eastAsia="Times New Roman" w:hAnsi="Times New Roman" w:cs="Times New Roman"/>
          <w:lang w:eastAsia="en-GB"/>
        </w:rPr>
        <w:t>” (Heraclitus</w:t>
      </w:r>
      <w:r w:rsidR="00495E6F">
        <w:rPr>
          <w:rFonts w:ascii="Times New Roman" w:eastAsia="Times New Roman" w:hAnsi="Times New Roman" w:cs="Times New Roman"/>
          <w:lang w:eastAsia="en-GB"/>
        </w:rPr>
        <w:t>, 47</w:t>
      </w:r>
      <w:r>
        <w:rPr>
          <w:rFonts w:ascii="Times New Roman" w:eastAsia="Times New Roman" w:hAnsi="Times New Roman" w:cs="Times New Roman"/>
          <w:lang w:eastAsia="en-GB"/>
        </w:rPr>
        <w:t>)</w:t>
      </w:r>
      <w:r w:rsidRPr="00165878">
        <w:rPr>
          <w:rFonts w:ascii="Times New Roman" w:eastAsia="Times New Roman" w:hAnsi="Times New Roman" w:cs="Times New Roman"/>
          <w:lang w:eastAsia="en-GB"/>
        </w:rPr>
        <w:t xml:space="preserve"> </w:t>
      </w:r>
      <w:r>
        <w:rPr>
          <w:rFonts w:ascii="Times New Roman" w:eastAsia="Times New Roman" w:hAnsi="Times New Roman" w:cs="Times New Roman"/>
          <w:color w:val="000000" w:themeColor="text1"/>
          <w:shd w:val="clear" w:color="auto" w:fill="FFFFFF"/>
          <w:lang w:eastAsia="en-GB"/>
        </w:rPr>
        <w:t>This contradiction can be summed up in the elemental everlasting fire that was the unifying principle of change that governed the changes in the other elements, hence basically an acceptance of change. As Heraclitus says, “</w:t>
      </w:r>
      <w:r w:rsidRPr="00421B95">
        <w:rPr>
          <w:rFonts w:ascii="Times New Roman" w:eastAsia="Times New Roman" w:hAnsi="Times New Roman" w:cs="Times New Roman"/>
          <w:color w:val="000000" w:themeColor="text1"/>
          <w:lang w:eastAsia="en-GB"/>
        </w:rPr>
        <w:t xml:space="preserve">This </w:t>
      </w:r>
      <w:proofErr w:type="spellStart"/>
      <w:r w:rsidRPr="00421B95">
        <w:rPr>
          <w:rFonts w:ascii="Times New Roman" w:eastAsia="Times New Roman" w:hAnsi="Times New Roman" w:cs="Times New Roman"/>
          <w:color w:val="000000" w:themeColor="text1"/>
          <w:lang w:eastAsia="en-GB"/>
        </w:rPr>
        <w:t>kosmos</w:t>
      </w:r>
      <w:proofErr w:type="spellEnd"/>
      <w:r w:rsidRPr="00421B95">
        <w:rPr>
          <w:rFonts w:ascii="Times New Roman" w:eastAsia="Times New Roman" w:hAnsi="Times New Roman" w:cs="Times New Roman"/>
          <w:color w:val="000000" w:themeColor="text1"/>
          <w:lang w:eastAsia="en-GB"/>
        </w:rPr>
        <w:t>, the same for all, none of gods nor humans made, but it was always and is and shall be: an ever-living fire, kindled in measures and extinguished in measures.</w:t>
      </w:r>
      <w:r>
        <w:rPr>
          <w:rFonts w:ascii="Times New Roman" w:eastAsia="Times New Roman" w:hAnsi="Times New Roman" w:cs="Times New Roman"/>
          <w:color w:val="000000" w:themeColor="text1"/>
          <w:lang w:eastAsia="en-GB"/>
        </w:rPr>
        <w:t>” (Heraclitus</w:t>
      </w:r>
      <w:r w:rsidR="00495E6F">
        <w:rPr>
          <w:rFonts w:ascii="Times New Roman" w:eastAsia="Times New Roman" w:hAnsi="Times New Roman" w:cs="Times New Roman"/>
          <w:color w:val="000000" w:themeColor="text1"/>
          <w:lang w:eastAsia="en-GB"/>
        </w:rPr>
        <w:t>, 45</w:t>
      </w:r>
      <w:r>
        <w:rPr>
          <w:rFonts w:ascii="Times New Roman" w:eastAsia="Times New Roman" w:hAnsi="Times New Roman" w:cs="Times New Roman"/>
          <w:color w:val="000000" w:themeColor="text1"/>
          <w:lang w:eastAsia="en-GB"/>
        </w:rPr>
        <w:t xml:space="preserve">) </w:t>
      </w:r>
      <w:r>
        <w:rPr>
          <w:rFonts w:ascii="Times New Roman" w:eastAsia="Times New Roman" w:hAnsi="Times New Roman" w:cs="Times New Roman"/>
          <w:color w:val="000000" w:themeColor="text1"/>
          <w:shd w:val="clear" w:color="auto" w:fill="FFFFFF"/>
          <w:lang w:eastAsia="en-GB"/>
        </w:rPr>
        <w:t xml:space="preserve">We are given a clue by </w:t>
      </w:r>
      <w:proofErr w:type="spellStart"/>
      <w:r>
        <w:rPr>
          <w:rFonts w:ascii="Times New Roman" w:eastAsia="Times New Roman" w:hAnsi="Times New Roman" w:cs="Times New Roman"/>
          <w:color w:val="000000" w:themeColor="text1"/>
          <w:shd w:val="clear" w:color="auto" w:fill="FFFFFF"/>
          <w:lang w:eastAsia="en-GB"/>
        </w:rPr>
        <w:t>Moyal</w:t>
      </w:r>
      <w:proofErr w:type="spellEnd"/>
      <w:r>
        <w:rPr>
          <w:rFonts w:ascii="Times New Roman" w:eastAsia="Times New Roman" w:hAnsi="Times New Roman" w:cs="Times New Roman"/>
          <w:color w:val="000000" w:themeColor="text1"/>
          <w:shd w:val="clear" w:color="auto" w:fill="FFFFFF"/>
          <w:lang w:eastAsia="en-GB"/>
        </w:rPr>
        <w:t xml:space="preserve"> of what this means when he attributes to Heraclitus the idea that grasping the logos requires a “dryer soul”. He says, “The closest it ever comes to the notion of mind or intellect is in those fragments in which clear consciousness of the Logos is ascribed to the dryer soul, i.e., to a soul more closely attuned to the everlasting fire.” (</w:t>
      </w:r>
      <w:proofErr w:type="spellStart"/>
      <w:r w:rsidR="00C31730">
        <w:rPr>
          <w:rFonts w:ascii="Times New Roman" w:eastAsia="Times New Roman" w:hAnsi="Times New Roman" w:cs="Times New Roman"/>
          <w:color w:val="000000" w:themeColor="text1"/>
          <w:shd w:val="clear" w:color="auto" w:fill="FFFFFF"/>
          <w:lang w:eastAsia="en-GB"/>
        </w:rPr>
        <w:t>Moyal</w:t>
      </w:r>
      <w:proofErr w:type="spellEnd"/>
      <w:r w:rsidR="00C31730">
        <w:rPr>
          <w:rFonts w:ascii="Times New Roman" w:eastAsia="Times New Roman" w:hAnsi="Times New Roman" w:cs="Times New Roman"/>
          <w:color w:val="000000" w:themeColor="text1"/>
          <w:shd w:val="clear" w:color="auto" w:fill="FFFFFF"/>
          <w:lang w:eastAsia="en-GB"/>
        </w:rPr>
        <w:t xml:space="preserve">, </w:t>
      </w:r>
      <w:r>
        <w:rPr>
          <w:rFonts w:ascii="Times New Roman" w:eastAsia="Times New Roman" w:hAnsi="Times New Roman" w:cs="Times New Roman"/>
          <w:color w:val="000000" w:themeColor="text1"/>
          <w:shd w:val="clear" w:color="auto" w:fill="FFFFFF"/>
          <w:lang w:eastAsia="en-GB"/>
        </w:rPr>
        <w:t>133) This would imply the differentiation of the soul from “mire” in the case of pigs or pig-like humans. This would also explain Heraclitus’s implication that not understanding the logos is reprehensible. That is that one’s soul is not dry but wet like a pig that moves in “mire” or swampy boggy ground. In any case, the principle of fire seems to suggest purification in the sense that when it burns it changes the substance burned into something else, thus, purifying the object of its own nature and changing it into something else. The soul seems to be like a fire in a sense and the mind and intellect are connected to the soul, in a sustaining sort of relationship akin to a gentle fire of understanding communicating between the two. As Heraclitus says, “</w:t>
      </w:r>
      <w:r w:rsidRPr="00421B95">
        <w:rPr>
          <w:rFonts w:ascii="Times New Roman" w:eastAsia="Times New Roman" w:hAnsi="Times New Roman" w:cs="Times New Roman"/>
          <w:color w:val="000000" w:themeColor="text1"/>
          <w:lang w:eastAsia="en-GB"/>
        </w:rPr>
        <w:t>You would not discover the limits of the soul although you travelled every road: so deep a logos does it have.</w:t>
      </w:r>
      <w:r>
        <w:rPr>
          <w:rFonts w:ascii="Times New Roman" w:eastAsia="Times New Roman" w:hAnsi="Times New Roman" w:cs="Times New Roman"/>
          <w:color w:val="000000" w:themeColor="text1"/>
          <w:shd w:val="clear" w:color="auto" w:fill="FFFFFF"/>
          <w:lang w:eastAsia="en-GB"/>
        </w:rPr>
        <w:t>” (Heraclitus</w:t>
      </w:r>
      <w:r w:rsidR="00326FEB">
        <w:rPr>
          <w:rFonts w:ascii="Times New Roman" w:eastAsia="Times New Roman" w:hAnsi="Times New Roman" w:cs="Times New Roman"/>
          <w:color w:val="000000" w:themeColor="text1"/>
          <w:shd w:val="clear" w:color="auto" w:fill="FFFFFF"/>
          <w:lang w:eastAsia="en-GB"/>
        </w:rPr>
        <w:t>, 45</w:t>
      </w:r>
      <w:r>
        <w:rPr>
          <w:rFonts w:ascii="Times New Roman" w:eastAsia="Times New Roman" w:hAnsi="Times New Roman" w:cs="Times New Roman"/>
          <w:color w:val="000000" w:themeColor="text1"/>
          <w:shd w:val="clear" w:color="auto" w:fill="FFFFFF"/>
          <w:lang w:eastAsia="en-GB"/>
        </w:rPr>
        <w:t>)</w:t>
      </w:r>
      <w:r w:rsidRPr="00421B95">
        <w:rPr>
          <w:rFonts w:ascii="Times New Roman" w:eastAsia="Times New Roman" w:hAnsi="Times New Roman" w:cs="Times New Roman"/>
          <w:color w:val="000000" w:themeColor="text1"/>
          <w:shd w:val="clear" w:color="auto" w:fill="FFFFFF"/>
          <w:lang w:eastAsia="en-GB"/>
        </w:rPr>
        <w:t xml:space="preserve"> </w:t>
      </w:r>
      <w:r>
        <w:rPr>
          <w:rFonts w:ascii="Times New Roman" w:eastAsia="Times New Roman" w:hAnsi="Times New Roman" w:cs="Times New Roman"/>
          <w:color w:val="000000" w:themeColor="text1"/>
          <w:shd w:val="clear" w:color="auto" w:fill="FFFFFF"/>
          <w:lang w:eastAsia="en-GB"/>
        </w:rPr>
        <w:t xml:space="preserve">It makes sense then that the more the fire element predominates and accepts change within itself, within the human being, ironically, the more the mind is able to achieve stillness within </w:t>
      </w:r>
      <w:r>
        <w:rPr>
          <w:rFonts w:ascii="Times New Roman" w:eastAsia="Times New Roman" w:hAnsi="Times New Roman" w:cs="Times New Roman"/>
          <w:color w:val="000000" w:themeColor="text1"/>
          <w:shd w:val="clear" w:color="auto" w:fill="FFFFFF"/>
          <w:lang w:eastAsia="en-GB"/>
        </w:rPr>
        <w:lastRenderedPageBreak/>
        <w:t xml:space="preserve">itself in accepting the idea of change (in perception, sensation, etc.) and stabilizing in stillness one’s soul, while ignoring these changes by accepting and coming to peace with the idea that things change, which can then be used to direct the understanding of the mind from the soul.  </w:t>
      </w:r>
    </w:p>
    <w:p w14:paraId="5AFAD08C" w14:textId="26937518" w:rsidR="00F413C9" w:rsidRDefault="00F413C9" w:rsidP="00F413C9">
      <w:pPr>
        <w:spacing w:line="480" w:lineRule="auto"/>
        <w:rPr>
          <w:rFonts w:ascii="Georgia" w:eastAsia="Times New Roman" w:hAnsi="Georgia" w:cs="Times New Roman"/>
          <w:color w:val="000000" w:themeColor="text1"/>
          <w:sz w:val="22"/>
          <w:szCs w:val="22"/>
          <w:shd w:val="clear" w:color="auto" w:fill="FFFFFF"/>
          <w:lang w:eastAsia="en-GB"/>
        </w:rPr>
      </w:pPr>
      <w:r>
        <w:rPr>
          <w:rFonts w:ascii="Times New Roman" w:eastAsia="Times New Roman" w:hAnsi="Times New Roman" w:cs="Times New Roman"/>
          <w:color w:val="000000" w:themeColor="text1"/>
          <w:shd w:val="clear" w:color="auto" w:fill="FFFFFF"/>
          <w:lang w:eastAsia="en-GB"/>
        </w:rPr>
        <w:tab/>
        <w:t xml:space="preserve">Hegel’s </w:t>
      </w:r>
      <w:r>
        <w:rPr>
          <w:rFonts w:ascii="Times New Roman" w:eastAsia="Times New Roman" w:hAnsi="Times New Roman" w:cs="Times New Roman"/>
          <w:i/>
          <w:color w:val="000000" w:themeColor="text1"/>
          <w:shd w:val="clear" w:color="auto" w:fill="FFFFFF"/>
          <w:lang w:eastAsia="en-GB"/>
        </w:rPr>
        <w:t>The Science of Logic</w:t>
      </w:r>
      <w:r>
        <w:rPr>
          <w:rFonts w:ascii="Times New Roman" w:eastAsia="Times New Roman" w:hAnsi="Times New Roman" w:cs="Times New Roman"/>
          <w:color w:val="000000" w:themeColor="text1"/>
          <w:shd w:val="clear" w:color="auto" w:fill="FFFFFF"/>
          <w:lang w:eastAsia="en-GB"/>
        </w:rPr>
        <w:t xml:space="preserve"> makes this key distinction when comparing a specification of existence within the underlying “unity of opposites”, as such, “</w:t>
      </w:r>
      <w:r w:rsidRPr="008F411F">
        <w:rPr>
          <w:rFonts w:ascii="Georgia" w:eastAsia="Times New Roman" w:hAnsi="Georgia" w:cs="Times New Roman"/>
          <w:color w:val="000000" w:themeColor="text1"/>
          <w:sz w:val="22"/>
          <w:szCs w:val="22"/>
          <w:shd w:val="clear" w:color="auto" w:fill="FFFFFF"/>
          <w:lang w:eastAsia="en-GB"/>
        </w:rPr>
        <w:t>The principles of the metaphysical philosophy gave rise to the belief that, when cognition lapsed into contradictions, it was a mere accidental aberration, due to some subjective mistake in argument and inference.</w:t>
      </w:r>
      <w:r>
        <w:rPr>
          <w:rFonts w:ascii="Georgia" w:eastAsia="Times New Roman" w:hAnsi="Georgia" w:cs="Times New Roman"/>
          <w:color w:val="000000" w:themeColor="text1"/>
          <w:sz w:val="22"/>
          <w:szCs w:val="22"/>
          <w:shd w:val="clear" w:color="auto" w:fill="FFFFFF"/>
          <w:lang w:eastAsia="en-GB"/>
        </w:rPr>
        <w:t>”</w:t>
      </w:r>
      <w:r w:rsidR="006623F2">
        <w:rPr>
          <w:rFonts w:ascii="Georgia" w:eastAsia="Times New Roman" w:hAnsi="Georgia" w:cs="Times New Roman"/>
          <w:color w:val="000000" w:themeColor="text1"/>
          <w:sz w:val="22"/>
          <w:szCs w:val="22"/>
          <w:shd w:val="clear" w:color="auto" w:fill="FFFFFF"/>
          <w:lang w:eastAsia="en-GB"/>
        </w:rPr>
        <w:t xml:space="preserve"> (Hegel, Marxists.org)</w:t>
      </w:r>
      <w:r w:rsidRPr="008F411F">
        <w:rPr>
          <w:rFonts w:ascii="Georgia" w:eastAsia="Times New Roman" w:hAnsi="Georgia" w:cs="Times New Roman"/>
          <w:color w:val="000000" w:themeColor="text1"/>
          <w:sz w:val="22"/>
          <w:szCs w:val="22"/>
          <w:shd w:val="clear" w:color="auto" w:fill="FFFFFF"/>
          <w:lang w:eastAsia="en-GB"/>
        </w:rPr>
        <w:t xml:space="preserve"> According to Kant, however, thought has a natural tendency to issue in contradictions or antinomies, whenever it seeks to apprehend the infinite. We have in the latter part of the above paragraph referred to the philosophical importance of the antinomies of reason, and shown how the recognition of their existence helped largely to get rid of the rigid dogmatism of the metaphysic of understanding, </w:t>
      </w:r>
      <w:r>
        <w:rPr>
          <w:rFonts w:ascii="Georgia" w:eastAsia="Times New Roman" w:hAnsi="Georgia" w:cs="Times New Roman"/>
          <w:color w:val="000000" w:themeColor="text1"/>
          <w:sz w:val="22"/>
          <w:szCs w:val="22"/>
          <w:shd w:val="clear" w:color="auto" w:fill="FFFFFF"/>
          <w:lang w:eastAsia="en-GB"/>
        </w:rPr>
        <w:t>and to direct attention to the d</w:t>
      </w:r>
      <w:r w:rsidRPr="008F411F">
        <w:rPr>
          <w:rFonts w:ascii="Georgia" w:eastAsia="Times New Roman" w:hAnsi="Georgia" w:cs="Times New Roman"/>
          <w:color w:val="000000" w:themeColor="text1"/>
          <w:sz w:val="22"/>
          <w:szCs w:val="22"/>
          <w:shd w:val="clear" w:color="auto" w:fill="FFFFFF"/>
          <w:lang w:eastAsia="en-GB"/>
        </w:rPr>
        <w:t xml:space="preserve">ialectical movement of thought. But here too Kant, as we must add, never got beyond the negative result that the thing-in-itself is unknowable, and never penetrated to the discovery of what the antinomies really and positively mean. That true and positive meaning of the antinomies is this: that every actual thing involves a coexistence of opposed elements. </w:t>
      </w:r>
      <w:proofErr w:type="gramStart"/>
      <w:r w:rsidRPr="008F411F">
        <w:rPr>
          <w:rFonts w:ascii="Georgia" w:eastAsia="Times New Roman" w:hAnsi="Georgia" w:cs="Times New Roman"/>
          <w:color w:val="000000" w:themeColor="text1"/>
          <w:sz w:val="22"/>
          <w:szCs w:val="22"/>
          <w:shd w:val="clear" w:color="auto" w:fill="FFFFFF"/>
          <w:lang w:eastAsia="en-GB"/>
        </w:rPr>
        <w:t>Consequently</w:t>
      </w:r>
      <w:proofErr w:type="gramEnd"/>
      <w:r w:rsidRPr="008F411F">
        <w:rPr>
          <w:rFonts w:ascii="Georgia" w:eastAsia="Times New Roman" w:hAnsi="Georgia" w:cs="Times New Roman"/>
          <w:color w:val="000000" w:themeColor="text1"/>
          <w:sz w:val="22"/>
          <w:szCs w:val="22"/>
          <w:shd w:val="clear" w:color="auto" w:fill="FFFFFF"/>
          <w:lang w:eastAsia="en-GB"/>
        </w:rPr>
        <w:t xml:space="preserve"> to know, or, in other words, to comprehend an object is equivalent to being conscious of it as a concrete unity of opposed determinations. The old metaphysic, as we have already seen, when it studied the objects of which it sought a metaphysical knowledge, went to work by applying categories abstractly and to the exclusion of their opposites.</w:t>
      </w:r>
      <w:r>
        <w:rPr>
          <w:rFonts w:ascii="Georgia" w:eastAsia="Times New Roman" w:hAnsi="Georgia" w:cs="Times New Roman"/>
          <w:color w:val="000000" w:themeColor="text1"/>
          <w:sz w:val="22"/>
          <w:szCs w:val="22"/>
          <w:shd w:val="clear" w:color="auto" w:fill="FFFFFF"/>
          <w:lang w:eastAsia="en-GB"/>
        </w:rPr>
        <w:t>” (</w:t>
      </w:r>
      <w:r w:rsidR="006623F2">
        <w:rPr>
          <w:rFonts w:ascii="Georgia" w:eastAsia="Times New Roman" w:hAnsi="Georgia" w:cs="Times New Roman"/>
          <w:color w:val="000000" w:themeColor="text1"/>
          <w:sz w:val="22"/>
          <w:szCs w:val="22"/>
          <w:shd w:val="clear" w:color="auto" w:fill="FFFFFF"/>
          <w:lang w:eastAsia="en-GB"/>
        </w:rPr>
        <w:t xml:space="preserve">Hegel, </w:t>
      </w:r>
      <w:r>
        <w:rPr>
          <w:rFonts w:ascii="Georgia" w:eastAsia="Times New Roman" w:hAnsi="Georgia" w:cs="Times New Roman"/>
          <w:color w:val="000000" w:themeColor="text1"/>
          <w:sz w:val="22"/>
          <w:szCs w:val="22"/>
          <w:shd w:val="clear" w:color="auto" w:fill="FFFFFF"/>
          <w:lang w:eastAsia="en-GB"/>
        </w:rPr>
        <w:t>Marxists</w:t>
      </w:r>
      <w:r w:rsidR="006623F2">
        <w:rPr>
          <w:rFonts w:ascii="Georgia" w:eastAsia="Times New Roman" w:hAnsi="Georgia" w:cs="Times New Roman"/>
          <w:color w:val="000000" w:themeColor="text1"/>
          <w:sz w:val="22"/>
          <w:szCs w:val="22"/>
          <w:shd w:val="clear" w:color="auto" w:fill="FFFFFF"/>
          <w:lang w:eastAsia="en-GB"/>
        </w:rPr>
        <w:t>.org</w:t>
      </w:r>
      <w:r>
        <w:rPr>
          <w:rFonts w:ascii="Georgia" w:eastAsia="Times New Roman" w:hAnsi="Georgia" w:cs="Times New Roman"/>
          <w:color w:val="000000" w:themeColor="text1"/>
          <w:sz w:val="22"/>
          <w:szCs w:val="22"/>
          <w:shd w:val="clear" w:color="auto" w:fill="FFFFFF"/>
          <w:lang w:eastAsia="en-GB"/>
        </w:rPr>
        <w:t xml:space="preserve">) The meaning of what Hegel’s says here should be clear </w:t>
      </w:r>
      <w:proofErr w:type="gramStart"/>
      <w:r>
        <w:rPr>
          <w:rFonts w:ascii="Georgia" w:eastAsia="Times New Roman" w:hAnsi="Georgia" w:cs="Times New Roman"/>
          <w:color w:val="000000" w:themeColor="text1"/>
          <w:sz w:val="22"/>
          <w:szCs w:val="22"/>
          <w:shd w:val="clear" w:color="auto" w:fill="FFFFFF"/>
          <w:lang w:eastAsia="en-GB"/>
        </w:rPr>
        <w:t>in light of</w:t>
      </w:r>
      <w:proofErr w:type="gramEnd"/>
      <w:r>
        <w:rPr>
          <w:rFonts w:ascii="Georgia" w:eastAsia="Times New Roman" w:hAnsi="Georgia" w:cs="Times New Roman"/>
          <w:color w:val="000000" w:themeColor="text1"/>
          <w:sz w:val="22"/>
          <w:szCs w:val="22"/>
          <w:shd w:val="clear" w:color="auto" w:fill="FFFFFF"/>
          <w:lang w:eastAsia="en-GB"/>
        </w:rPr>
        <w:t xml:space="preserve"> our on-going explication of the concept of opposites as unity of opposites, which is closely connected to the idea of </w:t>
      </w:r>
      <w:r w:rsidRPr="00CC3EE8">
        <w:rPr>
          <w:rFonts w:ascii="Georgia" w:eastAsia="Times New Roman" w:hAnsi="Georgia" w:cs="Times New Roman"/>
          <w:i/>
          <w:color w:val="000000" w:themeColor="text1"/>
          <w:sz w:val="22"/>
          <w:szCs w:val="22"/>
          <w:shd w:val="clear" w:color="auto" w:fill="FFFFFF"/>
          <w:lang w:eastAsia="en-GB"/>
        </w:rPr>
        <w:t>logos</w:t>
      </w:r>
      <w:r>
        <w:rPr>
          <w:rFonts w:ascii="Georgia" w:eastAsia="Times New Roman" w:hAnsi="Georgia" w:cs="Times New Roman"/>
          <w:color w:val="000000" w:themeColor="text1"/>
          <w:sz w:val="22"/>
          <w:szCs w:val="22"/>
          <w:shd w:val="clear" w:color="auto" w:fill="FFFFFF"/>
          <w:lang w:eastAsia="en-GB"/>
        </w:rPr>
        <w:t xml:space="preserve">. This quote by Hegel also situates and clarifies the caution of the simplistic application through predication of universal metaphysical concepts to the sphere of metaphysical life, that sphere of becoming or change (Heraclitean as flux). Such definitional and simplicities merely vaguely distort the underlying “Dialectical movement of thought” captured as it was in the corresponding idea of logos: reason, </w:t>
      </w:r>
      <w:r>
        <w:rPr>
          <w:rFonts w:ascii="Georgia" w:eastAsia="Times New Roman" w:hAnsi="Georgia" w:cs="Times New Roman"/>
          <w:color w:val="000000" w:themeColor="text1"/>
          <w:sz w:val="22"/>
          <w:szCs w:val="22"/>
          <w:shd w:val="clear" w:color="auto" w:fill="FFFFFF"/>
          <w:lang w:eastAsia="en-GB"/>
        </w:rPr>
        <w:lastRenderedPageBreak/>
        <w:t>therefore, becomes impossible if we merely substitute ontological terms of specification which are merely redundant, definitional, and non-apposite, in the metaphysical or dialectical process of becoming: thusly clarified they merely impeded the movement of thought or cast a veil, that is, they obfuscate the proper movement of thought in relation to being; the unity of opposites becomes an essential leitmotif, an essential boundary of clarity apposite in the non-appositively (inappropriate) definitional alignment to a polar stability within the apparent positivity of concepts that conceals the nebulous fluidity and change of the fluxes of phenomenal life casting it in the assured calming azure of neat and tidy categorical renunciation of bios (life) as a dynamical principle and change of spontaneous existence. It is, thusly, anti-life.</w:t>
      </w:r>
    </w:p>
    <w:p w14:paraId="631F6B11" w14:textId="77777777" w:rsidR="00F413C9" w:rsidRPr="00C07AEA" w:rsidRDefault="00F413C9" w:rsidP="00F413C9">
      <w:pPr>
        <w:spacing w:line="480" w:lineRule="auto"/>
        <w:rPr>
          <w:rFonts w:ascii="Georgia" w:eastAsia="Times New Roman" w:hAnsi="Georgia" w:cs="Times New Roman"/>
          <w:color w:val="000000" w:themeColor="text1"/>
          <w:sz w:val="22"/>
          <w:szCs w:val="22"/>
          <w:shd w:val="clear" w:color="auto" w:fill="FFFFFF"/>
          <w:lang w:eastAsia="en-GB"/>
        </w:rPr>
      </w:pPr>
      <w:r>
        <w:rPr>
          <w:rFonts w:ascii="Georgia" w:eastAsia="Times New Roman" w:hAnsi="Georgia" w:cs="Times New Roman"/>
          <w:color w:val="000000" w:themeColor="text1"/>
          <w:sz w:val="22"/>
          <w:szCs w:val="22"/>
          <w:shd w:val="clear" w:color="auto" w:fill="FFFFFF"/>
          <w:lang w:eastAsia="en-GB"/>
        </w:rPr>
        <w:tab/>
        <w:t>From the force and reality of this illustrative argument from Hegel and myself we can intuitively see that the Kantian system negates life. Perhaps, the system of life as life, as found in someone like Goethe or Hegel would be better. Since Kant and as I said earlier on, since the scientific revolution, and the operatic “The Scientific Conception of the World” (see Vienna Circle) by logical positivism more recently (and the various names associated within this lineage of philosophizing, Comte, Quine, Popper, Dennett, etc.) as well as scientists through time Newton, Kepler, etc. a certain sterility has preponderated and been seen as more sanguine and amenable to scientific studies—being as it were more scientific in its mindedness—hence, the corresponding scientific “method”, and the idea of the scientist as the “fact man” and as being more legitimate and objective. A thorough, correct and intuitive grasp of even Hegel’s most basic concepts dispenses with these illusions and is enough to satisfy the demands of the labels of those engaging with “</w:t>
      </w:r>
      <w:proofErr w:type="spellStart"/>
      <w:r>
        <w:rPr>
          <w:rFonts w:ascii="Georgia" w:eastAsia="Times New Roman" w:hAnsi="Georgia" w:cs="Times New Roman"/>
          <w:color w:val="000000" w:themeColor="text1"/>
          <w:sz w:val="22"/>
          <w:szCs w:val="22"/>
          <w:shd w:val="clear" w:color="auto" w:fill="FFFFFF"/>
          <w:lang w:eastAsia="en-GB"/>
        </w:rPr>
        <w:t>scientificity</w:t>
      </w:r>
      <w:proofErr w:type="spellEnd"/>
      <w:r>
        <w:rPr>
          <w:rFonts w:ascii="Georgia" w:eastAsia="Times New Roman" w:hAnsi="Georgia" w:cs="Times New Roman"/>
          <w:color w:val="000000" w:themeColor="text1"/>
          <w:sz w:val="22"/>
          <w:szCs w:val="22"/>
          <w:shd w:val="clear" w:color="auto" w:fill="FFFFFF"/>
          <w:lang w:eastAsia="en-GB"/>
        </w:rPr>
        <w:t xml:space="preserve">” and being “scientistic”, through notions like these, rather than a proper “scientist”: hence we have the charge of “scientism” through its neglect, apathy, lack of creativity, and intellectual laziness in its neglect of the Being question including its corresponding excuses of the unscientific character of such questions. </w:t>
      </w:r>
      <w:proofErr w:type="gramStart"/>
      <w:r>
        <w:rPr>
          <w:rFonts w:ascii="Georgia" w:eastAsia="Times New Roman" w:hAnsi="Georgia" w:cs="Times New Roman"/>
          <w:color w:val="000000" w:themeColor="text1"/>
          <w:sz w:val="22"/>
          <w:szCs w:val="22"/>
          <w:shd w:val="clear" w:color="auto" w:fill="FFFFFF"/>
          <w:lang w:eastAsia="en-GB"/>
        </w:rPr>
        <w:t>Overall</w:t>
      </w:r>
      <w:proofErr w:type="gramEnd"/>
      <w:r>
        <w:rPr>
          <w:rFonts w:ascii="Georgia" w:eastAsia="Times New Roman" w:hAnsi="Georgia" w:cs="Times New Roman"/>
          <w:color w:val="000000" w:themeColor="text1"/>
          <w:sz w:val="22"/>
          <w:szCs w:val="22"/>
          <w:shd w:val="clear" w:color="auto" w:fill="FFFFFF"/>
          <w:lang w:eastAsia="en-GB"/>
        </w:rPr>
        <w:t xml:space="preserve"> it is a dismissal prospect, for the cool and calculated, for the armchair thinker, for the weak, degenerate, obsessive, and myopic scientist discouraged by failure of the </w:t>
      </w:r>
      <w:r w:rsidRPr="00C07AEA">
        <w:rPr>
          <w:rFonts w:ascii="Times New Roman" w:eastAsia="Times New Roman" w:hAnsi="Times New Roman" w:cs="Times New Roman"/>
          <w:color w:val="1E1E1E"/>
          <w:shd w:val="clear" w:color="auto" w:fill="F4F4F4"/>
        </w:rPr>
        <w:t>é</w:t>
      </w:r>
      <w:r w:rsidRPr="00C07AEA">
        <w:rPr>
          <w:rFonts w:ascii="Georgia" w:eastAsia="Times New Roman" w:hAnsi="Georgia" w:cs="Times New Roman"/>
          <w:color w:val="000000" w:themeColor="text1"/>
          <w:sz w:val="22"/>
          <w:szCs w:val="22"/>
          <w:shd w:val="clear" w:color="auto" w:fill="FFFFFF"/>
          <w:lang w:eastAsia="en-GB"/>
        </w:rPr>
        <w:t>lan</w:t>
      </w:r>
      <w:r>
        <w:rPr>
          <w:rFonts w:ascii="Georgia" w:eastAsia="Times New Roman" w:hAnsi="Georgia" w:cs="Times New Roman"/>
          <w:color w:val="000000" w:themeColor="text1"/>
          <w:sz w:val="22"/>
          <w:szCs w:val="22"/>
          <w:shd w:val="clear" w:color="auto" w:fill="FFFFFF"/>
          <w:lang w:eastAsia="en-GB"/>
        </w:rPr>
        <w:t xml:space="preserve"> vital, and all too fussy, stodgy and hung up that others should join </w:t>
      </w:r>
      <w:r>
        <w:rPr>
          <w:rFonts w:ascii="Georgia" w:eastAsia="Times New Roman" w:hAnsi="Georgia" w:cs="Times New Roman"/>
          <w:color w:val="000000" w:themeColor="text1"/>
          <w:sz w:val="22"/>
          <w:szCs w:val="22"/>
          <w:shd w:val="clear" w:color="auto" w:fill="FFFFFF"/>
          <w:lang w:eastAsia="en-GB"/>
        </w:rPr>
        <w:lastRenderedPageBreak/>
        <w:t xml:space="preserve">him/her in the scientific enterprise, afraid, seemingly that anyone should rise up and say, “away with this so-called science”, “enough”. Instead, science ever encroaches, especially the hard sciences, like religion, in its need to proselytize and profit from its high social standing and perceived prestige and demand that it be viewed as the center of society in a desperate need for attention given perhaps the fear that it is “not good enough”. This is not to criticise science so to speak but to deconstruct the general psychology of much of science, with of course not generalizing to every scientific practice and scientist involved, although one seems, unfortunately, tainted by association to the mass of scientists and liable through a group think to take on the characteristics of scientistic ideology through the appropriation of their general practice. In any case, in the last part of this essay, I would like to propose a new direction for science, and to present a discussion on the epistemology and foundations of science and thinking more broadly, in a basic way, based upon the preceding discussion </w:t>
      </w:r>
      <w:proofErr w:type="gramStart"/>
      <w:r>
        <w:rPr>
          <w:rFonts w:ascii="Georgia" w:eastAsia="Times New Roman" w:hAnsi="Georgia" w:cs="Times New Roman"/>
          <w:color w:val="000000" w:themeColor="text1"/>
          <w:sz w:val="22"/>
          <w:szCs w:val="22"/>
          <w:shd w:val="clear" w:color="auto" w:fill="FFFFFF"/>
          <w:lang w:eastAsia="en-GB"/>
        </w:rPr>
        <w:t>with regard to</w:t>
      </w:r>
      <w:proofErr w:type="gramEnd"/>
      <w:r>
        <w:rPr>
          <w:rFonts w:ascii="Georgia" w:eastAsia="Times New Roman" w:hAnsi="Georgia" w:cs="Times New Roman"/>
          <w:color w:val="000000" w:themeColor="text1"/>
          <w:sz w:val="22"/>
          <w:szCs w:val="22"/>
          <w:shd w:val="clear" w:color="auto" w:fill="FFFFFF"/>
          <w:lang w:eastAsia="en-GB"/>
        </w:rPr>
        <w:t xml:space="preserve"> Heraclitus. </w:t>
      </w:r>
    </w:p>
    <w:p w14:paraId="475B4DB5" w14:textId="6AD35554" w:rsidR="00F413C9" w:rsidRDefault="00F413C9" w:rsidP="00F413C9">
      <w:pPr>
        <w:spacing w:line="480" w:lineRule="auto"/>
        <w:rPr>
          <w:rFonts w:ascii="Georgia" w:eastAsia="Times New Roman" w:hAnsi="Georgia" w:cs="Times New Roman"/>
          <w:color w:val="000000" w:themeColor="text1"/>
          <w:sz w:val="22"/>
          <w:szCs w:val="22"/>
          <w:shd w:val="clear" w:color="auto" w:fill="FFFFFF"/>
          <w:lang w:eastAsia="en-GB"/>
        </w:rPr>
      </w:pPr>
      <w:r>
        <w:rPr>
          <w:rFonts w:ascii="Georgia" w:eastAsia="Times New Roman" w:hAnsi="Georgia" w:cs="Times New Roman"/>
          <w:color w:val="000000" w:themeColor="text1"/>
          <w:sz w:val="22"/>
          <w:szCs w:val="22"/>
          <w:shd w:val="clear" w:color="auto" w:fill="FFFFFF"/>
          <w:lang w:eastAsia="en-GB"/>
        </w:rPr>
        <w:tab/>
        <w:t xml:space="preserve">Fundamental to this new constructive scientific vision, that I am about to sketch, is the viewpoint that the social sciences, which I assume the reader is familiar with, should be viewed as closer to life, closer to the flux, than the so called hard sciences. This presupposes an understanding of flux, or interchangeably life, and the life process, as the primary and central phenomenon of importance and interest to be studied and lived through and science more broadly as a reflection of flux as the correlative resultant of this flux. Rather than inuring itself within the faux logo-systematic schematism of objective so called truth, science </w:t>
      </w:r>
      <w:r w:rsidRPr="008C7433">
        <w:rPr>
          <w:rFonts w:ascii="Georgia" w:eastAsia="Times New Roman" w:hAnsi="Georgia" w:cs="Times New Roman"/>
          <w:i/>
          <w:color w:val="000000" w:themeColor="text1"/>
          <w:sz w:val="22"/>
          <w:szCs w:val="22"/>
          <w:shd w:val="clear" w:color="auto" w:fill="FFFFFF"/>
          <w:lang w:eastAsia="en-GB"/>
        </w:rPr>
        <w:t>should</w:t>
      </w:r>
      <w:r>
        <w:rPr>
          <w:rFonts w:ascii="Georgia" w:eastAsia="Times New Roman" w:hAnsi="Georgia" w:cs="Times New Roman"/>
          <w:color w:val="000000" w:themeColor="text1"/>
          <w:sz w:val="22"/>
          <w:szCs w:val="22"/>
          <w:shd w:val="clear" w:color="auto" w:fill="FFFFFF"/>
          <w:lang w:eastAsia="en-GB"/>
        </w:rPr>
        <w:t xml:space="preserve"> understand itself a result of a life process; the products of science, after all, would not exist without humans. So, to go back to earlier this would imply a corresponding understanding of humans, like the gods, as world builders within the larger cosmology of life. In this sense, I think that science could be ordered and ordained most constructively and readily through an appropriation of science that constitutes the new hyperrealism of hypermodernity, postmodernity, and so forth, and various varieties and vagaries of futurism more broadly, focused on shifting the humanities, philosophy, and the human sciences and leaders in the forefront of the so called more objective sciences. Heraclitus’ studies and </w:t>
      </w:r>
      <w:r>
        <w:rPr>
          <w:rFonts w:ascii="Georgia" w:eastAsia="Times New Roman" w:hAnsi="Georgia" w:cs="Times New Roman"/>
          <w:color w:val="000000" w:themeColor="text1"/>
          <w:sz w:val="22"/>
          <w:szCs w:val="22"/>
          <w:shd w:val="clear" w:color="auto" w:fill="FFFFFF"/>
          <w:lang w:eastAsia="en-GB"/>
        </w:rPr>
        <w:lastRenderedPageBreak/>
        <w:t xml:space="preserve">assessing his philosophy as an early starting point in the history of philosophy is one small but important step towards the area of study that currently is now called the “sociology of knowledge”, “the philosophy of the social sciences”, “the philosophy of the human sciences”, etc. This is a larger project that must systematically at some point be accomplished. In the history of </w:t>
      </w:r>
      <w:proofErr w:type="gramStart"/>
      <w:r>
        <w:rPr>
          <w:rFonts w:ascii="Georgia" w:eastAsia="Times New Roman" w:hAnsi="Georgia" w:cs="Times New Roman"/>
          <w:color w:val="000000" w:themeColor="text1"/>
          <w:sz w:val="22"/>
          <w:szCs w:val="22"/>
          <w:shd w:val="clear" w:color="auto" w:fill="FFFFFF"/>
          <w:lang w:eastAsia="en-GB"/>
        </w:rPr>
        <w:t>philosophy</w:t>
      </w:r>
      <w:proofErr w:type="gramEnd"/>
      <w:r>
        <w:rPr>
          <w:rFonts w:ascii="Georgia" w:eastAsia="Times New Roman" w:hAnsi="Georgia" w:cs="Times New Roman"/>
          <w:color w:val="000000" w:themeColor="text1"/>
          <w:sz w:val="22"/>
          <w:szCs w:val="22"/>
          <w:shd w:val="clear" w:color="auto" w:fill="FFFFFF"/>
          <w:lang w:eastAsia="en-GB"/>
        </w:rPr>
        <w:t xml:space="preserve"> I perceived gains in this direction in the lesser thinkers of Dilthey and Cassirer. Perhaps, at some future time they will be seen as important forerunners, and possible catalysts to the reorientation that is necessary if science, as an institution, is to be healthy again. More importantly, however, is that humanity that groans under the weight of scientism be healthy again. A reprioritization and recognition that the social sciences, philosophy, and metaphysical thinking in general are not necessarily inferior but if done correctly may be seen as a superior way to see reality and orientate as a method of and as a way of creating change in the natural and social world is a crucial if not often recognized point that will facilitate the change towards the idea of a life-directed science as a part of a life directed life. Heraclitus’ doctrine of the flux but also the corresponding idea that there is logos within this flux, to stabilize the flux and not merely flux is a central underpinning and recognition necessary for the foundations of knowledge </w:t>
      </w:r>
      <w:proofErr w:type="gramStart"/>
      <w:r>
        <w:rPr>
          <w:rFonts w:ascii="Georgia" w:eastAsia="Times New Roman" w:hAnsi="Georgia" w:cs="Times New Roman"/>
          <w:color w:val="000000" w:themeColor="text1"/>
          <w:sz w:val="22"/>
          <w:szCs w:val="22"/>
          <w:shd w:val="clear" w:color="auto" w:fill="FFFFFF"/>
          <w:lang w:eastAsia="en-GB"/>
        </w:rPr>
        <w:t>i.e.</w:t>
      </w:r>
      <w:proofErr w:type="gramEnd"/>
      <w:r>
        <w:rPr>
          <w:rFonts w:ascii="Georgia" w:eastAsia="Times New Roman" w:hAnsi="Georgia" w:cs="Times New Roman"/>
          <w:color w:val="000000" w:themeColor="text1"/>
          <w:sz w:val="22"/>
          <w:szCs w:val="22"/>
          <w:shd w:val="clear" w:color="auto" w:fill="FFFFFF"/>
          <w:lang w:eastAsia="en-GB"/>
        </w:rPr>
        <w:t xml:space="preserve"> epistemology. Heraclitus reminds us through his idea of flux and logos in interaction and co-constitution that flux is not a bi-product of logos merely to be eliminated, as per science, but rather actively shapes and determines logos in interaction and interplay as well as logos creating interacting to create flux. Thusly, a return to a more rational (logos) understanding of life and a more life determined science should help to heal the cleft that too long has existed throughout the history of the world. And as Goethe, a great scientist, as well, as a great human being, said, “Formation, transformation. Eternal Minds, Eternal Recreation.” (Goethe,</w:t>
      </w:r>
      <w:r w:rsidR="00F05155">
        <w:rPr>
          <w:rFonts w:ascii="Georgia" w:eastAsia="Times New Roman" w:hAnsi="Georgia" w:cs="Times New Roman"/>
          <w:color w:val="000000" w:themeColor="text1"/>
          <w:sz w:val="22"/>
          <w:szCs w:val="22"/>
          <w:shd w:val="clear" w:color="auto" w:fill="FFFFFF"/>
          <w:lang w:eastAsia="en-GB"/>
        </w:rPr>
        <w:t xml:space="preserve"> </w:t>
      </w:r>
      <w:proofErr w:type="spellStart"/>
      <w:proofErr w:type="gramStart"/>
      <w:r w:rsidR="00F05155">
        <w:rPr>
          <w:rFonts w:ascii="Georgia" w:eastAsia="Times New Roman" w:hAnsi="Georgia" w:cs="Times New Roman"/>
          <w:color w:val="000000" w:themeColor="text1"/>
          <w:sz w:val="22"/>
          <w:szCs w:val="22"/>
          <w:shd w:val="clear" w:color="auto" w:fill="FFFFFF"/>
          <w:lang w:eastAsia="en-GB"/>
        </w:rPr>
        <w:t>Faust,</w:t>
      </w:r>
      <w:r w:rsidR="00820AC4">
        <w:rPr>
          <w:rFonts w:ascii="Georgia" w:eastAsia="Times New Roman" w:hAnsi="Georgia" w:cs="Times New Roman"/>
          <w:color w:val="000000" w:themeColor="text1"/>
          <w:sz w:val="22"/>
          <w:szCs w:val="22"/>
          <w:shd w:val="clear" w:color="auto" w:fill="FFFFFF"/>
          <w:lang w:eastAsia="en-GB"/>
        </w:rPr>
        <w:t>II</w:t>
      </w:r>
      <w:proofErr w:type="spellEnd"/>
      <w:proofErr w:type="gramEnd"/>
      <w:r w:rsidR="00820AC4">
        <w:rPr>
          <w:rFonts w:ascii="Georgia" w:eastAsia="Times New Roman" w:hAnsi="Georgia" w:cs="Times New Roman"/>
          <w:color w:val="000000" w:themeColor="text1"/>
          <w:sz w:val="22"/>
          <w:szCs w:val="22"/>
          <w:shd w:val="clear" w:color="auto" w:fill="FFFFFF"/>
          <w:lang w:eastAsia="en-GB"/>
        </w:rPr>
        <w:t>, 413)</w:t>
      </w:r>
      <w:r>
        <w:rPr>
          <w:rFonts w:ascii="Georgia" w:eastAsia="Times New Roman" w:hAnsi="Georgia" w:cs="Times New Roman"/>
          <w:color w:val="000000" w:themeColor="text1"/>
          <w:sz w:val="22"/>
          <w:szCs w:val="22"/>
          <w:shd w:val="clear" w:color="auto" w:fill="FFFFFF"/>
          <w:lang w:eastAsia="en-GB"/>
        </w:rPr>
        <w:t xml:space="preserve"> , as echoed, nearer the beginning “Everything is in flux. The flux is subject to a unifying or rational principle.” (Heraclitus, </w:t>
      </w:r>
      <w:proofErr w:type="spellStart"/>
      <w:r>
        <w:rPr>
          <w:rFonts w:ascii="Georgia" w:eastAsia="Times New Roman" w:hAnsi="Georgia" w:cs="Times New Roman"/>
          <w:color w:val="000000" w:themeColor="text1"/>
          <w:sz w:val="22"/>
          <w:szCs w:val="22"/>
          <w:shd w:val="clear" w:color="auto" w:fill="FFFFFF"/>
          <w:lang w:eastAsia="en-GB"/>
        </w:rPr>
        <w:t>Presoc</w:t>
      </w:r>
      <w:proofErr w:type="spellEnd"/>
      <w:r>
        <w:rPr>
          <w:rFonts w:ascii="Georgia" w:eastAsia="Times New Roman" w:hAnsi="Georgia" w:cs="Times New Roman"/>
          <w:color w:val="000000" w:themeColor="text1"/>
          <w:sz w:val="22"/>
          <w:szCs w:val="22"/>
          <w:shd w:val="clear" w:color="auto" w:fill="FFFFFF"/>
          <w:lang w:eastAsia="en-GB"/>
        </w:rPr>
        <w:t>. Read.</w:t>
      </w:r>
      <w:r w:rsidR="00820AC4">
        <w:rPr>
          <w:rFonts w:ascii="Georgia" w:eastAsia="Times New Roman" w:hAnsi="Georgia" w:cs="Times New Roman"/>
          <w:color w:val="000000" w:themeColor="text1"/>
          <w:sz w:val="22"/>
          <w:szCs w:val="22"/>
          <w:shd w:val="clear" w:color="auto" w:fill="FFFFFF"/>
          <w:lang w:eastAsia="en-GB"/>
        </w:rPr>
        <w:t>, 43</w:t>
      </w:r>
      <w:r>
        <w:rPr>
          <w:rFonts w:ascii="Georgia" w:eastAsia="Times New Roman" w:hAnsi="Georgia" w:cs="Times New Roman"/>
          <w:color w:val="000000" w:themeColor="text1"/>
          <w:sz w:val="22"/>
          <w:szCs w:val="22"/>
          <w:shd w:val="clear" w:color="auto" w:fill="FFFFFF"/>
          <w:lang w:eastAsia="en-GB"/>
        </w:rPr>
        <w:t xml:space="preserve">) </w:t>
      </w:r>
    </w:p>
    <w:p w14:paraId="19B9C605" w14:textId="77777777" w:rsidR="000A6280" w:rsidRDefault="000A6280" w:rsidP="00F413C9">
      <w:pPr>
        <w:spacing w:line="480" w:lineRule="auto"/>
        <w:rPr>
          <w:rFonts w:ascii="Georgia" w:eastAsia="Times New Roman" w:hAnsi="Georgia" w:cs="Times New Roman"/>
          <w:color w:val="000000" w:themeColor="text1"/>
          <w:sz w:val="22"/>
          <w:szCs w:val="22"/>
          <w:shd w:val="clear" w:color="auto" w:fill="FFFFFF"/>
          <w:lang w:eastAsia="en-GB"/>
        </w:rPr>
      </w:pPr>
    </w:p>
    <w:p w14:paraId="06EE70E2" w14:textId="580B5BFE" w:rsidR="000A6280" w:rsidRPr="000A6280" w:rsidRDefault="000A6280" w:rsidP="000A6280">
      <w:pPr>
        <w:spacing w:line="480" w:lineRule="auto"/>
        <w:jc w:val="right"/>
        <w:rPr>
          <w:rFonts w:ascii="Times New Roman" w:eastAsia="Times New Roman" w:hAnsi="Times New Roman" w:cs="Times New Roman"/>
          <w:color w:val="000000" w:themeColor="text1"/>
          <w:shd w:val="clear" w:color="auto" w:fill="FFFFFF"/>
          <w:lang w:eastAsia="en-GB"/>
        </w:rPr>
      </w:pPr>
      <w:r w:rsidRPr="000A6280">
        <w:rPr>
          <w:rFonts w:ascii="Times New Roman" w:eastAsia="Times New Roman" w:hAnsi="Times New Roman" w:cs="Times New Roman"/>
          <w:color w:val="000000" w:themeColor="text1"/>
          <w:shd w:val="clear" w:color="auto" w:fill="FFFFFF"/>
          <w:lang w:eastAsia="en-GB"/>
        </w:rPr>
        <w:t xml:space="preserve">WC: </w:t>
      </w:r>
      <w:r w:rsidRPr="000A6280">
        <w:rPr>
          <w:rFonts w:ascii="Times New Roman" w:eastAsia="Times New Roman" w:hAnsi="Times New Roman" w:cs="Times New Roman"/>
          <w:i/>
          <w:color w:val="000000" w:themeColor="text1"/>
          <w:shd w:val="clear" w:color="auto" w:fill="FFFFFF"/>
          <w:lang w:eastAsia="en-GB"/>
        </w:rPr>
        <w:t>4,374</w:t>
      </w:r>
    </w:p>
    <w:p w14:paraId="7C27C652" w14:textId="77777777" w:rsidR="000A6280" w:rsidRDefault="000A6280" w:rsidP="000A6280">
      <w:pPr>
        <w:spacing w:line="480" w:lineRule="auto"/>
        <w:rPr>
          <w:rFonts w:ascii="Georgia" w:eastAsia="Times New Roman" w:hAnsi="Georgia" w:cs="Times New Roman"/>
          <w:color w:val="000000" w:themeColor="text1"/>
          <w:sz w:val="22"/>
          <w:szCs w:val="22"/>
          <w:shd w:val="clear" w:color="auto" w:fill="FFFFFF"/>
          <w:lang w:eastAsia="en-GB"/>
        </w:rPr>
      </w:pPr>
    </w:p>
    <w:p w14:paraId="4569AFA3" w14:textId="20C68D4F" w:rsidR="00F413C9" w:rsidRPr="000A6280" w:rsidRDefault="00F413C9" w:rsidP="000A6280">
      <w:pPr>
        <w:spacing w:line="480" w:lineRule="auto"/>
        <w:jc w:val="center"/>
        <w:rPr>
          <w:rFonts w:ascii="Times New Roman" w:eastAsia="Times New Roman" w:hAnsi="Times New Roman" w:cs="Times New Roman"/>
          <w:color w:val="000000" w:themeColor="text1"/>
          <w:sz w:val="22"/>
          <w:szCs w:val="22"/>
          <w:shd w:val="clear" w:color="auto" w:fill="FFFFFF"/>
          <w:lang w:eastAsia="en-GB"/>
        </w:rPr>
      </w:pPr>
      <w:r w:rsidRPr="000A6280">
        <w:rPr>
          <w:rFonts w:ascii="Times New Roman" w:hAnsi="Times New Roman" w:cs="Times New Roman"/>
        </w:rPr>
        <w:lastRenderedPageBreak/>
        <w:t>Works Cited</w:t>
      </w:r>
    </w:p>
    <w:p w14:paraId="0283CA79" w14:textId="77777777" w:rsidR="00F413C9" w:rsidRDefault="00F413C9" w:rsidP="00F413C9">
      <w:pPr>
        <w:pStyle w:val="NormalWeb"/>
      </w:pPr>
      <w:r>
        <w:t xml:space="preserve">Ainsworth, Thomas. “Form vs. Matter.” </w:t>
      </w:r>
      <w:r>
        <w:rPr>
          <w:i/>
          <w:iCs/>
        </w:rPr>
        <w:t>Stanford Encyclopedia of Philosophy</w:t>
      </w:r>
      <w:r>
        <w:t xml:space="preserve">, Stanford University, 25 Mar. 2020, https://plato.stanford.edu/entries/form-matter/. </w:t>
      </w:r>
    </w:p>
    <w:p w14:paraId="14FB37A9" w14:textId="77777777" w:rsidR="00F413C9" w:rsidRDefault="00F413C9" w:rsidP="00F413C9">
      <w:pPr>
        <w:pStyle w:val="NormalWeb"/>
        <w:ind w:left="567" w:hanging="567"/>
      </w:pPr>
      <w:r>
        <w:t xml:space="preserve">Von, Goethe Johann Wolfgang, and </w:t>
      </w:r>
      <w:proofErr w:type="spellStart"/>
      <w:r>
        <w:t>Burhanettin</w:t>
      </w:r>
      <w:proofErr w:type="spellEnd"/>
      <w:r>
        <w:t xml:space="preserve"> </w:t>
      </w:r>
      <w:proofErr w:type="spellStart"/>
      <w:r>
        <w:t>Batiman</w:t>
      </w:r>
      <w:proofErr w:type="spellEnd"/>
      <w:r>
        <w:t xml:space="preserve">. </w:t>
      </w:r>
      <w:r>
        <w:rPr>
          <w:i/>
          <w:iCs/>
        </w:rPr>
        <w:t>Goethe: Faust</w:t>
      </w:r>
      <w:r>
        <w:t xml:space="preserve">. Riza </w:t>
      </w:r>
      <w:proofErr w:type="spellStart"/>
      <w:r>
        <w:t>Koşkun</w:t>
      </w:r>
      <w:proofErr w:type="spellEnd"/>
      <w:r>
        <w:t xml:space="preserve"> </w:t>
      </w:r>
      <w:proofErr w:type="spellStart"/>
      <w:r>
        <w:t>Matbaası</w:t>
      </w:r>
      <w:proofErr w:type="spellEnd"/>
      <w:r>
        <w:t xml:space="preserve">, 1942. </w:t>
      </w:r>
    </w:p>
    <w:p w14:paraId="04930E9D" w14:textId="77777777" w:rsidR="00F413C9" w:rsidRDefault="00F413C9" w:rsidP="00F413C9">
      <w:pPr>
        <w:pStyle w:val="NormalWeb"/>
        <w:ind w:left="567" w:hanging="567"/>
      </w:pPr>
      <w:r>
        <w:t xml:space="preserve">Hegel. “Iv. Second Attitude of Thought to Objectivity Two. the Critical Philosophy.” </w:t>
      </w:r>
      <w:r>
        <w:rPr>
          <w:i/>
          <w:iCs/>
        </w:rPr>
        <w:t>IV SECOND ATTITUDE OF THOUGHT TO OBJECTIVITY</w:t>
      </w:r>
      <w:r>
        <w:t xml:space="preserve">, https://www.marxists.org/reference/archive/hegel/works/sl/sl_iv.htm. </w:t>
      </w:r>
    </w:p>
    <w:p w14:paraId="18A45AB4" w14:textId="77777777" w:rsidR="00F413C9" w:rsidRDefault="00F413C9" w:rsidP="00F413C9">
      <w:pPr>
        <w:pStyle w:val="NormalWeb"/>
        <w:ind w:left="567" w:hanging="567"/>
      </w:pPr>
      <w:r>
        <w:rPr>
          <w:i/>
          <w:iCs/>
        </w:rPr>
        <w:t>Heraclitus of Ephesus - Manchester University</w:t>
      </w:r>
      <w:r>
        <w:t xml:space="preserve">. </w:t>
      </w:r>
      <w:r w:rsidRPr="00004C6D">
        <w:t>https://users.manchester.edu/Facstaff/SSNaragon/Online/texts/316/Presocratics/Heraclitus.pdf</w:t>
      </w:r>
    </w:p>
    <w:p w14:paraId="743871AC" w14:textId="77777777" w:rsidR="00F413C9" w:rsidRDefault="00F413C9" w:rsidP="00F413C9">
      <w:pPr>
        <w:pStyle w:val="NormalWeb"/>
      </w:pPr>
      <w:r>
        <w:t xml:space="preserve">“Logos.” </w:t>
      </w:r>
      <w:r>
        <w:rPr>
          <w:i/>
          <w:iCs/>
        </w:rPr>
        <w:t>Encyclopædia Britannica</w:t>
      </w:r>
      <w:r>
        <w:t xml:space="preserve">, Encyclopædia Britannica, Inc., </w:t>
      </w:r>
      <w:hyperlink r:id="rId4" w:history="1">
        <w:r w:rsidRPr="005A1E5B">
          <w:rPr>
            <w:rStyle w:val="Hyperlink"/>
          </w:rPr>
          <w:t>https://www.britannica.com/topic/logos</w:t>
        </w:r>
      </w:hyperlink>
      <w:r>
        <w:t xml:space="preserve">. </w:t>
      </w:r>
    </w:p>
    <w:p w14:paraId="346DBBDC" w14:textId="77777777" w:rsidR="00F413C9" w:rsidRPr="000907AB" w:rsidRDefault="00F413C9" w:rsidP="00F413C9">
      <w:pPr>
        <w:rPr>
          <w:rFonts w:ascii="Times New Roman" w:eastAsia="Times New Roman" w:hAnsi="Times New Roman" w:cs="Times New Roman"/>
          <w:lang w:eastAsia="en-GB"/>
        </w:rPr>
      </w:pPr>
      <w:r w:rsidRPr="000907AB">
        <w:rPr>
          <w:rFonts w:ascii="Times New Roman" w:eastAsia="Times New Roman" w:hAnsi="Times New Roman" w:cs="Times New Roman"/>
          <w:lang w:eastAsia="en-GB"/>
        </w:rPr>
        <w:t xml:space="preserve">MOYAL, Georges J. D. “ON HERACLITUS’S MISANTHROPY.” </w:t>
      </w:r>
      <w:r w:rsidRPr="000907AB">
        <w:rPr>
          <w:rFonts w:ascii="Times New Roman" w:eastAsia="Times New Roman" w:hAnsi="Times New Roman" w:cs="Times New Roman"/>
          <w:i/>
          <w:iCs/>
          <w:lang w:eastAsia="en-GB"/>
        </w:rPr>
        <w:t xml:space="preserve">Revue de Philosophie </w:t>
      </w:r>
      <w:proofErr w:type="spellStart"/>
      <w:r w:rsidRPr="000907AB">
        <w:rPr>
          <w:rFonts w:ascii="Times New Roman" w:eastAsia="Times New Roman" w:hAnsi="Times New Roman" w:cs="Times New Roman"/>
          <w:i/>
          <w:iCs/>
          <w:lang w:eastAsia="en-GB"/>
        </w:rPr>
        <w:t>Ancienne</w:t>
      </w:r>
      <w:proofErr w:type="spellEnd"/>
      <w:r w:rsidRPr="000907AB">
        <w:rPr>
          <w:rFonts w:ascii="Times New Roman" w:eastAsia="Times New Roman" w:hAnsi="Times New Roman" w:cs="Times New Roman"/>
          <w:lang w:eastAsia="en-GB"/>
        </w:rPr>
        <w:t>, vol. 7, no. 2, 1989, pp. 131–48, http://www.jstor.org/stable/24353851. Accessed 5 May 2022.</w:t>
      </w:r>
    </w:p>
    <w:p w14:paraId="70CCC1CF" w14:textId="77777777" w:rsidR="00F413C9" w:rsidRDefault="00F413C9" w:rsidP="00F413C9">
      <w:pPr>
        <w:pStyle w:val="NormalWeb"/>
      </w:pPr>
      <w:r>
        <w:t xml:space="preserve">Osbourne, Catherine. “Heraclitus.” </w:t>
      </w:r>
      <w:r>
        <w:rPr>
          <w:i/>
          <w:iCs/>
        </w:rPr>
        <w:t>From the Beginning to Plato</w:t>
      </w:r>
      <w:r>
        <w:t xml:space="preserve">, 1st ed., vol. 1, </w:t>
      </w:r>
      <w:proofErr w:type="gramStart"/>
      <w:r>
        <w:t xml:space="preserve">Routledge,   </w:t>
      </w:r>
      <w:proofErr w:type="gramEnd"/>
      <w:r>
        <w:t xml:space="preserve">              1997, pp. 88–116. </w:t>
      </w:r>
    </w:p>
    <w:p w14:paraId="7A3408B3" w14:textId="77777777" w:rsidR="00F413C9" w:rsidRDefault="00F413C9" w:rsidP="00F413C9">
      <w:pPr>
        <w:pStyle w:val="NormalWeb"/>
      </w:pPr>
    </w:p>
    <w:p w14:paraId="393EA773" w14:textId="77777777" w:rsidR="00F413C9" w:rsidRDefault="00F413C9" w:rsidP="00F413C9">
      <w:pPr>
        <w:pStyle w:val="NormalWeb"/>
      </w:pPr>
    </w:p>
    <w:p w14:paraId="33AABA53" w14:textId="77777777" w:rsidR="00F413C9" w:rsidRDefault="00F413C9" w:rsidP="00F413C9">
      <w:pPr>
        <w:pStyle w:val="NormalWeb"/>
      </w:pPr>
    </w:p>
    <w:p w14:paraId="37BAC9EF" w14:textId="77777777" w:rsidR="00F413C9" w:rsidRDefault="00F413C9" w:rsidP="00F413C9">
      <w:pPr>
        <w:pStyle w:val="NormalWeb"/>
      </w:pPr>
    </w:p>
    <w:p w14:paraId="13E1B01E" w14:textId="77777777" w:rsidR="00F413C9" w:rsidRDefault="00F413C9" w:rsidP="00F413C9">
      <w:pPr>
        <w:pStyle w:val="NormalWeb"/>
      </w:pPr>
    </w:p>
    <w:p w14:paraId="542E1DA7" w14:textId="77777777" w:rsidR="00F413C9" w:rsidRDefault="00F413C9" w:rsidP="00F413C9">
      <w:pPr>
        <w:pStyle w:val="NormalWeb"/>
      </w:pPr>
    </w:p>
    <w:p w14:paraId="083476B3" w14:textId="77777777" w:rsidR="00F413C9" w:rsidRDefault="00F413C9" w:rsidP="00F413C9">
      <w:pPr>
        <w:rPr>
          <w:rFonts w:ascii="Helvetica" w:eastAsia="Times New Roman" w:hAnsi="Helvetica" w:cs="Times New Roman"/>
          <w:color w:val="202122"/>
          <w:sz w:val="19"/>
          <w:szCs w:val="19"/>
          <w:shd w:val="clear" w:color="auto" w:fill="FFFFFF"/>
          <w:lang w:eastAsia="en-GB"/>
        </w:rPr>
      </w:pPr>
    </w:p>
    <w:p w14:paraId="5FBA5B23" w14:textId="77777777" w:rsidR="00F413C9" w:rsidRDefault="00F413C9" w:rsidP="00F413C9">
      <w:pPr>
        <w:rPr>
          <w:rFonts w:ascii="Helvetica" w:eastAsia="Times New Roman" w:hAnsi="Helvetica" w:cs="Times New Roman"/>
          <w:color w:val="202122"/>
          <w:sz w:val="19"/>
          <w:szCs w:val="19"/>
          <w:shd w:val="clear" w:color="auto" w:fill="FFFFFF"/>
          <w:lang w:eastAsia="en-GB"/>
        </w:rPr>
      </w:pPr>
    </w:p>
    <w:p w14:paraId="0B472AB4" w14:textId="77777777" w:rsidR="00F413C9" w:rsidRDefault="00F413C9" w:rsidP="00F413C9">
      <w:pPr>
        <w:rPr>
          <w:rFonts w:ascii="Helvetica" w:eastAsia="Times New Roman" w:hAnsi="Helvetica" w:cs="Times New Roman"/>
          <w:color w:val="202122"/>
          <w:sz w:val="19"/>
          <w:szCs w:val="19"/>
          <w:shd w:val="clear" w:color="auto" w:fill="FFFFFF"/>
          <w:lang w:eastAsia="en-GB"/>
        </w:rPr>
      </w:pPr>
    </w:p>
    <w:p w14:paraId="443DFED3" w14:textId="77777777" w:rsidR="00F413C9" w:rsidRDefault="00F413C9" w:rsidP="00F413C9">
      <w:pPr>
        <w:rPr>
          <w:rFonts w:ascii="Helvetica" w:eastAsia="Times New Roman" w:hAnsi="Helvetica" w:cs="Times New Roman"/>
          <w:color w:val="202122"/>
          <w:sz w:val="19"/>
          <w:szCs w:val="19"/>
          <w:shd w:val="clear" w:color="auto" w:fill="FFFFFF"/>
          <w:lang w:eastAsia="en-GB"/>
        </w:rPr>
      </w:pPr>
    </w:p>
    <w:p w14:paraId="1965D0C7" w14:textId="77777777" w:rsidR="00F413C9" w:rsidRDefault="00F413C9" w:rsidP="00F413C9">
      <w:pPr>
        <w:rPr>
          <w:rFonts w:ascii="Helvetica" w:eastAsia="Times New Roman" w:hAnsi="Helvetica" w:cs="Times New Roman"/>
          <w:color w:val="202122"/>
          <w:sz w:val="19"/>
          <w:szCs w:val="19"/>
          <w:shd w:val="clear" w:color="auto" w:fill="FFFFFF"/>
          <w:lang w:eastAsia="en-GB"/>
        </w:rPr>
      </w:pPr>
    </w:p>
    <w:p w14:paraId="720719E3" w14:textId="77777777" w:rsidR="00F413C9" w:rsidRDefault="00F413C9" w:rsidP="00F413C9">
      <w:pPr>
        <w:rPr>
          <w:rFonts w:ascii="Helvetica" w:eastAsia="Times New Roman" w:hAnsi="Helvetica" w:cs="Times New Roman"/>
          <w:color w:val="202122"/>
          <w:sz w:val="19"/>
          <w:szCs w:val="19"/>
          <w:shd w:val="clear" w:color="auto" w:fill="FFFFFF"/>
          <w:lang w:eastAsia="en-GB"/>
        </w:rPr>
      </w:pPr>
    </w:p>
    <w:p w14:paraId="15791121" w14:textId="77777777" w:rsidR="00F413C9" w:rsidRDefault="00F413C9" w:rsidP="00F413C9">
      <w:pPr>
        <w:rPr>
          <w:rFonts w:ascii="Helvetica" w:eastAsia="Times New Roman" w:hAnsi="Helvetica" w:cs="Times New Roman"/>
          <w:color w:val="202122"/>
          <w:sz w:val="19"/>
          <w:szCs w:val="19"/>
          <w:shd w:val="clear" w:color="auto" w:fill="FFFFFF"/>
          <w:lang w:eastAsia="en-GB"/>
        </w:rPr>
      </w:pPr>
    </w:p>
    <w:p w14:paraId="6092D59C" w14:textId="77777777" w:rsidR="00F413C9" w:rsidRDefault="00F413C9" w:rsidP="00F413C9">
      <w:pPr>
        <w:rPr>
          <w:rFonts w:ascii="Helvetica" w:eastAsia="Times New Roman" w:hAnsi="Helvetica" w:cs="Times New Roman"/>
          <w:color w:val="202122"/>
          <w:sz w:val="19"/>
          <w:szCs w:val="19"/>
          <w:shd w:val="clear" w:color="auto" w:fill="FFFFFF"/>
          <w:lang w:eastAsia="en-GB"/>
        </w:rPr>
      </w:pPr>
    </w:p>
    <w:p w14:paraId="7C19AB78" w14:textId="77777777" w:rsidR="00F413C9" w:rsidRDefault="00F413C9" w:rsidP="00F413C9">
      <w:pPr>
        <w:rPr>
          <w:rFonts w:ascii="Helvetica" w:eastAsia="Times New Roman" w:hAnsi="Helvetica" w:cs="Times New Roman"/>
          <w:color w:val="202122"/>
          <w:sz w:val="19"/>
          <w:szCs w:val="19"/>
          <w:shd w:val="clear" w:color="auto" w:fill="FFFFFF"/>
          <w:lang w:eastAsia="en-GB"/>
        </w:rPr>
      </w:pPr>
    </w:p>
    <w:p w14:paraId="7FD406B6" w14:textId="77777777" w:rsidR="00F413C9" w:rsidRDefault="00F413C9" w:rsidP="00F413C9">
      <w:pPr>
        <w:rPr>
          <w:rFonts w:ascii="Helvetica" w:eastAsia="Times New Roman" w:hAnsi="Helvetica" w:cs="Times New Roman"/>
          <w:color w:val="202122"/>
          <w:sz w:val="19"/>
          <w:szCs w:val="19"/>
          <w:shd w:val="clear" w:color="auto" w:fill="FFFFFF"/>
          <w:lang w:eastAsia="en-GB"/>
        </w:rPr>
      </w:pPr>
    </w:p>
    <w:p w14:paraId="04127885" w14:textId="77777777" w:rsidR="00F413C9" w:rsidRDefault="00F413C9" w:rsidP="00F413C9">
      <w:pPr>
        <w:rPr>
          <w:rFonts w:ascii="Helvetica" w:eastAsia="Times New Roman" w:hAnsi="Helvetica" w:cs="Times New Roman"/>
          <w:color w:val="202122"/>
          <w:sz w:val="19"/>
          <w:szCs w:val="19"/>
          <w:shd w:val="clear" w:color="auto" w:fill="FFFFFF"/>
          <w:lang w:eastAsia="en-GB"/>
        </w:rPr>
      </w:pPr>
    </w:p>
    <w:p w14:paraId="53A6384B" w14:textId="77777777" w:rsidR="00F413C9" w:rsidRDefault="00F413C9" w:rsidP="00F413C9">
      <w:pPr>
        <w:rPr>
          <w:rFonts w:ascii="Helvetica" w:eastAsia="Times New Roman" w:hAnsi="Helvetica" w:cs="Times New Roman"/>
          <w:color w:val="202122"/>
          <w:sz w:val="19"/>
          <w:szCs w:val="19"/>
          <w:shd w:val="clear" w:color="auto" w:fill="FFFFFF"/>
          <w:lang w:eastAsia="en-GB"/>
        </w:rPr>
      </w:pPr>
    </w:p>
    <w:p w14:paraId="2ACA7502" w14:textId="77777777" w:rsidR="00F413C9" w:rsidRDefault="00F413C9" w:rsidP="00F413C9">
      <w:pPr>
        <w:rPr>
          <w:rFonts w:ascii="Helvetica" w:eastAsia="Times New Roman" w:hAnsi="Helvetica" w:cs="Times New Roman"/>
          <w:color w:val="202122"/>
          <w:sz w:val="19"/>
          <w:szCs w:val="19"/>
          <w:shd w:val="clear" w:color="auto" w:fill="FFFFFF"/>
          <w:lang w:eastAsia="en-GB"/>
        </w:rPr>
      </w:pPr>
    </w:p>
    <w:p w14:paraId="33F78673" w14:textId="77777777" w:rsidR="00F413C9" w:rsidRDefault="00F413C9" w:rsidP="00F413C9">
      <w:pPr>
        <w:rPr>
          <w:rFonts w:ascii="Helvetica" w:eastAsia="Times New Roman" w:hAnsi="Helvetica" w:cs="Times New Roman"/>
          <w:color w:val="202122"/>
          <w:sz w:val="19"/>
          <w:szCs w:val="19"/>
          <w:shd w:val="clear" w:color="auto" w:fill="FFFFFF"/>
          <w:lang w:eastAsia="en-GB"/>
        </w:rPr>
      </w:pPr>
    </w:p>
    <w:p w14:paraId="39EDB083" w14:textId="77777777" w:rsidR="00F413C9" w:rsidRDefault="00F413C9" w:rsidP="00F413C9">
      <w:pPr>
        <w:rPr>
          <w:rFonts w:ascii="Helvetica" w:eastAsia="Times New Roman" w:hAnsi="Helvetica" w:cs="Times New Roman"/>
          <w:color w:val="202122"/>
          <w:sz w:val="19"/>
          <w:szCs w:val="19"/>
          <w:shd w:val="clear" w:color="auto" w:fill="FFFFFF"/>
          <w:lang w:eastAsia="en-GB"/>
        </w:rPr>
      </w:pPr>
    </w:p>
    <w:p w14:paraId="6E99570C" w14:textId="77777777" w:rsidR="00F413C9" w:rsidRDefault="00F413C9" w:rsidP="00F413C9">
      <w:pPr>
        <w:rPr>
          <w:rFonts w:ascii="Helvetica" w:eastAsia="Times New Roman" w:hAnsi="Helvetica" w:cs="Times New Roman"/>
          <w:color w:val="202122"/>
          <w:sz w:val="19"/>
          <w:szCs w:val="19"/>
          <w:shd w:val="clear" w:color="auto" w:fill="FFFFFF"/>
          <w:lang w:eastAsia="en-GB"/>
        </w:rPr>
      </w:pPr>
    </w:p>
    <w:p w14:paraId="0BAD4FD0" w14:textId="77777777" w:rsidR="00F413C9" w:rsidRDefault="00F413C9" w:rsidP="00F413C9">
      <w:pPr>
        <w:rPr>
          <w:rFonts w:ascii="Helvetica" w:eastAsia="Times New Roman" w:hAnsi="Helvetica" w:cs="Times New Roman"/>
          <w:color w:val="202122"/>
          <w:sz w:val="19"/>
          <w:szCs w:val="19"/>
          <w:shd w:val="clear" w:color="auto" w:fill="FFFFFF"/>
          <w:lang w:eastAsia="en-GB"/>
        </w:rPr>
      </w:pPr>
    </w:p>
    <w:p w14:paraId="12DB9A22" w14:textId="77777777" w:rsidR="00F413C9" w:rsidRPr="00F13E2F" w:rsidRDefault="00F413C9" w:rsidP="00F413C9">
      <w:pPr>
        <w:rPr>
          <w:rFonts w:ascii="Times New Roman" w:hAnsi="Times New Roman" w:cs="Times New Roman"/>
          <w:lang w:val="en-US"/>
        </w:rPr>
      </w:pPr>
    </w:p>
    <w:p w14:paraId="36F998E9" w14:textId="77777777" w:rsidR="00507550" w:rsidRPr="00F413C9" w:rsidRDefault="00931911">
      <w:pPr>
        <w:rPr>
          <w:rFonts w:ascii="Times New Roman" w:hAnsi="Times New Roman" w:cs="Times New Roman"/>
        </w:rPr>
      </w:pPr>
    </w:p>
    <w:sectPr w:rsidR="00507550" w:rsidRPr="00F413C9" w:rsidSect="00B374A7">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auto"/>
    <w:pitch w:val="variable"/>
    <w:sig w:usb0="E00002FF" w:usb1="5000785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1EA7"/>
    <w:rsid w:val="000A6280"/>
    <w:rsid w:val="000E0B1D"/>
    <w:rsid w:val="001119B9"/>
    <w:rsid w:val="00126A7F"/>
    <w:rsid w:val="00326FEB"/>
    <w:rsid w:val="00495E6F"/>
    <w:rsid w:val="006174EF"/>
    <w:rsid w:val="006623F2"/>
    <w:rsid w:val="007D4F8B"/>
    <w:rsid w:val="00820AC4"/>
    <w:rsid w:val="00931911"/>
    <w:rsid w:val="00B374A7"/>
    <w:rsid w:val="00B71EA7"/>
    <w:rsid w:val="00C31730"/>
    <w:rsid w:val="00C94568"/>
    <w:rsid w:val="00F05155"/>
    <w:rsid w:val="00F413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9F6AE0"/>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F413C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413C9"/>
    <w:rPr>
      <w:color w:val="0563C1" w:themeColor="hyperlink"/>
      <w:u w:val="single"/>
    </w:rPr>
  </w:style>
  <w:style w:type="paragraph" w:styleId="NormalWeb">
    <w:name w:val="Normal (Web)"/>
    <w:basedOn w:val="Normal"/>
    <w:uiPriority w:val="99"/>
    <w:unhideWhenUsed/>
    <w:rsid w:val="00F413C9"/>
    <w:pPr>
      <w:spacing w:before="100" w:beforeAutospacing="1" w:after="100" w:afterAutospacing="1"/>
    </w:pPr>
    <w:rPr>
      <w:rFonts w:ascii="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260887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britannica.com/topic/logo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4335</Words>
  <Characters>24710</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 Richardson</dc:creator>
  <cp:keywords/>
  <dc:description/>
  <cp:lastModifiedBy>Eric Richardson</cp:lastModifiedBy>
  <cp:revision>2</cp:revision>
  <dcterms:created xsi:type="dcterms:W3CDTF">2022-05-06T03:42:00Z</dcterms:created>
  <dcterms:modified xsi:type="dcterms:W3CDTF">2022-05-06T03:42:00Z</dcterms:modified>
</cp:coreProperties>
</file>