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5596A" w14:textId="77777777" w:rsidR="00F35B5A" w:rsidRDefault="00000000">
      <w:pPr>
        <w:spacing w:before="1100"/>
        <w:jc w:val="center"/>
      </w:pPr>
      <w:r>
        <w:rPr>
          <w:b/>
          <w:color w:val="E60000"/>
          <w:sz w:val="36"/>
        </w:rPr>
        <w:t>VODAFONE UK / VODAFONETHREE</w:t>
      </w:r>
    </w:p>
    <w:p w14:paraId="300433E4" w14:textId="77777777" w:rsidR="00F35B5A" w:rsidRDefault="00000000">
      <w:pPr>
        <w:spacing w:before="360"/>
        <w:jc w:val="center"/>
      </w:pPr>
      <w:r>
        <w:rPr>
          <w:b/>
          <w:color w:val="262626"/>
          <w:sz w:val="56"/>
        </w:rPr>
        <w:t>Strategic Growth Report</w:t>
      </w:r>
    </w:p>
    <w:p w14:paraId="2C477963" w14:textId="77777777" w:rsidR="00F35B5A" w:rsidRDefault="00000000">
      <w:pPr>
        <w:jc w:val="center"/>
      </w:pPr>
      <w:r>
        <w:rPr>
          <w:i/>
          <w:color w:val="666666"/>
          <w:sz w:val="26"/>
        </w:rPr>
        <w:t>Strategic transformation following the Vodafone UK–Three UK merger</w:t>
      </w:r>
    </w:p>
    <w:tbl>
      <w:tblPr>
        <w:tblW w:w="0" w:type="auto"/>
        <w:jc w:val="center"/>
        <w:tblLayout w:type="fixed"/>
        <w:tblLook w:val="04A0" w:firstRow="1" w:lastRow="0" w:firstColumn="1" w:lastColumn="0" w:noHBand="0" w:noVBand="1"/>
      </w:tblPr>
      <w:tblGrid>
        <w:gridCol w:w="6768"/>
      </w:tblGrid>
      <w:tr w:rsidR="00F35B5A" w14:paraId="5C9687D0" w14:textId="77777777">
        <w:trPr>
          <w:jc w:val="center"/>
        </w:trPr>
        <w:tc>
          <w:tcPr>
            <w:tcW w:w="6768" w:type="dxa"/>
            <w:tcBorders>
              <w:top w:val="nil"/>
              <w:left w:val="nil"/>
              <w:bottom w:val="nil"/>
              <w:right w:val="nil"/>
            </w:tcBorders>
            <w:shd w:val="clear" w:color="auto" w:fill="E60000"/>
          </w:tcPr>
          <w:p w14:paraId="4D089059" w14:textId="77777777" w:rsidR="00F35B5A" w:rsidRDefault="00F35B5A">
            <w:pPr>
              <w:spacing w:after="0"/>
            </w:pPr>
          </w:p>
        </w:tc>
      </w:tr>
    </w:tbl>
    <w:p w14:paraId="15E51C78" w14:textId="77777777" w:rsidR="00F35B5A" w:rsidRDefault="00F35B5A"/>
    <w:p w14:paraId="1181DC46" w14:textId="77777777" w:rsidR="00F35B5A" w:rsidRDefault="00F35B5A"/>
    <w:p w14:paraId="3DEC1124" w14:textId="77777777" w:rsidR="00F35B5A" w:rsidRDefault="00F35B5A"/>
    <w:p w14:paraId="245A7642" w14:textId="77777777" w:rsidR="00F35B5A" w:rsidRDefault="00F35B5A"/>
    <w:p w14:paraId="3D779632" w14:textId="77777777" w:rsidR="00F35B5A" w:rsidRDefault="00F35B5A"/>
    <w:tbl>
      <w:tblPr>
        <w:tblW w:w="0" w:type="auto"/>
        <w:jc w:val="center"/>
        <w:tblLayout w:type="fixed"/>
        <w:tblLook w:val="04A0" w:firstRow="1" w:lastRow="0" w:firstColumn="1" w:lastColumn="0" w:noHBand="0" w:noVBand="1"/>
      </w:tblPr>
      <w:tblGrid>
        <w:gridCol w:w="2304"/>
        <w:gridCol w:w="6623"/>
      </w:tblGrid>
      <w:tr w:rsidR="00F35B5A" w14:paraId="3D260F7A" w14:textId="77777777">
        <w:trPr>
          <w:jc w:val="center"/>
        </w:trPr>
        <w:tc>
          <w:tcPr>
            <w:tcW w:w="2304" w:type="dxa"/>
            <w:tcBorders>
              <w:top w:val="nil"/>
              <w:left w:val="nil"/>
              <w:bottom w:val="single" w:sz="4" w:space="0" w:color="D9D9D9"/>
              <w:right w:val="nil"/>
            </w:tcBorders>
          </w:tcPr>
          <w:p w14:paraId="2FC9DC4C" w14:textId="77777777" w:rsidR="00F35B5A" w:rsidRDefault="00000000">
            <w:pPr>
              <w:jc w:val="right"/>
            </w:pPr>
            <w:r>
              <w:rPr>
                <w:b/>
                <w:color w:val="666666"/>
              </w:rPr>
              <w:t>Student name:</w:t>
            </w:r>
          </w:p>
        </w:tc>
        <w:tc>
          <w:tcPr>
            <w:tcW w:w="6623" w:type="dxa"/>
            <w:tcBorders>
              <w:top w:val="nil"/>
              <w:left w:val="nil"/>
              <w:bottom w:val="single" w:sz="4" w:space="0" w:color="D9D9D9"/>
              <w:right w:val="nil"/>
            </w:tcBorders>
          </w:tcPr>
          <w:p w14:paraId="6E152B2B" w14:textId="77777777" w:rsidR="00F35B5A" w:rsidRDefault="00000000">
            <w:r>
              <w:t>Cristian Petrus Dica</w:t>
            </w:r>
          </w:p>
        </w:tc>
      </w:tr>
      <w:tr w:rsidR="00F35B5A" w14:paraId="39E22DF6" w14:textId="77777777">
        <w:trPr>
          <w:jc w:val="center"/>
        </w:trPr>
        <w:tc>
          <w:tcPr>
            <w:tcW w:w="2304" w:type="dxa"/>
            <w:tcBorders>
              <w:top w:val="nil"/>
              <w:left w:val="nil"/>
              <w:bottom w:val="single" w:sz="4" w:space="0" w:color="D9D9D9"/>
              <w:right w:val="nil"/>
            </w:tcBorders>
          </w:tcPr>
          <w:p w14:paraId="782C82B9" w14:textId="77777777" w:rsidR="00F35B5A" w:rsidRDefault="00000000">
            <w:pPr>
              <w:jc w:val="right"/>
            </w:pPr>
            <w:r>
              <w:rPr>
                <w:b/>
                <w:color w:val="666666"/>
              </w:rPr>
              <w:t>Student ID:</w:t>
            </w:r>
          </w:p>
        </w:tc>
        <w:tc>
          <w:tcPr>
            <w:tcW w:w="6623" w:type="dxa"/>
            <w:tcBorders>
              <w:top w:val="nil"/>
              <w:left w:val="nil"/>
              <w:bottom w:val="single" w:sz="4" w:space="0" w:color="D9D9D9"/>
              <w:right w:val="nil"/>
            </w:tcBorders>
          </w:tcPr>
          <w:p w14:paraId="5E9FF761" w14:textId="77777777" w:rsidR="00F35B5A" w:rsidRDefault="00000000">
            <w:r>
              <w:t>2332747</w:t>
            </w:r>
          </w:p>
        </w:tc>
      </w:tr>
      <w:tr w:rsidR="00F35B5A" w14:paraId="14C5DCFB" w14:textId="77777777">
        <w:trPr>
          <w:jc w:val="center"/>
        </w:trPr>
        <w:tc>
          <w:tcPr>
            <w:tcW w:w="2304" w:type="dxa"/>
            <w:tcBorders>
              <w:top w:val="nil"/>
              <w:left w:val="nil"/>
              <w:bottom w:val="single" w:sz="4" w:space="0" w:color="D9D9D9"/>
              <w:right w:val="nil"/>
            </w:tcBorders>
          </w:tcPr>
          <w:p w14:paraId="350A1B85" w14:textId="77777777" w:rsidR="00F35B5A" w:rsidRDefault="00000000">
            <w:pPr>
              <w:jc w:val="right"/>
            </w:pPr>
            <w:r>
              <w:rPr>
                <w:b/>
                <w:color w:val="666666"/>
              </w:rPr>
              <w:t>Module:</w:t>
            </w:r>
          </w:p>
        </w:tc>
        <w:tc>
          <w:tcPr>
            <w:tcW w:w="6623" w:type="dxa"/>
            <w:tcBorders>
              <w:top w:val="nil"/>
              <w:left w:val="nil"/>
              <w:bottom w:val="single" w:sz="4" w:space="0" w:color="D9D9D9"/>
              <w:right w:val="nil"/>
            </w:tcBorders>
          </w:tcPr>
          <w:p w14:paraId="5FCE9F65" w14:textId="77777777" w:rsidR="00F35B5A" w:rsidRDefault="00000000">
            <w:r>
              <w:t>Strategic Management for Business (LCLM6001_BIRM)</w:t>
            </w:r>
          </w:p>
        </w:tc>
      </w:tr>
      <w:tr w:rsidR="00F35B5A" w14:paraId="08EB58F3" w14:textId="77777777">
        <w:trPr>
          <w:jc w:val="center"/>
        </w:trPr>
        <w:tc>
          <w:tcPr>
            <w:tcW w:w="2304" w:type="dxa"/>
            <w:tcBorders>
              <w:top w:val="nil"/>
              <w:left w:val="nil"/>
              <w:bottom w:val="single" w:sz="4" w:space="0" w:color="D9D9D9"/>
              <w:right w:val="nil"/>
            </w:tcBorders>
          </w:tcPr>
          <w:p w14:paraId="05BB4342" w14:textId="77777777" w:rsidR="00F35B5A" w:rsidRDefault="00000000">
            <w:pPr>
              <w:jc w:val="right"/>
            </w:pPr>
            <w:r>
              <w:rPr>
                <w:b/>
                <w:color w:val="666666"/>
              </w:rPr>
              <w:t>Lecturer:</w:t>
            </w:r>
          </w:p>
        </w:tc>
        <w:tc>
          <w:tcPr>
            <w:tcW w:w="6623" w:type="dxa"/>
            <w:tcBorders>
              <w:top w:val="nil"/>
              <w:left w:val="nil"/>
              <w:bottom w:val="single" w:sz="4" w:space="0" w:color="D9D9D9"/>
              <w:right w:val="nil"/>
            </w:tcBorders>
          </w:tcPr>
          <w:p w14:paraId="7C0FE5AF" w14:textId="77777777" w:rsidR="00F35B5A" w:rsidRDefault="00000000">
            <w:r>
              <w:t>Muno Zuwirai</w:t>
            </w:r>
          </w:p>
        </w:tc>
      </w:tr>
      <w:tr w:rsidR="00F35B5A" w14:paraId="218AA31F" w14:textId="77777777">
        <w:trPr>
          <w:jc w:val="center"/>
        </w:trPr>
        <w:tc>
          <w:tcPr>
            <w:tcW w:w="2304" w:type="dxa"/>
            <w:tcBorders>
              <w:top w:val="nil"/>
              <w:left w:val="nil"/>
              <w:bottom w:val="single" w:sz="4" w:space="0" w:color="D9D9D9"/>
              <w:right w:val="nil"/>
            </w:tcBorders>
          </w:tcPr>
          <w:p w14:paraId="47C004D2" w14:textId="77777777" w:rsidR="00F35B5A" w:rsidRDefault="00000000">
            <w:pPr>
              <w:jc w:val="right"/>
            </w:pPr>
            <w:r>
              <w:rPr>
                <w:b/>
                <w:color w:val="666666"/>
              </w:rPr>
              <w:t>Prepared for:</w:t>
            </w:r>
          </w:p>
        </w:tc>
        <w:tc>
          <w:tcPr>
            <w:tcW w:w="6623" w:type="dxa"/>
            <w:tcBorders>
              <w:top w:val="nil"/>
              <w:left w:val="nil"/>
              <w:bottom w:val="single" w:sz="4" w:space="0" w:color="D9D9D9"/>
              <w:right w:val="nil"/>
            </w:tcBorders>
          </w:tcPr>
          <w:p w14:paraId="2C85BC04" w14:textId="77777777" w:rsidR="00F35B5A" w:rsidRDefault="00000000">
            <w:r>
              <w:t>Vodafone Board of Directors</w:t>
            </w:r>
          </w:p>
        </w:tc>
      </w:tr>
    </w:tbl>
    <w:p w14:paraId="538896DF" w14:textId="77777777" w:rsidR="00F35B5A" w:rsidRDefault="00F35B5A">
      <w:pPr>
        <w:sectPr w:rsidR="00F35B5A">
          <w:pgSz w:w="12240" w:h="15840"/>
          <w:pgMar w:top="1080" w:right="1224" w:bottom="1080" w:left="1224" w:header="720" w:footer="720" w:gutter="0"/>
          <w:cols w:space="720"/>
          <w:titlePg/>
          <w:docGrid w:linePitch="360"/>
        </w:sectPr>
      </w:pPr>
    </w:p>
    <w:p w14:paraId="3A10C3D3" w14:textId="77777777" w:rsidR="00F35B5A" w:rsidRDefault="00000000">
      <w:pPr>
        <w:spacing w:after="320"/>
        <w:jc w:val="center"/>
      </w:pPr>
      <w:bookmarkStart w:id="0" w:name="toc"/>
      <w:r>
        <w:rPr>
          <w:b/>
          <w:color w:val="E60000"/>
          <w:sz w:val="44"/>
        </w:rPr>
        <w:lastRenderedPageBreak/>
        <w:t>Table of Contents</w:t>
      </w:r>
      <w:bookmarkEnd w:id="0"/>
    </w:p>
    <w:tbl>
      <w:tblPr>
        <w:tblW w:w="0" w:type="auto"/>
        <w:jc w:val="center"/>
        <w:tblLayout w:type="fixed"/>
        <w:tblLook w:val="04A0" w:firstRow="1" w:lastRow="0" w:firstColumn="1" w:lastColumn="0" w:noHBand="0" w:noVBand="1"/>
      </w:tblPr>
      <w:tblGrid>
        <w:gridCol w:w="8928"/>
        <w:gridCol w:w="792"/>
      </w:tblGrid>
      <w:tr w:rsidR="00F35B5A" w14:paraId="0D496C7F" w14:textId="77777777">
        <w:trPr>
          <w:cantSplit/>
          <w:jc w:val="center"/>
        </w:trPr>
        <w:tc>
          <w:tcPr>
            <w:tcW w:w="8928" w:type="dxa"/>
            <w:tcBorders>
              <w:top w:val="nil"/>
              <w:left w:val="nil"/>
              <w:bottom w:val="nil"/>
              <w:right w:val="nil"/>
            </w:tcBorders>
          </w:tcPr>
          <w:p w14:paraId="30355530" w14:textId="77777777" w:rsidR="00F35B5A" w:rsidRDefault="00F35B5A">
            <w:pPr>
              <w:spacing w:after="80"/>
            </w:pPr>
            <w:hyperlink w:anchor="introduction" w:history="1">
              <w:r>
                <w:rPr>
                  <w:rFonts w:cs="Arial"/>
                  <w:b/>
                  <w:color w:val="262626"/>
                  <w:sz w:val="21"/>
                  <w:szCs w:val="21"/>
                </w:rPr>
                <w:t>1. Introduction and Background</w:t>
              </w:r>
            </w:hyperlink>
          </w:p>
        </w:tc>
        <w:tc>
          <w:tcPr>
            <w:tcW w:w="792" w:type="dxa"/>
            <w:tcBorders>
              <w:top w:val="nil"/>
              <w:left w:val="nil"/>
              <w:bottom w:val="nil"/>
              <w:right w:val="nil"/>
            </w:tcBorders>
          </w:tcPr>
          <w:p w14:paraId="0911DC9F" w14:textId="77777777" w:rsidR="00F35B5A" w:rsidRDefault="00F35B5A">
            <w:pPr>
              <w:spacing w:after="80"/>
              <w:jc w:val="right"/>
            </w:pPr>
            <w:hyperlink w:anchor="introduction" w:history="1">
              <w:r>
                <w:rPr>
                  <w:rFonts w:cs="Arial"/>
                  <w:b/>
                  <w:color w:val="262626"/>
                  <w:sz w:val="21"/>
                  <w:szCs w:val="21"/>
                </w:rPr>
                <w:t>1</w:t>
              </w:r>
            </w:hyperlink>
          </w:p>
        </w:tc>
      </w:tr>
      <w:tr w:rsidR="00F35B5A" w14:paraId="2916F18B" w14:textId="77777777">
        <w:trPr>
          <w:cantSplit/>
          <w:jc w:val="center"/>
        </w:trPr>
        <w:tc>
          <w:tcPr>
            <w:tcW w:w="8928" w:type="dxa"/>
            <w:tcBorders>
              <w:top w:val="nil"/>
              <w:left w:val="nil"/>
              <w:bottom w:val="nil"/>
              <w:right w:val="nil"/>
            </w:tcBorders>
          </w:tcPr>
          <w:p w14:paraId="54D40878" w14:textId="77777777" w:rsidR="00F35B5A" w:rsidRDefault="00F35B5A">
            <w:pPr>
              <w:spacing w:after="80"/>
            </w:pPr>
            <w:hyperlink w:anchor="market" w:history="1">
              <w:r>
                <w:rPr>
                  <w:rFonts w:cs="Arial"/>
                  <w:b/>
                  <w:color w:val="262626"/>
                  <w:sz w:val="21"/>
                  <w:szCs w:val="21"/>
                </w:rPr>
                <w:t>2. Evaluation of the Current Market Situation</w:t>
              </w:r>
            </w:hyperlink>
          </w:p>
        </w:tc>
        <w:tc>
          <w:tcPr>
            <w:tcW w:w="792" w:type="dxa"/>
            <w:tcBorders>
              <w:top w:val="nil"/>
              <w:left w:val="nil"/>
              <w:bottom w:val="nil"/>
              <w:right w:val="nil"/>
            </w:tcBorders>
          </w:tcPr>
          <w:p w14:paraId="6555D69B" w14:textId="77777777" w:rsidR="00F35B5A" w:rsidRDefault="00F35B5A">
            <w:pPr>
              <w:spacing w:after="80"/>
              <w:jc w:val="right"/>
            </w:pPr>
            <w:hyperlink w:anchor="market" w:history="1">
              <w:r>
                <w:rPr>
                  <w:rFonts w:cs="Arial"/>
                  <w:b/>
                  <w:color w:val="262626"/>
                  <w:sz w:val="21"/>
                  <w:szCs w:val="21"/>
                </w:rPr>
                <w:t>2</w:t>
              </w:r>
            </w:hyperlink>
          </w:p>
        </w:tc>
      </w:tr>
      <w:tr w:rsidR="00F35B5A" w14:paraId="5B064B4D" w14:textId="77777777">
        <w:trPr>
          <w:cantSplit/>
          <w:jc w:val="center"/>
        </w:trPr>
        <w:tc>
          <w:tcPr>
            <w:tcW w:w="8928" w:type="dxa"/>
            <w:tcBorders>
              <w:top w:val="nil"/>
              <w:left w:val="nil"/>
              <w:bottom w:val="nil"/>
              <w:right w:val="nil"/>
            </w:tcBorders>
          </w:tcPr>
          <w:p w14:paraId="703D3749" w14:textId="77777777" w:rsidR="00F35B5A" w:rsidRDefault="00F35B5A">
            <w:pPr>
              <w:spacing w:after="80"/>
              <w:ind w:left="360"/>
            </w:pPr>
            <w:hyperlink w:anchor="pestel" w:history="1">
              <w:r>
                <w:rPr>
                  <w:rFonts w:cs="Arial"/>
                  <w:color w:val="262626"/>
                  <w:sz w:val="20"/>
                  <w:szCs w:val="20"/>
                </w:rPr>
                <w:t>2.1 PESTEL analysis</w:t>
              </w:r>
            </w:hyperlink>
          </w:p>
        </w:tc>
        <w:tc>
          <w:tcPr>
            <w:tcW w:w="792" w:type="dxa"/>
            <w:tcBorders>
              <w:top w:val="nil"/>
              <w:left w:val="nil"/>
              <w:bottom w:val="nil"/>
              <w:right w:val="nil"/>
            </w:tcBorders>
          </w:tcPr>
          <w:p w14:paraId="777EEAE5" w14:textId="77777777" w:rsidR="00F35B5A" w:rsidRDefault="00F35B5A">
            <w:pPr>
              <w:spacing w:after="80"/>
              <w:jc w:val="right"/>
            </w:pPr>
            <w:hyperlink w:anchor="pestel" w:history="1">
              <w:r>
                <w:rPr>
                  <w:rFonts w:cs="Arial"/>
                  <w:color w:val="262626"/>
                  <w:sz w:val="20"/>
                  <w:szCs w:val="20"/>
                </w:rPr>
                <w:t>2</w:t>
              </w:r>
            </w:hyperlink>
          </w:p>
        </w:tc>
      </w:tr>
      <w:tr w:rsidR="00F35B5A" w14:paraId="10C75891" w14:textId="77777777">
        <w:trPr>
          <w:cantSplit/>
          <w:jc w:val="center"/>
        </w:trPr>
        <w:tc>
          <w:tcPr>
            <w:tcW w:w="8928" w:type="dxa"/>
            <w:tcBorders>
              <w:top w:val="nil"/>
              <w:left w:val="nil"/>
              <w:bottom w:val="nil"/>
              <w:right w:val="nil"/>
            </w:tcBorders>
          </w:tcPr>
          <w:p w14:paraId="1B83A968" w14:textId="77777777" w:rsidR="00F35B5A" w:rsidRDefault="00F35B5A">
            <w:pPr>
              <w:spacing w:after="80"/>
              <w:ind w:left="360"/>
            </w:pPr>
            <w:hyperlink w:anchor="five_forces" w:history="1">
              <w:r>
                <w:rPr>
                  <w:rFonts w:cs="Arial"/>
                  <w:color w:val="262626"/>
                  <w:sz w:val="20"/>
                  <w:szCs w:val="20"/>
                </w:rPr>
                <w:t>2.2 Porter's Five Forces</w:t>
              </w:r>
            </w:hyperlink>
          </w:p>
        </w:tc>
        <w:tc>
          <w:tcPr>
            <w:tcW w:w="792" w:type="dxa"/>
            <w:tcBorders>
              <w:top w:val="nil"/>
              <w:left w:val="nil"/>
              <w:bottom w:val="nil"/>
              <w:right w:val="nil"/>
            </w:tcBorders>
          </w:tcPr>
          <w:p w14:paraId="2506CBDB" w14:textId="77777777" w:rsidR="00F35B5A" w:rsidRDefault="00F35B5A">
            <w:pPr>
              <w:spacing w:after="80"/>
              <w:jc w:val="right"/>
            </w:pPr>
            <w:hyperlink w:anchor="five_forces" w:history="1">
              <w:r>
                <w:rPr>
                  <w:rFonts w:cs="Arial"/>
                  <w:color w:val="262626"/>
                  <w:sz w:val="20"/>
                  <w:szCs w:val="20"/>
                </w:rPr>
                <w:t>3</w:t>
              </w:r>
            </w:hyperlink>
          </w:p>
        </w:tc>
      </w:tr>
      <w:tr w:rsidR="00F35B5A" w14:paraId="5E516F55" w14:textId="77777777">
        <w:trPr>
          <w:cantSplit/>
          <w:jc w:val="center"/>
        </w:trPr>
        <w:tc>
          <w:tcPr>
            <w:tcW w:w="8928" w:type="dxa"/>
            <w:tcBorders>
              <w:top w:val="nil"/>
              <w:left w:val="nil"/>
              <w:bottom w:val="nil"/>
              <w:right w:val="nil"/>
            </w:tcBorders>
          </w:tcPr>
          <w:p w14:paraId="4A9D7B81" w14:textId="77777777" w:rsidR="00F35B5A" w:rsidRDefault="00F35B5A">
            <w:pPr>
              <w:spacing w:after="80"/>
              <w:ind w:left="360"/>
            </w:pPr>
            <w:hyperlink w:anchor="swot" w:history="1">
              <w:r>
                <w:rPr>
                  <w:rFonts w:cs="Arial"/>
                  <w:color w:val="262626"/>
                  <w:sz w:val="20"/>
                  <w:szCs w:val="20"/>
                </w:rPr>
                <w:t>2.3 SWOT and strategic implications</w:t>
              </w:r>
            </w:hyperlink>
          </w:p>
        </w:tc>
        <w:tc>
          <w:tcPr>
            <w:tcW w:w="792" w:type="dxa"/>
            <w:tcBorders>
              <w:top w:val="nil"/>
              <w:left w:val="nil"/>
              <w:bottom w:val="nil"/>
              <w:right w:val="nil"/>
            </w:tcBorders>
          </w:tcPr>
          <w:p w14:paraId="1697F2FC" w14:textId="77777777" w:rsidR="00F35B5A" w:rsidRDefault="00F35B5A">
            <w:pPr>
              <w:spacing w:after="80"/>
              <w:jc w:val="right"/>
            </w:pPr>
            <w:hyperlink w:anchor="swot" w:history="1">
              <w:r>
                <w:rPr>
                  <w:rFonts w:cs="Arial"/>
                  <w:color w:val="262626"/>
                  <w:sz w:val="20"/>
                  <w:szCs w:val="20"/>
                </w:rPr>
                <w:t>3</w:t>
              </w:r>
            </w:hyperlink>
          </w:p>
        </w:tc>
      </w:tr>
      <w:tr w:rsidR="00F35B5A" w14:paraId="7772A771" w14:textId="77777777">
        <w:trPr>
          <w:cantSplit/>
          <w:jc w:val="center"/>
        </w:trPr>
        <w:tc>
          <w:tcPr>
            <w:tcW w:w="8928" w:type="dxa"/>
            <w:tcBorders>
              <w:top w:val="nil"/>
              <w:left w:val="nil"/>
              <w:bottom w:val="nil"/>
              <w:right w:val="nil"/>
            </w:tcBorders>
          </w:tcPr>
          <w:p w14:paraId="7528FC26" w14:textId="77777777" w:rsidR="00F35B5A" w:rsidRDefault="00F35B5A">
            <w:pPr>
              <w:spacing w:after="80"/>
            </w:pPr>
            <w:hyperlink w:anchor="growth_options" w:history="1">
              <w:r>
                <w:rPr>
                  <w:rFonts w:cs="Arial"/>
                  <w:b/>
                  <w:color w:val="262626"/>
                  <w:sz w:val="21"/>
                  <w:szCs w:val="21"/>
                </w:rPr>
                <w:t>3. Strategic Growth Options and Proposed Strategy</w:t>
              </w:r>
            </w:hyperlink>
          </w:p>
        </w:tc>
        <w:tc>
          <w:tcPr>
            <w:tcW w:w="792" w:type="dxa"/>
            <w:tcBorders>
              <w:top w:val="nil"/>
              <w:left w:val="nil"/>
              <w:bottom w:val="nil"/>
              <w:right w:val="nil"/>
            </w:tcBorders>
          </w:tcPr>
          <w:p w14:paraId="405E29B4" w14:textId="77777777" w:rsidR="00F35B5A" w:rsidRDefault="00F35B5A">
            <w:pPr>
              <w:spacing w:after="80"/>
              <w:jc w:val="right"/>
            </w:pPr>
            <w:hyperlink w:anchor="growth_options" w:history="1">
              <w:r>
                <w:rPr>
                  <w:rFonts w:cs="Arial"/>
                  <w:b/>
                  <w:color w:val="262626"/>
                  <w:sz w:val="21"/>
                  <w:szCs w:val="21"/>
                </w:rPr>
                <w:t>4</w:t>
              </w:r>
            </w:hyperlink>
          </w:p>
        </w:tc>
      </w:tr>
      <w:tr w:rsidR="00F35B5A" w14:paraId="05397F14" w14:textId="77777777">
        <w:trPr>
          <w:cantSplit/>
          <w:jc w:val="center"/>
        </w:trPr>
        <w:tc>
          <w:tcPr>
            <w:tcW w:w="8928" w:type="dxa"/>
            <w:tcBorders>
              <w:top w:val="nil"/>
              <w:left w:val="nil"/>
              <w:bottom w:val="nil"/>
              <w:right w:val="nil"/>
            </w:tcBorders>
          </w:tcPr>
          <w:p w14:paraId="048E9E14" w14:textId="77777777" w:rsidR="00F35B5A" w:rsidRDefault="00F35B5A">
            <w:pPr>
              <w:spacing w:after="80"/>
              <w:ind w:left="360"/>
            </w:pPr>
            <w:hyperlink w:anchor="tows" w:history="1">
              <w:r>
                <w:rPr>
                  <w:rFonts w:cs="Arial"/>
                  <w:color w:val="262626"/>
                  <w:sz w:val="20"/>
                  <w:szCs w:val="20"/>
                </w:rPr>
                <w:t>3.1 TOWS-generated options</w:t>
              </w:r>
            </w:hyperlink>
          </w:p>
        </w:tc>
        <w:tc>
          <w:tcPr>
            <w:tcW w:w="792" w:type="dxa"/>
            <w:tcBorders>
              <w:top w:val="nil"/>
              <w:left w:val="nil"/>
              <w:bottom w:val="nil"/>
              <w:right w:val="nil"/>
            </w:tcBorders>
          </w:tcPr>
          <w:p w14:paraId="6E531AD6" w14:textId="77777777" w:rsidR="00F35B5A" w:rsidRDefault="00F35B5A">
            <w:pPr>
              <w:spacing w:after="80"/>
              <w:jc w:val="right"/>
            </w:pPr>
            <w:hyperlink w:anchor="tows" w:history="1">
              <w:r>
                <w:rPr>
                  <w:rFonts w:cs="Arial"/>
                  <w:color w:val="262626"/>
                  <w:sz w:val="20"/>
                  <w:szCs w:val="20"/>
                </w:rPr>
                <w:t>4</w:t>
              </w:r>
            </w:hyperlink>
          </w:p>
        </w:tc>
      </w:tr>
      <w:tr w:rsidR="00F35B5A" w14:paraId="7E0455ED" w14:textId="77777777">
        <w:trPr>
          <w:cantSplit/>
          <w:jc w:val="center"/>
        </w:trPr>
        <w:tc>
          <w:tcPr>
            <w:tcW w:w="8928" w:type="dxa"/>
            <w:tcBorders>
              <w:top w:val="nil"/>
              <w:left w:val="nil"/>
              <w:bottom w:val="nil"/>
              <w:right w:val="nil"/>
            </w:tcBorders>
          </w:tcPr>
          <w:p w14:paraId="09CCD525" w14:textId="77777777" w:rsidR="00F35B5A" w:rsidRDefault="00F35B5A">
            <w:pPr>
              <w:spacing w:after="80"/>
            </w:pPr>
            <w:hyperlink w:anchor="strategy_evaluation" w:history="1">
              <w:r>
                <w:rPr>
                  <w:rFonts w:cs="Arial"/>
                  <w:b/>
                  <w:color w:val="262626"/>
                  <w:sz w:val="21"/>
                  <w:szCs w:val="21"/>
                </w:rPr>
                <w:t>4. Strategy Evaluation</w:t>
              </w:r>
            </w:hyperlink>
          </w:p>
        </w:tc>
        <w:tc>
          <w:tcPr>
            <w:tcW w:w="792" w:type="dxa"/>
            <w:tcBorders>
              <w:top w:val="nil"/>
              <w:left w:val="nil"/>
              <w:bottom w:val="nil"/>
              <w:right w:val="nil"/>
            </w:tcBorders>
          </w:tcPr>
          <w:p w14:paraId="1219ACBC" w14:textId="77777777" w:rsidR="00F35B5A" w:rsidRDefault="00F35B5A">
            <w:pPr>
              <w:spacing w:after="80"/>
              <w:jc w:val="right"/>
            </w:pPr>
            <w:hyperlink w:anchor="strategy_evaluation" w:history="1">
              <w:r>
                <w:rPr>
                  <w:rFonts w:cs="Arial"/>
                  <w:b/>
                  <w:color w:val="262626"/>
                  <w:sz w:val="21"/>
                  <w:szCs w:val="21"/>
                </w:rPr>
                <w:t>6</w:t>
              </w:r>
            </w:hyperlink>
          </w:p>
        </w:tc>
      </w:tr>
      <w:tr w:rsidR="00F35B5A" w14:paraId="1EE746A7" w14:textId="77777777">
        <w:trPr>
          <w:cantSplit/>
          <w:jc w:val="center"/>
        </w:trPr>
        <w:tc>
          <w:tcPr>
            <w:tcW w:w="8928" w:type="dxa"/>
            <w:tcBorders>
              <w:top w:val="nil"/>
              <w:left w:val="nil"/>
              <w:bottom w:val="nil"/>
              <w:right w:val="nil"/>
            </w:tcBorders>
          </w:tcPr>
          <w:p w14:paraId="076156B1" w14:textId="77777777" w:rsidR="00F35B5A" w:rsidRDefault="00F35B5A">
            <w:pPr>
              <w:spacing w:after="80"/>
              <w:ind w:left="360"/>
            </w:pPr>
            <w:hyperlink w:anchor="comparative_sfa" w:history="1">
              <w:r>
                <w:rPr>
                  <w:rFonts w:cs="Arial"/>
                  <w:color w:val="262626"/>
                  <w:sz w:val="20"/>
                  <w:szCs w:val="20"/>
                </w:rPr>
                <w:t>4.1 Comparative SFA assessment</w:t>
              </w:r>
            </w:hyperlink>
          </w:p>
        </w:tc>
        <w:tc>
          <w:tcPr>
            <w:tcW w:w="792" w:type="dxa"/>
            <w:tcBorders>
              <w:top w:val="nil"/>
              <w:left w:val="nil"/>
              <w:bottom w:val="nil"/>
              <w:right w:val="nil"/>
            </w:tcBorders>
          </w:tcPr>
          <w:p w14:paraId="3C4785DD" w14:textId="77777777" w:rsidR="00F35B5A" w:rsidRDefault="00F35B5A">
            <w:pPr>
              <w:spacing w:after="80"/>
              <w:jc w:val="right"/>
            </w:pPr>
            <w:hyperlink w:anchor="comparative_sfa" w:history="1">
              <w:r>
                <w:rPr>
                  <w:rFonts w:cs="Arial"/>
                  <w:color w:val="262626"/>
                  <w:sz w:val="20"/>
                  <w:szCs w:val="20"/>
                </w:rPr>
                <w:t>6</w:t>
              </w:r>
            </w:hyperlink>
          </w:p>
        </w:tc>
      </w:tr>
      <w:tr w:rsidR="00F35B5A" w14:paraId="7A5C5288" w14:textId="77777777">
        <w:trPr>
          <w:cantSplit/>
          <w:jc w:val="center"/>
        </w:trPr>
        <w:tc>
          <w:tcPr>
            <w:tcW w:w="8928" w:type="dxa"/>
            <w:tcBorders>
              <w:top w:val="nil"/>
              <w:left w:val="nil"/>
              <w:bottom w:val="nil"/>
              <w:right w:val="nil"/>
            </w:tcBorders>
          </w:tcPr>
          <w:p w14:paraId="298E4691" w14:textId="77777777" w:rsidR="00F35B5A" w:rsidRDefault="00F35B5A">
            <w:pPr>
              <w:spacing w:after="80"/>
            </w:pPr>
            <w:hyperlink w:anchor="stakeholder" w:history="1">
              <w:r>
                <w:rPr>
                  <w:rFonts w:cs="Arial"/>
                  <w:b/>
                  <w:color w:val="262626"/>
                  <w:sz w:val="21"/>
                  <w:szCs w:val="21"/>
                </w:rPr>
                <w:t>5. Stakeholder Analysis</w:t>
              </w:r>
            </w:hyperlink>
          </w:p>
        </w:tc>
        <w:tc>
          <w:tcPr>
            <w:tcW w:w="792" w:type="dxa"/>
            <w:tcBorders>
              <w:top w:val="nil"/>
              <w:left w:val="nil"/>
              <w:bottom w:val="nil"/>
              <w:right w:val="nil"/>
            </w:tcBorders>
          </w:tcPr>
          <w:p w14:paraId="5235F09B" w14:textId="77777777" w:rsidR="00F35B5A" w:rsidRDefault="00F35B5A">
            <w:pPr>
              <w:spacing w:after="80"/>
              <w:jc w:val="right"/>
            </w:pPr>
            <w:hyperlink w:anchor="stakeholder" w:history="1">
              <w:r>
                <w:rPr>
                  <w:rFonts w:cs="Arial"/>
                  <w:b/>
                  <w:color w:val="262626"/>
                  <w:sz w:val="21"/>
                  <w:szCs w:val="21"/>
                </w:rPr>
                <w:t>7</w:t>
              </w:r>
            </w:hyperlink>
          </w:p>
        </w:tc>
      </w:tr>
      <w:tr w:rsidR="00F35B5A" w14:paraId="3BCC2704" w14:textId="77777777">
        <w:trPr>
          <w:cantSplit/>
          <w:jc w:val="center"/>
        </w:trPr>
        <w:tc>
          <w:tcPr>
            <w:tcW w:w="8928" w:type="dxa"/>
            <w:tcBorders>
              <w:top w:val="nil"/>
              <w:left w:val="nil"/>
              <w:bottom w:val="nil"/>
              <w:right w:val="nil"/>
            </w:tcBorders>
          </w:tcPr>
          <w:p w14:paraId="42D71EA5" w14:textId="77777777" w:rsidR="00F35B5A" w:rsidRDefault="00F35B5A">
            <w:pPr>
              <w:spacing w:after="80"/>
            </w:pPr>
            <w:hyperlink w:anchor="implementation" w:history="1">
              <w:r>
                <w:rPr>
                  <w:rFonts w:cs="Arial"/>
                  <w:b/>
                  <w:color w:val="262626"/>
                  <w:sz w:val="21"/>
                  <w:szCs w:val="21"/>
                </w:rPr>
                <w:t>6. Implementation and Monitoring</w:t>
              </w:r>
            </w:hyperlink>
          </w:p>
        </w:tc>
        <w:tc>
          <w:tcPr>
            <w:tcW w:w="792" w:type="dxa"/>
            <w:tcBorders>
              <w:top w:val="nil"/>
              <w:left w:val="nil"/>
              <w:bottom w:val="nil"/>
              <w:right w:val="nil"/>
            </w:tcBorders>
          </w:tcPr>
          <w:p w14:paraId="51BF87DE" w14:textId="77777777" w:rsidR="00F35B5A" w:rsidRDefault="00F35B5A">
            <w:pPr>
              <w:spacing w:after="80"/>
              <w:jc w:val="right"/>
            </w:pPr>
            <w:hyperlink w:anchor="implementation" w:history="1">
              <w:r>
                <w:rPr>
                  <w:rFonts w:cs="Arial"/>
                  <w:b/>
                  <w:color w:val="262626"/>
                  <w:sz w:val="21"/>
                  <w:szCs w:val="21"/>
                </w:rPr>
                <w:t>8</w:t>
              </w:r>
            </w:hyperlink>
          </w:p>
        </w:tc>
      </w:tr>
      <w:tr w:rsidR="00F35B5A" w14:paraId="22C45C5A" w14:textId="77777777">
        <w:trPr>
          <w:cantSplit/>
          <w:jc w:val="center"/>
        </w:trPr>
        <w:tc>
          <w:tcPr>
            <w:tcW w:w="8928" w:type="dxa"/>
            <w:tcBorders>
              <w:top w:val="nil"/>
              <w:left w:val="nil"/>
              <w:bottom w:val="nil"/>
              <w:right w:val="nil"/>
            </w:tcBorders>
          </w:tcPr>
          <w:p w14:paraId="2201965A" w14:textId="77777777" w:rsidR="00F35B5A" w:rsidRDefault="00F35B5A">
            <w:pPr>
              <w:spacing w:after="80"/>
              <w:ind w:left="360"/>
            </w:pPr>
            <w:hyperlink w:anchor="kpi_targets" w:history="1">
              <w:r>
                <w:rPr>
                  <w:rFonts w:cs="Arial"/>
                  <w:color w:val="262626"/>
                  <w:sz w:val="20"/>
                  <w:szCs w:val="20"/>
                </w:rPr>
                <w:t>6.1 Planning assumptions and target KPIs</w:t>
              </w:r>
            </w:hyperlink>
          </w:p>
        </w:tc>
        <w:tc>
          <w:tcPr>
            <w:tcW w:w="792" w:type="dxa"/>
            <w:tcBorders>
              <w:top w:val="nil"/>
              <w:left w:val="nil"/>
              <w:bottom w:val="nil"/>
              <w:right w:val="nil"/>
            </w:tcBorders>
          </w:tcPr>
          <w:p w14:paraId="31F1C2A1" w14:textId="77777777" w:rsidR="00F35B5A" w:rsidRDefault="00F35B5A">
            <w:pPr>
              <w:spacing w:after="80"/>
              <w:jc w:val="right"/>
            </w:pPr>
            <w:hyperlink w:anchor="kpi_targets" w:history="1">
              <w:r>
                <w:rPr>
                  <w:rFonts w:cs="Arial"/>
                  <w:color w:val="262626"/>
                  <w:sz w:val="20"/>
                  <w:szCs w:val="20"/>
                </w:rPr>
                <w:t>9</w:t>
              </w:r>
            </w:hyperlink>
          </w:p>
        </w:tc>
      </w:tr>
      <w:tr w:rsidR="00F35B5A" w14:paraId="30BCE05B" w14:textId="77777777">
        <w:trPr>
          <w:cantSplit/>
          <w:jc w:val="center"/>
        </w:trPr>
        <w:tc>
          <w:tcPr>
            <w:tcW w:w="8928" w:type="dxa"/>
            <w:tcBorders>
              <w:top w:val="nil"/>
              <w:left w:val="nil"/>
              <w:bottom w:val="nil"/>
              <w:right w:val="nil"/>
            </w:tcBorders>
          </w:tcPr>
          <w:p w14:paraId="6217B592" w14:textId="77777777" w:rsidR="00F35B5A" w:rsidRDefault="00F35B5A">
            <w:pPr>
              <w:spacing w:after="80"/>
            </w:pPr>
            <w:hyperlink w:anchor="conclusion" w:history="1">
              <w:r>
                <w:rPr>
                  <w:rFonts w:cs="Arial"/>
                  <w:b/>
                  <w:color w:val="262626"/>
                  <w:sz w:val="21"/>
                  <w:szCs w:val="21"/>
                </w:rPr>
                <w:t>7. Conclusion</w:t>
              </w:r>
            </w:hyperlink>
          </w:p>
        </w:tc>
        <w:tc>
          <w:tcPr>
            <w:tcW w:w="792" w:type="dxa"/>
            <w:tcBorders>
              <w:top w:val="nil"/>
              <w:left w:val="nil"/>
              <w:bottom w:val="nil"/>
              <w:right w:val="nil"/>
            </w:tcBorders>
          </w:tcPr>
          <w:p w14:paraId="429D89D1" w14:textId="77777777" w:rsidR="00F35B5A" w:rsidRDefault="00F35B5A">
            <w:pPr>
              <w:spacing w:after="80"/>
              <w:jc w:val="right"/>
            </w:pPr>
            <w:hyperlink w:anchor="conclusion" w:history="1">
              <w:r>
                <w:rPr>
                  <w:rFonts w:cs="Arial"/>
                  <w:b/>
                  <w:color w:val="262626"/>
                  <w:sz w:val="21"/>
                  <w:szCs w:val="21"/>
                </w:rPr>
                <w:t>10</w:t>
              </w:r>
            </w:hyperlink>
          </w:p>
        </w:tc>
      </w:tr>
      <w:tr w:rsidR="00F35B5A" w14:paraId="353A7306" w14:textId="77777777">
        <w:trPr>
          <w:cantSplit/>
          <w:jc w:val="center"/>
        </w:trPr>
        <w:tc>
          <w:tcPr>
            <w:tcW w:w="8928" w:type="dxa"/>
            <w:tcBorders>
              <w:top w:val="nil"/>
              <w:left w:val="nil"/>
              <w:bottom w:val="nil"/>
              <w:right w:val="nil"/>
            </w:tcBorders>
          </w:tcPr>
          <w:p w14:paraId="58F7DD32" w14:textId="77777777" w:rsidR="00F35B5A" w:rsidRDefault="00F35B5A">
            <w:pPr>
              <w:spacing w:after="80"/>
            </w:pPr>
            <w:hyperlink w:anchor="exec_summary" w:history="1">
              <w:r>
                <w:rPr>
                  <w:rFonts w:cs="Arial"/>
                  <w:b/>
                  <w:color w:val="262626"/>
                  <w:sz w:val="21"/>
                  <w:szCs w:val="21"/>
                </w:rPr>
                <w:t>Executive Summary</w:t>
              </w:r>
            </w:hyperlink>
          </w:p>
        </w:tc>
        <w:tc>
          <w:tcPr>
            <w:tcW w:w="792" w:type="dxa"/>
            <w:tcBorders>
              <w:top w:val="nil"/>
              <w:left w:val="nil"/>
              <w:bottom w:val="nil"/>
              <w:right w:val="nil"/>
            </w:tcBorders>
          </w:tcPr>
          <w:p w14:paraId="37EDB4B6" w14:textId="77777777" w:rsidR="00F35B5A" w:rsidRDefault="00F35B5A">
            <w:pPr>
              <w:spacing w:after="80"/>
              <w:jc w:val="right"/>
            </w:pPr>
            <w:hyperlink w:anchor="exec_summary" w:history="1">
              <w:r>
                <w:rPr>
                  <w:rFonts w:cs="Arial"/>
                  <w:b/>
                  <w:color w:val="262626"/>
                  <w:sz w:val="21"/>
                  <w:szCs w:val="21"/>
                </w:rPr>
                <w:t>11</w:t>
              </w:r>
            </w:hyperlink>
          </w:p>
        </w:tc>
      </w:tr>
      <w:tr w:rsidR="00F35B5A" w14:paraId="6CF9698F" w14:textId="77777777">
        <w:trPr>
          <w:cantSplit/>
          <w:jc w:val="center"/>
        </w:trPr>
        <w:tc>
          <w:tcPr>
            <w:tcW w:w="8928" w:type="dxa"/>
            <w:tcBorders>
              <w:top w:val="nil"/>
              <w:left w:val="nil"/>
              <w:bottom w:val="nil"/>
              <w:right w:val="nil"/>
            </w:tcBorders>
          </w:tcPr>
          <w:p w14:paraId="1E5B7CE8" w14:textId="77777777" w:rsidR="00F35B5A" w:rsidRDefault="00F35B5A">
            <w:pPr>
              <w:spacing w:after="80"/>
            </w:pPr>
            <w:hyperlink w:anchor="references" w:history="1">
              <w:r>
                <w:rPr>
                  <w:rFonts w:cs="Arial"/>
                  <w:b/>
                  <w:color w:val="262626"/>
                  <w:sz w:val="21"/>
                  <w:szCs w:val="21"/>
                </w:rPr>
                <w:t>References</w:t>
              </w:r>
            </w:hyperlink>
          </w:p>
        </w:tc>
        <w:tc>
          <w:tcPr>
            <w:tcW w:w="792" w:type="dxa"/>
            <w:tcBorders>
              <w:top w:val="nil"/>
              <w:left w:val="nil"/>
              <w:bottom w:val="nil"/>
              <w:right w:val="nil"/>
            </w:tcBorders>
          </w:tcPr>
          <w:p w14:paraId="36D38DF3" w14:textId="77777777" w:rsidR="00F35B5A" w:rsidRDefault="00F35B5A">
            <w:pPr>
              <w:spacing w:after="80"/>
              <w:jc w:val="right"/>
            </w:pPr>
            <w:hyperlink w:anchor="references" w:history="1">
              <w:r>
                <w:rPr>
                  <w:rFonts w:cs="Arial"/>
                  <w:b/>
                  <w:color w:val="262626"/>
                  <w:sz w:val="21"/>
                  <w:szCs w:val="21"/>
                </w:rPr>
                <w:t>12</w:t>
              </w:r>
            </w:hyperlink>
          </w:p>
        </w:tc>
      </w:tr>
    </w:tbl>
    <w:p w14:paraId="18AEFA0B" w14:textId="43BCA98E" w:rsidR="00F35B5A" w:rsidRDefault="00F35B5A" w:rsidP="00B915C8">
      <w:pPr>
        <w:spacing w:before="240"/>
        <w:sectPr w:rsidR="00F35B5A">
          <w:footerReference w:type="default" r:id="rId8"/>
          <w:pgSz w:w="12240" w:h="15840"/>
          <w:pgMar w:top="1008" w:right="1224" w:bottom="1008" w:left="1224" w:header="720" w:footer="720" w:gutter="0"/>
          <w:pgNumType w:fmt="lowerRoman" w:start="1"/>
          <w:cols w:space="720"/>
          <w:titlePg/>
          <w:docGrid w:linePitch="360"/>
        </w:sectPr>
      </w:pPr>
    </w:p>
    <w:p w14:paraId="0BBB3823" w14:textId="77777777" w:rsidR="00F35B5A" w:rsidRDefault="00000000">
      <w:pPr>
        <w:pStyle w:val="Heading1"/>
        <w:spacing w:before="200"/>
      </w:pPr>
      <w:bookmarkStart w:id="1" w:name="introduction"/>
      <w:r>
        <w:lastRenderedPageBreak/>
        <w:t>1. Introduction and Background</w:t>
      </w:r>
      <w:bookmarkEnd w:id="1"/>
    </w:p>
    <w:p w14:paraId="28655CC6" w14:textId="642F826D" w:rsidR="00F35B5A" w:rsidRDefault="00000000">
      <w:pPr>
        <w:pStyle w:val="BodyText"/>
      </w:pPr>
      <w:r>
        <w:t>Vodafone’s UK strategy now sits within a wider European and African portfolio that combines mobile, fixed, digital and Internet of Things services. The Group organises its current direction around Customers, Simplicity and Growth, signalling a need to improve experience, remove unnecessary complexity and build more durable revenue streams (Vodafone Group Plc, 2025a). Its purpose</w:t>
      </w:r>
      <w:r w:rsidR="00710A58">
        <w:t xml:space="preserve"> </w:t>
      </w:r>
      <w:r>
        <w:t>to connect everyone and contribute to an inclusive, sustainable and trusted digital society</w:t>
      </w:r>
      <w:r w:rsidR="00710A58">
        <w:t xml:space="preserve"> </w:t>
      </w:r>
      <w:r>
        <w:t>acts as the practical mission for this report. Connectivity should therefore be judged by whether it is dependable, secure and useful, rather than by network size alone.</w:t>
      </w:r>
    </w:p>
    <w:p w14:paraId="53A4EB66" w14:textId="77777777" w:rsidR="00F35B5A" w:rsidRDefault="00000000">
      <w:pPr>
        <w:pStyle w:val="BodyText"/>
      </w:pPr>
      <w:r>
        <w:t>That mission became more demanding after Vodafone UK and Three UK formed VodafoneThree in May 2025. Vodafone controls 51% of the combined company and CK Hutchison 49%. The transaction includes a ten-year £11 billion network programme and legally enforceable customer and wholesale protections imposed by the Competition and Markets Authority (Vodafone Group Plc, 2025b; Competition and Markets Authority, 2024). Consequently, integration success cannot be measured only through savings. The merged operator must also demonstrate stronger coverage, fair market behaviour and improved customer outcomes.</w:t>
      </w:r>
    </w:p>
    <w:p w14:paraId="78E78F3A" w14:textId="77777777" w:rsidR="00F35B5A" w:rsidRDefault="00000000">
      <w:pPr>
        <w:pStyle w:val="BodyText"/>
      </w:pPr>
      <w:r>
        <w:t>The report develops a recommendation by moving from diagnosis to choice. PESTEL examines the macro environment, Five Forces tests industry pressure and SWOT identifies the internal position. TOWS converts those findings into alternative growth routes, which are compared through SFA rather than accepted at face value. Stakeholder theory and Carroll’s CSR framework are then used to test whether the preferred option is commercially viable, lawful, ethical and socially responsible. Any forward-looking targets are labelled as planning assumptions because internal baselines and future adoption cannot be verified from public information.</w:t>
      </w:r>
    </w:p>
    <w:p w14:paraId="666EA8D7" w14:textId="77777777" w:rsidR="00F35B5A" w:rsidRDefault="00000000">
      <w:r>
        <w:br w:type="page"/>
      </w:r>
    </w:p>
    <w:p w14:paraId="3E503B37" w14:textId="77777777" w:rsidR="00F35B5A" w:rsidRDefault="00000000">
      <w:pPr>
        <w:pStyle w:val="Heading1"/>
        <w:spacing w:before="200"/>
      </w:pPr>
      <w:bookmarkStart w:id="2" w:name="market"/>
      <w:r>
        <w:lastRenderedPageBreak/>
        <w:t>2. Evaluation of the Current Market Situation</w:t>
      </w:r>
      <w:bookmarkEnd w:id="2"/>
    </w:p>
    <w:p w14:paraId="26FC712B" w14:textId="77777777" w:rsidR="00F35B5A" w:rsidRDefault="00000000">
      <w:pPr>
        <w:pStyle w:val="Heading2"/>
        <w:spacing w:before="200"/>
      </w:pPr>
      <w:bookmarkStart w:id="3" w:name="pestel"/>
      <w:r>
        <w:t>2.1 PESTEL analysis</w:t>
      </w:r>
      <w:bookmarkEnd w:id="3"/>
    </w:p>
    <w:p w14:paraId="3D8E3D56" w14:textId="77777777" w:rsidR="00F35B5A" w:rsidRDefault="00000000">
      <w:pPr>
        <w:pStyle w:val="BodyText"/>
      </w:pPr>
      <w:r>
        <w:t>Political. UK growth policy treats digital infrastructure as an economic enabler. The Wireless Infrastructure Strategy targets standalone 5G across populated areas by 2030, while industrial policy identifies digital technology as a productivity driver (Department for Science, Innovation and Technology, 2023; HM Government, 2025a; HM Government, 2025b). This supports investment but raises expectations: VodafoneThree must demonstrate regional coverage, productivity and inclusion, or face greater pressure over pricing and regulation.</w:t>
      </w:r>
    </w:p>
    <w:p w14:paraId="14D3E75C" w14:textId="77777777" w:rsidR="00F35B5A" w:rsidRDefault="00000000">
      <w:pPr>
        <w:pStyle w:val="BodyText"/>
      </w:pPr>
      <w:r>
        <w:t>Economic. Price sensitivity limits recovery of investment through tariffs alone. Ofcom requires increases in new contracts to be stated clearly in pounds and pence (Ofcom, 2024a), creating an opportunity to compete on transparency. FY25 results show stronger UK revenue, EBITDAaL and margins, although business mobile remained pressured (Vodafone Group Plc, 2025a). Synergies should fund differentiation; savings that weaken service or specialist capability would destroy value.</w:t>
      </w:r>
    </w:p>
    <w:p w14:paraId="205F631B" w14:textId="77777777" w:rsidR="00F35B5A" w:rsidRDefault="00000000">
      <w:pPr>
        <w:pStyle w:val="BodyText"/>
      </w:pPr>
      <w:r>
        <w:t>Social. Connectivity affects work, education and access to services. Vodafone’s stakeholder evidence highlights coverage, fixed access, simpler support and clearer price changes (Vodafone Group Plc, 2025a). Ofcom reported improved complaint handling, although Vodafone customers remained more likely than average to have a reason to complain (Ofcom, 2025a). The merger will therefore be judged through reliability, affordability and problem resolution, with digital inclusion also shaping legitimacy.</w:t>
      </w:r>
    </w:p>
    <w:p w14:paraId="0669BC82" w14:textId="77777777" w:rsidR="00F35B5A" w:rsidRDefault="00000000">
      <w:pPr>
        <w:pStyle w:val="BodyText"/>
      </w:pPr>
      <w:r>
        <w:t>Technological. 5G Standalone enables lower latency, network slicing and tailored enterprise services, but the technology is available to rivals. EE and Virgin Media O2 have reported extensive rollouts (BT Group, 2025; Virgin Media O2, 2025b). As corporate claims, these should be tested against Ofcom evidence (Ofcom, 2024b; Ofcom, 2025a). VodafoneThree needs measurable deployment quality and useful applications; commercial value depends on private networks, secure IoT, fixed wireless access and sector solutions (VodafoneThree, 2025a).</w:t>
      </w:r>
    </w:p>
    <w:p w14:paraId="21717576" w14:textId="77777777" w:rsidR="00F35B5A" w:rsidRDefault="00000000">
      <w:pPr>
        <w:pStyle w:val="BodyText"/>
      </w:pPr>
      <w:r>
        <w:t>Environmental. Connectivity can support lower-carbon logistics and remote services, yet network expansion consumes energy and equipment. Vodafone’s environmental governance must remain credible during rollout (Vodafone Group Plc, 2025a). A built-in approach should place energy efficiency, site sharing, circular devices and supplier emissions within each business case, with impact measured relative to data carried.</w:t>
      </w:r>
    </w:p>
    <w:p w14:paraId="18B3E61E" w14:textId="77777777" w:rsidR="00F35B5A" w:rsidRDefault="00000000">
      <w:pPr>
        <w:pStyle w:val="BodyText"/>
      </w:pPr>
      <w:r>
        <w:t xml:space="preserve">Legal and geopolitical. CMA approval includes binding network, tariff and MVNO commitments (Competition and Markets Authority, 2024). These reduce flexibility but can strengthen trust through transparent compliance. As telecoms is critical infrastructure, NCSC warnings make continuity and </w:t>
      </w:r>
      <w:r>
        <w:lastRenderedPageBreak/>
        <w:t>supply-chain assurance strategic priorities (National Cyber Security Centre, 2025). Sanctions and geopolitical conflict may disrupt vendors, so resilience, privacy and cyber controls must be embedded in products and investment decisions.</w:t>
      </w:r>
    </w:p>
    <w:tbl>
      <w:tblPr>
        <w:tblW w:w="0" w:type="auto"/>
        <w:jc w:val="center"/>
        <w:tblLayout w:type="fixed"/>
        <w:tblLook w:val="04A0" w:firstRow="1" w:lastRow="0" w:firstColumn="1" w:lastColumn="0" w:noHBand="0" w:noVBand="1"/>
      </w:tblPr>
      <w:tblGrid>
        <w:gridCol w:w="9792"/>
      </w:tblGrid>
      <w:tr w:rsidR="00F35B5A" w14:paraId="56DD03D2" w14:textId="77777777">
        <w:trPr>
          <w:jc w:val="center"/>
        </w:trPr>
        <w:tc>
          <w:tcPr>
            <w:tcW w:w="9792" w:type="dxa"/>
            <w:tcBorders>
              <w:top w:val="single" w:sz="8" w:space="0" w:color="E60000"/>
              <w:left w:val="single" w:sz="8" w:space="0" w:color="E60000"/>
              <w:bottom w:val="single" w:sz="8" w:space="0" w:color="E60000"/>
              <w:right w:val="single" w:sz="8" w:space="0" w:color="E60000"/>
            </w:tcBorders>
            <w:shd w:val="clear" w:color="auto" w:fill="FCE8E8"/>
          </w:tcPr>
          <w:p w14:paraId="488FD3DB" w14:textId="77777777" w:rsidR="00F35B5A" w:rsidRDefault="00000000">
            <w:pPr>
              <w:spacing w:after="60"/>
            </w:pPr>
            <w:r>
              <w:rPr>
                <w:b/>
                <w:color w:val="E60000"/>
              </w:rPr>
              <w:t>PESTEL strategic implication</w:t>
            </w:r>
          </w:p>
          <w:p w14:paraId="50BF52EC" w14:textId="77777777" w:rsidR="00F35B5A" w:rsidRDefault="00000000">
            <w:pPr>
              <w:pStyle w:val="BodyText"/>
              <w:spacing w:after="40"/>
            </w:pPr>
            <w:r>
              <w:t>The environment favours a well-funded operator that can deliver advanced connectivity, but it penalises strategies based on opaque pricing, generic 5G claims or short-term cost cutting. VodafoneThree needs evidence of public, customer and commercial value at the same time.</w:t>
            </w:r>
          </w:p>
        </w:tc>
      </w:tr>
    </w:tbl>
    <w:p w14:paraId="77E87231" w14:textId="77777777" w:rsidR="00F35B5A" w:rsidRDefault="00000000">
      <w:pPr>
        <w:pStyle w:val="Heading2"/>
        <w:spacing w:before="200"/>
      </w:pPr>
      <w:bookmarkStart w:id="4" w:name="five_forces"/>
      <w:r>
        <w:t>2.2 Porter's Five Forces</w:t>
      </w:r>
      <w:bookmarkEnd w:id="4"/>
    </w:p>
    <w:p w14:paraId="2B71B903" w14:textId="77777777" w:rsidR="00F35B5A" w:rsidRDefault="00000000">
      <w:pPr>
        <w:pStyle w:val="BodyText"/>
      </w:pPr>
      <w:r>
        <w:t>Competitive rivalry is high. BT/EE and Virgin Media O2 are investing in 5G and enterprise connectivity, while MVNOs target price-sensitive users without the same network burden. Although corporate releases may overstate advantage, Ofcom evidence confirms continuing network and service competition (Ofcom, 2024b; Ofcom, 2025a). Broad price leadership is unattractive because discounts are easy to match while VodafoneThree must finance integration and long-term investment.</w:t>
      </w:r>
    </w:p>
    <w:p w14:paraId="44D381A1" w14:textId="77777777" w:rsidR="00F35B5A" w:rsidRDefault="00000000">
      <w:pPr>
        <w:pStyle w:val="BodyText"/>
      </w:pPr>
      <w:r>
        <w:t>Buyer power is also high because customers can compare tariffs quickly and switching barriers are limited. The strategic response should be to reduce reasons for switching through dependable coverage, transparent value and effective service rather than contractual complexity. Supplier power is moderate to high because radio, fibre, cloud and software markets contain specialist vendors, and geopolitical restrictions narrow some choices. Long-term agreements can support delivery, but over-dependence on a small supplier base would weaken resilience.</w:t>
      </w:r>
    </w:p>
    <w:p w14:paraId="0120D9A7" w14:textId="77777777" w:rsidR="00F35B5A" w:rsidRDefault="00000000">
      <w:pPr>
        <w:pStyle w:val="BodyText"/>
      </w:pPr>
      <w:r>
        <w:t>The threat of infrastructure-level entry is low due to spectrum, regulation and capital requirements. Entry at the service layer is considerably easier through MVNOs, eSIM propositions and digital channels. Substitutes are moderate: Wi-Fi, fibre and satellite can replace mobile connectivity in certain situations, but they can also complement VodafoneThree’s offer. Overall, the forces suggest that durable returns require differentiation and ecosystem partnerships, not network scale in isolation.</w:t>
      </w:r>
    </w:p>
    <w:p w14:paraId="644A9F2D" w14:textId="77777777" w:rsidR="00F35B5A" w:rsidRDefault="00000000">
      <w:pPr>
        <w:pStyle w:val="Heading2"/>
        <w:spacing w:before="200"/>
      </w:pPr>
      <w:bookmarkStart w:id="5" w:name="swot"/>
      <w:r>
        <w:t>2.3 SWOT and strategic implications</w:t>
      </w:r>
      <w:bookmarkEnd w:id="5"/>
    </w:p>
    <w:tbl>
      <w:tblPr>
        <w:tblW w:w="0" w:type="auto"/>
        <w:jc w:val="center"/>
        <w:tblLayout w:type="fixed"/>
        <w:tblLook w:val="04A0" w:firstRow="1" w:lastRow="0" w:firstColumn="1" w:lastColumn="0" w:noHBand="0" w:noVBand="1"/>
      </w:tblPr>
      <w:tblGrid>
        <w:gridCol w:w="1800"/>
        <w:gridCol w:w="7992"/>
      </w:tblGrid>
      <w:tr w:rsidR="00F35B5A" w14:paraId="0678C6EF" w14:textId="77777777">
        <w:trPr>
          <w:tblHeader/>
          <w:jc w:val="center"/>
        </w:trPr>
        <w:tc>
          <w:tcPr>
            <w:tcW w:w="1800"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DC97471" w14:textId="77777777" w:rsidR="00F35B5A" w:rsidRDefault="00000000">
            <w:pPr>
              <w:spacing w:after="0"/>
            </w:pPr>
            <w:r>
              <w:rPr>
                <w:b/>
                <w:color w:val="FFFFFF"/>
              </w:rPr>
              <w:t>Area</w:t>
            </w:r>
          </w:p>
        </w:tc>
        <w:tc>
          <w:tcPr>
            <w:tcW w:w="7992"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5484D1FD" w14:textId="77777777" w:rsidR="00F35B5A" w:rsidRDefault="00000000">
            <w:pPr>
              <w:spacing w:after="0"/>
            </w:pPr>
            <w:r>
              <w:rPr>
                <w:b/>
                <w:color w:val="FFFFFF"/>
              </w:rPr>
              <w:t>Critical assessment</w:t>
            </w:r>
          </w:p>
        </w:tc>
      </w:tr>
      <w:tr w:rsidR="00F35B5A" w14:paraId="3F1B6B5F" w14:textId="77777777">
        <w:trPr>
          <w:cantSplit/>
          <w:jc w:val="center"/>
        </w:trPr>
        <w:tc>
          <w:tcPr>
            <w:tcW w:w="1800" w:type="dxa"/>
            <w:tcBorders>
              <w:top w:val="single" w:sz="3" w:space="0" w:color="D9D9D9"/>
              <w:left w:val="single" w:sz="3" w:space="0" w:color="D9D9D9"/>
              <w:bottom w:val="single" w:sz="3" w:space="0" w:color="D9D9D9"/>
              <w:right w:val="single" w:sz="3" w:space="0" w:color="D9D9D9"/>
            </w:tcBorders>
            <w:shd w:val="clear" w:color="auto" w:fill="FFFFFF"/>
          </w:tcPr>
          <w:p w14:paraId="62746124" w14:textId="77777777" w:rsidR="00F35B5A" w:rsidRDefault="00000000">
            <w:pPr>
              <w:spacing w:after="0" w:line="240" w:lineRule="auto"/>
            </w:pPr>
            <w:r>
              <w:t>Strengths</w:t>
            </w:r>
          </w:p>
        </w:tc>
        <w:tc>
          <w:tcPr>
            <w:tcW w:w="7992" w:type="dxa"/>
            <w:tcBorders>
              <w:top w:val="single" w:sz="3" w:space="0" w:color="D9D9D9"/>
              <w:left w:val="single" w:sz="3" w:space="0" w:color="D9D9D9"/>
              <w:bottom w:val="single" w:sz="3" w:space="0" w:color="D9D9D9"/>
              <w:right w:val="single" w:sz="3" w:space="0" w:color="D9D9D9"/>
            </w:tcBorders>
            <w:shd w:val="clear" w:color="auto" w:fill="FFFFFF"/>
          </w:tcPr>
          <w:p w14:paraId="25BF8343" w14:textId="77777777" w:rsidR="00F35B5A" w:rsidRDefault="00000000">
            <w:pPr>
              <w:spacing w:after="0" w:line="240" w:lineRule="auto"/>
            </w:pPr>
            <w:r>
              <w:t>Merged scale and spectrum; £11bn regulated investment plan; Vodafone brand and IoT capabilities; stronger purchasing power; opportunity to combine coverage footprints.</w:t>
            </w:r>
          </w:p>
        </w:tc>
      </w:tr>
      <w:tr w:rsidR="00F35B5A" w14:paraId="00F678B8" w14:textId="77777777">
        <w:trPr>
          <w:cantSplit/>
          <w:jc w:val="center"/>
        </w:trPr>
        <w:tc>
          <w:tcPr>
            <w:tcW w:w="1800" w:type="dxa"/>
            <w:tcBorders>
              <w:top w:val="single" w:sz="3" w:space="0" w:color="D9D9D9"/>
              <w:left w:val="single" w:sz="3" w:space="0" w:color="D9D9D9"/>
              <w:bottom w:val="single" w:sz="3" w:space="0" w:color="D9D9D9"/>
              <w:right w:val="single" w:sz="3" w:space="0" w:color="D9D9D9"/>
            </w:tcBorders>
            <w:shd w:val="clear" w:color="auto" w:fill="F2F2F2"/>
          </w:tcPr>
          <w:p w14:paraId="19F2E0AC" w14:textId="77777777" w:rsidR="00F35B5A" w:rsidRDefault="00000000">
            <w:pPr>
              <w:spacing w:after="0" w:line="240" w:lineRule="auto"/>
            </w:pPr>
            <w:r>
              <w:t>Weaknesses</w:t>
            </w:r>
          </w:p>
        </w:tc>
        <w:tc>
          <w:tcPr>
            <w:tcW w:w="7992" w:type="dxa"/>
            <w:tcBorders>
              <w:top w:val="single" w:sz="3" w:space="0" w:color="D9D9D9"/>
              <w:left w:val="single" w:sz="3" w:space="0" w:color="D9D9D9"/>
              <w:bottom w:val="single" w:sz="3" w:space="0" w:color="D9D9D9"/>
              <w:right w:val="single" w:sz="3" w:space="0" w:color="D9D9D9"/>
            </w:tcBorders>
            <w:shd w:val="clear" w:color="auto" w:fill="F2F2F2"/>
          </w:tcPr>
          <w:p w14:paraId="15A1F310" w14:textId="77777777" w:rsidR="00F35B5A" w:rsidRDefault="00000000">
            <w:pPr>
              <w:spacing w:after="0" w:line="240" w:lineRule="auto"/>
            </w:pPr>
            <w:r>
              <w:t>Complex network, IT and culture integration; historic complaint exposure; high capital intensity; risk of employee uncertainty and duplicated processes.</w:t>
            </w:r>
          </w:p>
        </w:tc>
      </w:tr>
      <w:tr w:rsidR="00F35B5A" w14:paraId="5E631AA6" w14:textId="77777777">
        <w:trPr>
          <w:cantSplit/>
          <w:jc w:val="center"/>
        </w:trPr>
        <w:tc>
          <w:tcPr>
            <w:tcW w:w="1800" w:type="dxa"/>
            <w:tcBorders>
              <w:top w:val="single" w:sz="3" w:space="0" w:color="D9D9D9"/>
              <w:left w:val="single" w:sz="3" w:space="0" w:color="D9D9D9"/>
              <w:bottom w:val="single" w:sz="3" w:space="0" w:color="D9D9D9"/>
              <w:right w:val="single" w:sz="3" w:space="0" w:color="D9D9D9"/>
            </w:tcBorders>
            <w:shd w:val="clear" w:color="auto" w:fill="FFFFFF"/>
          </w:tcPr>
          <w:p w14:paraId="0A81DE66" w14:textId="77777777" w:rsidR="00F35B5A" w:rsidRDefault="00000000">
            <w:pPr>
              <w:spacing w:after="0" w:line="240" w:lineRule="auto"/>
            </w:pPr>
            <w:r>
              <w:t>Opportunities</w:t>
            </w:r>
          </w:p>
        </w:tc>
        <w:tc>
          <w:tcPr>
            <w:tcW w:w="7992" w:type="dxa"/>
            <w:tcBorders>
              <w:top w:val="single" w:sz="3" w:space="0" w:color="D9D9D9"/>
              <w:left w:val="single" w:sz="3" w:space="0" w:color="D9D9D9"/>
              <w:bottom w:val="single" w:sz="3" w:space="0" w:color="D9D9D9"/>
              <w:right w:val="single" w:sz="3" w:space="0" w:color="D9D9D9"/>
            </w:tcBorders>
            <w:shd w:val="clear" w:color="auto" w:fill="FFFFFF"/>
          </w:tcPr>
          <w:p w14:paraId="333DA155" w14:textId="77777777" w:rsidR="00F35B5A" w:rsidRDefault="00000000">
            <w:pPr>
              <w:spacing w:after="0" w:line="240" w:lineRule="auto"/>
            </w:pPr>
            <w:r>
              <w:t>5G Standalone, private networks, IoT, cyber services, fixed wireless access, SMEs, rural connectivity, public-sector partnerships and digital inclusion.</w:t>
            </w:r>
          </w:p>
        </w:tc>
      </w:tr>
      <w:tr w:rsidR="00F35B5A" w14:paraId="6740C8E2" w14:textId="77777777">
        <w:trPr>
          <w:cantSplit/>
          <w:jc w:val="center"/>
        </w:trPr>
        <w:tc>
          <w:tcPr>
            <w:tcW w:w="1800" w:type="dxa"/>
            <w:tcBorders>
              <w:top w:val="single" w:sz="3" w:space="0" w:color="D9D9D9"/>
              <w:left w:val="single" w:sz="3" w:space="0" w:color="D9D9D9"/>
              <w:bottom w:val="single" w:sz="3" w:space="0" w:color="D9D9D9"/>
              <w:right w:val="single" w:sz="3" w:space="0" w:color="D9D9D9"/>
            </w:tcBorders>
            <w:shd w:val="clear" w:color="auto" w:fill="F2F2F2"/>
          </w:tcPr>
          <w:p w14:paraId="1B022F8E" w14:textId="77777777" w:rsidR="00F35B5A" w:rsidRDefault="00000000">
            <w:pPr>
              <w:spacing w:after="0" w:line="240" w:lineRule="auto"/>
            </w:pPr>
            <w:r>
              <w:lastRenderedPageBreak/>
              <w:t>Threats</w:t>
            </w:r>
          </w:p>
        </w:tc>
        <w:tc>
          <w:tcPr>
            <w:tcW w:w="7992" w:type="dxa"/>
            <w:tcBorders>
              <w:top w:val="single" w:sz="3" w:space="0" w:color="D9D9D9"/>
              <w:left w:val="single" w:sz="3" w:space="0" w:color="D9D9D9"/>
              <w:bottom w:val="single" w:sz="3" w:space="0" w:color="D9D9D9"/>
              <w:right w:val="single" w:sz="3" w:space="0" w:color="D9D9D9"/>
            </w:tcBorders>
            <w:shd w:val="clear" w:color="auto" w:fill="F2F2F2"/>
          </w:tcPr>
          <w:p w14:paraId="3DE72344" w14:textId="77777777" w:rsidR="00F35B5A" w:rsidRDefault="00000000">
            <w:pPr>
              <w:spacing w:after="0" w:line="240" w:lineRule="auto"/>
            </w:pPr>
            <w:r>
              <w:t>Rapid EE/O2 deployment; MVNO price pressure; regulatory enforcement; cyber incidents; supplier concentration; public concern that consolidation may weaken competition.</w:t>
            </w:r>
          </w:p>
        </w:tc>
      </w:tr>
    </w:tbl>
    <w:p w14:paraId="3B67767F" w14:textId="77777777" w:rsidR="00F35B5A" w:rsidRDefault="00F35B5A">
      <w:pPr>
        <w:spacing w:after="0"/>
      </w:pPr>
    </w:p>
    <w:p w14:paraId="0B39AB4D" w14:textId="77777777" w:rsidR="00F35B5A" w:rsidRDefault="00000000">
      <w:pPr>
        <w:pStyle w:val="BodyText"/>
      </w:pPr>
      <w:r>
        <w:t>The SWOT does not support a simple conclusion that bigger is automatically better. Scale and spectrum are valuable only if integration converts them into a consistent customer experience. Equally, the greatest threats are linked: poor integration could increase complaints, weaken employee engagement and give EE or O2 time to establish stronger 5G perceptions. The most credible strategic fit is therefore to use scale for network and enterprise innovation while directing synergies toward service, skills and resilience. This interpretation provides the basis for the TOWS options below.</w:t>
      </w:r>
    </w:p>
    <w:p w14:paraId="3E6D4F30" w14:textId="77777777" w:rsidR="00F35B5A" w:rsidRDefault="00000000">
      <w:pPr>
        <w:pStyle w:val="Heading1"/>
        <w:spacing w:before="200"/>
      </w:pPr>
      <w:bookmarkStart w:id="6" w:name="growth_options"/>
      <w:r>
        <w:t>3. Strategic Growth Options and Proposed Strategy</w:t>
      </w:r>
      <w:bookmarkEnd w:id="6"/>
    </w:p>
    <w:p w14:paraId="0283B058" w14:textId="77777777" w:rsidR="00F35B5A" w:rsidRDefault="00000000">
      <w:pPr>
        <w:pStyle w:val="Heading2"/>
        <w:spacing w:before="200"/>
      </w:pPr>
      <w:bookmarkStart w:id="7" w:name="tows"/>
      <w:r>
        <w:t>3.1 TOWS-generated options</w:t>
      </w:r>
      <w:bookmarkEnd w:id="7"/>
    </w:p>
    <w:tbl>
      <w:tblPr>
        <w:tblW w:w="0" w:type="auto"/>
        <w:jc w:val="center"/>
        <w:tblLayout w:type="fixed"/>
        <w:tblLook w:val="04A0" w:firstRow="1" w:lastRow="0" w:firstColumn="1" w:lastColumn="0" w:noHBand="0" w:noVBand="1"/>
      </w:tblPr>
      <w:tblGrid>
        <w:gridCol w:w="2376"/>
        <w:gridCol w:w="5400"/>
        <w:gridCol w:w="936"/>
        <w:gridCol w:w="1800"/>
      </w:tblGrid>
      <w:tr w:rsidR="00F35B5A" w14:paraId="7075A091" w14:textId="77777777">
        <w:trPr>
          <w:tblHeader/>
          <w:jc w:val="center"/>
        </w:trPr>
        <w:tc>
          <w:tcPr>
            <w:tcW w:w="2376"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110D386" w14:textId="77777777" w:rsidR="00F35B5A" w:rsidRDefault="00000000">
            <w:pPr>
              <w:spacing w:after="0"/>
            </w:pPr>
            <w:r>
              <w:rPr>
                <w:b/>
                <w:color w:val="FFFFFF"/>
              </w:rPr>
              <w:t>Option</w:t>
            </w:r>
          </w:p>
        </w:tc>
        <w:tc>
          <w:tcPr>
            <w:tcW w:w="5400"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4D8F6DF5" w14:textId="77777777" w:rsidR="00F35B5A" w:rsidRDefault="00000000">
            <w:pPr>
              <w:spacing w:after="0"/>
            </w:pPr>
            <w:r>
              <w:rPr>
                <w:b/>
                <w:color w:val="FFFFFF"/>
              </w:rPr>
              <w:t>TOWS logic</w:t>
            </w:r>
          </w:p>
        </w:tc>
        <w:tc>
          <w:tcPr>
            <w:tcW w:w="936"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27A3C47" w14:textId="77777777" w:rsidR="00F35B5A" w:rsidRDefault="00000000">
            <w:pPr>
              <w:spacing w:after="0"/>
            </w:pPr>
            <w:r>
              <w:rPr>
                <w:b/>
                <w:color w:val="FFFFFF"/>
              </w:rPr>
              <w:t>Type</w:t>
            </w:r>
          </w:p>
        </w:tc>
        <w:tc>
          <w:tcPr>
            <w:tcW w:w="1800"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76673553" w14:textId="77777777" w:rsidR="00F35B5A" w:rsidRDefault="00000000">
            <w:pPr>
              <w:spacing w:after="0"/>
            </w:pPr>
            <w:r>
              <w:rPr>
                <w:b/>
                <w:color w:val="FFFFFF"/>
              </w:rPr>
              <w:t>Decision</w:t>
            </w:r>
          </w:p>
        </w:tc>
      </w:tr>
      <w:tr w:rsidR="00F35B5A" w14:paraId="2E2300D2" w14:textId="77777777">
        <w:trPr>
          <w:cantSplit/>
          <w:jc w:val="center"/>
        </w:trPr>
        <w:tc>
          <w:tcPr>
            <w:tcW w:w="2376" w:type="dxa"/>
            <w:tcBorders>
              <w:top w:val="single" w:sz="3" w:space="0" w:color="D9D9D9"/>
              <w:left w:val="single" w:sz="3" w:space="0" w:color="D9D9D9"/>
              <w:bottom w:val="single" w:sz="3" w:space="0" w:color="D9D9D9"/>
              <w:right w:val="single" w:sz="3" w:space="0" w:color="D9D9D9"/>
            </w:tcBorders>
            <w:shd w:val="clear" w:color="auto" w:fill="FFFFFF"/>
          </w:tcPr>
          <w:p w14:paraId="6B9DDEC6" w14:textId="77777777" w:rsidR="00F35B5A" w:rsidRDefault="00000000">
            <w:pPr>
              <w:spacing w:after="0" w:line="240" w:lineRule="auto"/>
            </w:pPr>
            <w:r>
              <w:t>1. Responsible network differentiation</w:t>
            </w:r>
          </w:p>
        </w:tc>
        <w:tc>
          <w:tcPr>
            <w:tcW w:w="5400" w:type="dxa"/>
            <w:tcBorders>
              <w:top w:val="single" w:sz="3" w:space="0" w:color="D9D9D9"/>
              <w:left w:val="single" w:sz="3" w:space="0" w:color="D9D9D9"/>
              <w:bottom w:val="single" w:sz="3" w:space="0" w:color="D9D9D9"/>
              <w:right w:val="single" w:sz="3" w:space="0" w:color="D9D9D9"/>
            </w:tcBorders>
            <w:shd w:val="clear" w:color="auto" w:fill="FFFFFF"/>
          </w:tcPr>
          <w:p w14:paraId="227834C3" w14:textId="77777777" w:rsidR="00F35B5A" w:rsidRDefault="00000000">
            <w:pPr>
              <w:spacing w:after="0" w:line="240" w:lineRule="auto"/>
            </w:pPr>
            <w:r>
              <w:t>Use scale, spectrum and investment to improve 5G SA, rural coverage and resilience, then sell higher-value enterprise solutions.</w:t>
            </w:r>
          </w:p>
        </w:tc>
        <w:tc>
          <w:tcPr>
            <w:tcW w:w="936" w:type="dxa"/>
            <w:tcBorders>
              <w:top w:val="single" w:sz="3" w:space="0" w:color="D9D9D9"/>
              <w:left w:val="single" w:sz="3" w:space="0" w:color="D9D9D9"/>
              <w:bottom w:val="single" w:sz="3" w:space="0" w:color="D9D9D9"/>
              <w:right w:val="single" w:sz="3" w:space="0" w:color="D9D9D9"/>
            </w:tcBorders>
            <w:shd w:val="clear" w:color="auto" w:fill="FFFFFF"/>
          </w:tcPr>
          <w:p w14:paraId="788CE6CA" w14:textId="77777777" w:rsidR="00F35B5A" w:rsidRDefault="00000000">
            <w:pPr>
              <w:spacing w:after="0" w:line="240" w:lineRule="auto"/>
            </w:pPr>
            <w:r>
              <w:t>SO</w:t>
            </w:r>
          </w:p>
        </w:tc>
        <w:tc>
          <w:tcPr>
            <w:tcW w:w="1800" w:type="dxa"/>
            <w:tcBorders>
              <w:top w:val="single" w:sz="3" w:space="0" w:color="D9D9D9"/>
              <w:left w:val="single" w:sz="3" w:space="0" w:color="D9D9D9"/>
              <w:bottom w:val="single" w:sz="3" w:space="0" w:color="D9D9D9"/>
              <w:right w:val="single" w:sz="3" w:space="0" w:color="D9D9D9"/>
            </w:tcBorders>
            <w:shd w:val="clear" w:color="auto" w:fill="FFFFFF"/>
          </w:tcPr>
          <w:p w14:paraId="507EDE4D" w14:textId="77777777" w:rsidR="00F35B5A" w:rsidRDefault="00000000">
            <w:pPr>
              <w:spacing w:after="0" w:line="240" w:lineRule="auto"/>
            </w:pPr>
            <w:r>
              <w:t>Preferred</w:t>
            </w:r>
          </w:p>
        </w:tc>
      </w:tr>
      <w:tr w:rsidR="00F35B5A" w14:paraId="5A716DCB" w14:textId="77777777">
        <w:trPr>
          <w:cantSplit/>
          <w:jc w:val="center"/>
        </w:trPr>
        <w:tc>
          <w:tcPr>
            <w:tcW w:w="2376" w:type="dxa"/>
            <w:tcBorders>
              <w:top w:val="single" w:sz="3" w:space="0" w:color="D9D9D9"/>
              <w:left w:val="single" w:sz="3" w:space="0" w:color="D9D9D9"/>
              <w:bottom w:val="single" w:sz="3" w:space="0" w:color="D9D9D9"/>
              <w:right w:val="single" w:sz="3" w:space="0" w:color="D9D9D9"/>
            </w:tcBorders>
            <w:shd w:val="clear" w:color="auto" w:fill="F2F2F2"/>
          </w:tcPr>
          <w:p w14:paraId="0FE351C2" w14:textId="77777777" w:rsidR="00F35B5A" w:rsidRDefault="00000000">
            <w:pPr>
              <w:spacing w:after="0" w:line="240" w:lineRule="auto"/>
            </w:pPr>
            <w:r>
              <w:t>2. Customer trust and service renewal</w:t>
            </w:r>
          </w:p>
        </w:tc>
        <w:tc>
          <w:tcPr>
            <w:tcW w:w="5400" w:type="dxa"/>
            <w:tcBorders>
              <w:top w:val="single" w:sz="3" w:space="0" w:color="D9D9D9"/>
              <w:left w:val="single" w:sz="3" w:space="0" w:color="D9D9D9"/>
              <w:bottom w:val="single" w:sz="3" w:space="0" w:color="D9D9D9"/>
              <w:right w:val="single" w:sz="3" w:space="0" w:color="D9D9D9"/>
            </w:tcBorders>
            <w:shd w:val="clear" w:color="auto" w:fill="F2F2F2"/>
          </w:tcPr>
          <w:p w14:paraId="1EC42E4F" w14:textId="77777777" w:rsidR="00F35B5A" w:rsidRDefault="00000000">
            <w:pPr>
              <w:spacing w:after="0" w:line="240" w:lineRule="auto"/>
            </w:pPr>
            <w:r>
              <w:t>Use synergies to simplify journeys, improve complaint resolution and make pricing clearer before accelerating cross-selling.</w:t>
            </w:r>
          </w:p>
        </w:tc>
        <w:tc>
          <w:tcPr>
            <w:tcW w:w="936" w:type="dxa"/>
            <w:tcBorders>
              <w:top w:val="single" w:sz="3" w:space="0" w:color="D9D9D9"/>
              <w:left w:val="single" w:sz="3" w:space="0" w:color="D9D9D9"/>
              <w:bottom w:val="single" w:sz="3" w:space="0" w:color="D9D9D9"/>
              <w:right w:val="single" w:sz="3" w:space="0" w:color="D9D9D9"/>
            </w:tcBorders>
            <w:shd w:val="clear" w:color="auto" w:fill="F2F2F2"/>
          </w:tcPr>
          <w:p w14:paraId="67315454" w14:textId="77777777" w:rsidR="00F35B5A" w:rsidRDefault="00000000">
            <w:pPr>
              <w:spacing w:after="0" w:line="240" w:lineRule="auto"/>
            </w:pPr>
            <w:r>
              <w:t>WO/ST</w:t>
            </w:r>
          </w:p>
        </w:tc>
        <w:tc>
          <w:tcPr>
            <w:tcW w:w="1800" w:type="dxa"/>
            <w:tcBorders>
              <w:top w:val="single" w:sz="3" w:space="0" w:color="D9D9D9"/>
              <w:left w:val="single" w:sz="3" w:space="0" w:color="D9D9D9"/>
              <w:bottom w:val="single" w:sz="3" w:space="0" w:color="D9D9D9"/>
              <w:right w:val="single" w:sz="3" w:space="0" w:color="D9D9D9"/>
            </w:tcBorders>
            <w:shd w:val="clear" w:color="auto" w:fill="F2F2F2"/>
          </w:tcPr>
          <w:p w14:paraId="6A7D0D3B" w14:textId="77777777" w:rsidR="00F35B5A" w:rsidRDefault="00000000">
            <w:pPr>
              <w:spacing w:after="0" w:line="240" w:lineRule="auto"/>
            </w:pPr>
            <w:r>
              <w:t>Essential supporting option</w:t>
            </w:r>
          </w:p>
        </w:tc>
      </w:tr>
      <w:tr w:rsidR="00F35B5A" w14:paraId="2EC3E849" w14:textId="77777777">
        <w:trPr>
          <w:cantSplit/>
          <w:jc w:val="center"/>
        </w:trPr>
        <w:tc>
          <w:tcPr>
            <w:tcW w:w="2376" w:type="dxa"/>
            <w:tcBorders>
              <w:top w:val="single" w:sz="3" w:space="0" w:color="D9D9D9"/>
              <w:left w:val="single" w:sz="3" w:space="0" w:color="D9D9D9"/>
              <w:bottom w:val="single" w:sz="3" w:space="0" w:color="D9D9D9"/>
              <w:right w:val="single" w:sz="3" w:space="0" w:color="D9D9D9"/>
            </w:tcBorders>
            <w:shd w:val="clear" w:color="auto" w:fill="FFFFFF"/>
          </w:tcPr>
          <w:p w14:paraId="4C8DEB06" w14:textId="77777777" w:rsidR="00F35B5A" w:rsidRDefault="00000000">
            <w:pPr>
              <w:spacing w:after="0" w:line="240" w:lineRule="auto"/>
            </w:pPr>
            <w:r>
              <w:t>3. Digital value-brand expansion</w:t>
            </w:r>
          </w:p>
        </w:tc>
        <w:tc>
          <w:tcPr>
            <w:tcW w:w="5400" w:type="dxa"/>
            <w:tcBorders>
              <w:top w:val="single" w:sz="3" w:space="0" w:color="D9D9D9"/>
              <w:left w:val="single" w:sz="3" w:space="0" w:color="D9D9D9"/>
              <w:bottom w:val="single" w:sz="3" w:space="0" w:color="D9D9D9"/>
              <w:right w:val="single" w:sz="3" w:space="0" w:color="D9D9D9"/>
            </w:tcBorders>
            <w:shd w:val="clear" w:color="auto" w:fill="FFFFFF"/>
          </w:tcPr>
          <w:p w14:paraId="7B7E1CB1" w14:textId="77777777" w:rsidR="00F35B5A" w:rsidRDefault="00000000">
            <w:pPr>
              <w:spacing w:after="0" w:line="240" w:lineRule="auto"/>
            </w:pPr>
            <w:r>
              <w:t>Grow VOXI, SMARTY and Talkmobile through simple digital offers to defend price-sensitive segments and MVNO competition.</w:t>
            </w:r>
          </w:p>
        </w:tc>
        <w:tc>
          <w:tcPr>
            <w:tcW w:w="936" w:type="dxa"/>
            <w:tcBorders>
              <w:top w:val="single" w:sz="3" w:space="0" w:color="D9D9D9"/>
              <w:left w:val="single" w:sz="3" w:space="0" w:color="D9D9D9"/>
              <w:bottom w:val="single" w:sz="3" w:space="0" w:color="D9D9D9"/>
              <w:right w:val="single" w:sz="3" w:space="0" w:color="D9D9D9"/>
            </w:tcBorders>
            <w:shd w:val="clear" w:color="auto" w:fill="FFFFFF"/>
          </w:tcPr>
          <w:p w14:paraId="301FB880" w14:textId="77777777" w:rsidR="00F35B5A" w:rsidRDefault="00000000">
            <w:pPr>
              <w:spacing w:after="0" w:line="240" w:lineRule="auto"/>
            </w:pPr>
            <w:r>
              <w:t>ST</w:t>
            </w:r>
          </w:p>
        </w:tc>
        <w:tc>
          <w:tcPr>
            <w:tcW w:w="1800" w:type="dxa"/>
            <w:tcBorders>
              <w:top w:val="single" w:sz="3" w:space="0" w:color="D9D9D9"/>
              <w:left w:val="single" w:sz="3" w:space="0" w:color="D9D9D9"/>
              <w:bottom w:val="single" w:sz="3" w:space="0" w:color="D9D9D9"/>
              <w:right w:val="single" w:sz="3" w:space="0" w:color="D9D9D9"/>
            </w:tcBorders>
            <w:shd w:val="clear" w:color="auto" w:fill="FFFFFF"/>
          </w:tcPr>
          <w:p w14:paraId="4BF5C643" w14:textId="77777777" w:rsidR="00F35B5A" w:rsidRDefault="00000000">
            <w:pPr>
              <w:spacing w:after="0" w:line="240" w:lineRule="auto"/>
            </w:pPr>
            <w:r>
              <w:t>Selective/secondary</w:t>
            </w:r>
          </w:p>
        </w:tc>
      </w:tr>
      <w:tr w:rsidR="00F35B5A" w14:paraId="6E1A6B23" w14:textId="77777777">
        <w:trPr>
          <w:cantSplit/>
          <w:jc w:val="center"/>
        </w:trPr>
        <w:tc>
          <w:tcPr>
            <w:tcW w:w="2376" w:type="dxa"/>
            <w:tcBorders>
              <w:top w:val="single" w:sz="3" w:space="0" w:color="D9D9D9"/>
              <w:left w:val="single" w:sz="3" w:space="0" w:color="D9D9D9"/>
              <w:bottom w:val="single" w:sz="3" w:space="0" w:color="D9D9D9"/>
              <w:right w:val="single" w:sz="3" w:space="0" w:color="D9D9D9"/>
            </w:tcBorders>
            <w:shd w:val="clear" w:color="auto" w:fill="F2F2F2"/>
          </w:tcPr>
          <w:p w14:paraId="2CB2FA3C" w14:textId="77777777" w:rsidR="00F35B5A" w:rsidRDefault="00000000">
            <w:pPr>
              <w:spacing w:after="0" w:line="240" w:lineRule="auto"/>
            </w:pPr>
            <w:r>
              <w:t>4. Integration-first risk containment</w:t>
            </w:r>
          </w:p>
        </w:tc>
        <w:tc>
          <w:tcPr>
            <w:tcW w:w="5400" w:type="dxa"/>
            <w:tcBorders>
              <w:top w:val="single" w:sz="3" w:space="0" w:color="D9D9D9"/>
              <w:left w:val="single" w:sz="3" w:space="0" w:color="D9D9D9"/>
              <w:bottom w:val="single" w:sz="3" w:space="0" w:color="D9D9D9"/>
              <w:right w:val="single" w:sz="3" w:space="0" w:color="D9D9D9"/>
            </w:tcBorders>
            <w:shd w:val="clear" w:color="auto" w:fill="F2F2F2"/>
          </w:tcPr>
          <w:p w14:paraId="69368EBC" w14:textId="77777777" w:rsidR="00F35B5A" w:rsidRDefault="00000000">
            <w:pPr>
              <w:spacing w:after="0" w:line="240" w:lineRule="auto"/>
            </w:pPr>
            <w:r>
              <w:t>Slow commercial expansion until systems, people and controls are stabilised.</w:t>
            </w:r>
          </w:p>
        </w:tc>
        <w:tc>
          <w:tcPr>
            <w:tcW w:w="936" w:type="dxa"/>
            <w:tcBorders>
              <w:top w:val="single" w:sz="3" w:space="0" w:color="D9D9D9"/>
              <w:left w:val="single" w:sz="3" w:space="0" w:color="D9D9D9"/>
              <w:bottom w:val="single" w:sz="3" w:space="0" w:color="D9D9D9"/>
              <w:right w:val="single" w:sz="3" w:space="0" w:color="D9D9D9"/>
            </w:tcBorders>
            <w:shd w:val="clear" w:color="auto" w:fill="F2F2F2"/>
          </w:tcPr>
          <w:p w14:paraId="6D0EB250" w14:textId="77777777" w:rsidR="00F35B5A" w:rsidRDefault="00000000">
            <w:pPr>
              <w:spacing w:after="0" w:line="240" w:lineRule="auto"/>
            </w:pPr>
            <w:r>
              <w:t>WT</w:t>
            </w:r>
          </w:p>
        </w:tc>
        <w:tc>
          <w:tcPr>
            <w:tcW w:w="1800" w:type="dxa"/>
            <w:tcBorders>
              <w:top w:val="single" w:sz="3" w:space="0" w:color="D9D9D9"/>
              <w:left w:val="single" w:sz="3" w:space="0" w:color="D9D9D9"/>
              <w:bottom w:val="single" w:sz="3" w:space="0" w:color="D9D9D9"/>
              <w:right w:val="single" w:sz="3" w:space="0" w:color="D9D9D9"/>
            </w:tcBorders>
            <w:shd w:val="clear" w:color="auto" w:fill="F2F2F2"/>
          </w:tcPr>
          <w:p w14:paraId="67DB961B" w14:textId="77777777" w:rsidR="00F35B5A" w:rsidRDefault="00000000">
            <w:pPr>
              <w:spacing w:after="0" w:line="240" w:lineRule="auto"/>
            </w:pPr>
            <w:r>
              <w:t>Control mechanism, not a growth strategy</w:t>
            </w:r>
          </w:p>
        </w:tc>
      </w:tr>
    </w:tbl>
    <w:p w14:paraId="068D1C0C" w14:textId="77777777" w:rsidR="00F35B5A" w:rsidRDefault="00F35B5A">
      <w:pPr>
        <w:spacing w:after="0"/>
      </w:pPr>
    </w:p>
    <w:p w14:paraId="6E79B56C" w14:textId="77777777" w:rsidR="00F35B5A" w:rsidRDefault="00000000">
      <w:pPr>
        <w:pStyle w:val="BodyText"/>
      </w:pPr>
      <w:r>
        <w:t>Option 1 provides the strongest platform for long-term growth, but it is incomplete without the customer-trust priorities in Option 2. The proposed strategy therefore combines responsible network differentiation with service renewal. The merged asset base should produce measurable improvements in coverage and resilience, while commercial teams turn those capabilities into private 5G, secure IoT, cybersecurity, fixed wireless access and managed connectivity. Logistics, manufacturing, energy, healthcare and local government are priority segments because reliability and security create clearer economic value there than consumer speed claims alone.</w:t>
      </w:r>
    </w:p>
    <w:p w14:paraId="4E31F1DC" w14:textId="77777777" w:rsidR="00F35B5A" w:rsidRDefault="00000000">
      <w:pPr>
        <w:pStyle w:val="BodyText"/>
      </w:pPr>
      <w:r>
        <w:t xml:space="preserve">Viewed through Ansoff, the proposal spreads risk across related forms of growth rather than relying on a single market bet. Better retention and lower churn represent market penetration; standalone 5G, cyber and IoT bundles are product development; and taking those services to underserved SMEs, rural enterprises and public-sector partners is market development (Ansoff, 1957). Edge or </w:t>
      </w:r>
      <w:r>
        <w:lastRenderedPageBreak/>
        <w:t>analytics partnerships may add limited diversification, but unrelated expansion should wait until integration is stable.</w:t>
      </w:r>
    </w:p>
    <w:p w14:paraId="6D18680D" w14:textId="77777777" w:rsidR="00F35B5A" w:rsidRDefault="00000000">
      <w:pPr>
        <w:pStyle w:val="BodyText"/>
      </w:pPr>
      <w:r>
        <w:t>Porter’s framework positions the recommendation as differentiation with a focus on selected customer groups (Porter, 1985). A pure low-cost route was rejected because MVNOs and value brands can discount with lower infrastructure obligations. Excessive price competition could also reduce the funds available for network quality and customer support. VodafoneThree should pursue efficiency and retain value brands, but cost discipline supports the strategy; it is not the principal customer promise.</w:t>
      </w:r>
    </w:p>
    <w:p w14:paraId="5C5CA079" w14:textId="77777777" w:rsidR="00F35B5A" w:rsidRDefault="00000000">
      <w:pPr>
        <w:pStyle w:val="BodyText"/>
      </w:pPr>
      <w:r>
        <w:t>CSR is embedded in how the strategy is funded and delivered. Under Carroll’s pyramid, economic responsibility is addressed through retention, enterprise income and synergies; legal responsibility through merger, consumer and security compliance; ethical responsibility through transparent prices, privacy and fair treatment; and social responsibility through inclusion and improved regional coverage (Carroll, 1991). Freeman’s stakeholder approach adds an important test: value is not sustainable if investors benefit while customers, employees, MVNOs or communities absorb disproportionate harm (Freeman, 1984).</w:t>
      </w:r>
    </w:p>
    <w:p w14:paraId="68853592" w14:textId="77777777" w:rsidR="00F35B5A" w:rsidRDefault="00000000">
      <w:pPr>
        <w:pStyle w:val="BodyText"/>
      </w:pPr>
      <w:r>
        <w:t>A significant counterargument is that network differentiation may be copied and many consumers may not notice a meaningful difference between competing 5G offers. Enterprise sales cycles can also be slow. The recommendation therefore avoids assuming that households will pay a broad 5G premium. Advantage should be demonstrated through fewer not-spots, dependable service, rapid fault resolution and paid business use cases. Projects that do not convert from pilot to commercial demand should be stopped or redesigned.</w:t>
      </w:r>
    </w:p>
    <w:p w14:paraId="5965064B" w14:textId="77777777" w:rsidR="00F35B5A" w:rsidRDefault="00000000">
      <w:pPr>
        <w:pStyle w:val="BodyText"/>
      </w:pPr>
      <w:r>
        <w:t>This creates a more defensible response to EE and O2 than simply matching population-coverage headlines. VodafoneThree should publish independently verifiable outcomes, including availability, complaint resolution, secure business deployments, wholesale performance and energy intensity. The strategy will only be credible if network, commercial, HR, compliance and sustainability teams are measured against the same outcomes.</w:t>
      </w:r>
    </w:p>
    <w:tbl>
      <w:tblPr>
        <w:tblW w:w="0" w:type="auto"/>
        <w:jc w:val="center"/>
        <w:tblLayout w:type="fixed"/>
        <w:tblLook w:val="04A0" w:firstRow="1" w:lastRow="0" w:firstColumn="1" w:lastColumn="0" w:noHBand="0" w:noVBand="1"/>
      </w:tblPr>
      <w:tblGrid>
        <w:gridCol w:w="9792"/>
      </w:tblGrid>
      <w:tr w:rsidR="00F35B5A" w14:paraId="6AD07B2D" w14:textId="77777777">
        <w:trPr>
          <w:jc w:val="center"/>
        </w:trPr>
        <w:tc>
          <w:tcPr>
            <w:tcW w:w="9792" w:type="dxa"/>
            <w:tcBorders>
              <w:top w:val="single" w:sz="8" w:space="0" w:color="E60000"/>
              <w:left w:val="single" w:sz="8" w:space="0" w:color="E60000"/>
              <w:bottom w:val="single" w:sz="8" w:space="0" w:color="E60000"/>
              <w:right w:val="single" w:sz="8" w:space="0" w:color="E60000"/>
            </w:tcBorders>
            <w:shd w:val="clear" w:color="auto" w:fill="FCE8E8"/>
          </w:tcPr>
          <w:p w14:paraId="13AF4670" w14:textId="77777777" w:rsidR="00F35B5A" w:rsidRDefault="00000000">
            <w:pPr>
              <w:spacing w:after="60"/>
            </w:pPr>
            <w:r>
              <w:rPr>
                <w:b/>
                <w:color w:val="E60000"/>
              </w:rPr>
              <w:t>Proposed strategy</w:t>
            </w:r>
          </w:p>
          <w:p w14:paraId="462DEC56" w14:textId="77777777" w:rsidR="00F35B5A" w:rsidRDefault="00000000">
            <w:pPr>
              <w:pStyle w:val="BodyText"/>
              <w:spacing w:after="40"/>
            </w:pPr>
            <w:r>
              <w:t>Use the £11bn build programme to establish trusted network leadership, then monetise it through secure enterprise and SME solutions. Protect affordability through transparent pricing and value brands, while embedding inclusion, employee wellbeing, cybersecurity and environmental performance in delivery decisions.</w:t>
            </w:r>
          </w:p>
        </w:tc>
      </w:tr>
    </w:tbl>
    <w:p w14:paraId="5B1268AE" w14:textId="77777777" w:rsidR="00F35B5A" w:rsidRDefault="00000000">
      <w:pPr>
        <w:pStyle w:val="Heading1"/>
        <w:spacing w:before="200"/>
      </w:pPr>
      <w:bookmarkStart w:id="8" w:name="strategy_evaluation"/>
      <w:r>
        <w:lastRenderedPageBreak/>
        <w:t>4. Strategy Evaluation</w:t>
      </w:r>
      <w:bookmarkEnd w:id="8"/>
    </w:p>
    <w:p w14:paraId="6C46B473" w14:textId="77777777" w:rsidR="00F35B5A" w:rsidRDefault="00000000">
      <w:pPr>
        <w:pStyle w:val="BodyText"/>
      </w:pPr>
      <w:r>
        <w:t>Suitability is high because the recommendation addresses rivalry, buyer power, regulation, cyber exposure and 5G monetisation. It supports Vodafone’s Customers, Simplicity and Growth priorities and government ambitions for advanced coverage (Vodafone Group Plc, 2025a; Department for Science, Innovation and Technology, 2023). It also defines the customer and enterprise outcomes needed for the merger to create value.</w:t>
      </w:r>
    </w:p>
    <w:p w14:paraId="6F85866D" w14:textId="77777777" w:rsidR="00F35B5A" w:rsidRDefault="00000000">
      <w:pPr>
        <w:pStyle w:val="BodyText"/>
      </w:pPr>
      <w:r>
        <w:t>Feasibility is medium-high. The £11 billion commitment, combined spectrum, suppliers and expected synergies provide capacity (Vodafone Group Plc, 2025b; VodafoneThree, 2025b). The constraints are organisational: networks, IT, brands and cultures must be combined without destabilising service, while engineering, cyber and enterprise-sales skills may become bottlenecks. Stage-gated funding, critical-role retention and downside testing are therefore necessary.</w:t>
      </w:r>
    </w:p>
    <w:p w14:paraId="7082FE1A" w14:textId="77777777" w:rsidR="00F35B5A" w:rsidRDefault="00000000">
      <w:pPr>
        <w:pStyle w:val="BodyText"/>
      </w:pPr>
      <w:r>
        <w:t>Acceptability is medium-high if safeguards are visible. Investors gain a growth route, while customers may fear reduced choice. Regulators and MVNOs will judge delivery of tariff, wholesale and network obligations; employees may resist workload, uncertainty or unfair restructuring. Consultation, reskilling and credible treatment of affected roles are therefore strategic requirements.</w:t>
      </w:r>
    </w:p>
    <w:p w14:paraId="6C5B2B0C" w14:textId="77777777" w:rsidR="00F35B5A" w:rsidRDefault="00000000">
      <w:pPr>
        <w:pStyle w:val="Heading2"/>
        <w:spacing w:before="200"/>
      </w:pPr>
      <w:bookmarkStart w:id="9" w:name="comparative_sfa"/>
      <w:r>
        <w:t>4.1 Comparative SFA assessment</w:t>
      </w:r>
      <w:bookmarkEnd w:id="9"/>
    </w:p>
    <w:p w14:paraId="008F5217" w14:textId="77777777" w:rsidR="00F35B5A" w:rsidRDefault="00000000">
      <w:pPr>
        <w:pStyle w:val="BodyText"/>
      </w:pPr>
      <w:r>
        <w:t>All four TOWS alternatives were compared on a five-point scale, weighted 40% for suitability and 30% each for feasibility and acceptability. The scores are reasoned planning judgements, not external data.</w:t>
      </w:r>
    </w:p>
    <w:tbl>
      <w:tblPr>
        <w:tblW w:w="0" w:type="auto"/>
        <w:jc w:val="center"/>
        <w:tblLayout w:type="fixed"/>
        <w:tblLook w:val="04A0" w:firstRow="1" w:lastRow="0" w:firstColumn="1" w:lastColumn="0" w:noHBand="0" w:noVBand="1"/>
      </w:tblPr>
      <w:tblGrid>
        <w:gridCol w:w="2520"/>
        <w:gridCol w:w="503"/>
        <w:gridCol w:w="503"/>
        <w:gridCol w:w="503"/>
        <w:gridCol w:w="1152"/>
        <w:gridCol w:w="4320"/>
      </w:tblGrid>
      <w:tr w:rsidR="00F35B5A" w14:paraId="053FD1C4" w14:textId="77777777">
        <w:trPr>
          <w:tblHeader/>
          <w:jc w:val="center"/>
        </w:trPr>
        <w:tc>
          <w:tcPr>
            <w:tcW w:w="2520"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54CF108" w14:textId="77777777" w:rsidR="00F35B5A" w:rsidRDefault="00000000">
            <w:pPr>
              <w:spacing w:after="0"/>
            </w:pPr>
            <w:r>
              <w:rPr>
                <w:b/>
                <w:color w:val="FFFFFF"/>
              </w:rPr>
              <w:t>Strategic option</w:t>
            </w:r>
          </w:p>
        </w:tc>
        <w:tc>
          <w:tcPr>
            <w:tcW w:w="503"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43C78DFC" w14:textId="77777777" w:rsidR="00F35B5A" w:rsidRDefault="00000000">
            <w:pPr>
              <w:spacing w:after="0"/>
            </w:pPr>
            <w:r>
              <w:rPr>
                <w:b/>
                <w:color w:val="FFFFFF"/>
              </w:rPr>
              <w:t>S</w:t>
            </w:r>
          </w:p>
        </w:tc>
        <w:tc>
          <w:tcPr>
            <w:tcW w:w="503"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599EC5DD" w14:textId="77777777" w:rsidR="00F35B5A" w:rsidRDefault="00000000">
            <w:pPr>
              <w:spacing w:after="0"/>
            </w:pPr>
            <w:r>
              <w:rPr>
                <w:b/>
                <w:color w:val="FFFFFF"/>
              </w:rPr>
              <w:t>F</w:t>
            </w:r>
          </w:p>
        </w:tc>
        <w:tc>
          <w:tcPr>
            <w:tcW w:w="503"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3B199231" w14:textId="77777777" w:rsidR="00F35B5A" w:rsidRDefault="00000000">
            <w:pPr>
              <w:spacing w:after="0"/>
            </w:pPr>
            <w:r>
              <w:rPr>
                <w:b/>
                <w:color w:val="FFFFFF"/>
              </w:rPr>
              <w:t>A</w:t>
            </w:r>
          </w:p>
        </w:tc>
        <w:tc>
          <w:tcPr>
            <w:tcW w:w="1152"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5F0A32A6" w14:textId="77777777" w:rsidR="00F35B5A" w:rsidRDefault="00000000">
            <w:pPr>
              <w:spacing w:after="0"/>
            </w:pPr>
            <w:r>
              <w:rPr>
                <w:b/>
                <w:color w:val="FFFFFF"/>
              </w:rPr>
              <w:t>Weighted score</w:t>
            </w:r>
          </w:p>
        </w:tc>
        <w:tc>
          <w:tcPr>
            <w:tcW w:w="4320"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2545E3C5" w14:textId="77777777" w:rsidR="00F35B5A" w:rsidRDefault="00000000">
            <w:pPr>
              <w:spacing w:after="0"/>
            </w:pPr>
            <w:r>
              <w:rPr>
                <w:b/>
                <w:color w:val="FFFFFF"/>
              </w:rPr>
              <w:t>Decision rationale</w:t>
            </w:r>
          </w:p>
        </w:tc>
      </w:tr>
      <w:tr w:rsidR="00F35B5A" w14:paraId="302BD213" w14:textId="77777777">
        <w:trPr>
          <w:cantSplit/>
          <w:jc w:val="center"/>
        </w:trPr>
        <w:tc>
          <w:tcPr>
            <w:tcW w:w="2520" w:type="dxa"/>
            <w:tcBorders>
              <w:top w:val="single" w:sz="3" w:space="0" w:color="D9D9D9"/>
              <w:left w:val="single" w:sz="3" w:space="0" w:color="D9D9D9"/>
              <w:bottom w:val="single" w:sz="3" w:space="0" w:color="D9D9D9"/>
              <w:right w:val="single" w:sz="3" w:space="0" w:color="D9D9D9"/>
            </w:tcBorders>
            <w:shd w:val="clear" w:color="auto" w:fill="FFFFFF"/>
          </w:tcPr>
          <w:p w14:paraId="7C5EED78" w14:textId="77777777" w:rsidR="00F35B5A" w:rsidRDefault="00000000">
            <w:pPr>
              <w:spacing w:after="0" w:line="240" w:lineRule="auto"/>
            </w:pPr>
            <w:r>
              <w:t>1. Responsible network differentiation</w:t>
            </w:r>
          </w:p>
        </w:tc>
        <w:tc>
          <w:tcPr>
            <w:tcW w:w="503" w:type="dxa"/>
            <w:tcBorders>
              <w:top w:val="single" w:sz="3" w:space="0" w:color="D9D9D9"/>
              <w:left w:val="single" w:sz="3" w:space="0" w:color="D9D9D9"/>
              <w:bottom w:val="single" w:sz="3" w:space="0" w:color="D9D9D9"/>
              <w:right w:val="single" w:sz="3" w:space="0" w:color="D9D9D9"/>
            </w:tcBorders>
            <w:shd w:val="clear" w:color="auto" w:fill="FFFFFF"/>
          </w:tcPr>
          <w:p w14:paraId="60C9074F" w14:textId="77777777" w:rsidR="00F35B5A" w:rsidRDefault="00000000">
            <w:pPr>
              <w:spacing w:after="0" w:line="240" w:lineRule="auto"/>
            </w:pPr>
            <w:r>
              <w:t>5</w:t>
            </w:r>
          </w:p>
        </w:tc>
        <w:tc>
          <w:tcPr>
            <w:tcW w:w="503" w:type="dxa"/>
            <w:tcBorders>
              <w:top w:val="single" w:sz="3" w:space="0" w:color="D9D9D9"/>
              <w:left w:val="single" w:sz="3" w:space="0" w:color="D9D9D9"/>
              <w:bottom w:val="single" w:sz="3" w:space="0" w:color="D9D9D9"/>
              <w:right w:val="single" w:sz="3" w:space="0" w:color="D9D9D9"/>
            </w:tcBorders>
            <w:shd w:val="clear" w:color="auto" w:fill="FFFFFF"/>
          </w:tcPr>
          <w:p w14:paraId="1B2A3F23" w14:textId="77777777" w:rsidR="00F35B5A" w:rsidRDefault="00000000">
            <w:pPr>
              <w:spacing w:after="0" w:line="240" w:lineRule="auto"/>
            </w:pPr>
            <w:r>
              <w:t>4</w:t>
            </w:r>
          </w:p>
        </w:tc>
        <w:tc>
          <w:tcPr>
            <w:tcW w:w="503" w:type="dxa"/>
            <w:tcBorders>
              <w:top w:val="single" w:sz="3" w:space="0" w:color="D9D9D9"/>
              <w:left w:val="single" w:sz="3" w:space="0" w:color="D9D9D9"/>
              <w:bottom w:val="single" w:sz="3" w:space="0" w:color="D9D9D9"/>
              <w:right w:val="single" w:sz="3" w:space="0" w:color="D9D9D9"/>
            </w:tcBorders>
            <w:shd w:val="clear" w:color="auto" w:fill="FFFFFF"/>
          </w:tcPr>
          <w:p w14:paraId="3EC4E899" w14:textId="77777777" w:rsidR="00F35B5A" w:rsidRDefault="00000000">
            <w:pPr>
              <w:spacing w:after="0" w:line="240" w:lineRule="auto"/>
            </w:pPr>
            <w:r>
              <w:t>4</w:t>
            </w:r>
          </w:p>
        </w:tc>
        <w:tc>
          <w:tcPr>
            <w:tcW w:w="1152" w:type="dxa"/>
            <w:tcBorders>
              <w:top w:val="single" w:sz="3" w:space="0" w:color="D9D9D9"/>
              <w:left w:val="single" w:sz="3" w:space="0" w:color="D9D9D9"/>
              <w:bottom w:val="single" w:sz="3" w:space="0" w:color="D9D9D9"/>
              <w:right w:val="single" w:sz="3" w:space="0" w:color="D9D9D9"/>
            </w:tcBorders>
            <w:shd w:val="clear" w:color="auto" w:fill="FFFFFF"/>
          </w:tcPr>
          <w:p w14:paraId="231C08FB" w14:textId="77777777" w:rsidR="00F35B5A" w:rsidRDefault="00000000">
            <w:pPr>
              <w:spacing w:after="0" w:line="240" w:lineRule="auto"/>
            </w:pPr>
            <w:r>
              <w:t>4.4</w:t>
            </w:r>
          </w:p>
        </w:tc>
        <w:tc>
          <w:tcPr>
            <w:tcW w:w="4320" w:type="dxa"/>
            <w:tcBorders>
              <w:top w:val="single" w:sz="3" w:space="0" w:color="D9D9D9"/>
              <w:left w:val="single" w:sz="3" w:space="0" w:color="D9D9D9"/>
              <w:bottom w:val="single" w:sz="3" w:space="0" w:color="D9D9D9"/>
              <w:right w:val="single" w:sz="3" w:space="0" w:color="D9D9D9"/>
            </w:tcBorders>
            <w:shd w:val="clear" w:color="auto" w:fill="FFFFFF"/>
          </w:tcPr>
          <w:p w14:paraId="05913F08" w14:textId="77777777" w:rsidR="00F35B5A" w:rsidRDefault="00000000">
            <w:pPr>
              <w:spacing w:after="0" w:line="240" w:lineRule="auto"/>
            </w:pPr>
            <w:r>
              <w:t>Preferred core: strongest strategic fit, but requires service safeguards.</w:t>
            </w:r>
          </w:p>
        </w:tc>
      </w:tr>
      <w:tr w:rsidR="00F35B5A" w14:paraId="36C74B87" w14:textId="77777777">
        <w:trPr>
          <w:cantSplit/>
          <w:jc w:val="center"/>
        </w:trPr>
        <w:tc>
          <w:tcPr>
            <w:tcW w:w="2520" w:type="dxa"/>
            <w:tcBorders>
              <w:top w:val="single" w:sz="3" w:space="0" w:color="D9D9D9"/>
              <w:left w:val="single" w:sz="3" w:space="0" w:color="D9D9D9"/>
              <w:bottom w:val="single" w:sz="3" w:space="0" w:color="D9D9D9"/>
              <w:right w:val="single" w:sz="3" w:space="0" w:color="D9D9D9"/>
            </w:tcBorders>
            <w:shd w:val="clear" w:color="auto" w:fill="F2F2F2"/>
          </w:tcPr>
          <w:p w14:paraId="1C26F746" w14:textId="77777777" w:rsidR="00F35B5A" w:rsidRDefault="00000000">
            <w:pPr>
              <w:spacing w:after="0" w:line="240" w:lineRule="auto"/>
            </w:pPr>
            <w:r>
              <w:t>2. Customer trust and service renewal</w:t>
            </w:r>
          </w:p>
        </w:tc>
        <w:tc>
          <w:tcPr>
            <w:tcW w:w="503" w:type="dxa"/>
            <w:tcBorders>
              <w:top w:val="single" w:sz="3" w:space="0" w:color="D9D9D9"/>
              <w:left w:val="single" w:sz="3" w:space="0" w:color="D9D9D9"/>
              <w:bottom w:val="single" w:sz="3" w:space="0" w:color="D9D9D9"/>
              <w:right w:val="single" w:sz="3" w:space="0" w:color="D9D9D9"/>
            </w:tcBorders>
            <w:shd w:val="clear" w:color="auto" w:fill="F2F2F2"/>
          </w:tcPr>
          <w:p w14:paraId="1DE90023" w14:textId="77777777" w:rsidR="00F35B5A" w:rsidRDefault="00000000">
            <w:pPr>
              <w:spacing w:after="0" w:line="240" w:lineRule="auto"/>
            </w:pPr>
            <w:r>
              <w:t>4</w:t>
            </w:r>
          </w:p>
        </w:tc>
        <w:tc>
          <w:tcPr>
            <w:tcW w:w="503" w:type="dxa"/>
            <w:tcBorders>
              <w:top w:val="single" w:sz="3" w:space="0" w:color="D9D9D9"/>
              <w:left w:val="single" w:sz="3" w:space="0" w:color="D9D9D9"/>
              <w:bottom w:val="single" w:sz="3" w:space="0" w:color="D9D9D9"/>
              <w:right w:val="single" w:sz="3" w:space="0" w:color="D9D9D9"/>
            </w:tcBorders>
            <w:shd w:val="clear" w:color="auto" w:fill="F2F2F2"/>
          </w:tcPr>
          <w:p w14:paraId="0EB7120A" w14:textId="77777777" w:rsidR="00F35B5A" w:rsidRDefault="00000000">
            <w:pPr>
              <w:spacing w:after="0" w:line="240" w:lineRule="auto"/>
            </w:pPr>
            <w:r>
              <w:t>5</w:t>
            </w:r>
          </w:p>
        </w:tc>
        <w:tc>
          <w:tcPr>
            <w:tcW w:w="503" w:type="dxa"/>
            <w:tcBorders>
              <w:top w:val="single" w:sz="3" w:space="0" w:color="D9D9D9"/>
              <w:left w:val="single" w:sz="3" w:space="0" w:color="D9D9D9"/>
              <w:bottom w:val="single" w:sz="3" w:space="0" w:color="D9D9D9"/>
              <w:right w:val="single" w:sz="3" w:space="0" w:color="D9D9D9"/>
            </w:tcBorders>
            <w:shd w:val="clear" w:color="auto" w:fill="F2F2F2"/>
          </w:tcPr>
          <w:p w14:paraId="203BBC83" w14:textId="77777777" w:rsidR="00F35B5A" w:rsidRDefault="00000000">
            <w:pPr>
              <w:spacing w:after="0" w:line="240" w:lineRule="auto"/>
            </w:pPr>
            <w:r>
              <w:t>4</w:t>
            </w:r>
          </w:p>
        </w:tc>
        <w:tc>
          <w:tcPr>
            <w:tcW w:w="1152" w:type="dxa"/>
            <w:tcBorders>
              <w:top w:val="single" w:sz="3" w:space="0" w:color="D9D9D9"/>
              <w:left w:val="single" w:sz="3" w:space="0" w:color="D9D9D9"/>
              <w:bottom w:val="single" w:sz="3" w:space="0" w:color="D9D9D9"/>
              <w:right w:val="single" w:sz="3" w:space="0" w:color="D9D9D9"/>
            </w:tcBorders>
            <w:shd w:val="clear" w:color="auto" w:fill="F2F2F2"/>
          </w:tcPr>
          <w:p w14:paraId="2EBBADE1" w14:textId="77777777" w:rsidR="00F35B5A" w:rsidRDefault="00000000">
            <w:pPr>
              <w:spacing w:after="0" w:line="240" w:lineRule="auto"/>
            </w:pPr>
            <w:r>
              <w:t>4.3</w:t>
            </w:r>
          </w:p>
        </w:tc>
        <w:tc>
          <w:tcPr>
            <w:tcW w:w="4320" w:type="dxa"/>
            <w:tcBorders>
              <w:top w:val="single" w:sz="3" w:space="0" w:color="D9D9D9"/>
              <w:left w:val="single" w:sz="3" w:space="0" w:color="D9D9D9"/>
              <w:bottom w:val="single" w:sz="3" w:space="0" w:color="D9D9D9"/>
              <w:right w:val="single" w:sz="3" w:space="0" w:color="D9D9D9"/>
            </w:tcBorders>
            <w:shd w:val="clear" w:color="auto" w:fill="F2F2F2"/>
          </w:tcPr>
          <w:p w14:paraId="710A64BB" w14:textId="77777777" w:rsidR="00F35B5A" w:rsidRDefault="00000000">
            <w:pPr>
              <w:spacing w:after="0" w:line="240" w:lineRule="auto"/>
            </w:pPr>
            <w:r>
              <w:t>Integrated into Option 1; highly feasible and necessary for acceptance.</w:t>
            </w:r>
          </w:p>
        </w:tc>
      </w:tr>
      <w:tr w:rsidR="00F35B5A" w14:paraId="5FF6F78C" w14:textId="77777777">
        <w:trPr>
          <w:cantSplit/>
          <w:jc w:val="center"/>
        </w:trPr>
        <w:tc>
          <w:tcPr>
            <w:tcW w:w="2520" w:type="dxa"/>
            <w:tcBorders>
              <w:top w:val="single" w:sz="3" w:space="0" w:color="D9D9D9"/>
              <w:left w:val="single" w:sz="3" w:space="0" w:color="D9D9D9"/>
              <w:bottom w:val="single" w:sz="3" w:space="0" w:color="D9D9D9"/>
              <w:right w:val="single" w:sz="3" w:space="0" w:color="D9D9D9"/>
            </w:tcBorders>
            <w:shd w:val="clear" w:color="auto" w:fill="FFFFFF"/>
          </w:tcPr>
          <w:p w14:paraId="16A93B9C" w14:textId="77777777" w:rsidR="00F35B5A" w:rsidRDefault="00000000">
            <w:pPr>
              <w:spacing w:after="0" w:line="240" w:lineRule="auto"/>
            </w:pPr>
            <w:r>
              <w:t>3. Digital value-brand expansion</w:t>
            </w:r>
          </w:p>
        </w:tc>
        <w:tc>
          <w:tcPr>
            <w:tcW w:w="503" w:type="dxa"/>
            <w:tcBorders>
              <w:top w:val="single" w:sz="3" w:space="0" w:color="D9D9D9"/>
              <w:left w:val="single" w:sz="3" w:space="0" w:color="D9D9D9"/>
              <w:bottom w:val="single" w:sz="3" w:space="0" w:color="D9D9D9"/>
              <w:right w:val="single" w:sz="3" w:space="0" w:color="D9D9D9"/>
            </w:tcBorders>
            <w:shd w:val="clear" w:color="auto" w:fill="FFFFFF"/>
          </w:tcPr>
          <w:p w14:paraId="756080AC" w14:textId="77777777" w:rsidR="00F35B5A" w:rsidRDefault="00000000">
            <w:pPr>
              <w:spacing w:after="0" w:line="240" w:lineRule="auto"/>
            </w:pPr>
            <w:r>
              <w:t>3</w:t>
            </w:r>
          </w:p>
        </w:tc>
        <w:tc>
          <w:tcPr>
            <w:tcW w:w="503" w:type="dxa"/>
            <w:tcBorders>
              <w:top w:val="single" w:sz="3" w:space="0" w:color="D9D9D9"/>
              <w:left w:val="single" w:sz="3" w:space="0" w:color="D9D9D9"/>
              <w:bottom w:val="single" w:sz="3" w:space="0" w:color="D9D9D9"/>
              <w:right w:val="single" w:sz="3" w:space="0" w:color="D9D9D9"/>
            </w:tcBorders>
            <w:shd w:val="clear" w:color="auto" w:fill="FFFFFF"/>
          </w:tcPr>
          <w:p w14:paraId="12353EBF" w14:textId="77777777" w:rsidR="00F35B5A" w:rsidRDefault="00000000">
            <w:pPr>
              <w:spacing w:after="0" w:line="240" w:lineRule="auto"/>
            </w:pPr>
            <w:r>
              <w:t>4</w:t>
            </w:r>
          </w:p>
        </w:tc>
        <w:tc>
          <w:tcPr>
            <w:tcW w:w="503" w:type="dxa"/>
            <w:tcBorders>
              <w:top w:val="single" w:sz="3" w:space="0" w:color="D9D9D9"/>
              <w:left w:val="single" w:sz="3" w:space="0" w:color="D9D9D9"/>
              <w:bottom w:val="single" w:sz="3" w:space="0" w:color="D9D9D9"/>
              <w:right w:val="single" w:sz="3" w:space="0" w:color="D9D9D9"/>
            </w:tcBorders>
            <w:shd w:val="clear" w:color="auto" w:fill="FFFFFF"/>
          </w:tcPr>
          <w:p w14:paraId="1FB4ED65" w14:textId="77777777" w:rsidR="00F35B5A" w:rsidRDefault="00000000">
            <w:pPr>
              <w:spacing w:after="0" w:line="240" w:lineRule="auto"/>
            </w:pPr>
            <w:r>
              <w:t>3</w:t>
            </w:r>
          </w:p>
        </w:tc>
        <w:tc>
          <w:tcPr>
            <w:tcW w:w="1152" w:type="dxa"/>
            <w:tcBorders>
              <w:top w:val="single" w:sz="3" w:space="0" w:color="D9D9D9"/>
              <w:left w:val="single" w:sz="3" w:space="0" w:color="D9D9D9"/>
              <w:bottom w:val="single" w:sz="3" w:space="0" w:color="D9D9D9"/>
              <w:right w:val="single" w:sz="3" w:space="0" w:color="D9D9D9"/>
            </w:tcBorders>
            <w:shd w:val="clear" w:color="auto" w:fill="FFFFFF"/>
          </w:tcPr>
          <w:p w14:paraId="7B040485" w14:textId="77777777" w:rsidR="00F35B5A" w:rsidRDefault="00000000">
            <w:pPr>
              <w:spacing w:after="0" w:line="240" w:lineRule="auto"/>
            </w:pPr>
            <w:r>
              <w:t>3.3</w:t>
            </w:r>
          </w:p>
        </w:tc>
        <w:tc>
          <w:tcPr>
            <w:tcW w:w="4320" w:type="dxa"/>
            <w:tcBorders>
              <w:top w:val="single" w:sz="3" w:space="0" w:color="D9D9D9"/>
              <w:left w:val="single" w:sz="3" w:space="0" w:color="D9D9D9"/>
              <w:bottom w:val="single" w:sz="3" w:space="0" w:color="D9D9D9"/>
              <w:right w:val="single" w:sz="3" w:space="0" w:color="D9D9D9"/>
            </w:tcBorders>
            <w:shd w:val="clear" w:color="auto" w:fill="FFFFFF"/>
          </w:tcPr>
          <w:p w14:paraId="642E516F" w14:textId="77777777" w:rsidR="00F35B5A" w:rsidRDefault="00000000">
            <w:pPr>
              <w:spacing w:after="0" w:line="240" w:lineRule="auto"/>
            </w:pPr>
            <w:r>
              <w:t>Useful defence in price-sensitive segments, but limited differentiation.</w:t>
            </w:r>
          </w:p>
        </w:tc>
      </w:tr>
      <w:tr w:rsidR="00F35B5A" w14:paraId="05ECB4E8" w14:textId="77777777">
        <w:trPr>
          <w:cantSplit/>
          <w:jc w:val="center"/>
        </w:trPr>
        <w:tc>
          <w:tcPr>
            <w:tcW w:w="2520" w:type="dxa"/>
            <w:tcBorders>
              <w:top w:val="single" w:sz="3" w:space="0" w:color="D9D9D9"/>
              <w:left w:val="single" w:sz="3" w:space="0" w:color="D9D9D9"/>
              <w:bottom w:val="single" w:sz="3" w:space="0" w:color="D9D9D9"/>
              <w:right w:val="single" w:sz="3" w:space="0" w:color="D9D9D9"/>
            </w:tcBorders>
            <w:shd w:val="clear" w:color="auto" w:fill="F2F2F2"/>
          </w:tcPr>
          <w:p w14:paraId="2083A91A" w14:textId="77777777" w:rsidR="00F35B5A" w:rsidRDefault="00000000">
            <w:pPr>
              <w:spacing w:after="0" w:line="240" w:lineRule="auto"/>
            </w:pPr>
            <w:r>
              <w:t>4. Integration-first risk containment</w:t>
            </w:r>
          </w:p>
        </w:tc>
        <w:tc>
          <w:tcPr>
            <w:tcW w:w="503" w:type="dxa"/>
            <w:tcBorders>
              <w:top w:val="single" w:sz="3" w:space="0" w:color="D9D9D9"/>
              <w:left w:val="single" w:sz="3" w:space="0" w:color="D9D9D9"/>
              <w:bottom w:val="single" w:sz="3" w:space="0" w:color="D9D9D9"/>
              <w:right w:val="single" w:sz="3" w:space="0" w:color="D9D9D9"/>
            </w:tcBorders>
            <w:shd w:val="clear" w:color="auto" w:fill="F2F2F2"/>
          </w:tcPr>
          <w:p w14:paraId="75FB0BDB" w14:textId="77777777" w:rsidR="00F35B5A" w:rsidRDefault="00000000">
            <w:pPr>
              <w:spacing w:after="0" w:line="240" w:lineRule="auto"/>
            </w:pPr>
            <w:r>
              <w:t>2</w:t>
            </w:r>
          </w:p>
        </w:tc>
        <w:tc>
          <w:tcPr>
            <w:tcW w:w="503" w:type="dxa"/>
            <w:tcBorders>
              <w:top w:val="single" w:sz="3" w:space="0" w:color="D9D9D9"/>
              <w:left w:val="single" w:sz="3" w:space="0" w:color="D9D9D9"/>
              <w:bottom w:val="single" w:sz="3" w:space="0" w:color="D9D9D9"/>
              <w:right w:val="single" w:sz="3" w:space="0" w:color="D9D9D9"/>
            </w:tcBorders>
            <w:shd w:val="clear" w:color="auto" w:fill="F2F2F2"/>
          </w:tcPr>
          <w:p w14:paraId="3B02C05A" w14:textId="77777777" w:rsidR="00F35B5A" w:rsidRDefault="00000000">
            <w:pPr>
              <w:spacing w:after="0" w:line="240" w:lineRule="auto"/>
            </w:pPr>
            <w:r>
              <w:t>5</w:t>
            </w:r>
          </w:p>
        </w:tc>
        <w:tc>
          <w:tcPr>
            <w:tcW w:w="503" w:type="dxa"/>
            <w:tcBorders>
              <w:top w:val="single" w:sz="3" w:space="0" w:color="D9D9D9"/>
              <w:left w:val="single" w:sz="3" w:space="0" w:color="D9D9D9"/>
              <w:bottom w:val="single" w:sz="3" w:space="0" w:color="D9D9D9"/>
              <w:right w:val="single" w:sz="3" w:space="0" w:color="D9D9D9"/>
            </w:tcBorders>
            <w:shd w:val="clear" w:color="auto" w:fill="F2F2F2"/>
          </w:tcPr>
          <w:p w14:paraId="739A16D5" w14:textId="77777777" w:rsidR="00F35B5A" w:rsidRDefault="00000000">
            <w:pPr>
              <w:spacing w:after="0" w:line="240" w:lineRule="auto"/>
            </w:pPr>
            <w:r>
              <w:t>4</w:t>
            </w:r>
          </w:p>
        </w:tc>
        <w:tc>
          <w:tcPr>
            <w:tcW w:w="1152" w:type="dxa"/>
            <w:tcBorders>
              <w:top w:val="single" w:sz="3" w:space="0" w:color="D9D9D9"/>
              <w:left w:val="single" w:sz="3" w:space="0" w:color="D9D9D9"/>
              <w:bottom w:val="single" w:sz="3" w:space="0" w:color="D9D9D9"/>
              <w:right w:val="single" w:sz="3" w:space="0" w:color="D9D9D9"/>
            </w:tcBorders>
            <w:shd w:val="clear" w:color="auto" w:fill="F2F2F2"/>
          </w:tcPr>
          <w:p w14:paraId="796AD6EC" w14:textId="77777777" w:rsidR="00F35B5A" w:rsidRDefault="00000000">
            <w:pPr>
              <w:spacing w:after="0" w:line="240" w:lineRule="auto"/>
            </w:pPr>
            <w:r>
              <w:t>3.5</w:t>
            </w:r>
          </w:p>
        </w:tc>
        <w:tc>
          <w:tcPr>
            <w:tcW w:w="4320" w:type="dxa"/>
            <w:tcBorders>
              <w:top w:val="single" w:sz="3" w:space="0" w:color="D9D9D9"/>
              <w:left w:val="single" w:sz="3" w:space="0" w:color="D9D9D9"/>
              <w:bottom w:val="single" w:sz="3" w:space="0" w:color="D9D9D9"/>
              <w:right w:val="single" w:sz="3" w:space="0" w:color="D9D9D9"/>
            </w:tcBorders>
            <w:shd w:val="clear" w:color="auto" w:fill="F2F2F2"/>
          </w:tcPr>
          <w:p w14:paraId="12C40B28" w14:textId="77777777" w:rsidR="00F35B5A" w:rsidRDefault="00000000">
            <w:pPr>
              <w:spacing w:after="0" w:line="240" w:lineRule="auto"/>
            </w:pPr>
            <w:r>
              <w:t>Important control, but insufficient as a growth strategy.</w:t>
            </w:r>
          </w:p>
        </w:tc>
      </w:tr>
    </w:tbl>
    <w:p w14:paraId="64E4E4AC" w14:textId="77777777" w:rsidR="00F35B5A" w:rsidRDefault="00F35B5A">
      <w:pPr>
        <w:spacing w:after="0"/>
      </w:pPr>
    </w:p>
    <w:p w14:paraId="3C2583C2" w14:textId="77777777" w:rsidR="00F35B5A" w:rsidRDefault="00000000">
      <w:pPr>
        <w:pStyle w:val="BodyText"/>
      </w:pPr>
      <w:r>
        <w:t>The comparison makes Option 1 the growth engine and integrates Option 2 as a design condition. Option 4 remains a control if integration weakens, while Option 3 is used selectively through existing value brands.</w:t>
      </w:r>
    </w:p>
    <w:p w14:paraId="063C8B30" w14:textId="77777777" w:rsidR="00F35B5A" w:rsidRDefault="00000000">
      <w:pPr>
        <w:pStyle w:val="BodyText"/>
      </w:pPr>
      <w:r>
        <w:t>The evaluation assumes delivery of the investment commitment, reinvestment of some synergies in service and skills, and continued demand for secure connectivity. It does not assume a large consumer 5G premium. Quarterly pilots, customer evidence and financial stage gates should determine whether capital is continued or reallocated.</w:t>
      </w:r>
    </w:p>
    <w:p w14:paraId="5BB45E84" w14:textId="77777777" w:rsidR="00F35B5A" w:rsidRDefault="00000000">
      <w:pPr>
        <w:pStyle w:val="Heading1"/>
        <w:spacing w:before="200"/>
      </w:pPr>
      <w:bookmarkStart w:id="10" w:name="stakeholder"/>
      <w:r>
        <w:lastRenderedPageBreak/>
        <w:t>5. Stakeholder Analysis</w:t>
      </w:r>
      <w:bookmarkEnd w:id="10"/>
    </w:p>
    <w:p w14:paraId="319AE2FE" w14:textId="77777777" w:rsidR="00F35B5A" w:rsidRDefault="00000000">
      <w:pPr>
        <w:pStyle w:val="BodyText"/>
      </w:pPr>
      <w:r>
        <w:t>Freeman’s stakeholder theory requires VodafoneThree to consider groups that affect the strategy and those affected by it, rather than treating shareholder return as the only outcome (Freeman, 1984). Mendelow’s matrix distinguishes how engagement should be prioritised. The board, Vodafone and CK Hutchison shareholders, CMA, Ofcom, government, major suppliers and integration-critical employees have high power and high interest. They should be managed closely through governance forums, regulatory reporting, delivery reviews and workforce consultation.</w:t>
      </w:r>
    </w:p>
    <w:tbl>
      <w:tblPr>
        <w:tblW w:w="0" w:type="auto"/>
        <w:jc w:val="center"/>
        <w:tblLayout w:type="fixed"/>
        <w:tblLook w:val="04A0" w:firstRow="1" w:lastRow="0" w:firstColumn="1" w:lastColumn="0" w:noHBand="0" w:noVBand="1"/>
      </w:tblPr>
      <w:tblGrid>
        <w:gridCol w:w="1655"/>
        <w:gridCol w:w="3960"/>
        <w:gridCol w:w="4896"/>
      </w:tblGrid>
      <w:tr w:rsidR="00F35B5A" w14:paraId="33057B73" w14:textId="77777777">
        <w:trPr>
          <w:tblHeader/>
          <w:jc w:val="center"/>
        </w:trPr>
        <w:tc>
          <w:tcPr>
            <w:tcW w:w="1655"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E02F97A" w14:textId="77777777" w:rsidR="00F35B5A" w:rsidRDefault="00000000">
            <w:pPr>
              <w:spacing w:after="0"/>
            </w:pPr>
            <w:r>
              <w:rPr>
                <w:b/>
                <w:color w:val="FFFFFF"/>
              </w:rPr>
              <w:t>Mendelow group</w:t>
            </w:r>
          </w:p>
        </w:tc>
        <w:tc>
          <w:tcPr>
            <w:tcW w:w="3960"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73297092" w14:textId="77777777" w:rsidR="00F35B5A" w:rsidRDefault="00000000">
            <w:pPr>
              <w:spacing w:after="0"/>
            </w:pPr>
            <w:r>
              <w:rPr>
                <w:b/>
                <w:color w:val="FFFFFF"/>
              </w:rPr>
              <w:t>Stakeholders</w:t>
            </w:r>
          </w:p>
        </w:tc>
        <w:tc>
          <w:tcPr>
            <w:tcW w:w="4896"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7D0742C" w14:textId="77777777" w:rsidR="00F35B5A" w:rsidRDefault="00000000">
            <w:pPr>
              <w:spacing w:after="0"/>
            </w:pPr>
            <w:r>
              <w:rPr>
                <w:b/>
                <w:color w:val="FFFFFF"/>
              </w:rPr>
              <w:t>Engagement approach</w:t>
            </w:r>
          </w:p>
        </w:tc>
      </w:tr>
      <w:tr w:rsidR="00F35B5A" w14:paraId="55E642F1"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FFFFF"/>
          </w:tcPr>
          <w:p w14:paraId="745DBED8" w14:textId="77777777" w:rsidR="00F35B5A" w:rsidRDefault="00000000">
            <w:pPr>
              <w:spacing w:after="0" w:line="240" w:lineRule="auto"/>
            </w:pPr>
            <w:r>
              <w:t>Manage closely</w:t>
            </w:r>
          </w:p>
        </w:tc>
        <w:tc>
          <w:tcPr>
            <w:tcW w:w="3960" w:type="dxa"/>
            <w:tcBorders>
              <w:top w:val="single" w:sz="3" w:space="0" w:color="D9D9D9"/>
              <w:left w:val="single" w:sz="3" w:space="0" w:color="D9D9D9"/>
              <w:bottom w:val="single" w:sz="3" w:space="0" w:color="D9D9D9"/>
              <w:right w:val="single" w:sz="3" w:space="0" w:color="D9D9D9"/>
            </w:tcBorders>
            <w:shd w:val="clear" w:color="auto" w:fill="FFFFFF"/>
          </w:tcPr>
          <w:p w14:paraId="4B6F5D07" w14:textId="77777777" w:rsidR="00F35B5A" w:rsidRDefault="00000000">
            <w:pPr>
              <w:spacing w:after="0" w:line="240" w:lineRule="auto"/>
            </w:pPr>
            <w:r>
              <w:t>Board, shareholders, CMA, Ofcom, government, key suppliers, enterprise customers, critical employees</w:t>
            </w:r>
          </w:p>
        </w:tc>
        <w:tc>
          <w:tcPr>
            <w:tcW w:w="4896" w:type="dxa"/>
            <w:tcBorders>
              <w:top w:val="single" w:sz="3" w:space="0" w:color="D9D9D9"/>
              <w:left w:val="single" w:sz="3" w:space="0" w:color="D9D9D9"/>
              <w:bottom w:val="single" w:sz="3" w:space="0" w:color="D9D9D9"/>
              <w:right w:val="single" w:sz="3" w:space="0" w:color="D9D9D9"/>
            </w:tcBorders>
            <w:shd w:val="clear" w:color="auto" w:fill="FFFFFF"/>
          </w:tcPr>
          <w:p w14:paraId="0A50B96D" w14:textId="77777777" w:rsidR="00F35B5A" w:rsidRDefault="00000000">
            <w:pPr>
              <w:spacing w:after="0" w:line="240" w:lineRule="auto"/>
            </w:pPr>
            <w:r>
              <w:t>Quarterly scorecards, formal reporting, joint delivery reviews, consultation and risk escalation.</w:t>
            </w:r>
          </w:p>
        </w:tc>
      </w:tr>
      <w:tr w:rsidR="00F35B5A" w14:paraId="27031003"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2F2F2"/>
          </w:tcPr>
          <w:p w14:paraId="7DA3082A" w14:textId="77777777" w:rsidR="00F35B5A" w:rsidRDefault="00000000">
            <w:pPr>
              <w:spacing w:after="0" w:line="240" w:lineRule="auto"/>
            </w:pPr>
            <w:r>
              <w:t>Keep satisfied</w:t>
            </w:r>
          </w:p>
        </w:tc>
        <w:tc>
          <w:tcPr>
            <w:tcW w:w="3960" w:type="dxa"/>
            <w:tcBorders>
              <w:top w:val="single" w:sz="3" w:space="0" w:color="D9D9D9"/>
              <w:left w:val="single" w:sz="3" w:space="0" w:color="D9D9D9"/>
              <w:bottom w:val="single" w:sz="3" w:space="0" w:color="D9D9D9"/>
              <w:right w:val="single" w:sz="3" w:space="0" w:color="D9D9D9"/>
            </w:tcBorders>
            <w:shd w:val="clear" w:color="auto" w:fill="F2F2F2"/>
          </w:tcPr>
          <w:p w14:paraId="727D33AF" w14:textId="77777777" w:rsidR="00F35B5A" w:rsidRDefault="00000000">
            <w:pPr>
              <w:spacing w:after="0" w:line="240" w:lineRule="auto"/>
            </w:pPr>
            <w:r>
              <w:t>Local planning bodies, lenders and institutional investors with lower operational involvement</w:t>
            </w:r>
          </w:p>
        </w:tc>
        <w:tc>
          <w:tcPr>
            <w:tcW w:w="4896" w:type="dxa"/>
            <w:tcBorders>
              <w:top w:val="single" w:sz="3" w:space="0" w:color="D9D9D9"/>
              <w:left w:val="single" w:sz="3" w:space="0" w:color="D9D9D9"/>
              <w:bottom w:val="single" w:sz="3" w:space="0" w:color="D9D9D9"/>
              <w:right w:val="single" w:sz="3" w:space="0" w:color="D9D9D9"/>
            </w:tcBorders>
            <w:shd w:val="clear" w:color="auto" w:fill="F2F2F2"/>
          </w:tcPr>
          <w:p w14:paraId="4834A74D" w14:textId="77777777" w:rsidR="00F35B5A" w:rsidRDefault="00000000">
            <w:pPr>
              <w:spacing w:after="0" w:line="240" w:lineRule="auto"/>
            </w:pPr>
            <w:r>
              <w:t>Evidence on returns, planning compliance, resilience and community impact.</w:t>
            </w:r>
          </w:p>
        </w:tc>
      </w:tr>
      <w:tr w:rsidR="00F35B5A" w14:paraId="60D68C6A"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FFFFF"/>
          </w:tcPr>
          <w:p w14:paraId="3B8A112A" w14:textId="77777777" w:rsidR="00F35B5A" w:rsidRDefault="00000000">
            <w:pPr>
              <w:spacing w:after="0" w:line="240" w:lineRule="auto"/>
            </w:pPr>
            <w:r>
              <w:t>Keep informed</w:t>
            </w:r>
          </w:p>
        </w:tc>
        <w:tc>
          <w:tcPr>
            <w:tcW w:w="3960" w:type="dxa"/>
            <w:tcBorders>
              <w:top w:val="single" w:sz="3" w:space="0" w:color="D9D9D9"/>
              <w:left w:val="single" w:sz="3" w:space="0" w:color="D9D9D9"/>
              <w:bottom w:val="single" w:sz="3" w:space="0" w:color="D9D9D9"/>
              <w:right w:val="single" w:sz="3" w:space="0" w:color="D9D9D9"/>
            </w:tcBorders>
            <w:shd w:val="clear" w:color="auto" w:fill="FFFFFF"/>
          </w:tcPr>
          <w:p w14:paraId="3AC15C70" w14:textId="77777777" w:rsidR="00F35B5A" w:rsidRDefault="00000000">
            <w:pPr>
              <w:spacing w:after="0" w:line="240" w:lineRule="auto"/>
            </w:pPr>
            <w:r>
              <w:t>Consumers, SMEs, rural communities, vulnerable users, retail staff and MVNO customers</w:t>
            </w:r>
          </w:p>
        </w:tc>
        <w:tc>
          <w:tcPr>
            <w:tcW w:w="4896" w:type="dxa"/>
            <w:tcBorders>
              <w:top w:val="single" w:sz="3" w:space="0" w:color="D9D9D9"/>
              <w:left w:val="single" w:sz="3" w:space="0" w:color="D9D9D9"/>
              <w:bottom w:val="single" w:sz="3" w:space="0" w:color="D9D9D9"/>
              <w:right w:val="single" w:sz="3" w:space="0" w:color="D9D9D9"/>
            </w:tcBorders>
            <w:shd w:val="clear" w:color="auto" w:fill="FFFFFF"/>
          </w:tcPr>
          <w:p w14:paraId="270408E9" w14:textId="77777777" w:rsidR="00F35B5A" w:rsidRDefault="00000000">
            <w:pPr>
              <w:spacing w:after="0" w:line="240" w:lineRule="auto"/>
            </w:pPr>
            <w:r>
              <w:t>Plain-English updates, coverage dashboards, accessible support, trials and feedback channels.</w:t>
            </w:r>
          </w:p>
        </w:tc>
      </w:tr>
      <w:tr w:rsidR="00F35B5A" w14:paraId="6794F200"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2F2F2"/>
          </w:tcPr>
          <w:p w14:paraId="21D59A13" w14:textId="77777777" w:rsidR="00F35B5A" w:rsidRDefault="00000000">
            <w:pPr>
              <w:spacing w:after="0" w:line="240" w:lineRule="auto"/>
            </w:pPr>
            <w:r>
              <w:t>Monitor</w:t>
            </w:r>
          </w:p>
        </w:tc>
        <w:tc>
          <w:tcPr>
            <w:tcW w:w="3960" w:type="dxa"/>
            <w:tcBorders>
              <w:top w:val="single" w:sz="3" w:space="0" w:color="D9D9D9"/>
              <w:left w:val="single" w:sz="3" w:space="0" w:color="D9D9D9"/>
              <w:bottom w:val="single" w:sz="3" w:space="0" w:color="D9D9D9"/>
              <w:right w:val="single" w:sz="3" w:space="0" w:color="D9D9D9"/>
            </w:tcBorders>
            <w:shd w:val="clear" w:color="auto" w:fill="F2F2F2"/>
          </w:tcPr>
          <w:p w14:paraId="1A847D08" w14:textId="77777777" w:rsidR="00F35B5A" w:rsidRDefault="00000000">
            <w:pPr>
              <w:spacing w:after="0" w:line="240" w:lineRule="auto"/>
            </w:pPr>
            <w:r>
              <w:t>Wider media and low-engagement audiences</w:t>
            </w:r>
          </w:p>
        </w:tc>
        <w:tc>
          <w:tcPr>
            <w:tcW w:w="4896" w:type="dxa"/>
            <w:tcBorders>
              <w:top w:val="single" w:sz="3" w:space="0" w:color="D9D9D9"/>
              <w:left w:val="single" w:sz="3" w:space="0" w:color="D9D9D9"/>
              <w:bottom w:val="single" w:sz="3" w:space="0" w:color="D9D9D9"/>
              <w:right w:val="single" w:sz="3" w:space="0" w:color="D9D9D9"/>
            </w:tcBorders>
            <w:shd w:val="clear" w:color="auto" w:fill="F2F2F2"/>
          </w:tcPr>
          <w:p w14:paraId="67BD633C" w14:textId="77777777" w:rsidR="00F35B5A" w:rsidRDefault="00000000">
            <w:pPr>
              <w:spacing w:after="0" w:line="240" w:lineRule="auto"/>
            </w:pPr>
            <w:r>
              <w:t>Social listening and rapid factual response when concerns escalate.</w:t>
            </w:r>
          </w:p>
        </w:tc>
      </w:tr>
    </w:tbl>
    <w:p w14:paraId="5814D7D8" w14:textId="77777777" w:rsidR="00F35B5A" w:rsidRDefault="00F35B5A">
      <w:pPr>
        <w:spacing w:after="0"/>
      </w:pPr>
    </w:p>
    <w:p w14:paraId="32A95E40" w14:textId="77777777" w:rsidR="00F35B5A" w:rsidRDefault="00000000">
      <w:pPr>
        <w:pStyle w:val="BodyText"/>
      </w:pPr>
      <w:r>
        <w:t>The impacts are not uniformly positive. Customers may receive stronger coverage, but consolidation can create concern about price and choice. Employees may gain new careers in advanced networks while also facing role duplication and workload pressure. Suppliers benefit from long-term investment but must meet stricter security, ethics and carbon standards. Communities gain connectivity and employment but may experience planning disruption from site work. These trade-offs should be acknowledged rather than hidden.</w:t>
      </w:r>
    </w:p>
    <w:p w14:paraId="26917C7E" w14:textId="77777777" w:rsidR="00F35B5A" w:rsidRDefault="00000000">
      <w:pPr>
        <w:pStyle w:val="BodyText"/>
      </w:pPr>
      <w:r>
        <w:t>Engagement must influence decisions. Customer complaints should alter journey design; workforce feedback should shape integration sequencing; supplier scorecards should affect contract renewal; and community concerns should inform site planning. This is the difference between built-in and bolt-on CSR. In the former, stakeholder evidence changes resource allocation and risk decisions. In the latter, communication is used mainly after decisions have already been taken.</w:t>
      </w:r>
    </w:p>
    <w:p w14:paraId="3661ACF0" w14:textId="77777777" w:rsidR="00F35B5A" w:rsidRDefault="00000000">
      <w:pPr>
        <w:pStyle w:val="Heading1"/>
        <w:spacing w:before="200"/>
      </w:pPr>
      <w:bookmarkStart w:id="11" w:name="implementation"/>
      <w:r>
        <w:t>6. Implementation and Monitoring</w:t>
      </w:r>
      <w:bookmarkEnd w:id="11"/>
    </w:p>
    <w:p w14:paraId="5C3451BF" w14:textId="77777777" w:rsidR="00F35B5A" w:rsidRDefault="00000000">
      <w:pPr>
        <w:pStyle w:val="BodyText"/>
      </w:pPr>
      <w:r>
        <w:t>Implementation should be phased around integration capacity. In the first 12 months, an Integration and Responsible Growth Office should oversee service continuity, compliance, workforce stability and the network roadmap. Priorities include system mapping, 5G SA zone selection, frontline training, retention of critical engineers and supplier security and carbon controls.</w:t>
      </w:r>
    </w:p>
    <w:p w14:paraId="5E30EF11" w14:textId="77777777" w:rsidR="00F35B5A" w:rsidRDefault="00000000">
      <w:pPr>
        <w:pStyle w:val="BodyText"/>
      </w:pPr>
      <w:r>
        <w:lastRenderedPageBreak/>
        <w:t>In years one to three, VodafoneThree should deploy 5G SA where social and commercial cases are strongest, launch secure SME bundles and test private networks with sector partners. A public dashboard should show coverage and service progress, while pilots without adoption, customer value or credible return should be redesigned or stopped.</w:t>
      </w:r>
    </w:p>
    <w:p w14:paraId="1650417C" w14:textId="77777777" w:rsidR="00F35B5A" w:rsidRDefault="00000000">
      <w:pPr>
        <w:pStyle w:val="BodyText"/>
      </w:pPr>
      <w:r>
        <w:t>From years three to eight, successful platforms can scale through network slicing, edge partnerships, rural offers and circular devices. Automation requires privacy, security and human accountability. Executives should review performance quarterly and the board at least twice yearly.</w:t>
      </w:r>
    </w:p>
    <w:tbl>
      <w:tblPr>
        <w:tblW w:w="0" w:type="auto"/>
        <w:jc w:val="center"/>
        <w:tblLayout w:type="fixed"/>
        <w:tblLook w:val="04A0" w:firstRow="1" w:lastRow="0" w:firstColumn="1" w:lastColumn="0" w:noHBand="0" w:noVBand="1"/>
      </w:tblPr>
      <w:tblGrid>
        <w:gridCol w:w="1655"/>
        <w:gridCol w:w="2304"/>
        <w:gridCol w:w="3384"/>
        <w:gridCol w:w="3528"/>
      </w:tblGrid>
      <w:tr w:rsidR="00F35B5A" w14:paraId="295B3623" w14:textId="77777777">
        <w:trPr>
          <w:tblHeader/>
          <w:jc w:val="center"/>
        </w:trPr>
        <w:tc>
          <w:tcPr>
            <w:tcW w:w="1655"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FECF183" w14:textId="77777777" w:rsidR="00F35B5A" w:rsidRDefault="00000000">
            <w:pPr>
              <w:spacing w:after="0"/>
            </w:pPr>
            <w:r>
              <w:rPr>
                <w:b/>
                <w:color w:val="FFFFFF"/>
              </w:rPr>
              <w:t>Phase</w:t>
            </w:r>
          </w:p>
        </w:tc>
        <w:tc>
          <w:tcPr>
            <w:tcW w:w="2304"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5FFA02A8" w14:textId="77777777" w:rsidR="00F35B5A" w:rsidRDefault="00000000">
            <w:pPr>
              <w:spacing w:after="0"/>
            </w:pPr>
            <w:r>
              <w:rPr>
                <w:b/>
                <w:color w:val="FFFFFF"/>
              </w:rPr>
              <w:t>Objective</w:t>
            </w:r>
          </w:p>
        </w:tc>
        <w:tc>
          <w:tcPr>
            <w:tcW w:w="3384"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1544DF98" w14:textId="77777777" w:rsidR="00F35B5A" w:rsidRDefault="00000000">
            <w:pPr>
              <w:spacing w:after="0"/>
            </w:pPr>
            <w:r>
              <w:rPr>
                <w:b/>
                <w:color w:val="FFFFFF"/>
              </w:rPr>
              <w:t>Priority actions</w:t>
            </w:r>
          </w:p>
        </w:tc>
        <w:tc>
          <w:tcPr>
            <w:tcW w:w="3528"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0E4287AA" w14:textId="77777777" w:rsidR="00F35B5A" w:rsidRDefault="00000000">
            <w:pPr>
              <w:spacing w:after="0"/>
            </w:pPr>
            <w:r>
              <w:rPr>
                <w:b/>
                <w:color w:val="FFFFFF"/>
              </w:rPr>
              <w:t>KPIs</w:t>
            </w:r>
          </w:p>
        </w:tc>
      </w:tr>
      <w:tr w:rsidR="00F35B5A" w14:paraId="2DB3C32C"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FFFFF"/>
          </w:tcPr>
          <w:p w14:paraId="2B38AB17" w14:textId="77777777" w:rsidR="00F35B5A" w:rsidRDefault="00000000">
            <w:pPr>
              <w:spacing w:after="0" w:line="240" w:lineRule="auto"/>
            </w:pPr>
            <w:r>
              <w:t>0–12 months: stabilise</w:t>
            </w:r>
          </w:p>
        </w:tc>
        <w:tc>
          <w:tcPr>
            <w:tcW w:w="2304" w:type="dxa"/>
            <w:tcBorders>
              <w:top w:val="single" w:sz="3" w:space="0" w:color="D9D9D9"/>
              <w:left w:val="single" w:sz="3" w:space="0" w:color="D9D9D9"/>
              <w:bottom w:val="single" w:sz="3" w:space="0" w:color="D9D9D9"/>
              <w:right w:val="single" w:sz="3" w:space="0" w:color="D9D9D9"/>
            </w:tcBorders>
            <w:shd w:val="clear" w:color="auto" w:fill="FFFFFF"/>
          </w:tcPr>
          <w:p w14:paraId="38086B0C" w14:textId="77777777" w:rsidR="00F35B5A" w:rsidRDefault="00000000">
            <w:pPr>
              <w:spacing w:after="0" w:line="240" w:lineRule="auto"/>
            </w:pPr>
            <w:r>
              <w:t>Protect customers and meet merger obligations</w:t>
            </w:r>
          </w:p>
        </w:tc>
        <w:tc>
          <w:tcPr>
            <w:tcW w:w="3384" w:type="dxa"/>
            <w:tcBorders>
              <w:top w:val="single" w:sz="3" w:space="0" w:color="D9D9D9"/>
              <w:left w:val="single" w:sz="3" w:space="0" w:color="D9D9D9"/>
              <w:bottom w:val="single" w:sz="3" w:space="0" w:color="D9D9D9"/>
              <w:right w:val="single" w:sz="3" w:space="0" w:color="D9D9D9"/>
            </w:tcBorders>
            <w:shd w:val="clear" w:color="auto" w:fill="FFFFFF"/>
          </w:tcPr>
          <w:p w14:paraId="35FF6F18" w14:textId="77777777" w:rsidR="00F35B5A" w:rsidRDefault="00000000">
            <w:pPr>
              <w:spacing w:after="0" w:line="240" w:lineRule="auto"/>
            </w:pPr>
            <w:r>
              <w:t>Governance office; integration map; workforce plan; supplier controls; published roadmap</w:t>
            </w:r>
          </w:p>
        </w:tc>
        <w:tc>
          <w:tcPr>
            <w:tcW w:w="3528" w:type="dxa"/>
            <w:tcBorders>
              <w:top w:val="single" w:sz="3" w:space="0" w:color="D9D9D9"/>
              <w:left w:val="single" w:sz="3" w:space="0" w:color="D9D9D9"/>
              <w:bottom w:val="single" w:sz="3" w:space="0" w:color="D9D9D9"/>
              <w:right w:val="single" w:sz="3" w:space="0" w:color="D9D9D9"/>
            </w:tcBorders>
            <w:shd w:val="clear" w:color="auto" w:fill="FFFFFF"/>
          </w:tcPr>
          <w:p w14:paraId="2355CD5A" w14:textId="77777777" w:rsidR="00F35B5A" w:rsidRDefault="00000000">
            <w:pPr>
              <w:spacing w:after="0" w:line="240" w:lineRule="auto"/>
            </w:pPr>
            <w:r>
              <w:t>Complaint rate; NPS; availability; regulatory delivery; employee engagement; critical-role attrition</w:t>
            </w:r>
          </w:p>
        </w:tc>
      </w:tr>
      <w:tr w:rsidR="00F35B5A" w14:paraId="67709346"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2F2F2"/>
          </w:tcPr>
          <w:p w14:paraId="645341C7" w14:textId="77777777" w:rsidR="00F35B5A" w:rsidRDefault="00000000">
            <w:pPr>
              <w:spacing w:after="0" w:line="240" w:lineRule="auto"/>
            </w:pPr>
            <w:r>
              <w:t>Years 1–3: grow</w:t>
            </w:r>
          </w:p>
        </w:tc>
        <w:tc>
          <w:tcPr>
            <w:tcW w:w="2304" w:type="dxa"/>
            <w:tcBorders>
              <w:top w:val="single" w:sz="3" w:space="0" w:color="D9D9D9"/>
              <w:left w:val="single" w:sz="3" w:space="0" w:color="D9D9D9"/>
              <w:bottom w:val="single" w:sz="3" w:space="0" w:color="D9D9D9"/>
              <w:right w:val="single" w:sz="3" w:space="0" w:color="D9D9D9"/>
            </w:tcBorders>
            <w:shd w:val="clear" w:color="auto" w:fill="F2F2F2"/>
          </w:tcPr>
          <w:p w14:paraId="690F647B" w14:textId="77777777" w:rsidR="00F35B5A" w:rsidRDefault="00000000">
            <w:pPr>
              <w:spacing w:after="0" w:line="240" w:lineRule="auto"/>
            </w:pPr>
            <w:r>
              <w:t>Convert network investment into customer and B2B value</w:t>
            </w:r>
          </w:p>
        </w:tc>
        <w:tc>
          <w:tcPr>
            <w:tcW w:w="3384" w:type="dxa"/>
            <w:tcBorders>
              <w:top w:val="single" w:sz="3" w:space="0" w:color="D9D9D9"/>
              <w:left w:val="single" w:sz="3" w:space="0" w:color="D9D9D9"/>
              <w:bottom w:val="single" w:sz="3" w:space="0" w:color="D9D9D9"/>
              <w:right w:val="single" w:sz="3" w:space="0" w:color="D9D9D9"/>
            </w:tcBorders>
            <w:shd w:val="clear" w:color="auto" w:fill="F2F2F2"/>
          </w:tcPr>
          <w:p w14:paraId="0E8E9FD3" w14:textId="77777777" w:rsidR="00F35B5A" w:rsidRDefault="00000000">
            <w:pPr>
              <w:spacing w:after="0" w:line="240" w:lineRule="auto"/>
            </w:pPr>
            <w:r>
              <w:t>Priority 5G SA zones; SME bundles; private 5G pilots; coverage dashboard</w:t>
            </w:r>
          </w:p>
        </w:tc>
        <w:tc>
          <w:tcPr>
            <w:tcW w:w="3528" w:type="dxa"/>
            <w:tcBorders>
              <w:top w:val="single" w:sz="3" w:space="0" w:color="D9D9D9"/>
              <w:left w:val="single" w:sz="3" w:space="0" w:color="D9D9D9"/>
              <w:bottom w:val="single" w:sz="3" w:space="0" w:color="D9D9D9"/>
              <w:right w:val="single" w:sz="3" w:space="0" w:color="D9D9D9"/>
            </w:tcBorders>
            <w:shd w:val="clear" w:color="auto" w:fill="F2F2F2"/>
          </w:tcPr>
          <w:p w14:paraId="10960CAA" w14:textId="77777777" w:rsidR="00F35B5A" w:rsidRDefault="00000000">
            <w:pPr>
              <w:spacing w:after="0" w:line="240" w:lineRule="auto"/>
            </w:pPr>
            <w:r>
              <w:t>5G SA milestones; not-spots removed; B2B digital revenue; pilot conversion; churn; resolution time</w:t>
            </w:r>
          </w:p>
        </w:tc>
      </w:tr>
      <w:tr w:rsidR="00F35B5A" w14:paraId="2DA7D6D5" w14:textId="77777777">
        <w:trPr>
          <w:cantSplit/>
          <w:jc w:val="center"/>
        </w:trPr>
        <w:tc>
          <w:tcPr>
            <w:tcW w:w="1655" w:type="dxa"/>
            <w:tcBorders>
              <w:top w:val="single" w:sz="3" w:space="0" w:color="D9D9D9"/>
              <w:left w:val="single" w:sz="3" w:space="0" w:color="D9D9D9"/>
              <w:bottom w:val="single" w:sz="3" w:space="0" w:color="D9D9D9"/>
              <w:right w:val="single" w:sz="3" w:space="0" w:color="D9D9D9"/>
            </w:tcBorders>
            <w:shd w:val="clear" w:color="auto" w:fill="FFFFFF"/>
          </w:tcPr>
          <w:p w14:paraId="64CEC323" w14:textId="77777777" w:rsidR="00F35B5A" w:rsidRDefault="00000000">
            <w:pPr>
              <w:spacing w:after="0" w:line="240" w:lineRule="auto"/>
            </w:pPr>
            <w:r>
              <w:t>Years 3–8: optimise</w:t>
            </w:r>
          </w:p>
        </w:tc>
        <w:tc>
          <w:tcPr>
            <w:tcW w:w="2304" w:type="dxa"/>
            <w:tcBorders>
              <w:top w:val="single" w:sz="3" w:space="0" w:color="D9D9D9"/>
              <w:left w:val="single" w:sz="3" w:space="0" w:color="D9D9D9"/>
              <w:bottom w:val="single" w:sz="3" w:space="0" w:color="D9D9D9"/>
              <w:right w:val="single" w:sz="3" w:space="0" w:color="D9D9D9"/>
            </w:tcBorders>
            <w:shd w:val="clear" w:color="auto" w:fill="FFFFFF"/>
          </w:tcPr>
          <w:p w14:paraId="6B210654" w14:textId="77777777" w:rsidR="00F35B5A" w:rsidRDefault="00000000">
            <w:pPr>
              <w:spacing w:after="0" w:line="240" w:lineRule="auto"/>
            </w:pPr>
            <w:r>
              <w:t>Scale platforms and improve returns responsibly</w:t>
            </w:r>
          </w:p>
        </w:tc>
        <w:tc>
          <w:tcPr>
            <w:tcW w:w="3384" w:type="dxa"/>
            <w:tcBorders>
              <w:top w:val="single" w:sz="3" w:space="0" w:color="D9D9D9"/>
              <w:left w:val="single" w:sz="3" w:space="0" w:color="D9D9D9"/>
              <w:bottom w:val="single" w:sz="3" w:space="0" w:color="D9D9D9"/>
              <w:right w:val="single" w:sz="3" w:space="0" w:color="D9D9D9"/>
            </w:tcBorders>
            <w:shd w:val="clear" w:color="auto" w:fill="FFFFFF"/>
          </w:tcPr>
          <w:p w14:paraId="6CFCC4F1" w14:textId="77777777" w:rsidR="00F35B5A" w:rsidRDefault="00000000">
            <w:pPr>
              <w:spacing w:after="0" w:line="240" w:lineRule="auto"/>
            </w:pPr>
            <w:r>
              <w:t>Network slicing; edge partnerships; rural offers; circular devices; continuous cyber testing</w:t>
            </w:r>
          </w:p>
        </w:tc>
        <w:tc>
          <w:tcPr>
            <w:tcW w:w="3528" w:type="dxa"/>
            <w:tcBorders>
              <w:top w:val="single" w:sz="3" w:space="0" w:color="D9D9D9"/>
              <w:left w:val="single" w:sz="3" w:space="0" w:color="D9D9D9"/>
              <w:bottom w:val="single" w:sz="3" w:space="0" w:color="D9D9D9"/>
              <w:right w:val="single" w:sz="3" w:space="0" w:color="D9D9D9"/>
            </w:tcBorders>
            <w:shd w:val="clear" w:color="auto" w:fill="FFFFFF"/>
          </w:tcPr>
          <w:p w14:paraId="381C3847" w14:textId="77777777" w:rsidR="00F35B5A" w:rsidRDefault="00000000">
            <w:pPr>
              <w:spacing w:after="0" w:line="240" w:lineRule="auto"/>
            </w:pPr>
            <w:r>
              <w:t>Synergies; EBITDAaL margin; ROCE; cyber recovery; energy intensity; supplier compliance; leadership diversity</w:t>
            </w:r>
          </w:p>
        </w:tc>
      </w:tr>
    </w:tbl>
    <w:p w14:paraId="1AE97775" w14:textId="77777777" w:rsidR="00F35B5A" w:rsidRDefault="00F35B5A">
      <w:pPr>
        <w:spacing w:after="0"/>
      </w:pPr>
    </w:p>
    <w:p w14:paraId="09988153" w14:textId="77777777" w:rsidR="00F35B5A" w:rsidRDefault="00000000">
      <w:pPr>
        <w:pStyle w:val="Heading2"/>
        <w:spacing w:before="200"/>
      </w:pPr>
      <w:bookmarkStart w:id="12" w:name="kpi_targets"/>
      <w:r>
        <w:t>6.1 Planning assumptions and target KPIs</w:t>
      </w:r>
      <w:bookmarkEnd w:id="12"/>
    </w:p>
    <w:p w14:paraId="3AA5FB02" w14:textId="77777777" w:rsidR="00F35B5A" w:rsidRDefault="00000000">
      <w:pPr>
        <w:pStyle w:val="BodyText"/>
      </w:pPr>
      <w:r>
        <w:t>Because public sources do not contain internal baselines, the following targets are planning assumptions and must be replaced with verified VodafoneThree data before use.</w:t>
      </w:r>
    </w:p>
    <w:tbl>
      <w:tblPr>
        <w:tblW w:w="0" w:type="auto"/>
        <w:jc w:val="center"/>
        <w:tblLayout w:type="fixed"/>
        <w:tblLook w:val="04A0" w:firstRow="1" w:lastRow="0" w:firstColumn="1" w:lastColumn="0" w:noHBand="0" w:noVBand="1"/>
      </w:tblPr>
      <w:tblGrid>
        <w:gridCol w:w="1872"/>
        <w:gridCol w:w="6336"/>
        <w:gridCol w:w="2304"/>
      </w:tblGrid>
      <w:tr w:rsidR="00F35B5A" w14:paraId="579C8077" w14:textId="77777777">
        <w:trPr>
          <w:tblHeader/>
          <w:jc w:val="center"/>
        </w:trPr>
        <w:tc>
          <w:tcPr>
            <w:tcW w:w="1872"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0C9B5BDD" w14:textId="77777777" w:rsidR="00F35B5A" w:rsidRDefault="00000000">
            <w:pPr>
              <w:spacing w:after="0"/>
            </w:pPr>
            <w:r>
              <w:rPr>
                <w:b/>
                <w:color w:val="FFFFFF"/>
              </w:rPr>
              <w:t>Area</w:t>
            </w:r>
          </w:p>
        </w:tc>
        <w:tc>
          <w:tcPr>
            <w:tcW w:w="6336"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3F1FE27C" w14:textId="77777777" w:rsidR="00F35B5A" w:rsidRDefault="00000000">
            <w:pPr>
              <w:spacing w:after="0"/>
            </w:pPr>
            <w:r>
              <w:rPr>
                <w:b/>
                <w:color w:val="FFFFFF"/>
              </w:rPr>
              <w:t>Proposed target (planning assumption)</w:t>
            </w:r>
          </w:p>
        </w:tc>
        <w:tc>
          <w:tcPr>
            <w:tcW w:w="2304" w:type="dxa"/>
            <w:tcBorders>
              <w:top w:val="single" w:sz="4" w:space="0" w:color="FFFFFF"/>
              <w:left w:val="single" w:sz="4" w:space="0" w:color="FFFFFF"/>
              <w:bottom w:val="single" w:sz="4" w:space="0" w:color="FFFFFF"/>
              <w:right w:val="single" w:sz="4" w:space="0" w:color="FFFFFF"/>
            </w:tcBorders>
            <w:shd w:val="clear" w:color="auto" w:fill="E60000"/>
            <w:vAlign w:val="center"/>
          </w:tcPr>
          <w:p w14:paraId="4540878A" w14:textId="77777777" w:rsidR="00F35B5A" w:rsidRDefault="00000000">
            <w:pPr>
              <w:spacing w:after="0"/>
            </w:pPr>
            <w:r>
              <w:rPr>
                <w:b/>
                <w:color w:val="FFFFFF"/>
              </w:rPr>
              <w:t>Review and owner</w:t>
            </w:r>
          </w:p>
        </w:tc>
      </w:tr>
      <w:tr w:rsidR="00F35B5A" w14:paraId="74BAAED7" w14:textId="77777777">
        <w:trPr>
          <w:cantSplit/>
          <w:jc w:val="center"/>
        </w:trPr>
        <w:tc>
          <w:tcPr>
            <w:tcW w:w="1872" w:type="dxa"/>
            <w:tcBorders>
              <w:top w:val="single" w:sz="3" w:space="0" w:color="D9D9D9"/>
              <w:left w:val="single" w:sz="3" w:space="0" w:color="D9D9D9"/>
              <w:bottom w:val="single" w:sz="3" w:space="0" w:color="D9D9D9"/>
              <w:right w:val="single" w:sz="3" w:space="0" w:color="D9D9D9"/>
            </w:tcBorders>
            <w:shd w:val="clear" w:color="auto" w:fill="FFFFFF"/>
          </w:tcPr>
          <w:p w14:paraId="29F92C13" w14:textId="77777777" w:rsidR="00F35B5A" w:rsidRDefault="00000000">
            <w:pPr>
              <w:spacing w:after="0" w:line="240" w:lineRule="auto"/>
            </w:pPr>
            <w:r>
              <w:t>Customer trust</w:t>
            </w:r>
          </w:p>
        </w:tc>
        <w:tc>
          <w:tcPr>
            <w:tcW w:w="6336" w:type="dxa"/>
            <w:tcBorders>
              <w:top w:val="single" w:sz="3" w:space="0" w:color="D9D9D9"/>
              <w:left w:val="single" w:sz="3" w:space="0" w:color="D9D9D9"/>
              <w:bottom w:val="single" w:sz="3" w:space="0" w:color="D9D9D9"/>
              <w:right w:val="single" w:sz="3" w:space="0" w:color="D9D9D9"/>
            </w:tcBorders>
            <w:shd w:val="clear" w:color="auto" w:fill="FFFFFF"/>
          </w:tcPr>
          <w:p w14:paraId="571C9C62" w14:textId="77777777" w:rsidR="00F35B5A" w:rsidRDefault="00000000">
            <w:pPr>
              <w:spacing w:after="0" w:line="240" w:lineRule="auto"/>
            </w:pPr>
            <w:r>
              <w:t>Reduce complaint rate by 15% by Year 2 and improve NPS by 5 points.</w:t>
            </w:r>
          </w:p>
        </w:tc>
        <w:tc>
          <w:tcPr>
            <w:tcW w:w="2304" w:type="dxa"/>
            <w:tcBorders>
              <w:top w:val="single" w:sz="3" w:space="0" w:color="D9D9D9"/>
              <w:left w:val="single" w:sz="3" w:space="0" w:color="D9D9D9"/>
              <w:bottom w:val="single" w:sz="3" w:space="0" w:color="D9D9D9"/>
              <w:right w:val="single" w:sz="3" w:space="0" w:color="D9D9D9"/>
            </w:tcBorders>
            <w:shd w:val="clear" w:color="auto" w:fill="FFFFFF"/>
          </w:tcPr>
          <w:p w14:paraId="7FA84060" w14:textId="77777777" w:rsidR="00F35B5A" w:rsidRDefault="00000000">
            <w:pPr>
              <w:spacing w:after="0" w:line="240" w:lineRule="auto"/>
            </w:pPr>
            <w:r>
              <w:t>Monthly; Customer Director</w:t>
            </w:r>
          </w:p>
        </w:tc>
      </w:tr>
      <w:tr w:rsidR="00F35B5A" w14:paraId="4FBAFD00" w14:textId="77777777">
        <w:trPr>
          <w:cantSplit/>
          <w:jc w:val="center"/>
        </w:trPr>
        <w:tc>
          <w:tcPr>
            <w:tcW w:w="1872" w:type="dxa"/>
            <w:tcBorders>
              <w:top w:val="single" w:sz="3" w:space="0" w:color="D9D9D9"/>
              <w:left w:val="single" w:sz="3" w:space="0" w:color="D9D9D9"/>
              <w:bottom w:val="single" w:sz="3" w:space="0" w:color="D9D9D9"/>
              <w:right w:val="single" w:sz="3" w:space="0" w:color="D9D9D9"/>
            </w:tcBorders>
            <w:shd w:val="clear" w:color="auto" w:fill="F2F2F2"/>
          </w:tcPr>
          <w:p w14:paraId="38D253A2" w14:textId="77777777" w:rsidR="00F35B5A" w:rsidRDefault="00000000">
            <w:pPr>
              <w:spacing w:after="0" w:line="240" w:lineRule="auto"/>
            </w:pPr>
            <w:r>
              <w:t>Service delivery</w:t>
            </w:r>
          </w:p>
        </w:tc>
        <w:tc>
          <w:tcPr>
            <w:tcW w:w="6336" w:type="dxa"/>
            <w:tcBorders>
              <w:top w:val="single" w:sz="3" w:space="0" w:color="D9D9D9"/>
              <w:left w:val="single" w:sz="3" w:space="0" w:color="D9D9D9"/>
              <w:bottom w:val="single" w:sz="3" w:space="0" w:color="D9D9D9"/>
              <w:right w:val="single" w:sz="3" w:space="0" w:color="D9D9D9"/>
            </w:tcBorders>
            <w:shd w:val="clear" w:color="auto" w:fill="F2F2F2"/>
          </w:tcPr>
          <w:p w14:paraId="77DF4C7C" w14:textId="77777777" w:rsidR="00F35B5A" w:rsidRDefault="00000000">
            <w:pPr>
              <w:spacing w:after="0" w:line="240" w:lineRule="auto"/>
            </w:pPr>
            <w:r>
              <w:t>Reduce resolution time by 20% within 18 months and maintain the agreed availability threshold.</w:t>
            </w:r>
          </w:p>
        </w:tc>
        <w:tc>
          <w:tcPr>
            <w:tcW w:w="2304" w:type="dxa"/>
            <w:tcBorders>
              <w:top w:val="single" w:sz="3" w:space="0" w:color="D9D9D9"/>
              <w:left w:val="single" w:sz="3" w:space="0" w:color="D9D9D9"/>
              <w:bottom w:val="single" w:sz="3" w:space="0" w:color="D9D9D9"/>
              <w:right w:val="single" w:sz="3" w:space="0" w:color="D9D9D9"/>
            </w:tcBorders>
            <w:shd w:val="clear" w:color="auto" w:fill="F2F2F2"/>
          </w:tcPr>
          <w:p w14:paraId="4C861AB2" w14:textId="77777777" w:rsidR="00F35B5A" w:rsidRDefault="00000000">
            <w:pPr>
              <w:spacing w:after="0" w:line="240" w:lineRule="auto"/>
            </w:pPr>
            <w:r>
              <w:t>Monthly; COO</w:t>
            </w:r>
          </w:p>
        </w:tc>
      </w:tr>
      <w:tr w:rsidR="00F35B5A" w14:paraId="68479127" w14:textId="77777777">
        <w:trPr>
          <w:cantSplit/>
          <w:jc w:val="center"/>
        </w:trPr>
        <w:tc>
          <w:tcPr>
            <w:tcW w:w="1872" w:type="dxa"/>
            <w:tcBorders>
              <w:top w:val="single" w:sz="3" w:space="0" w:color="D9D9D9"/>
              <w:left w:val="single" w:sz="3" w:space="0" w:color="D9D9D9"/>
              <w:bottom w:val="single" w:sz="3" w:space="0" w:color="D9D9D9"/>
              <w:right w:val="single" w:sz="3" w:space="0" w:color="D9D9D9"/>
            </w:tcBorders>
            <w:shd w:val="clear" w:color="auto" w:fill="FFFFFF"/>
          </w:tcPr>
          <w:p w14:paraId="5388B6C6" w14:textId="77777777" w:rsidR="00F35B5A" w:rsidRDefault="00000000">
            <w:pPr>
              <w:spacing w:after="0" w:line="240" w:lineRule="auto"/>
            </w:pPr>
            <w:r>
              <w:t>Regulation</w:t>
            </w:r>
          </w:p>
        </w:tc>
        <w:tc>
          <w:tcPr>
            <w:tcW w:w="6336" w:type="dxa"/>
            <w:tcBorders>
              <w:top w:val="single" w:sz="3" w:space="0" w:color="D9D9D9"/>
              <w:left w:val="single" w:sz="3" w:space="0" w:color="D9D9D9"/>
              <w:bottom w:val="single" w:sz="3" w:space="0" w:color="D9D9D9"/>
              <w:right w:val="single" w:sz="3" w:space="0" w:color="D9D9D9"/>
            </w:tcBorders>
            <w:shd w:val="clear" w:color="auto" w:fill="FFFFFF"/>
          </w:tcPr>
          <w:p w14:paraId="3ED8B899" w14:textId="77777777" w:rsidR="00F35B5A" w:rsidRDefault="00000000">
            <w:pPr>
              <w:spacing w:after="0" w:line="240" w:lineRule="auto"/>
            </w:pPr>
            <w:r>
              <w:t>Meet 100% of applicable CMA and Ofcom deadlines.</w:t>
            </w:r>
          </w:p>
        </w:tc>
        <w:tc>
          <w:tcPr>
            <w:tcW w:w="2304" w:type="dxa"/>
            <w:tcBorders>
              <w:top w:val="single" w:sz="3" w:space="0" w:color="D9D9D9"/>
              <w:left w:val="single" w:sz="3" w:space="0" w:color="D9D9D9"/>
              <w:bottom w:val="single" w:sz="3" w:space="0" w:color="D9D9D9"/>
              <w:right w:val="single" w:sz="3" w:space="0" w:color="D9D9D9"/>
            </w:tcBorders>
            <w:shd w:val="clear" w:color="auto" w:fill="FFFFFF"/>
          </w:tcPr>
          <w:p w14:paraId="1B2EAA4A" w14:textId="77777777" w:rsidR="00F35B5A" w:rsidRDefault="00000000">
            <w:pPr>
              <w:spacing w:after="0" w:line="240" w:lineRule="auto"/>
            </w:pPr>
            <w:r>
              <w:t>Quarterly; General Counsel</w:t>
            </w:r>
          </w:p>
        </w:tc>
      </w:tr>
      <w:tr w:rsidR="00F35B5A" w14:paraId="0DECC16D" w14:textId="77777777">
        <w:trPr>
          <w:cantSplit/>
          <w:jc w:val="center"/>
        </w:trPr>
        <w:tc>
          <w:tcPr>
            <w:tcW w:w="1872" w:type="dxa"/>
            <w:tcBorders>
              <w:top w:val="single" w:sz="3" w:space="0" w:color="D9D9D9"/>
              <w:left w:val="single" w:sz="3" w:space="0" w:color="D9D9D9"/>
              <w:bottom w:val="single" w:sz="3" w:space="0" w:color="D9D9D9"/>
              <w:right w:val="single" w:sz="3" w:space="0" w:color="D9D9D9"/>
            </w:tcBorders>
            <w:shd w:val="clear" w:color="auto" w:fill="F2F2F2"/>
          </w:tcPr>
          <w:p w14:paraId="1C986ED2" w14:textId="77777777" w:rsidR="00F35B5A" w:rsidRDefault="00000000">
            <w:pPr>
              <w:spacing w:after="0" w:line="240" w:lineRule="auto"/>
            </w:pPr>
            <w:r>
              <w:t>Enterprise growth</w:t>
            </w:r>
          </w:p>
        </w:tc>
        <w:tc>
          <w:tcPr>
            <w:tcW w:w="6336" w:type="dxa"/>
            <w:tcBorders>
              <w:top w:val="single" w:sz="3" w:space="0" w:color="D9D9D9"/>
              <w:left w:val="single" w:sz="3" w:space="0" w:color="D9D9D9"/>
              <w:bottom w:val="single" w:sz="3" w:space="0" w:color="D9D9D9"/>
              <w:right w:val="single" w:sz="3" w:space="0" w:color="D9D9D9"/>
            </w:tcBorders>
            <w:shd w:val="clear" w:color="auto" w:fill="F2F2F2"/>
          </w:tcPr>
          <w:p w14:paraId="1EE0261D" w14:textId="77777777" w:rsidR="00F35B5A" w:rsidRDefault="00000000">
            <w:pPr>
              <w:spacing w:after="0" w:line="240" w:lineRule="auto"/>
            </w:pPr>
            <w:r>
              <w:t>Target 8% annual B2B digital growth by Year 3 and 30% pilot-to-contract conversion.</w:t>
            </w:r>
          </w:p>
        </w:tc>
        <w:tc>
          <w:tcPr>
            <w:tcW w:w="2304" w:type="dxa"/>
            <w:tcBorders>
              <w:top w:val="single" w:sz="3" w:space="0" w:color="D9D9D9"/>
              <w:left w:val="single" w:sz="3" w:space="0" w:color="D9D9D9"/>
              <w:bottom w:val="single" w:sz="3" w:space="0" w:color="D9D9D9"/>
              <w:right w:val="single" w:sz="3" w:space="0" w:color="D9D9D9"/>
            </w:tcBorders>
            <w:shd w:val="clear" w:color="auto" w:fill="F2F2F2"/>
          </w:tcPr>
          <w:p w14:paraId="1822E660" w14:textId="77777777" w:rsidR="00F35B5A" w:rsidRDefault="00000000">
            <w:pPr>
              <w:spacing w:after="0" w:line="240" w:lineRule="auto"/>
            </w:pPr>
            <w:r>
              <w:t>Quarterly; Business Director</w:t>
            </w:r>
          </w:p>
        </w:tc>
      </w:tr>
      <w:tr w:rsidR="00F35B5A" w14:paraId="68AD1D58" w14:textId="77777777">
        <w:trPr>
          <w:cantSplit/>
          <w:jc w:val="center"/>
        </w:trPr>
        <w:tc>
          <w:tcPr>
            <w:tcW w:w="1872" w:type="dxa"/>
            <w:tcBorders>
              <w:top w:val="single" w:sz="3" w:space="0" w:color="D9D9D9"/>
              <w:left w:val="single" w:sz="3" w:space="0" w:color="D9D9D9"/>
              <w:bottom w:val="single" w:sz="3" w:space="0" w:color="D9D9D9"/>
              <w:right w:val="single" w:sz="3" w:space="0" w:color="D9D9D9"/>
            </w:tcBorders>
            <w:shd w:val="clear" w:color="auto" w:fill="FFFFFF"/>
          </w:tcPr>
          <w:p w14:paraId="4EC53030" w14:textId="77777777" w:rsidR="00F35B5A" w:rsidRDefault="00000000">
            <w:pPr>
              <w:spacing w:after="0" w:line="240" w:lineRule="auto"/>
            </w:pPr>
            <w:r>
              <w:t>People</w:t>
            </w:r>
          </w:p>
        </w:tc>
        <w:tc>
          <w:tcPr>
            <w:tcW w:w="6336" w:type="dxa"/>
            <w:tcBorders>
              <w:top w:val="single" w:sz="3" w:space="0" w:color="D9D9D9"/>
              <w:left w:val="single" w:sz="3" w:space="0" w:color="D9D9D9"/>
              <w:bottom w:val="single" w:sz="3" w:space="0" w:color="D9D9D9"/>
              <w:right w:val="single" w:sz="3" w:space="0" w:color="D9D9D9"/>
            </w:tcBorders>
            <w:shd w:val="clear" w:color="auto" w:fill="FFFFFF"/>
          </w:tcPr>
          <w:p w14:paraId="7DD6871D" w14:textId="77777777" w:rsidR="00F35B5A" w:rsidRDefault="00000000">
            <w:pPr>
              <w:spacing w:after="0" w:line="240" w:lineRule="auto"/>
            </w:pPr>
            <w:r>
              <w:t>Keep critical-role attrition below 10% and improve engagement year on year.</w:t>
            </w:r>
          </w:p>
        </w:tc>
        <w:tc>
          <w:tcPr>
            <w:tcW w:w="2304" w:type="dxa"/>
            <w:tcBorders>
              <w:top w:val="single" w:sz="3" w:space="0" w:color="D9D9D9"/>
              <w:left w:val="single" w:sz="3" w:space="0" w:color="D9D9D9"/>
              <w:bottom w:val="single" w:sz="3" w:space="0" w:color="D9D9D9"/>
              <w:right w:val="single" w:sz="3" w:space="0" w:color="D9D9D9"/>
            </w:tcBorders>
            <w:shd w:val="clear" w:color="auto" w:fill="FFFFFF"/>
          </w:tcPr>
          <w:p w14:paraId="2A0A5008" w14:textId="77777777" w:rsidR="00F35B5A" w:rsidRDefault="00000000">
            <w:pPr>
              <w:spacing w:after="0" w:line="240" w:lineRule="auto"/>
            </w:pPr>
            <w:r>
              <w:t>Quarterly; People Director</w:t>
            </w:r>
          </w:p>
        </w:tc>
      </w:tr>
      <w:tr w:rsidR="00F35B5A" w14:paraId="50A05A95" w14:textId="77777777">
        <w:trPr>
          <w:cantSplit/>
          <w:jc w:val="center"/>
        </w:trPr>
        <w:tc>
          <w:tcPr>
            <w:tcW w:w="1872" w:type="dxa"/>
            <w:tcBorders>
              <w:top w:val="single" w:sz="3" w:space="0" w:color="D9D9D9"/>
              <w:left w:val="single" w:sz="3" w:space="0" w:color="D9D9D9"/>
              <w:bottom w:val="single" w:sz="3" w:space="0" w:color="D9D9D9"/>
              <w:right w:val="single" w:sz="3" w:space="0" w:color="D9D9D9"/>
            </w:tcBorders>
            <w:shd w:val="clear" w:color="auto" w:fill="F2F2F2"/>
          </w:tcPr>
          <w:p w14:paraId="544B9C06" w14:textId="77777777" w:rsidR="00F35B5A" w:rsidRDefault="00000000">
            <w:pPr>
              <w:spacing w:after="0" w:line="240" w:lineRule="auto"/>
            </w:pPr>
            <w:r>
              <w:t>Environment and cyber</w:t>
            </w:r>
          </w:p>
        </w:tc>
        <w:tc>
          <w:tcPr>
            <w:tcW w:w="6336" w:type="dxa"/>
            <w:tcBorders>
              <w:top w:val="single" w:sz="3" w:space="0" w:color="D9D9D9"/>
              <w:left w:val="single" w:sz="3" w:space="0" w:color="D9D9D9"/>
              <w:bottom w:val="single" w:sz="3" w:space="0" w:color="D9D9D9"/>
              <w:right w:val="single" w:sz="3" w:space="0" w:color="D9D9D9"/>
            </w:tcBorders>
            <w:shd w:val="clear" w:color="auto" w:fill="F2F2F2"/>
          </w:tcPr>
          <w:p w14:paraId="73AD70F6" w14:textId="77777777" w:rsidR="00F35B5A" w:rsidRDefault="00000000">
            <w:pPr>
              <w:spacing w:after="0" w:line="240" w:lineRule="auto"/>
            </w:pPr>
            <w:r>
              <w:t>Reduce energy per data unit by 10% by Year 3 and test cyber recovery twice yearly.</w:t>
            </w:r>
          </w:p>
        </w:tc>
        <w:tc>
          <w:tcPr>
            <w:tcW w:w="2304" w:type="dxa"/>
            <w:tcBorders>
              <w:top w:val="single" w:sz="3" w:space="0" w:color="D9D9D9"/>
              <w:left w:val="single" w:sz="3" w:space="0" w:color="D9D9D9"/>
              <w:bottom w:val="single" w:sz="3" w:space="0" w:color="D9D9D9"/>
              <w:right w:val="single" w:sz="3" w:space="0" w:color="D9D9D9"/>
            </w:tcBorders>
            <w:shd w:val="clear" w:color="auto" w:fill="F2F2F2"/>
          </w:tcPr>
          <w:p w14:paraId="5FD384F3" w14:textId="77777777" w:rsidR="00F35B5A" w:rsidRDefault="00000000">
            <w:pPr>
              <w:spacing w:after="0" w:line="240" w:lineRule="auto"/>
            </w:pPr>
            <w:r>
              <w:t>Quarterly; CTO/CISO</w:t>
            </w:r>
          </w:p>
        </w:tc>
      </w:tr>
    </w:tbl>
    <w:p w14:paraId="32BFED15" w14:textId="77777777" w:rsidR="00F35B5A" w:rsidRDefault="00F35B5A">
      <w:pPr>
        <w:spacing w:after="0"/>
      </w:pPr>
    </w:p>
    <w:p w14:paraId="07F70823" w14:textId="77777777" w:rsidR="00F35B5A" w:rsidRDefault="00000000">
      <w:pPr>
        <w:pStyle w:val="BodyText"/>
      </w:pPr>
      <w:r>
        <w:t>The balanced scorecard should combine financial, customer, network, people, regulatory and ESG measures. Rising complaints, missed obligations, critical-role attrition, supplier vulnerabilities, weak pilot conversion or worsening energy intensity require a named owner and corrective action; synergy delivery alone is not success.</w:t>
      </w:r>
    </w:p>
    <w:p w14:paraId="2AFFE176" w14:textId="77777777" w:rsidR="00F35B5A" w:rsidRDefault="00000000">
      <w:pPr>
        <w:pStyle w:val="Heading1"/>
        <w:spacing w:before="200"/>
      </w:pPr>
      <w:bookmarkStart w:id="13" w:name="conclusion"/>
      <w:r>
        <w:lastRenderedPageBreak/>
        <w:t>7. Conclusion</w:t>
      </w:r>
      <w:bookmarkEnd w:id="13"/>
    </w:p>
    <w:p w14:paraId="35792EEE" w14:textId="77777777" w:rsidR="00F35B5A" w:rsidRDefault="00000000">
      <w:pPr>
        <w:pStyle w:val="BodyText"/>
        <w:keepLines/>
      </w:pPr>
      <w:r>
        <w:t>VodafoneThree has the assets to strengthen Vodafone’s UK position, but the analysis does not support the assumption that scale alone will produce advantage. Government policy encourages advanced connectivity, while rivalry, buyer power, regulatory commitments and cyber exposure constrain how that opportunity can be exploited. Competing mainly through lower prices would be easy to imitate and could weaken the investment case.</w:t>
      </w:r>
    </w:p>
    <w:p w14:paraId="050A29BF" w14:textId="77777777" w:rsidR="00F35B5A" w:rsidRDefault="00000000">
      <w:pPr>
        <w:pStyle w:val="BodyText"/>
      </w:pPr>
      <w:r>
        <w:t>The stronger direction is responsible differentiation: translate the merged network into verifiable coverage, resilience and secure solutions for enterprises and SMEs, while improving customer service and price transparency. Comparative SFA supports this option when it incorporates customer-trust renewal and integration controls. With stage-gated funding, explicit assumptions and measurable stakeholder outcomes, the strategy offers a credible balance between growth, operational feasibility and long-term legitimacy.</w:t>
      </w:r>
    </w:p>
    <w:p w14:paraId="71F02A39" w14:textId="77777777" w:rsidR="00F35B5A" w:rsidRDefault="00000000">
      <w:r>
        <w:br w:type="page"/>
      </w:r>
    </w:p>
    <w:p w14:paraId="2590C27F" w14:textId="77777777" w:rsidR="00F35B5A" w:rsidRDefault="00000000">
      <w:pPr>
        <w:pStyle w:val="Heading1"/>
        <w:spacing w:before="200"/>
      </w:pPr>
      <w:bookmarkStart w:id="14" w:name="exec_summary"/>
      <w:r>
        <w:lastRenderedPageBreak/>
        <w:t>Executive Summary</w:t>
      </w:r>
      <w:bookmarkEnd w:id="14"/>
    </w:p>
    <w:p w14:paraId="3D824A4B" w14:textId="77777777" w:rsidR="00F35B5A" w:rsidRDefault="00000000">
      <w:pPr>
        <w:pStyle w:val="BodyText"/>
      </w:pPr>
      <w:r>
        <w:t>The Vodafone–Three combination gives the new UK business more spectrum, broader infrastructure and a ten-year investment commitment. Those assets create potential, not an automatic competitive advantage. Management must integrate two organisations while EE and Virgin Media O2 advance their own 5G Standalone programmes, customers remain price sensitive, and regulators expect the merger to produce visible public benefits. The strategic issue is therefore how to turn scale into growth without trading away trust, service quality or resilience.</w:t>
      </w:r>
    </w:p>
    <w:p w14:paraId="4A68F603" w14:textId="77777777" w:rsidR="00F35B5A" w:rsidRDefault="00000000">
      <w:pPr>
        <w:pStyle w:val="BodyText"/>
      </w:pPr>
      <w:r>
        <w:t>This report recommends responsible network and enterprise differentiation, supported by a customer-trust programme. The £11 billion build should be used to improve coverage and reliability, while new income is developed through private 5G, secure IoT, cybersecurity, fixed wireless access and sector-specific managed connectivity. The customer proposition should combine transparent pricing, fewer not-spots and faster problem resolution. Competing only on price was rejected because discounts are easily copied and would weaken the ability to fund long-term network improvement.</w:t>
      </w:r>
    </w:p>
    <w:p w14:paraId="37B2B7F8" w14:textId="77777777" w:rsidR="00F35B5A" w:rsidRDefault="00000000">
      <w:pPr>
        <w:pStyle w:val="BodyText"/>
      </w:pPr>
      <w:r>
        <w:t>The recommendation scores strongly against suitability, feasibility and acceptability, although none of these tests is risk free. Funding, spectrum and supplier agreements support delivery, but system integration, workforce capability and slower-than-expected enterprise adoption could delay returns. The board should approve the strategy through stage gates, test the commercial assumptions through pilots and monitor a balanced set of financial, customer, network, people, regulatory, cyber and environmental indicators.</w:t>
      </w:r>
    </w:p>
    <w:tbl>
      <w:tblPr>
        <w:tblW w:w="0" w:type="auto"/>
        <w:jc w:val="center"/>
        <w:tblLayout w:type="fixed"/>
        <w:tblLook w:val="04A0" w:firstRow="1" w:lastRow="0" w:firstColumn="1" w:lastColumn="0" w:noHBand="0" w:noVBand="1"/>
      </w:tblPr>
      <w:tblGrid>
        <w:gridCol w:w="9792"/>
      </w:tblGrid>
      <w:tr w:rsidR="00F35B5A" w14:paraId="4A3D0588" w14:textId="77777777">
        <w:trPr>
          <w:jc w:val="center"/>
        </w:trPr>
        <w:tc>
          <w:tcPr>
            <w:tcW w:w="9792" w:type="dxa"/>
            <w:tcBorders>
              <w:top w:val="single" w:sz="8" w:space="0" w:color="E60000"/>
              <w:left w:val="single" w:sz="8" w:space="0" w:color="E60000"/>
              <w:bottom w:val="single" w:sz="8" w:space="0" w:color="E60000"/>
              <w:right w:val="single" w:sz="8" w:space="0" w:color="E60000"/>
            </w:tcBorders>
            <w:shd w:val="clear" w:color="auto" w:fill="FCE8E8"/>
          </w:tcPr>
          <w:p w14:paraId="5E4867A1" w14:textId="77777777" w:rsidR="00F35B5A" w:rsidRDefault="00000000">
            <w:pPr>
              <w:spacing w:after="60"/>
            </w:pPr>
            <w:r>
              <w:rPr>
                <w:b/>
                <w:color w:val="E60000"/>
              </w:rPr>
              <w:t>Board recommendation</w:t>
            </w:r>
          </w:p>
          <w:p w14:paraId="1ABC70B8" w14:textId="77777777" w:rsidR="00F35B5A" w:rsidRDefault="00000000">
            <w:pPr>
              <w:pStyle w:val="BodyText"/>
              <w:spacing w:after="40"/>
            </w:pPr>
            <w:r>
              <w:t>Use the merger to build trusted network leadership and monetise it through secure enterprise and SME solutions. Customer fairness, employee impact, cybersecurity and environmental performance should influence investment decisions from the outset, rather than being added later as separate CSR activity.</w:t>
            </w:r>
          </w:p>
        </w:tc>
      </w:tr>
    </w:tbl>
    <w:p w14:paraId="2209FF36" w14:textId="77777777" w:rsidR="00F35B5A" w:rsidRDefault="00000000">
      <w:r>
        <w:br w:type="page"/>
      </w:r>
    </w:p>
    <w:p w14:paraId="7490750F" w14:textId="77777777" w:rsidR="00F35B5A" w:rsidRDefault="00000000">
      <w:pPr>
        <w:pStyle w:val="Heading1"/>
        <w:spacing w:before="200"/>
      </w:pPr>
      <w:bookmarkStart w:id="15" w:name="references"/>
      <w:r>
        <w:lastRenderedPageBreak/>
        <w:t>References</w:t>
      </w:r>
      <w:bookmarkEnd w:id="15"/>
    </w:p>
    <w:p w14:paraId="64E7B45D" w14:textId="77777777" w:rsidR="00F35B5A" w:rsidRDefault="00000000">
      <w:pPr>
        <w:pStyle w:val="Reference"/>
      </w:pPr>
      <w:r>
        <w:t>Ansoff, H.I. (1957) ‘Strategies for diversification’, Harvard Business Review, 35(5), pp. 113–124.</w:t>
      </w:r>
    </w:p>
    <w:p w14:paraId="27FF2DA0" w14:textId="77777777" w:rsidR="00F35B5A" w:rsidRDefault="00000000">
      <w:pPr>
        <w:pStyle w:val="Reference"/>
      </w:pPr>
      <w:r>
        <w:t>BT Group (2025) Millions get mobile network boost as EE expands 5G Standalone for the UK. Available at: https://newsroom.bt.com/millions-get-mobile-network-boost-as-ee-expands-5g-standalone-for-the-uk/ (Accessed: 10 July 2026).</w:t>
      </w:r>
    </w:p>
    <w:p w14:paraId="038624CD" w14:textId="77777777" w:rsidR="00F35B5A" w:rsidRDefault="00000000">
      <w:pPr>
        <w:pStyle w:val="Reference"/>
      </w:pPr>
      <w:r>
        <w:t>Carroll, A.B. (1991) ‘The pyramid of corporate social responsibility: Toward the moral management of organizational stakeholders’, Business Horizons, 34(4), pp. 39–48. doi: 10.1016/0007-6813(91)90005-G.</w:t>
      </w:r>
    </w:p>
    <w:p w14:paraId="4C3E7F80" w14:textId="77777777" w:rsidR="00F35B5A" w:rsidRDefault="00000000">
      <w:pPr>
        <w:pStyle w:val="Reference"/>
      </w:pPr>
      <w:r>
        <w:t>Competition and Markets Authority (2024) CMA clears Vodafone / Three merger, subject to legally binding commitments. Available at: https://www.gov.uk/government/news/cma-clears-vodafone-three-merger-subject-to-legally-binding-commitments (Accessed: 10 July 2026).</w:t>
      </w:r>
    </w:p>
    <w:p w14:paraId="14AE1FBA" w14:textId="77777777" w:rsidR="00F35B5A" w:rsidRDefault="00000000">
      <w:pPr>
        <w:pStyle w:val="Reference"/>
      </w:pPr>
      <w:r>
        <w:t>Competition and Markets Authority (2025) Vodafone / CK Hutchison JV merger inquiry. Available at: https://www.gov.uk/cma-cases/vodafone-slash-ck-hutchison-jv-merger-inquiry (Accessed: 10 July 2026).</w:t>
      </w:r>
    </w:p>
    <w:p w14:paraId="7703EE52" w14:textId="77777777" w:rsidR="00F35B5A" w:rsidRDefault="00000000">
      <w:pPr>
        <w:pStyle w:val="Reference"/>
      </w:pPr>
      <w:r>
        <w:t>Department for Science, Innovation and Technology (2023) UK Wireless Infrastructure Strategy. Available at: https://www.gov.uk/government/publications/uk-wireless-infrastructure-strategy/uk-wireless-infrastructure-strategy (Accessed: 10 July 2026).</w:t>
      </w:r>
    </w:p>
    <w:p w14:paraId="6CDAB221" w14:textId="77777777" w:rsidR="00F35B5A" w:rsidRDefault="00000000">
      <w:pPr>
        <w:pStyle w:val="Reference"/>
      </w:pPr>
      <w:r>
        <w:t>Freeman, R.E. (1984) Strategic Management: A Stakeholder Approach. Boston: Pitman.</w:t>
      </w:r>
    </w:p>
    <w:p w14:paraId="1CF07D06" w14:textId="77777777" w:rsidR="00F35B5A" w:rsidRDefault="00000000">
      <w:pPr>
        <w:pStyle w:val="Reference"/>
      </w:pPr>
      <w:r>
        <w:t>HM Government (2025a) Kickstarting economic growth. Available at: https://www.gov.uk/missions/economic-growth (Accessed: 10 July 2026).</w:t>
      </w:r>
    </w:p>
    <w:p w14:paraId="50F90B59" w14:textId="77777777" w:rsidR="00F35B5A" w:rsidRDefault="00000000">
      <w:pPr>
        <w:pStyle w:val="Reference"/>
      </w:pPr>
      <w:r>
        <w:t>HM Government (2025b) Making the UK the best place to do business: Modern Industrial Strategy set to deepen global collaboration. Available at: https://www.gov.uk/government/news/making-the-uk-the-best-place-to-do-business-modern-industrial-strategy-set-to-deepen-global-collaboration (Accessed: 10 July 2026).</w:t>
      </w:r>
    </w:p>
    <w:p w14:paraId="7D3529B3" w14:textId="77777777" w:rsidR="00F35B5A" w:rsidRDefault="00000000">
      <w:pPr>
        <w:pStyle w:val="Reference"/>
      </w:pPr>
      <w:r>
        <w:t>Johnson, G., Scholes, K. and Whittington, R. (2008) Exploring Corporate Strategy. 8th edn. Harlow: Pearson Education.</w:t>
      </w:r>
    </w:p>
    <w:p w14:paraId="7B8DA618" w14:textId="77777777" w:rsidR="00F35B5A" w:rsidRDefault="00000000">
      <w:pPr>
        <w:pStyle w:val="Reference"/>
      </w:pPr>
      <w:r>
        <w:t>National Cyber Security Centre (2025) Defending the UK’s critical national infrastructure. Available at: https://www.ncsc.gov.uk/collection/ncsc-annual-review-2025/chapter-02-resilience-at-scale/defending-the-uks-critical-national-infrastructure (Accessed: 10 July 2026).</w:t>
      </w:r>
    </w:p>
    <w:p w14:paraId="0429E07B" w14:textId="77777777" w:rsidR="00F35B5A" w:rsidRDefault="00000000">
      <w:pPr>
        <w:pStyle w:val="Reference"/>
      </w:pPr>
      <w:r>
        <w:t>Ofcom (2024a) Ofcom bans mid-contract price rises linked to inflation. Available at: https://www.ofcom.org.uk/phones-and-broadband/bills-and-charges/ofcom-bans-mid-contract-price-rises-linked-to-inflation (Accessed: 10 July 2026).</w:t>
      </w:r>
    </w:p>
    <w:p w14:paraId="5595889A" w14:textId="77777777" w:rsidR="00F35B5A" w:rsidRDefault="00000000">
      <w:pPr>
        <w:pStyle w:val="Reference"/>
      </w:pPr>
      <w:r>
        <w:t>Ofcom (2024b) Connected Nations 2024. Available at: https://www.ofcom.org.uk/phones-and-broadband/coverage-and-speeds/connected-nations-2024 (Accessed: 10 July 2026).</w:t>
      </w:r>
    </w:p>
    <w:p w14:paraId="64A66571" w14:textId="77777777" w:rsidR="00F35B5A" w:rsidRDefault="00000000">
      <w:pPr>
        <w:pStyle w:val="Reference"/>
      </w:pPr>
      <w:r>
        <w:lastRenderedPageBreak/>
        <w:t>Ofcom (2025a) Comparing customer service report 2025. Available at: https://www.ofcom.org.uk/siteassets/resources/documents/phones-telecoms-and-internet/comparing-service-quality/2025/comparing-customer-service-report-2025.pdf (Accessed: 10 July 2026).</w:t>
      </w:r>
    </w:p>
    <w:p w14:paraId="5E8E96A9" w14:textId="77777777" w:rsidR="00F35B5A" w:rsidRDefault="00000000">
      <w:pPr>
        <w:pStyle w:val="Reference"/>
      </w:pPr>
      <w:r>
        <w:t>Porter, M.E. (1979) ‘How competitive forces shape strategy’, Harvard Business Review, 57(2), pp. 137–145.</w:t>
      </w:r>
    </w:p>
    <w:p w14:paraId="1F36BFD7" w14:textId="77777777" w:rsidR="00F35B5A" w:rsidRDefault="00000000">
      <w:pPr>
        <w:pStyle w:val="Reference"/>
      </w:pPr>
      <w:r>
        <w:t>Porter, M.E. (1985) Competitive Advantage: Creating and Sustaining Superior Performance. New York: Free Press.</w:t>
      </w:r>
    </w:p>
    <w:p w14:paraId="126A6AE8" w14:textId="77777777" w:rsidR="00F35B5A" w:rsidRDefault="00000000">
      <w:pPr>
        <w:pStyle w:val="Reference"/>
      </w:pPr>
      <w:r>
        <w:t>Virgin Media O2 (2025a) Virgin Media O2 to supercharge network reliability with £700m Mobile Transformation Plan. Available at: https://news.virginmediao2.co.uk/virgin-media-o2-to-supercharge-network-reliability-with-700m-mobile-transformation-plan/ (Accessed: 10 July 2026).</w:t>
      </w:r>
    </w:p>
    <w:p w14:paraId="17940AEB" w14:textId="77777777" w:rsidR="00F35B5A" w:rsidRDefault="00000000">
      <w:pPr>
        <w:pStyle w:val="Reference"/>
      </w:pPr>
      <w:r>
        <w:t>Virgin Media O2 (2025b) Virgin Media O2’s next generation 5G Standalone network now available in 500 towns and cities. Available at: https://news.virginmediao2.co.uk/virgin-media-o2s-next-generation-5g-standalone-network-now-available-in-500-towns-and-cities/ (Accessed: 10 July 2026).</w:t>
      </w:r>
    </w:p>
    <w:p w14:paraId="25739B89" w14:textId="77777777" w:rsidR="00F35B5A" w:rsidRDefault="00000000">
      <w:pPr>
        <w:pStyle w:val="Reference"/>
      </w:pPr>
      <w:r>
        <w:t>Vodafone Group Plc (2025a) Annual Report 2025. Available at: https://reports.investors.vodafone.com/view/897876789 (Accessed: 10 July 2026).</w:t>
      </w:r>
    </w:p>
    <w:p w14:paraId="5F229928" w14:textId="77777777" w:rsidR="00F35B5A" w:rsidRDefault="00000000">
      <w:pPr>
        <w:pStyle w:val="Reference"/>
      </w:pPr>
      <w:r>
        <w:t>Vodafone Group Plc (2025b) Completion of Vodafone and Three merger in the UK. Available at: https://www.vodafone.com/news/newsroom/corporate-and-financial/completion-of-vodafone-and-three-merger-in-the-uk (Accessed: 10 July 2026).</w:t>
      </w:r>
    </w:p>
    <w:p w14:paraId="4D5A6AD2" w14:textId="77777777" w:rsidR="00F35B5A" w:rsidRDefault="00000000">
      <w:pPr>
        <w:pStyle w:val="Reference"/>
      </w:pPr>
      <w:r>
        <w:t>Vodafone Group Plc (2025c) Code of conduct. Available at: https://www.vodafone.com/our-company/governance/code-of-conduct (Accessed: 10 July 2026).</w:t>
      </w:r>
    </w:p>
    <w:p w14:paraId="20C0EB95" w14:textId="77777777" w:rsidR="00F35B5A" w:rsidRDefault="00000000">
      <w:pPr>
        <w:pStyle w:val="Reference"/>
      </w:pPr>
      <w:r>
        <w:t>VodafoneThree (2025a) VodafoneThree delivers speed increase for millions of customers. Available at: https://www.vodafonethree.com/news/speed-increase-millions-customers (Accessed: 10 July 2026).</w:t>
      </w:r>
    </w:p>
    <w:p w14:paraId="241A7F2F" w14:textId="77777777" w:rsidR="00F35B5A" w:rsidRDefault="00000000">
      <w:pPr>
        <w:pStyle w:val="Reference"/>
      </w:pPr>
      <w:r>
        <w:t>VodafoneThree (2025b) VodafoneThree signs multibillion pound investment deals to build UK’s best network. Available at: https://www.vodafonethree.com/multibillion-pound-investment-deals-signed-to-build-uk-best-network/ (Accessed: 10 July 2026).</w:t>
      </w:r>
    </w:p>
    <w:sectPr w:rsidR="00F35B5A" w:rsidSect="00034616">
      <w:headerReference w:type="default" r:id="rId9"/>
      <w:footerReference w:type="default" r:id="rId10"/>
      <w:pgSz w:w="12240" w:h="15840"/>
      <w:pgMar w:top="1008" w:right="1224" w:bottom="1008" w:left="122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693BC" w14:textId="77777777" w:rsidR="00FD736E" w:rsidRDefault="00FD736E">
      <w:pPr>
        <w:spacing w:after="0" w:line="240" w:lineRule="auto"/>
      </w:pPr>
      <w:r>
        <w:separator/>
      </w:r>
    </w:p>
  </w:endnote>
  <w:endnote w:type="continuationSeparator" w:id="0">
    <w:p w14:paraId="244EB2B3" w14:textId="77777777" w:rsidR="00FD736E" w:rsidRDefault="00FD7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E8B6D" w14:textId="77777777" w:rsidR="00F35B5A" w:rsidRDefault="00000000">
    <w:pPr>
      <w:pStyle w:val="Footer"/>
      <w:jc w:val="center"/>
    </w:pPr>
    <w:r>
      <w:rPr>
        <w:color w:val="666666"/>
        <w:sz w:val="18"/>
      </w:rPr>
      <w:fldChar w:fldCharType="begin"/>
    </w:r>
    <w:r>
      <w:rPr>
        <w:color w:val="666666"/>
        <w:sz w:val="18"/>
      </w:rPr>
      <w:instrText xml:space="preserve"> PAGE </w:instrText>
    </w:r>
    <w:r>
      <w:rPr>
        <w:color w:val="666666"/>
        <w:sz w:val="18"/>
      </w:rPr>
      <w:fldChar w:fldCharType="separate"/>
    </w:r>
    <w:r w:rsidR="00603BB8">
      <w:rPr>
        <w:noProof/>
        <w:color w:val="666666"/>
        <w:sz w:val="18"/>
      </w:rPr>
      <w:t>i</w:t>
    </w:r>
    <w:r>
      <w:rPr>
        <w:color w:val="666666"/>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A494" w14:textId="77777777" w:rsidR="00F35B5A" w:rsidRDefault="00000000">
    <w:pPr>
      <w:pStyle w:val="Footer"/>
      <w:jc w:val="center"/>
    </w:pPr>
    <w:r>
      <w:rPr>
        <w:color w:val="666666"/>
        <w:sz w:val="18"/>
      </w:rPr>
      <w:fldChar w:fldCharType="begin"/>
    </w:r>
    <w:r>
      <w:rPr>
        <w:color w:val="666666"/>
        <w:sz w:val="18"/>
      </w:rPr>
      <w:instrText xml:space="preserve"> PAGE </w:instrText>
    </w:r>
    <w:r>
      <w:rPr>
        <w:color w:val="666666"/>
        <w:sz w:val="18"/>
      </w:rPr>
      <w:fldChar w:fldCharType="separate"/>
    </w:r>
    <w:r w:rsidR="00603BB8">
      <w:rPr>
        <w:noProof/>
        <w:color w:val="666666"/>
        <w:sz w:val="18"/>
      </w:rPr>
      <w:t>1</w:t>
    </w:r>
    <w:r>
      <w:rPr>
        <w:color w:val="666666"/>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B4B25" w14:textId="77777777" w:rsidR="00FD736E" w:rsidRDefault="00FD736E">
      <w:pPr>
        <w:spacing w:after="0" w:line="240" w:lineRule="auto"/>
      </w:pPr>
      <w:r>
        <w:separator/>
      </w:r>
    </w:p>
  </w:footnote>
  <w:footnote w:type="continuationSeparator" w:id="0">
    <w:p w14:paraId="6226EB51" w14:textId="77777777" w:rsidR="00FD736E" w:rsidRDefault="00FD7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43A0F" w14:textId="77777777" w:rsidR="00F35B5A" w:rsidRDefault="00000000">
    <w:pPr>
      <w:pStyle w:val="Header"/>
      <w:jc w:val="right"/>
    </w:pPr>
    <w:r>
      <w:rPr>
        <w:color w:val="666666"/>
        <w:sz w:val="17"/>
      </w:rPr>
      <w:t>Strategic Growth Report | Vodafone UK / VodafoneThree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5906351">
    <w:abstractNumId w:val="8"/>
  </w:num>
  <w:num w:numId="2" w16cid:durableId="1528254863">
    <w:abstractNumId w:val="6"/>
  </w:num>
  <w:num w:numId="3" w16cid:durableId="2026133546">
    <w:abstractNumId w:val="5"/>
  </w:num>
  <w:num w:numId="4" w16cid:durableId="1898780853">
    <w:abstractNumId w:val="4"/>
  </w:num>
  <w:num w:numId="5" w16cid:durableId="93063742">
    <w:abstractNumId w:val="7"/>
  </w:num>
  <w:num w:numId="6" w16cid:durableId="1438481052">
    <w:abstractNumId w:val="3"/>
  </w:num>
  <w:num w:numId="7" w16cid:durableId="91435968">
    <w:abstractNumId w:val="2"/>
  </w:num>
  <w:num w:numId="8" w16cid:durableId="904535675">
    <w:abstractNumId w:val="1"/>
  </w:num>
  <w:num w:numId="9" w16cid:durableId="581722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0BD3"/>
    <w:rsid w:val="0015074B"/>
    <w:rsid w:val="0029639D"/>
    <w:rsid w:val="00326F90"/>
    <w:rsid w:val="00603BB8"/>
    <w:rsid w:val="00710A58"/>
    <w:rsid w:val="00945262"/>
    <w:rsid w:val="00AA1D8D"/>
    <w:rsid w:val="00B47730"/>
    <w:rsid w:val="00B915C8"/>
    <w:rsid w:val="00CB0664"/>
    <w:rsid w:val="00DC0F89"/>
    <w:rsid w:val="00F35B5A"/>
    <w:rsid w:val="00FC693F"/>
    <w:rsid w:val="00FD73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6E635D"/>
  <w14:defaultImageDpi w14:val="300"/>
  <w15:docId w15:val="{049C377F-E85C-4CFB-A28B-D4E48828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pBdr>
        <w:bottom w:val="single" w:sz="8" w:space="4" w:color="E60000"/>
      </w:pBdr>
      <w:spacing w:before="240" w:after="100"/>
      <w:outlineLvl w:val="0"/>
    </w:pPr>
    <w:rPr>
      <w:rFonts w:asciiTheme="majorHAnsi" w:eastAsiaTheme="majorEastAsia" w:hAnsiTheme="majorHAnsi" w:cstheme="majorBidi"/>
      <w:b/>
      <w:bCs/>
      <w:color w:val="E60000"/>
      <w:sz w:val="34"/>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262626"/>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26262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360" w:lineRule="auto"/>
      <w:jc w:val="both"/>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after="60" w:line="360" w:lineRule="auto"/>
      <w:ind w:left="432" w:hanging="432"/>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4457</Words>
  <Characters>25408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Growth Report for Vodafone UK / VodafoneThree - Executive Summary at End</dc:title>
  <dc:subject>Strategic Management for Business (LCLM6001_BIRM)</dc:subject>
  <dc:creator>Cristian Petrus Dica</dc:creator>
  <cp:keywords>VodafoneThree, strategy, PESTEL, SWOT, TOWS, SFA, CSR, stakeholder analysis</cp:keywords>
  <dc:description>generated by python-docx</dc:description>
  <cp:lastModifiedBy>Dica Cristian</cp:lastModifiedBy>
  <cp:revision>4</cp:revision>
  <dcterms:created xsi:type="dcterms:W3CDTF">2013-12-23T23:15:00Z</dcterms:created>
  <dcterms:modified xsi:type="dcterms:W3CDTF">2026-07-10T13:39:00Z</dcterms:modified>
  <cp:category/>
</cp:coreProperties>
</file>