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2013142772"/>
        <w:docPartObj>
          <w:docPartGallery w:val="Cover Pages"/>
          <w:docPartUnique/>
        </w:docPartObj>
      </w:sdtPr>
      <w:sdtEndPr>
        <w:rPr>
          <w:rFonts w:ascii="Arial" w:eastAsiaTheme="minorHAnsi" w:hAnsi="Arial" w:cs="Arial"/>
          <w:color w:val="auto"/>
          <w:kern w:val="2"/>
          <w:sz w:val="24"/>
          <w:szCs w:val="24"/>
          <w:lang w:val="en-GB"/>
          <w14:ligatures w14:val="standardContextual"/>
        </w:rPr>
      </w:sdtEndPr>
      <w:sdtContent>
        <w:p w14:paraId="6116DAE7" w14:textId="2B8D487B" w:rsidR="00C7023D" w:rsidRDefault="007A23D6">
          <w:pPr>
            <w:pStyle w:val="NoSpacing"/>
            <w:spacing w:before="1540" w:after="240"/>
            <w:jc w:val="center"/>
            <w:rPr>
              <w:color w:val="156082" w:themeColor="accent1"/>
            </w:rPr>
          </w:pPr>
          <w:r>
            <w:rPr>
              <w:noProof/>
              <w:color w:val="156082" w:themeColor="accent1"/>
            </w:rPr>
            <w:drawing>
              <wp:anchor distT="0" distB="0" distL="114300" distR="114300" simplePos="0" relativeHeight="251658240" behindDoc="1" locked="0" layoutInCell="1" allowOverlap="1" wp14:anchorId="6C378EAB" wp14:editId="258F174A">
                <wp:simplePos x="0" y="0"/>
                <wp:positionH relativeFrom="column">
                  <wp:posOffset>1874705</wp:posOffset>
                </wp:positionH>
                <wp:positionV relativeFrom="paragraph">
                  <wp:posOffset>138382</wp:posOffset>
                </wp:positionV>
                <wp:extent cx="1810385" cy="597535"/>
                <wp:effectExtent l="0" t="0" r="0" b="0"/>
                <wp:wrapTight wrapText="bothSides">
                  <wp:wrapPolygon edited="0">
                    <wp:start x="0" y="0"/>
                    <wp:lineTo x="0" y="19282"/>
                    <wp:lineTo x="8410" y="20659"/>
                    <wp:lineTo x="9773" y="20659"/>
                    <wp:lineTo x="21365" y="19282"/>
                    <wp:lineTo x="21365" y="1377"/>
                    <wp:lineTo x="15456" y="0"/>
                    <wp:lineTo x="0" y="0"/>
                  </wp:wrapPolygon>
                </wp:wrapTight>
                <wp:docPr id="1938569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0385" cy="597535"/>
                        </a:xfrm>
                        <a:prstGeom prst="rect">
                          <a:avLst/>
                        </a:prstGeom>
                        <a:noFill/>
                      </pic:spPr>
                    </pic:pic>
                  </a:graphicData>
                </a:graphic>
              </wp:anchor>
            </w:drawing>
          </w:r>
        </w:p>
        <w:p w14:paraId="0D35C370" w14:textId="10807821" w:rsidR="007A23D6" w:rsidRDefault="007A23D6">
          <w:pPr>
            <w:pStyle w:val="NoSpacing"/>
            <w:spacing w:before="1540" w:after="240"/>
            <w:jc w:val="center"/>
            <w:rPr>
              <w:color w:val="156082" w:themeColor="accent1"/>
            </w:rPr>
          </w:pPr>
        </w:p>
        <w:p w14:paraId="1CE78B28" w14:textId="77777777" w:rsidR="007A23D6" w:rsidRDefault="007A23D6">
          <w:pPr>
            <w:pStyle w:val="NoSpacing"/>
            <w:spacing w:before="1540" w:after="240"/>
            <w:jc w:val="center"/>
            <w:rPr>
              <w:color w:val="156082" w:themeColor="accent1"/>
            </w:rPr>
          </w:pPr>
        </w:p>
        <w:sdt>
          <w:sdtPr>
            <w:rPr>
              <w:rFonts w:ascii="Arial Black" w:eastAsiaTheme="majorEastAsia" w:hAnsi="Arial Black" w:cstheme="majorBidi"/>
              <w:caps/>
              <w:color w:val="156082" w:themeColor="accent1"/>
              <w:sz w:val="72"/>
              <w:szCs w:val="72"/>
            </w:rPr>
            <w:alias w:val="Title"/>
            <w:tag w:val=""/>
            <w:id w:val="1735040861"/>
            <w:placeholder>
              <w:docPart w:val="5FECF8B8270547B6A706D5235915DAE8"/>
            </w:placeholder>
            <w:dataBinding w:prefixMappings="xmlns:ns0='http://purl.org/dc/elements/1.1/' xmlns:ns1='http://schemas.openxmlformats.org/package/2006/metadata/core-properties' " w:xpath="/ns1:coreProperties[1]/ns0:title[1]" w:storeItemID="{6C3C8BC8-F283-45AE-878A-BAB7291924A1}"/>
            <w:text/>
          </w:sdtPr>
          <w:sdtContent>
            <w:p w14:paraId="4714E7BA" w14:textId="0A815875" w:rsidR="00C7023D" w:rsidRPr="007A23D6" w:rsidRDefault="00C7023D" w:rsidP="00C7023D">
              <w:pPr>
                <w:pStyle w:val="NoSpacing"/>
                <w:pBdr>
                  <w:top w:val="single" w:sz="6" w:space="6" w:color="156082" w:themeColor="accent1"/>
                  <w:bottom w:val="single" w:sz="6" w:space="6" w:color="156082" w:themeColor="accent1"/>
                </w:pBdr>
                <w:spacing w:after="240"/>
                <w:jc w:val="center"/>
                <w:rPr>
                  <w:rFonts w:ascii="Arial Black" w:eastAsiaTheme="majorEastAsia" w:hAnsi="Arial Black" w:cstheme="majorBidi"/>
                  <w:caps/>
                  <w:color w:val="156082" w:themeColor="accent1"/>
                  <w:sz w:val="80"/>
                  <w:szCs w:val="80"/>
                </w:rPr>
              </w:pPr>
              <w:r w:rsidRPr="007A23D6">
                <w:rPr>
                  <w:rFonts w:ascii="Arial Black" w:eastAsiaTheme="majorEastAsia" w:hAnsi="Arial Black" w:cstheme="majorBidi"/>
                  <w:caps/>
                  <w:color w:val="156082" w:themeColor="accent1"/>
                  <w:sz w:val="72"/>
                  <w:szCs w:val="72"/>
                </w:rPr>
                <w:t>Assignment 1Essay; StitchCo</w:t>
              </w:r>
            </w:p>
          </w:sdtContent>
        </w:sdt>
        <w:p w14:paraId="080A9CFF" w14:textId="50CE98E1" w:rsidR="00C7023D" w:rsidRDefault="00C7023D">
          <w:pPr>
            <w:pStyle w:val="NoSpacing"/>
            <w:spacing w:before="480"/>
            <w:jc w:val="center"/>
            <w:rPr>
              <w:color w:val="156082" w:themeColor="accent1"/>
            </w:rPr>
          </w:pPr>
        </w:p>
        <w:p w14:paraId="625C1D59" w14:textId="095BE7A2" w:rsidR="00C7023D" w:rsidRDefault="00C7023D">
          <w:pPr>
            <w:rPr>
              <w:rFonts w:ascii="Arial" w:hAnsi="Arial" w:cs="Arial"/>
            </w:rPr>
          </w:pPr>
          <w:r>
            <w:rPr>
              <w:rFonts w:ascii="Arial" w:hAnsi="Arial" w:cs="Arial"/>
            </w:rPr>
            <w:br w:type="page"/>
          </w:r>
        </w:p>
      </w:sdtContent>
    </w:sdt>
    <w:p w14:paraId="17ED09CF" w14:textId="2A1AD4A2" w:rsidR="0041391A" w:rsidRDefault="0041391A" w:rsidP="0041391A">
      <w:pPr>
        <w:spacing w:line="480" w:lineRule="auto"/>
        <w:rPr>
          <w:rFonts w:ascii="Arial" w:hAnsi="Arial" w:cs="Arial"/>
        </w:rPr>
      </w:pPr>
      <w:r w:rsidRPr="0041391A">
        <w:rPr>
          <w:rFonts w:ascii="Arial" w:hAnsi="Arial" w:cs="Arial"/>
        </w:rPr>
        <w:lastRenderedPageBreak/>
        <w:t xml:space="preserve">StitchCo incurred significant disruptions to the workflows and identity of employees and their Organisation </w:t>
      </w:r>
      <w:r w:rsidRPr="0041391A">
        <w:rPr>
          <w:rFonts w:ascii="Arial" w:hAnsi="Arial" w:cs="Arial"/>
        </w:rPr>
        <w:t>because of</w:t>
      </w:r>
      <w:r w:rsidRPr="0041391A">
        <w:rPr>
          <w:rFonts w:ascii="Arial" w:hAnsi="Arial" w:cs="Arial"/>
        </w:rPr>
        <w:t xml:space="preserve"> its move toward automated machinery. The company took a narrow approach to the technological transition, focusing primarily on improving efficiency and reducing costs. However, successful change involves more than improving efficiency; it addresses our responsibility as part of the workforce to support the needs of human beings and their social connections. As a result of StitchCo's failure to balance efficiency with empathy, the company experienced resistance, distrust, and burnout.</w:t>
      </w:r>
    </w:p>
    <w:p w14:paraId="41BDCFEC" w14:textId="77777777" w:rsidR="0041391A" w:rsidRDefault="0041391A" w:rsidP="0041391A">
      <w:pPr>
        <w:spacing w:line="480" w:lineRule="auto"/>
        <w:rPr>
          <w:rFonts w:ascii="Arial" w:hAnsi="Arial" w:cs="Arial"/>
        </w:rPr>
      </w:pPr>
      <w:r w:rsidRPr="0041391A">
        <w:rPr>
          <w:rFonts w:ascii="Arial" w:hAnsi="Arial" w:cs="Arial"/>
        </w:rPr>
        <w:t>To prepare employees for change, an ethical, human-centred approach should be taken which focuses on fairness, transparency, and participation. Change management that is ethical demonstrates respect for the dignity of the employee and builds the level of trust which is required for technology to support and improve performance (Costa &amp; Opare, 2025).</w:t>
      </w:r>
    </w:p>
    <w:p w14:paraId="616FCD39" w14:textId="77777777" w:rsidR="0041391A" w:rsidRDefault="0041391A" w:rsidP="0041391A">
      <w:pPr>
        <w:spacing w:line="480" w:lineRule="auto"/>
        <w:rPr>
          <w:rFonts w:ascii="Arial" w:hAnsi="Arial" w:cs="Arial"/>
        </w:rPr>
      </w:pPr>
      <w:r w:rsidRPr="0041391A">
        <w:rPr>
          <w:rFonts w:ascii="Arial" w:hAnsi="Arial" w:cs="Arial"/>
        </w:rPr>
        <w:t xml:space="preserve">Digital transformation requires leaders to adopt the digital humanism principles, which explain that the purpose of technology is to advance human development. During the transition to automation, StitchCo's employees experienced dehumanisation because machines replaced tasks they had </w:t>
      </w:r>
      <w:r w:rsidRPr="0041391A">
        <w:rPr>
          <w:rFonts w:ascii="Arial" w:hAnsi="Arial" w:cs="Arial"/>
        </w:rPr>
        <w:t>mastered,</w:t>
      </w:r>
      <w:r w:rsidRPr="0041391A">
        <w:rPr>
          <w:rFonts w:ascii="Arial" w:hAnsi="Arial" w:cs="Arial"/>
        </w:rPr>
        <w:t xml:space="preserve"> and productivity was measured through digital dashboards. A digitally humanistic approach would endorse technology as a means of supporting employee safety, growth, and creativity, while leaders should communicate how automation reduces physical demands and develops higher-level skills. Employees who view technology as empowering and not threatening are more likely to engage positively in the change process. StitchCo's failure to convey this message contributed to feelings of anxiety and resistance within its workforce (Ye et al., 2024).</w:t>
      </w:r>
    </w:p>
    <w:p w14:paraId="376C56A8" w14:textId="77777777" w:rsidR="0041391A" w:rsidRDefault="0041391A" w:rsidP="0041391A">
      <w:pPr>
        <w:spacing w:line="480" w:lineRule="auto"/>
        <w:rPr>
          <w:rFonts w:ascii="Arial" w:hAnsi="Arial" w:cs="Arial"/>
        </w:rPr>
      </w:pPr>
      <w:r w:rsidRPr="0041391A">
        <w:rPr>
          <w:rFonts w:ascii="Arial" w:hAnsi="Arial" w:cs="Arial"/>
        </w:rPr>
        <w:lastRenderedPageBreak/>
        <w:t>The principles of sustainability provide a useful framework for organisations to transform from older, more traditional means to sustainability. Beyond the environmental aspects of sustainability, we must take social sustainability into consideration</w:t>
      </w:r>
      <w:r>
        <w:rPr>
          <w:rFonts w:ascii="Arial" w:hAnsi="Arial" w:cs="Arial"/>
        </w:rPr>
        <w:t xml:space="preserve">; </w:t>
      </w:r>
      <w:r w:rsidRPr="0041391A">
        <w:rPr>
          <w:rFonts w:ascii="Arial" w:hAnsi="Arial" w:cs="Arial"/>
        </w:rPr>
        <w:t xml:space="preserve">this is to say that we need to focus on the wellbeing of employees, </w:t>
      </w:r>
      <w:r>
        <w:rPr>
          <w:rFonts w:ascii="Arial" w:hAnsi="Arial" w:cs="Arial"/>
        </w:rPr>
        <w:t>j</w:t>
      </w:r>
      <w:r w:rsidRPr="0041391A">
        <w:rPr>
          <w:rFonts w:ascii="Arial" w:hAnsi="Arial" w:cs="Arial"/>
        </w:rPr>
        <w:t xml:space="preserve">ob </w:t>
      </w:r>
      <w:r>
        <w:rPr>
          <w:rFonts w:ascii="Arial" w:hAnsi="Arial" w:cs="Arial"/>
        </w:rPr>
        <w:t>s</w:t>
      </w:r>
      <w:r w:rsidRPr="0041391A">
        <w:rPr>
          <w:rFonts w:ascii="Arial" w:hAnsi="Arial" w:cs="Arial"/>
        </w:rPr>
        <w:t xml:space="preserve">ecurity, and the development of employees over the long term. By implementing changes too quickly, and without addressing the social sustainability of their employees, StitchCo created additional emotional burdens on employees without having adequately prepared for </w:t>
      </w:r>
      <w:r w:rsidRPr="0041391A">
        <w:rPr>
          <w:rFonts w:ascii="Arial" w:hAnsi="Arial" w:cs="Arial"/>
        </w:rPr>
        <w:t>them. Training</w:t>
      </w:r>
      <w:r w:rsidRPr="0041391A">
        <w:rPr>
          <w:rFonts w:ascii="Arial" w:hAnsi="Arial" w:cs="Arial"/>
        </w:rPr>
        <w:t>, participation, and fairness are the primary focus for sustainable organisations, with the realisation that employee well-being supports long-term success. The focus of a socially sustainable automation strategy must be phased, with employees being provided with opportunities to increase their skills and providing them with emotional support. In the case of StitchCo, the disregard for the human cost of an organisation's transformation undermined their employee's morale and productivity</w:t>
      </w:r>
      <w:r>
        <w:rPr>
          <w:rFonts w:ascii="Arial" w:hAnsi="Arial" w:cs="Arial"/>
        </w:rPr>
        <w:t xml:space="preserve"> (</w:t>
      </w:r>
      <w:r w:rsidRPr="0041391A">
        <w:rPr>
          <w:rFonts w:ascii="Arial" w:hAnsi="Arial" w:cs="Arial"/>
        </w:rPr>
        <w:t>Morgan et al.</w:t>
      </w:r>
      <w:r>
        <w:rPr>
          <w:rFonts w:ascii="Arial" w:hAnsi="Arial" w:cs="Arial"/>
        </w:rPr>
        <w:t xml:space="preserve">, </w:t>
      </w:r>
      <w:r w:rsidRPr="0041391A">
        <w:rPr>
          <w:rFonts w:ascii="Arial" w:hAnsi="Arial" w:cs="Arial"/>
        </w:rPr>
        <w:t>2025)</w:t>
      </w:r>
      <w:r>
        <w:rPr>
          <w:rFonts w:ascii="Arial" w:hAnsi="Arial" w:cs="Arial"/>
        </w:rPr>
        <w:t>.</w:t>
      </w:r>
    </w:p>
    <w:p w14:paraId="6253CCD4" w14:textId="77777777" w:rsidR="0041391A" w:rsidRDefault="0041391A" w:rsidP="0041391A">
      <w:pPr>
        <w:spacing w:line="480" w:lineRule="auto"/>
        <w:rPr>
          <w:rFonts w:ascii="Arial" w:hAnsi="Arial" w:cs="Arial"/>
        </w:rPr>
      </w:pPr>
      <w:r w:rsidRPr="0041391A">
        <w:rPr>
          <w:rFonts w:ascii="Arial" w:hAnsi="Arial" w:cs="Arial"/>
        </w:rPr>
        <w:t>This leads to another critical factor for the transformation process</w:t>
      </w:r>
      <w:r>
        <w:rPr>
          <w:rFonts w:ascii="Arial" w:hAnsi="Arial" w:cs="Arial"/>
        </w:rPr>
        <w:t xml:space="preserve">: </w:t>
      </w:r>
      <w:r w:rsidRPr="0041391A">
        <w:rPr>
          <w:rFonts w:ascii="Arial" w:hAnsi="Arial" w:cs="Arial"/>
        </w:rPr>
        <w:t xml:space="preserve">the employees' readiness for change. Change readiness refers to the level of belief and confidence that employees have regarding the need for change as well as their willingness to support it. As was the case with StitchCo, leadership introduced automation without cultivating employee readiness for change. Employees were caught unprepared for the speed of change and the consequences that it would bring. It is the responsibility of leadership to develop employees' readiness for change by explaining the urgency for change, the strategic purpose behind the change, and what support will be available to them. Additionally, employees should have the opportunity to express their concerns about potential job loss and skill redundancy during the change process. If employees do not feel they are prepared for the change, they will </w:t>
      </w:r>
      <w:r w:rsidRPr="0041391A">
        <w:rPr>
          <w:rFonts w:ascii="Arial" w:hAnsi="Arial" w:cs="Arial"/>
        </w:rPr>
        <w:lastRenderedPageBreak/>
        <w:t xml:space="preserve">perceive the change as being forced upon </w:t>
      </w:r>
      <w:r w:rsidRPr="0041391A">
        <w:rPr>
          <w:rFonts w:ascii="Arial" w:hAnsi="Arial" w:cs="Arial"/>
        </w:rPr>
        <w:t>them and</w:t>
      </w:r>
      <w:r w:rsidRPr="0041391A">
        <w:rPr>
          <w:rFonts w:ascii="Arial" w:hAnsi="Arial" w:cs="Arial"/>
        </w:rPr>
        <w:t xml:space="preserve"> therefore resist it. The lack of preparing for readiness by leadership contributed to a culture of insecurity and mistrust at StitchCo (Yao et al., 2025).</w:t>
      </w:r>
      <w:r>
        <w:rPr>
          <w:rFonts w:ascii="Arial" w:hAnsi="Arial" w:cs="Arial"/>
        </w:rPr>
        <w:t xml:space="preserve"> </w:t>
      </w:r>
      <w:r w:rsidRPr="0041391A">
        <w:rPr>
          <w:rFonts w:ascii="Arial" w:hAnsi="Arial" w:cs="Arial"/>
        </w:rPr>
        <w:t>Another significant aspect of leadership that is important for successful implementation of change related to technology is the development of positive working relationships between managers and employees. The principle of relational leadership involves creating a high-quality, respectful relationship through adequate interpersonal interactions between employees and their immediate leaders. In the case of StitchCo, the management team did not effectively use their relational leadership abilities, and instead of providing employees with consistent guidance and support, the managers retreated from providing support to their employees. Employees interpreted this retreat as an indication that they had been abandoned by their leadership. Relational leadership recognises the emotional labour that employees perform every day and develops the social connection necessary to assist employees in dealing with the uncertainty of change. Leaders who practice empathic listening, active listening, and collective problem-solving foster a sense of community among their employees during times of change, thereby lowering the level of anxiety associated with the unknown and building trust among the employees (Klimek, 2025).</w:t>
      </w:r>
    </w:p>
    <w:p w14:paraId="3981D34B" w14:textId="77777777" w:rsidR="0041391A" w:rsidRDefault="0041391A" w:rsidP="0041391A">
      <w:pPr>
        <w:spacing w:line="480" w:lineRule="auto"/>
        <w:rPr>
          <w:rFonts w:ascii="Arial" w:hAnsi="Arial" w:cs="Arial"/>
        </w:rPr>
      </w:pPr>
      <w:r w:rsidRPr="0041391A">
        <w:rPr>
          <w:rFonts w:ascii="Arial" w:hAnsi="Arial" w:cs="Arial"/>
        </w:rPr>
        <w:t xml:space="preserve">The concept of organisational learning can provide further capabilities for StitchCo in considering how to effectively prepare employees for upcoming </w:t>
      </w:r>
      <w:r w:rsidRPr="0041391A">
        <w:rPr>
          <w:rFonts w:ascii="Arial" w:hAnsi="Arial" w:cs="Arial"/>
        </w:rPr>
        <w:t>changes. Organisational</w:t>
      </w:r>
      <w:r w:rsidRPr="0041391A">
        <w:rPr>
          <w:rFonts w:ascii="Arial" w:hAnsi="Arial" w:cs="Arial"/>
        </w:rPr>
        <w:t xml:space="preserve"> learning refers to systems that enable the organisation to engage in reflective practices and share knowledge amongst employees to promote ongoing adaptation to changing conditions. A good organisational learning environment will enable employees to experiment with newly implemented technology and learn from their mistakes. An organisation that promotes a strong learning culture will promote </w:t>
      </w:r>
      <w:r w:rsidRPr="0041391A">
        <w:rPr>
          <w:rFonts w:ascii="Arial" w:hAnsi="Arial" w:cs="Arial"/>
        </w:rPr>
        <w:lastRenderedPageBreak/>
        <w:t>experimentation, provide an opportunity for feedback on proposed practices and encourage team-based solutions to organisational challenges. Issues arise within an organisation that should be viewed as opportunities for continuous improvement and growth, rather than an opportunity to assign individual blame. StitchCo will enhance opportunities for organisational learning using established learning routines such as debrief sessions, peer learning activities, and ongoing improvement cycles. When organisations create an opportunity for employee involvement and engagement with the organisational transformation process, employees are more likely to view themselves as active participants rather than passive recipients of change (</w:t>
      </w:r>
      <w:proofErr w:type="spellStart"/>
      <w:r w:rsidRPr="0041391A">
        <w:rPr>
          <w:rFonts w:ascii="Arial" w:hAnsi="Arial" w:cs="Arial"/>
        </w:rPr>
        <w:t>Usadolo</w:t>
      </w:r>
      <w:proofErr w:type="spellEnd"/>
      <w:r w:rsidRPr="0041391A">
        <w:rPr>
          <w:rFonts w:ascii="Arial" w:hAnsi="Arial" w:cs="Arial"/>
        </w:rPr>
        <w:t xml:space="preserve"> et al., 2025).</w:t>
      </w:r>
    </w:p>
    <w:p w14:paraId="07B85D08" w14:textId="77777777" w:rsidR="0041391A" w:rsidRDefault="0041391A" w:rsidP="0041391A">
      <w:pPr>
        <w:spacing w:line="480" w:lineRule="auto"/>
        <w:rPr>
          <w:rFonts w:ascii="Arial" w:hAnsi="Arial" w:cs="Arial"/>
        </w:rPr>
      </w:pPr>
      <w:r w:rsidRPr="0041391A">
        <w:rPr>
          <w:rFonts w:ascii="Arial" w:hAnsi="Arial" w:cs="Arial"/>
        </w:rPr>
        <w:t xml:space="preserve">During significant organisational transformation, ethical communication will be paramount. Ethical communication is characterised by being transparent, honest and respectful of employees and stakeholders. In the case of StitchCo, communication was characterised by being sporadic and top-down, creating uncertainty regarding what is expected of employees, the stability of their employment with the company, and the availability of training and development opportunities to assist in the attainment of their expected performance </w:t>
      </w:r>
      <w:r w:rsidRPr="0041391A">
        <w:rPr>
          <w:rFonts w:ascii="Arial" w:hAnsi="Arial" w:cs="Arial"/>
        </w:rPr>
        <w:t xml:space="preserve">levels. </w:t>
      </w:r>
      <w:proofErr w:type="gramStart"/>
      <w:r w:rsidRPr="0041391A">
        <w:rPr>
          <w:rFonts w:ascii="Arial" w:hAnsi="Arial" w:cs="Arial"/>
        </w:rPr>
        <w:t>In</w:t>
      </w:r>
      <w:r w:rsidRPr="0041391A">
        <w:rPr>
          <w:rFonts w:ascii="Arial" w:hAnsi="Arial" w:cs="Arial"/>
        </w:rPr>
        <w:t xml:space="preserve"> order to</w:t>
      </w:r>
      <w:proofErr w:type="gramEnd"/>
      <w:r w:rsidRPr="0041391A">
        <w:rPr>
          <w:rFonts w:ascii="Arial" w:hAnsi="Arial" w:cs="Arial"/>
        </w:rPr>
        <w:t xml:space="preserve"> realise ethical communication, leaders must share all relevant information, listen actively and be transparent about issues that are causing concerns for their employees. By communicating clearly, organisations create a workplace culture that gives employees psychological safety and creates trust. StitchCo could improve its communication practices by creating greater transparency within the organisation, creating regular opportunities for feedback, and being accountable for their decisions regarding employee-related issues (Yue et al. 2019).</w:t>
      </w:r>
    </w:p>
    <w:p w14:paraId="0EF635BC" w14:textId="77777777" w:rsidR="0041391A" w:rsidRDefault="0041391A" w:rsidP="0041391A">
      <w:pPr>
        <w:spacing w:line="480" w:lineRule="auto"/>
        <w:rPr>
          <w:rFonts w:ascii="Arial" w:hAnsi="Arial" w:cs="Arial"/>
        </w:rPr>
      </w:pPr>
      <w:r w:rsidRPr="0041391A">
        <w:rPr>
          <w:rFonts w:ascii="Arial" w:hAnsi="Arial" w:cs="Arial"/>
        </w:rPr>
        <w:lastRenderedPageBreak/>
        <w:t xml:space="preserve">Additionally, technological advances alter the relationship between power and workers. Employees of StitchCo experienced autonomy and opportunities for mastery while working within a piece-rate compensation system. As StitchCo began automating jobs, power shifted away from StitchCo employees and toward the technical specialists and managers associated with automation, diminishing employee competence and the ability to influence their jobs. Leadership must recognise how changing technological landscapes redistributes power and how best to empower employees. Practices to promote employee empowerment may include employee participation in decision-making processes, providing opportunities to increase employee mastery of new technologies, and providing public recognition of employees' contributions. Empowerment will restore the ability to create a sense of agency for employees who are experiencing workplace changes </w:t>
      </w:r>
      <w:r w:rsidRPr="0041391A">
        <w:rPr>
          <w:rFonts w:ascii="Arial" w:hAnsi="Arial" w:cs="Arial"/>
        </w:rPr>
        <w:t>because of</w:t>
      </w:r>
      <w:r w:rsidRPr="0041391A">
        <w:rPr>
          <w:rFonts w:ascii="Arial" w:hAnsi="Arial" w:cs="Arial"/>
        </w:rPr>
        <w:t xml:space="preserve"> technological transformation (Meijers, 2024).</w:t>
      </w:r>
    </w:p>
    <w:p w14:paraId="0D7BDE80" w14:textId="77777777" w:rsidR="0041391A" w:rsidRDefault="0041391A" w:rsidP="0041391A">
      <w:pPr>
        <w:spacing w:line="480" w:lineRule="auto"/>
        <w:rPr>
          <w:rFonts w:ascii="Arial" w:hAnsi="Arial" w:cs="Arial"/>
        </w:rPr>
      </w:pPr>
      <w:r w:rsidRPr="0041391A">
        <w:rPr>
          <w:rFonts w:ascii="Arial" w:hAnsi="Arial" w:cs="Arial"/>
        </w:rPr>
        <w:t xml:space="preserve">All emotional aspects associated with technological transformation must also be recognised and addressed. StitchCo employees expressed significant emotional distress, such as fear, frustration, and sadness, following the loss of their traditional job functions. Change is often naturally associated with emotional transitions and is often overlooked by leaders. Leaders who are emotionally intelligent provide employees with support, reassurance, and practical assistance in addressing emotional distress that may occur </w:t>
      </w:r>
      <w:r w:rsidRPr="0041391A">
        <w:rPr>
          <w:rFonts w:ascii="Arial" w:hAnsi="Arial" w:cs="Arial"/>
        </w:rPr>
        <w:t>because of</w:t>
      </w:r>
      <w:r w:rsidRPr="0041391A">
        <w:rPr>
          <w:rFonts w:ascii="Arial" w:hAnsi="Arial" w:cs="Arial"/>
        </w:rPr>
        <w:t xml:space="preserve"> workplace changes. Leaders must also validate the concerns of their employees, understand and observe the emotional reactions of the employees they are impacting, and create a supportive environment that does not dismiss emotional reactions as resistance. StitchCo's failure to effectively manage employees' emotional responses significantly </w:t>
      </w:r>
      <w:r w:rsidRPr="0041391A">
        <w:rPr>
          <w:rFonts w:ascii="Arial" w:hAnsi="Arial" w:cs="Arial"/>
        </w:rPr>
        <w:lastRenderedPageBreak/>
        <w:t>contributed to the company's absenteeism and poor employee motivation (</w:t>
      </w:r>
      <w:proofErr w:type="spellStart"/>
      <w:r w:rsidRPr="0041391A">
        <w:rPr>
          <w:rFonts w:ascii="Arial" w:hAnsi="Arial" w:cs="Arial"/>
        </w:rPr>
        <w:t>Ausat</w:t>
      </w:r>
      <w:proofErr w:type="spellEnd"/>
      <w:r w:rsidRPr="0041391A">
        <w:rPr>
          <w:rFonts w:ascii="Arial" w:hAnsi="Arial" w:cs="Arial"/>
        </w:rPr>
        <w:t xml:space="preserve"> et al., 2024).</w:t>
      </w:r>
    </w:p>
    <w:p w14:paraId="20BCB68C" w14:textId="77777777" w:rsidR="006C0EDD" w:rsidRDefault="0041391A" w:rsidP="0041391A">
      <w:pPr>
        <w:spacing w:line="480" w:lineRule="auto"/>
        <w:rPr>
          <w:rFonts w:ascii="Arial" w:hAnsi="Arial" w:cs="Arial"/>
        </w:rPr>
      </w:pPr>
      <w:r w:rsidRPr="0041391A">
        <w:rPr>
          <w:rFonts w:ascii="Arial" w:hAnsi="Arial" w:cs="Arial"/>
        </w:rPr>
        <w:t>Finally, ethical leadership is the foundation for creating a workplace culture that promotes fairness and humanity through how an organisation manages change. Ethical leadership supports the balance between the objectives of an organisation and the wellbeing of its employees; it models the behaviour expected from the workforce, and it explains their decisions regarding employee wellbeing and organisational success. The way in which StitchCo made decisions regarding the organisation during the change was not consistent with ethical leadership. Many decisions were made without much consideration for how to communicate them to the workforce, and the implementation of those changes did not give much thought to the emotional or career impact of those changes. Ethical leadership would encourage employee support of organisational transformation through the demonstration of fairness, transparency, and recognition that the organisation values its workforce as much as it does its technological advancements. Employees are more likely to be committed to organisational transformation and positively engage in adopting new technologies if they perceive that they are receiving ethical leadership (Ramlall et al. 2025).</w:t>
      </w:r>
    </w:p>
    <w:p w14:paraId="07EB40F6" w14:textId="3BBEC5F2" w:rsidR="0041391A" w:rsidRDefault="0041391A" w:rsidP="0041391A">
      <w:pPr>
        <w:spacing w:line="480" w:lineRule="auto"/>
        <w:rPr>
          <w:rFonts w:ascii="Arial" w:hAnsi="Arial" w:cs="Arial"/>
        </w:rPr>
      </w:pPr>
      <w:r w:rsidRPr="0041391A">
        <w:rPr>
          <w:rFonts w:ascii="Arial" w:hAnsi="Arial" w:cs="Arial"/>
        </w:rPr>
        <w:t xml:space="preserve">In conclusion, StitchCo's challenges, which have been compounded by a narrow perspective on efficiency and automation, failed to remember to consider ethical considerations, the needs of the human workforce, and the readiness of the organisation to implement technological advancements effectively. To be successful in the implementation of technological changes, organisations must embrace and integrate digital humanism, ethical communications, relationship-based leadership, a learning organisation, and the ability to proactively create a sense of meaning for </w:t>
      </w:r>
      <w:r w:rsidRPr="0041391A">
        <w:rPr>
          <w:rFonts w:ascii="Arial" w:hAnsi="Arial" w:cs="Arial"/>
        </w:rPr>
        <w:lastRenderedPageBreak/>
        <w:t>employees. By embracing these values, StitchCo can establish the foundation on which to rebuild trust, create a more engaged workforce, and prepare their workforce for future changes. Without these values, technological investments will continue to produce resistance, conflict, and reduced job performance (Costa &amp; Opare, 2025).</w:t>
      </w:r>
    </w:p>
    <w:p w14:paraId="4A98440A" w14:textId="77777777" w:rsidR="006C0EDD" w:rsidRDefault="006C0EDD" w:rsidP="0041391A">
      <w:pPr>
        <w:spacing w:line="480" w:lineRule="auto"/>
        <w:rPr>
          <w:rFonts w:ascii="Arial" w:hAnsi="Arial" w:cs="Arial"/>
        </w:rPr>
      </w:pPr>
    </w:p>
    <w:p w14:paraId="46A636A5" w14:textId="77777777" w:rsidR="006C0EDD" w:rsidRDefault="006C0EDD" w:rsidP="0041391A">
      <w:pPr>
        <w:spacing w:line="480" w:lineRule="auto"/>
        <w:rPr>
          <w:rFonts w:ascii="Arial" w:hAnsi="Arial" w:cs="Arial"/>
        </w:rPr>
      </w:pPr>
    </w:p>
    <w:p w14:paraId="0160F598" w14:textId="77777777" w:rsidR="006C0EDD" w:rsidRDefault="006C0EDD" w:rsidP="0041391A">
      <w:pPr>
        <w:spacing w:line="480" w:lineRule="auto"/>
        <w:rPr>
          <w:rFonts w:ascii="Arial" w:hAnsi="Arial" w:cs="Arial"/>
        </w:rPr>
      </w:pPr>
    </w:p>
    <w:p w14:paraId="30E02510" w14:textId="77777777" w:rsidR="006C0EDD" w:rsidRDefault="006C0EDD" w:rsidP="0041391A">
      <w:pPr>
        <w:spacing w:line="480" w:lineRule="auto"/>
        <w:rPr>
          <w:rFonts w:ascii="Arial" w:hAnsi="Arial" w:cs="Arial"/>
        </w:rPr>
      </w:pPr>
    </w:p>
    <w:p w14:paraId="25F96F24" w14:textId="77777777" w:rsidR="006C0EDD" w:rsidRDefault="006C0EDD" w:rsidP="0041391A">
      <w:pPr>
        <w:spacing w:line="480" w:lineRule="auto"/>
        <w:rPr>
          <w:rFonts w:ascii="Arial" w:hAnsi="Arial" w:cs="Arial"/>
        </w:rPr>
      </w:pPr>
    </w:p>
    <w:p w14:paraId="6A4C2A08" w14:textId="77777777" w:rsidR="006C0EDD" w:rsidRDefault="006C0EDD" w:rsidP="0041391A">
      <w:pPr>
        <w:spacing w:line="480" w:lineRule="auto"/>
        <w:rPr>
          <w:rFonts w:ascii="Arial" w:hAnsi="Arial" w:cs="Arial"/>
        </w:rPr>
      </w:pPr>
    </w:p>
    <w:p w14:paraId="0CD7BBAE" w14:textId="77777777" w:rsidR="006C0EDD" w:rsidRDefault="006C0EDD" w:rsidP="0041391A">
      <w:pPr>
        <w:spacing w:line="480" w:lineRule="auto"/>
        <w:rPr>
          <w:rFonts w:ascii="Arial" w:hAnsi="Arial" w:cs="Arial"/>
        </w:rPr>
      </w:pPr>
    </w:p>
    <w:p w14:paraId="1C258F2D" w14:textId="77777777" w:rsidR="006C0EDD" w:rsidRDefault="006C0EDD" w:rsidP="0041391A">
      <w:pPr>
        <w:spacing w:line="480" w:lineRule="auto"/>
        <w:rPr>
          <w:rFonts w:ascii="Arial" w:hAnsi="Arial" w:cs="Arial"/>
        </w:rPr>
      </w:pPr>
    </w:p>
    <w:p w14:paraId="5C431F98" w14:textId="77777777" w:rsidR="006C0EDD" w:rsidRDefault="006C0EDD" w:rsidP="0041391A">
      <w:pPr>
        <w:spacing w:line="480" w:lineRule="auto"/>
        <w:rPr>
          <w:rFonts w:ascii="Arial" w:hAnsi="Arial" w:cs="Arial"/>
        </w:rPr>
      </w:pPr>
    </w:p>
    <w:p w14:paraId="6340054E" w14:textId="77777777" w:rsidR="006C0EDD" w:rsidRDefault="006C0EDD" w:rsidP="0041391A">
      <w:pPr>
        <w:spacing w:line="480" w:lineRule="auto"/>
        <w:rPr>
          <w:rFonts w:ascii="Arial" w:hAnsi="Arial" w:cs="Arial"/>
        </w:rPr>
      </w:pPr>
    </w:p>
    <w:p w14:paraId="06AA79C7" w14:textId="77777777" w:rsidR="006C0EDD" w:rsidRDefault="006C0EDD" w:rsidP="0041391A">
      <w:pPr>
        <w:spacing w:line="480" w:lineRule="auto"/>
        <w:rPr>
          <w:rFonts w:ascii="Arial" w:hAnsi="Arial" w:cs="Arial"/>
        </w:rPr>
      </w:pPr>
    </w:p>
    <w:p w14:paraId="27D365E1" w14:textId="77777777" w:rsidR="006C0EDD" w:rsidRDefault="006C0EDD" w:rsidP="0041391A">
      <w:pPr>
        <w:spacing w:line="480" w:lineRule="auto"/>
        <w:rPr>
          <w:rFonts w:ascii="Arial" w:hAnsi="Arial" w:cs="Arial"/>
        </w:rPr>
      </w:pPr>
    </w:p>
    <w:p w14:paraId="117EAEB9" w14:textId="77777777" w:rsidR="006C0EDD" w:rsidRDefault="006C0EDD" w:rsidP="0041391A">
      <w:pPr>
        <w:spacing w:line="480" w:lineRule="auto"/>
        <w:rPr>
          <w:rFonts w:ascii="Arial" w:hAnsi="Arial" w:cs="Arial"/>
        </w:rPr>
      </w:pPr>
    </w:p>
    <w:p w14:paraId="0F3AD4B2" w14:textId="77777777" w:rsidR="006C0EDD" w:rsidRDefault="006C0EDD" w:rsidP="0041391A">
      <w:pPr>
        <w:spacing w:line="480" w:lineRule="auto"/>
        <w:rPr>
          <w:rFonts w:ascii="Arial" w:hAnsi="Arial" w:cs="Arial"/>
        </w:rPr>
      </w:pPr>
    </w:p>
    <w:p w14:paraId="61B33AF8" w14:textId="77777777" w:rsidR="006C0EDD" w:rsidRDefault="006C0EDD" w:rsidP="0041391A">
      <w:pPr>
        <w:spacing w:line="480" w:lineRule="auto"/>
        <w:rPr>
          <w:rFonts w:ascii="Arial" w:hAnsi="Arial" w:cs="Arial"/>
        </w:rPr>
      </w:pPr>
    </w:p>
    <w:p w14:paraId="3B6B890B" w14:textId="77777777" w:rsidR="006C0EDD" w:rsidRDefault="006C0EDD" w:rsidP="0041391A">
      <w:pPr>
        <w:spacing w:line="480" w:lineRule="auto"/>
        <w:rPr>
          <w:rFonts w:ascii="Arial" w:hAnsi="Arial" w:cs="Arial"/>
        </w:rPr>
      </w:pPr>
    </w:p>
    <w:p w14:paraId="559CFCEB" w14:textId="6EA26FD1" w:rsidR="006C0EDD" w:rsidRPr="007A23D6" w:rsidRDefault="006C0EDD" w:rsidP="0041391A">
      <w:pPr>
        <w:spacing w:line="480" w:lineRule="auto"/>
        <w:rPr>
          <w:rFonts w:ascii="Arial" w:hAnsi="Arial" w:cs="Arial"/>
          <w:b/>
          <w:bCs/>
        </w:rPr>
      </w:pPr>
      <w:r w:rsidRPr="007A23D6">
        <w:rPr>
          <w:rFonts w:ascii="Arial" w:hAnsi="Arial" w:cs="Arial"/>
          <w:b/>
          <w:bCs/>
        </w:rPr>
        <w:lastRenderedPageBreak/>
        <w:t xml:space="preserve">References </w:t>
      </w:r>
    </w:p>
    <w:p w14:paraId="7A7F4582" w14:textId="2E3C90EF" w:rsidR="007A23D6" w:rsidRPr="007A23D6" w:rsidRDefault="007A23D6" w:rsidP="0041391A">
      <w:pPr>
        <w:spacing w:line="480" w:lineRule="auto"/>
        <w:rPr>
          <w:rFonts w:ascii="Arial" w:hAnsi="Arial" w:cs="Arial"/>
          <w:i/>
          <w:iCs/>
        </w:rPr>
      </w:pPr>
      <w:proofErr w:type="spellStart"/>
      <w:r w:rsidRPr="007A23D6">
        <w:rPr>
          <w:rFonts w:ascii="Arial" w:hAnsi="Arial" w:cs="Arial"/>
        </w:rPr>
        <w:t>Abukalusa</w:t>
      </w:r>
      <w:proofErr w:type="spellEnd"/>
      <w:r w:rsidRPr="007A23D6">
        <w:rPr>
          <w:rFonts w:ascii="Arial" w:hAnsi="Arial" w:cs="Arial"/>
        </w:rPr>
        <w:t xml:space="preserve">, K. and Oosthuizen, R., 2025. An adaptive organisational leadership framework through systems thinking. </w:t>
      </w:r>
      <w:r w:rsidRPr="007A23D6">
        <w:rPr>
          <w:rFonts w:ascii="Arial" w:hAnsi="Arial" w:cs="Arial"/>
          <w:i/>
          <w:iCs/>
        </w:rPr>
        <w:t>International Journal of Organi</w:t>
      </w:r>
      <w:r>
        <w:rPr>
          <w:rFonts w:ascii="Arial" w:hAnsi="Arial" w:cs="Arial"/>
          <w:i/>
          <w:iCs/>
        </w:rPr>
        <w:t>s</w:t>
      </w:r>
      <w:r w:rsidRPr="007A23D6">
        <w:rPr>
          <w:rFonts w:ascii="Arial" w:hAnsi="Arial" w:cs="Arial"/>
          <w:i/>
          <w:iCs/>
        </w:rPr>
        <w:t>ational Analysis.</w:t>
      </w:r>
    </w:p>
    <w:p w14:paraId="1A2FADF9" w14:textId="52B3BA4C" w:rsidR="00CD1183" w:rsidRPr="00CD1183" w:rsidRDefault="00CD1183" w:rsidP="00CD1183">
      <w:pPr>
        <w:spacing w:line="480" w:lineRule="auto"/>
        <w:rPr>
          <w:rFonts w:ascii="Arial" w:hAnsi="Arial" w:cs="Arial"/>
        </w:rPr>
      </w:pPr>
      <w:proofErr w:type="spellStart"/>
      <w:r w:rsidRPr="00CD1183">
        <w:rPr>
          <w:rFonts w:ascii="Arial" w:hAnsi="Arial" w:cs="Arial"/>
        </w:rPr>
        <w:t>Ausat</w:t>
      </w:r>
      <w:proofErr w:type="spellEnd"/>
      <w:r w:rsidRPr="00CD1183">
        <w:rPr>
          <w:rFonts w:ascii="Arial" w:hAnsi="Arial" w:cs="Arial"/>
        </w:rPr>
        <w:t xml:space="preserve">, A.M.A., Shafiq, M.A., </w:t>
      </w:r>
      <w:proofErr w:type="spellStart"/>
      <w:r w:rsidRPr="00CD1183">
        <w:rPr>
          <w:rFonts w:ascii="Arial" w:hAnsi="Arial" w:cs="Arial"/>
        </w:rPr>
        <w:t>Wafik</w:t>
      </w:r>
      <w:proofErr w:type="spellEnd"/>
      <w:r w:rsidRPr="00CD1183">
        <w:rPr>
          <w:rFonts w:ascii="Arial" w:hAnsi="Arial" w:cs="Arial"/>
        </w:rPr>
        <w:t xml:space="preserve">, D. and López, N.A.S., 2024. The role of transformational leadership in improving employee psychological wellbeing: a review. </w:t>
      </w:r>
      <w:r w:rsidRPr="007A23D6">
        <w:rPr>
          <w:rFonts w:ascii="Arial" w:hAnsi="Arial" w:cs="Arial"/>
          <w:i/>
          <w:iCs/>
        </w:rPr>
        <w:t>Apollo: Journal of Tourism and Business</w:t>
      </w:r>
      <w:r w:rsidRPr="00CD1183">
        <w:rPr>
          <w:rFonts w:ascii="Arial" w:hAnsi="Arial" w:cs="Arial"/>
        </w:rPr>
        <w:t xml:space="preserve">, 2(1), pp.148-157. </w:t>
      </w:r>
      <w:hyperlink r:id="rId7" w:history="1">
        <w:r w:rsidRPr="00F90BF4">
          <w:rPr>
            <w:rStyle w:val="Hyperlink"/>
            <w:rFonts w:ascii="Arial" w:hAnsi="Arial" w:cs="Arial"/>
          </w:rPr>
          <w:t>https://doi.org/10.58905/apollo.v2i1.239</w:t>
        </w:r>
      </w:hyperlink>
      <w:r>
        <w:rPr>
          <w:rFonts w:ascii="Arial" w:hAnsi="Arial" w:cs="Arial"/>
        </w:rPr>
        <w:t xml:space="preserve"> </w:t>
      </w:r>
    </w:p>
    <w:p w14:paraId="3231EF24" w14:textId="77777777" w:rsidR="00CD1183" w:rsidRPr="00CD1183" w:rsidRDefault="00CD1183" w:rsidP="00CD1183">
      <w:pPr>
        <w:spacing w:line="480" w:lineRule="auto"/>
        <w:rPr>
          <w:rFonts w:ascii="Arial" w:hAnsi="Arial" w:cs="Arial"/>
        </w:rPr>
      </w:pPr>
      <w:r w:rsidRPr="00CD1183">
        <w:rPr>
          <w:rFonts w:ascii="Arial" w:hAnsi="Arial" w:cs="Arial"/>
        </w:rPr>
        <w:t xml:space="preserve">Chen, W., Luo, Y., Rao, M. and Zhang, P., 2025. </w:t>
      </w:r>
      <w:r w:rsidRPr="007A23D6">
        <w:rPr>
          <w:rFonts w:ascii="Arial" w:hAnsi="Arial" w:cs="Arial"/>
          <w:i/>
          <w:iCs/>
        </w:rPr>
        <w:t>Too much team collaboration?</w:t>
      </w:r>
      <w:r w:rsidRPr="00CD1183">
        <w:rPr>
          <w:rFonts w:ascii="Arial" w:hAnsi="Arial" w:cs="Arial"/>
        </w:rPr>
        <w:t xml:space="preserve"> Finance Research Letters.</w:t>
      </w:r>
    </w:p>
    <w:p w14:paraId="3D3EFAF5" w14:textId="77777777" w:rsidR="00CD1183" w:rsidRDefault="00CD1183" w:rsidP="00CD1183">
      <w:pPr>
        <w:spacing w:line="480" w:lineRule="auto"/>
        <w:rPr>
          <w:rFonts w:ascii="Arial" w:hAnsi="Arial" w:cs="Arial"/>
        </w:rPr>
      </w:pPr>
      <w:r w:rsidRPr="00CD1183">
        <w:rPr>
          <w:rFonts w:ascii="Arial" w:hAnsi="Arial" w:cs="Arial"/>
        </w:rPr>
        <w:t xml:space="preserve">Costa, M.D. and Opare, S., 2025. Corporate culture and organisational performance. </w:t>
      </w:r>
      <w:r w:rsidRPr="007A23D6">
        <w:rPr>
          <w:rFonts w:ascii="Arial" w:hAnsi="Arial" w:cs="Arial"/>
          <w:i/>
          <w:iCs/>
        </w:rPr>
        <w:t>Journal of Business Ethics,</w:t>
      </w:r>
      <w:r w:rsidRPr="00CD1183">
        <w:rPr>
          <w:rFonts w:ascii="Arial" w:hAnsi="Arial" w:cs="Arial"/>
        </w:rPr>
        <w:t xml:space="preserve"> 196(1), pp.61–92.</w:t>
      </w:r>
    </w:p>
    <w:p w14:paraId="15C69513" w14:textId="38CEEDF8" w:rsidR="007A23D6" w:rsidRDefault="007A23D6" w:rsidP="00CD1183">
      <w:pPr>
        <w:spacing w:line="480" w:lineRule="auto"/>
        <w:rPr>
          <w:rFonts w:ascii="Arial" w:hAnsi="Arial" w:cs="Arial"/>
        </w:rPr>
      </w:pPr>
      <w:r w:rsidRPr="007A23D6">
        <w:rPr>
          <w:rFonts w:ascii="Arial" w:hAnsi="Arial" w:cs="Arial"/>
        </w:rPr>
        <w:t xml:space="preserve">De Amicis, A., 2025. 104. Organising in Leadership. </w:t>
      </w:r>
      <w:r w:rsidRPr="007A23D6">
        <w:rPr>
          <w:rFonts w:ascii="Arial" w:hAnsi="Arial" w:cs="Arial"/>
          <w:i/>
          <w:iCs/>
        </w:rPr>
        <w:t>Elgar Encyclopaedia of Leadership</w:t>
      </w:r>
      <w:r w:rsidRPr="007A23D6">
        <w:rPr>
          <w:rFonts w:ascii="Arial" w:hAnsi="Arial" w:cs="Arial"/>
        </w:rPr>
        <w:t>, p.252.</w:t>
      </w:r>
    </w:p>
    <w:p w14:paraId="49C408FE" w14:textId="58CBD39C" w:rsidR="007A23D6" w:rsidRPr="00CD1183" w:rsidRDefault="007A23D6" w:rsidP="00CD1183">
      <w:pPr>
        <w:spacing w:line="480" w:lineRule="auto"/>
        <w:rPr>
          <w:rFonts w:ascii="Arial" w:hAnsi="Arial" w:cs="Arial"/>
        </w:rPr>
      </w:pPr>
      <w:r w:rsidRPr="007A23D6">
        <w:rPr>
          <w:rFonts w:ascii="Arial" w:hAnsi="Arial" w:cs="Arial"/>
        </w:rPr>
        <w:t xml:space="preserve">Iqbal, J. and </w:t>
      </w:r>
      <w:proofErr w:type="spellStart"/>
      <w:r w:rsidRPr="007A23D6">
        <w:rPr>
          <w:rFonts w:ascii="Arial" w:hAnsi="Arial" w:cs="Arial"/>
        </w:rPr>
        <w:t>Parray</w:t>
      </w:r>
      <w:proofErr w:type="spellEnd"/>
      <w:r w:rsidRPr="007A23D6">
        <w:rPr>
          <w:rFonts w:ascii="Arial" w:hAnsi="Arial" w:cs="Arial"/>
        </w:rPr>
        <w:t xml:space="preserve">, Z.A., 2025. Striking the balance: </w:t>
      </w:r>
      <w:r w:rsidRPr="007A23D6">
        <w:rPr>
          <w:rFonts w:ascii="Arial" w:hAnsi="Arial" w:cs="Arial"/>
        </w:rPr>
        <w:t>unravelling</w:t>
      </w:r>
      <w:r w:rsidRPr="007A23D6">
        <w:rPr>
          <w:rFonts w:ascii="Arial" w:hAnsi="Arial" w:cs="Arial"/>
        </w:rPr>
        <w:t xml:space="preserve"> the influence of organizational culture on organization citizenship </w:t>
      </w:r>
      <w:r w:rsidRPr="007A23D6">
        <w:rPr>
          <w:rFonts w:ascii="Arial" w:hAnsi="Arial" w:cs="Arial"/>
        </w:rPr>
        <w:t>behaviour</w:t>
      </w:r>
      <w:r w:rsidRPr="007A23D6">
        <w:rPr>
          <w:rFonts w:ascii="Arial" w:hAnsi="Arial" w:cs="Arial"/>
        </w:rPr>
        <w:t xml:space="preserve"> with corporate social responsibility as the bridge. </w:t>
      </w:r>
      <w:r w:rsidRPr="007A23D6">
        <w:rPr>
          <w:rFonts w:ascii="Arial" w:hAnsi="Arial" w:cs="Arial"/>
          <w:i/>
          <w:iCs/>
        </w:rPr>
        <w:t>International Journal of Productivity and Performance Management,</w:t>
      </w:r>
      <w:r w:rsidRPr="007A23D6">
        <w:rPr>
          <w:rFonts w:ascii="Arial" w:hAnsi="Arial" w:cs="Arial"/>
        </w:rPr>
        <w:t xml:space="preserve"> 74(6), pp.2091-2112.</w:t>
      </w:r>
    </w:p>
    <w:p w14:paraId="72FA457B" w14:textId="77777777" w:rsidR="00CD1183" w:rsidRPr="00CD1183" w:rsidRDefault="00CD1183" w:rsidP="00CD1183">
      <w:pPr>
        <w:spacing w:line="480" w:lineRule="auto"/>
        <w:rPr>
          <w:rFonts w:ascii="Arial" w:hAnsi="Arial" w:cs="Arial"/>
        </w:rPr>
      </w:pPr>
      <w:r w:rsidRPr="00CD1183">
        <w:rPr>
          <w:rFonts w:ascii="Arial" w:hAnsi="Arial" w:cs="Arial"/>
        </w:rPr>
        <w:t xml:space="preserve">Korsten, G., Osterhage, A. and Ahrens, M., 2025. </w:t>
      </w:r>
      <w:r w:rsidRPr="007A23D6">
        <w:rPr>
          <w:rFonts w:ascii="Arial" w:hAnsi="Arial" w:cs="Arial"/>
          <w:i/>
          <w:iCs/>
        </w:rPr>
        <w:t>Operationalising digital transformation.</w:t>
      </w:r>
      <w:r w:rsidRPr="00CD1183">
        <w:rPr>
          <w:rFonts w:ascii="Arial" w:hAnsi="Arial" w:cs="Arial"/>
        </w:rPr>
        <w:t xml:space="preserve"> Software and Systems Modelling.</w:t>
      </w:r>
    </w:p>
    <w:p w14:paraId="0AB6E780" w14:textId="77777777" w:rsidR="007A23D6" w:rsidRDefault="00CD1183" w:rsidP="00CD1183">
      <w:pPr>
        <w:spacing w:line="480" w:lineRule="auto"/>
        <w:rPr>
          <w:rFonts w:ascii="Arial" w:hAnsi="Arial" w:cs="Arial"/>
        </w:rPr>
      </w:pPr>
      <w:r w:rsidRPr="00CD1183">
        <w:rPr>
          <w:rFonts w:ascii="Arial" w:hAnsi="Arial" w:cs="Arial"/>
        </w:rPr>
        <w:t xml:space="preserve">Klimek, M., 2025. </w:t>
      </w:r>
      <w:r w:rsidRPr="007A23D6">
        <w:rPr>
          <w:rFonts w:ascii="Arial" w:hAnsi="Arial" w:cs="Arial"/>
          <w:i/>
          <w:iCs/>
        </w:rPr>
        <w:t>Doing Inclusive Leadership: A Discursive Approach</w:t>
      </w:r>
      <w:r w:rsidRPr="00CD1183">
        <w:rPr>
          <w:rFonts w:ascii="Arial" w:hAnsi="Arial" w:cs="Arial"/>
        </w:rPr>
        <w:t>. Cheltenham: Edward Elgar Publishing.</w:t>
      </w:r>
    </w:p>
    <w:p w14:paraId="59991232" w14:textId="785908E3" w:rsidR="00CD1183" w:rsidRPr="00CD1183" w:rsidRDefault="007A23D6" w:rsidP="00CD1183">
      <w:pPr>
        <w:spacing w:line="480" w:lineRule="auto"/>
        <w:rPr>
          <w:rFonts w:ascii="Arial" w:hAnsi="Arial" w:cs="Arial"/>
        </w:rPr>
      </w:pPr>
      <w:r w:rsidRPr="007A23D6">
        <w:rPr>
          <w:rFonts w:ascii="Arial" w:hAnsi="Arial" w:cs="Arial"/>
        </w:rPr>
        <w:lastRenderedPageBreak/>
        <w:t xml:space="preserve">Mdletye, Z., 2025. The Link Between Organisational Communication and Organisational Behaviour. In </w:t>
      </w:r>
      <w:r w:rsidRPr="007A23D6">
        <w:rPr>
          <w:rFonts w:ascii="Arial" w:hAnsi="Arial" w:cs="Arial"/>
          <w:i/>
          <w:iCs/>
        </w:rPr>
        <w:t>Organisational Behaviour, Communication, and Digitalisation in a Changing World (pp. 93-111).</w:t>
      </w:r>
      <w:r w:rsidRPr="007A23D6">
        <w:rPr>
          <w:rFonts w:ascii="Arial" w:hAnsi="Arial" w:cs="Arial"/>
        </w:rPr>
        <w:t xml:space="preserve"> Cham: Springer Nature Switzerland.</w:t>
      </w:r>
    </w:p>
    <w:p w14:paraId="4119851A" w14:textId="3280A87C" w:rsidR="00CD1183" w:rsidRPr="00CD1183" w:rsidRDefault="007A23D6" w:rsidP="00CD1183">
      <w:pPr>
        <w:spacing w:line="480" w:lineRule="auto"/>
        <w:rPr>
          <w:rFonts w:ascii="Arial" w:hAnsi="Arial" w:cs="Arial"/>
        </w:rPr>
      </w:pPr>
      <w:r w:rsidRPr="007A23D6">
        <w:rPr>
          <w:rFonts w:ascii="Arial" w:hAnsi="Arial" w:cs="Arial"/>
        </w:rPr>
        <w:t xml:space="preserve">Morgan, A., Fong-Emmerson, M., D’Alessandro, S. and Ryan, M., 2025. DEI and discrimination in the marketing industry: Exploring the lived experiences in the workplace. Evidence from Western Australia. </w:t>
      </w:r>
      <w:r w:rsidRPr="007A23D6">
        <w:rPr>
          <w:rFonts w:ascii="Arial" w:hAnsi="Arial" w:cs="Arial"/>
          <w:i/>
          <w:iCs/>
        </w:rPr>
        <w:t>Australasian Marketing Journal</w:t>
      </w:r>
      <w:r w:rsidRPr="007A23D6">
        <w:rPr>
          <w:rFonts w:ascii="Arial" w:hAnsi="Arial" w:cs="Arial"/>
        </w:rPr>
        <w:t>, p.14413582251358509.</w:t>
      </w:r>
    </w:p>
    <w:p w14:paraId="32050E93" w14:textId="5317E574" w:rsidR="00CD1183" w:rsidRPr="00CD1183" w:rsidRDefault="007A23D6" w:rsidP="00CD1183">
      <w:pPr>
        <w:spacing w:line="480" w:lineRule="auto"/>
        <w:rPr>
          <w:rFonts w:ascii="Arial" w:hAnsi="Arial" w:cs="Arial"/>
        </w:rPr>
      </w:pPr>
      <w:r w:rsidRPr="007A23D6">
        <w:rPr>
          <w:rFonts w:ascii="Arial" w:hAnsi="Arial" w:cs="Arial"/>
        </w:rPr>
        <w:t xml:space="preserve">Nugroho, A., Rahayu, S. and </w:t>
      </w:r>
      <w:proofErr w:type="spellStart"/>
      <w:r w:rsidRPr="007A23D6">
        <w:rPr>
          <w:rFonts w:ascii="Arial" w:hAnsi="Arial" w:cs="Arial"/>
        </w:rPr>
        <w:t>Fitrianty</w:t>
      </w:r>
      <w:proofErr w:type="spellEnd"/>
      <w:r w:rsidRPr="007A23D6">
        <w:rPr>
          <w:rFonts w:ascii="Arial" w:hAnsi="Arial" w:cs="Arial"/>
        </w:rPr>
        <w:t xml:space="preserve">, R., 2025. The Role of Charismatic Leadership, Work Environment and Organizational Culture on Improving Employee Performance at the </w:t>
      </w:r>
      <w:proofErr w:type="spellStart"/>
      <w:r w:rsidRPr="007A23D6">
        <w:rPr>
          <w:rFonts w:ascii="Arial" w:hAnsi="Arial" w:cs="Arial"/>
        </w:rPr>
        <w:t>Bangkalan</w:t>
      </w:r>
      <w:proofErr w:type="spellEnd"/>
      <w:r w:rsidRPr="007A23D6">
        <w:rPr>
          <w:rFonts w:ascii="Arial" w:hAnsi="Arial" w:cs="Arial"/>
        </w:rPr>
        <w:t xml:space="preserve"> Pratama Tax Service Office. </w:t>
      </w:r>
      <w:r w:rsidRPr="007A23D6">
        <w:rPr>
          <w:rFonts w:ascii="Arial" w:hAnsi="Arial" w:cs="Arial"/>
          <w:i/>
          <w:iCs/>
        </w:rPr>
        <w:t>Lead Journal of Economy and Administration,</w:t>
      </w:r>
      <w:r w:rsidRPr="007A23D6">
        <w:rPr>
          <w:rFonts w:ascii="Arial" w:hAnsi="Arial" w:cs="Arial"/>
        </w:rPr>
        <w:t xml:space="preserve"> 3(3), pp.135-144.</w:t>
      </w:r>
    </w:p>
    <w:p w14:paraId="070CF9CB" w14:textId="77777777" w:rsidR="00CD1183" w:rsidRPr="00CD1183" w:rsidRDefault="00CD1183" w:rsidP="00CD1183">
      <w:pPr>
        <w:spacing w:line="480" w:lineRule="auto"/>
        <w:rPr>
          <w:rFonts w:ascii="Arial" w:hAnsi="Arial" w:cs="Arial"/>
        </w:rPr>
      </w:pPr>
      <w:r w:rsidRPr="00CD1183">
        <w:rPr>
          <w:rFonts w:ascii="Arial" w:hAnsi="Arial" w:cs="Arial"/>
        </w:rPr>
        <w:t>Ramlall, S., Singh, P. and Brewster, L., 2025</w:t>
      </w:r>
      <w:r w:rsidRPr="007A23D6">
        <w:rPr>
          <w:rFonts w:ascii="Arial" w:hAnsi="Arial" w:cs="Arial"/>
          <w:i/>
          <w:iCs/>
        </w:rPr>
        <w:t>. Positive Organisational Behaviour and Engagement.</w:t>
      </w:r>
      <w:r w:rsidRPr="00CD1183">
        <w:rPr>
          <w:rFonts w:ascii="Arial" w:hAnsi="Arial" w:cs="Arial"/>
        </w:rPr>
        <w:t xml:space="preserve"> London: Routledge.</w:t>
      </w:r>
    </w:p>
    <w:p w14:paraId="17D792CD" w14:textId="62991297" w:rsidR="00CD1183" w:rsidRPr="00CD1183" w:rsidRDefault="007A23D6" w:rsidP="00CD1183">
      <w:pPr>
        <w:spacing w:line="480" w:lineRule="auto"/>
        <w:rPr>
          <w:rFonts w:ascii="Arial" w:hAnsi="Arial" w:cs="Arial"/>
        </w:rPr>
      </w:pPr>
      <w:r w:rsidRPr="007A23D6">
        <w:rPr>
          <w:rFonts w:ascii="Arial" w:hAnsi="Arial" w:cs="Arial"/>
        </w:rPr>
        <w:t xml:space="preserve">Usadolo, S.E. and Usadolo, Q.E., 2025. Understanding the Link Between Communication, Participative Leadership, and Agricultural Extension Officer Workplace Engagement. In </w:t>
      </w:r>
      <w:r w:rsidRPr="007A23D6">
        <w:rPr>
          <w:rFonts w:ascii="Arial" w:hAnsi="Arial" w:cs="Arial"/>
          <w:i/>
          <w:iCs/>
        </w:rPr>
        <w:t>Organisational Behaviour, Communication, and Digitalisation in a Changing World (pp. 113-137).</w:t>
      </w:r>
      <w:r w:rsidRPr="007A23D6">
        <w:rPr>
          <w:rFonts w:ascii="Arial" w:hAnsi="Arial" w:cs="Arial"/>
        </w:rPr>
        <w:t xml:space="preserve"> Cham: Springer Nature Switzerland.</w:t>
      </w:r>
    </w:p>
    <w:p w14:paraId="5180B4DC" w14:textId="77777777" w:rsidR="00CD1183" w:rsidRPr="00CD1183" w:rsidRDefault="00CD1183" w:rsidP="00CD1183">
      <w:pPr>
        <w:spacing w:line="480" w:lineRule="auto"/>
        <w:rPr>
          <w:rFonts w:ascii="Arial" w:hAnsi="Arial" w:cs="Arial"/>
        </w:rPr>
      </w:pPr>
      <w:r w:rsidRPr="00CD1183">
        <w:rPr>
          <w:rFonts w:ascii="Arial" w:hAnsi="Arial" w:cs="Arial"/>
        </w:rPr>
        <w:t xml:space="preserve">Williams, C., Dobson, P. and Walters, M., 2003. </w:t>
      </w:r>
      <w:r w:rsidRPr="007A23D6">
        <w:rPr>
          <w:rFonts w:ascii="Arial" w:hAnsi="Arial" w:cs="Arial"/>
          <w:i/>
          <w:iCs/>
        </w:rPr>
        <w:t>Changing Culture: New Organisational Approaches.</w:t>
      </w:r>
      <w:r w:rsidRPr="00CD1183">
        <w:rPr>
          <w:rFonts w:ascii="Arial" w:hAnsi="Arial" w:cs="Arial"/>
        </w:rPr>
        <w:t xml:space="preserve"> London: CIPD.</w:t>
      </w:r>
    </w:p>
    <w:p w14:paraId="18F1128E" w14:textId="77777777" w:rsidR="00CD1183" w:rsidRPr="00CD1183" w:rsidRDefault="00CD1183" w:rsidP="00CD1183">
      <w:pPr>
        <w:spacing w:line="480" w:lineRule="auto"/>
        <w:rPr>
          <w:rFonts w:ascii="Arial" w:hAnsi="Arial" w:cs="Arial"/>
        </w:rPr>
      </w:pPr>
      <w:r w:rsidRPr="00CD1183">
        <w:rPr>
          <w:rFonts w:ascii="Arial" w:hAnsi="Arial" w:cs="Arial"/>
        </w:rPr>
        <w:t xml:space="preserve">Wu, H., Tang, S., Yan, Y. and Chen, F., 2024. </w:t>
      </w:r>
      <w:r w:rsidRPr="007A23D6">
        <w:rPr>
          <w:rFonts w:ascii="Arial" w:hAnsi="Arial" w:cs="Arial"/>
          <w:i/>
          <w:iCs/>
        </w:rPr>
        <w:t>AI collaboration and job insecurity.</w:t>
      </w:r>
      <w:r w:rsidRPr="00CD1183">
        <w:rPr>
          <w:rFonts w:ascii="Arial" w:hAnsi="Arial" w:cs="Arial"/>
        </w:rPr>
        <w:t xml:space="preserve"> Telematics and Informatics, 87, 102034.</w:t>
      </w:r>
    </w:p>
    <w:p w14:paraId="00B3178C" w14:textId="77777777" w:rsidR="00CD1183" w:rsidRPr="00CD1183" w:rsidRDefault="00CD1183" w:rsidP="00CD1183">
      <w:pPr>
        <w:spacing w:line="480" w:lineRule="auto"/>
        <w:rPr>
          <w:rFonts w:ascii="Arial" w:hAnsi="Arial" w:cs="Arial"/>
        </w:rPr>
      </w:pPr>
      <w:r w:rsidRPr="00CD1183">
        <w:rPr>
          <w:rFonts w:ascii="Arial" w:hAnsi="Arial" w:cs="Arial"/>
        </w:rPr>
        <w:lastRenderedPageBreak/>
        <w:t xml:space="preserve">Yao, H., He, M., Chen, Y. and Li, Z., 2025. Trust, leadership and employee performance. </w:t>
      </w:r>
      <w:r w:rsidRPr="007A23D6">
        <w:rPr>
          <w:rFonts w:ascii="Arial" w:hAnsi="Arial" w:cs="Arial"/>
          <w:i/>
          <w:iCs/>
        </w:rPr>
        <w:t>International Journal of Productivity and Performance Management</w:t>
      </w:r>
      <w:r w:rsidRPr="00CD1183">
        <w:rPr>
          <w:rFonts w:ascii="Arial" w:hAnsi="Arial" w:cs="Arial"/>
        </w:rPr>
        <w:t>, 74(3), pp.456–475.</w:t>
      </w:r>
    </w:p>
    <w:p w14:paraId="63493F58" w14:textId="7DCED36B" w:rsidR="00CD1183" w:rsidRPr="00CD1183" w:rsidRDefault="00CD1183" w:rsidP="00CD1183">
      <w:pPr>
        <w:spacing w:line="480" w:lineRule="auto"/>
        <w:rPr>
          <w:rFonts w:ascii="Arial" w:hAnsi="Arial" w:cs="Arial"/>
        </w:rPr>
      </w:pPr>
      <w:r w:rsidRPr="00CD1183">
        <w:rPr>
          <w:rFonts w:ascii="Arial" w:hAnsi="Arial" w:cs="Arial"/>
        </w:rPr>
        <w:t>Ye, Z., Wang, Y. and Guo, Z., 2024. Human</w:t>
      </w:r>
      <w:r w:rsidR="007A23D6">
        <w:rPr>
          <w:rFonts w:ascii="Arial" w:hAnsi="Arial" w:cs="Arial"/>
        </w:rPr>
        <w:t>-</w:t>
      </w:r>
      <w:r w:rsidRPr="00CD1183">
        <w:rPr>
          <w:rFonts w:ascii="Arial" w:hAnsi="Arial" w:cs="Arial"/>
        </w:rPr>
        <w:t xml:space="preserve">AI collaboration and work experience. </w:t>
      </w:r>
      <w:r w:rsidRPr="007A23D6">
        <w:rPr>
          <w:rFonts w:ascii="Arial" w:hAnsi="Arial" w:cs="Arial"/>
          <w:i/>
          <w:iCs/>
        </w:rPr>
        <w:t>Frontiers in Psychology</w:t>
      </w:r>
      <w:r w:rsidRPr="00CD1183">
        <w:rPr>
          <w:rFonts w:ascii="Arial" w:hAnsi="Arial" w:cs="Arial"/>
        </w:rPr>
        <w:t>, 15, 1324457.</w:t>
      </w:r>
    </w:p>
    <w:p w14:paraId="41303640" w14:textId="5E971DD9" w:rsidR="00CD1183" w:rsidRDefault="00CD1183" w:rsidP="00CD1183">
      <w:pPr>
        <w:spacing w:line="480" w:lineRule="auto"/>
        <w:rPr>
          <w:rFonts w:ascii="Arial" w:hAnsi="Arial" w:cs="Arial"/>
        </w:rPr>
      </w:pPr>
      <w:r w:rsidRPr="00CD1183">
        <w:rPr>
          <w:rFonts w:ascii="Arial" w:hAnsi="Arial" w:cs="Arial"/>
        </w:rPr>
        <w:t xml:space="preserve">Yue, C.A., Men, L.R. and Ferguson, M.A., 2019. Internal communication and openness to change. </w:t>
      </w:r>
      <w:r w:rsidRPr="007A23D6">
        <w:rPr>
          <w:rFonts w:ascii="Arial" w:hAnsi="Arial" w:cs="Arial"/>
          <w:i/>
          <w:iCs/>
        </w:rPr>
        <w:t>Public Relations Review</w:t>
      </w:r>
      <w:r w:rsidRPr="00CD1183">
        <w:rPr>
          <w:rFonts w:ascii="Arial" w:hAnsi="Arial" w:cs="Arial"/>
        </w:rPr>
        <w:t>, 45(3), 101765.</w:t>
      </w:r>
    </w:p>
    <w:p w14:paraId="2832BBFB" w14:textId="77777777" w:rsidR="006C0EDD" w:rsidRPr="0041391A" w:rsidRDefault="006C0EDD" w:rsidP="0041391A">
      <w:pPr>
        <w:spacing w:line="480" w:lineRule="auto"/>
        <w:rPr>
          <w:rFonts w:ascii="Arial" w:hAnsi="Arial" w:cs="Arial"/>
        </w:rPr>
      </w:pPr>
    </w:p>
    <w:sectPr w:rsidR="006C0EDD" w:rsidRPr="0041391A" w:rsidSect="00C7023D">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077243" w14:textId="77777777" w:rsidR="00FD4271" w:rsidRDefault="00FD4271" w:rsidP="00C7023D">
      <w:pPr>
        <w:spacing w:after="0" w:line="240" w:lineRule="auto"/>
      </w:pPr>
      <w:r>
        <w:separator/>
      </w:r>
    </w:p>
  </w:endnote>
  <w:endnote w:type="continuationSeparator" w:id="0">
    <w:p w14:paraId="41F4D247" w14:textId="77777777" w:rsidR="00FD4271" w:rsidRDefault="00FD4271" w:rsidP="00C70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2E551B" w14:textId="0B0840D5" w:rsidR="00C7023D" w:rsidRDefault="00C7023D">
    <w:pPr>
      <w:pStyle w:val="Footer"/>
    </w:pPr>
    <w:r>
      <w:rPr>
        <w:noProof/>
        <w:color w:val="156082" w:themeColor="accent1"/>
      </w:rPr>
      <mc:AlternateContent>
        <mc:Choice Requires="wps">
          <w:drawing>
            <wp:anchor distT="0" distB="0" distL="114300" distR="114300" simplePos="0" relativeHeight="251659264" behindDoc="0" locked="0" layoutInCell="1" allowOverlap="1" wp14:anchorId="56ABD124" wp14:editId="188340E6">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FBF64B3"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2769AB" w14:textId="77777777" w:rsidR="00FD4271" w:rsidRDefault="00FD4271" w:rsidP="00C7023D">
      <w:pPr>
        <w:spacing w:after="0" w:line="240" w:lineRule="auto"/>
      </w:pPr>
      <w:r>
        <w:separator/>
      </w:r>
    </w:p>
  </w:footnote>
  <w:footnote w:type="continuationSeparator" w:id="0">
    <w:p w14:paraId="6C958C30" w14:textId="77777777" w:rsidR="00FD4271" w:rsidRDefault="00FD4271" w:rsidP="00C702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91A"/>
    <w:rsid w:val="0041391A"/>
    <w:rsid w:val="006C0EDD"/>
    <w:rsid w:val="007A23D6"/>
    <w:rsid w:val="00C7023D"/>
    <w:rsid w:val="00CD1183"/>
    <w:rsid w:val="00F876CF"/>
    <w:rsid w:val="00FD4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E32D3"/>
  <w15:chartTrackingRefBased/>
  <w15:docId w15:val="{B60424FF-56FD-4B05-ADD0-D2281F8CA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39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39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39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39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39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39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39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39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39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39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39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39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39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39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39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39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39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391A"/>
    <w:rPr>
      <w:rFonts w:eastAsiaTheme="majorEastAsia" w:cstheme="majorBidi"/>
      <w:color w:val="272727" w:themeColor="text1" w:themeTint="D8"/>
    </w:rPr>
  </w:style>
  <w:style w:type="paragraph" w:styleId="Title">
    <w:name w:val="Title"/>
    <w:basedOn w:val="Normal"/>
    <w:next w:val="Normal"/>
    <w:link w:val="TitleChar"/>
    <w:uiPriority w:val="10"/>
    <w:qFormat/>
    <w:rsid w:val="004139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39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39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39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391A"/>
    <w:pPr>
      <w:spacing w:before="160"/>
      <w:jc w:val="center"/>
    </w:pPr>
    <w:rPr>
      <w:i/>
      <w:iCs/>
      <w:color w:val="404040" w:themeColor="text1" w:themeTint="BF"/>
    </w:rPr>
  </w:style>
  <w:style w:type="character" w:customStyle="1" w:styleId="QuoteChar">
    <w:name w:val="Quote Char"/>
    <w:basedOn w:val="DefaultParagraphFont"/>
    <w:link w:val="Quote"/>
    <w:uiPriority w:val="29"/>
    <w:rsid w:val="0041391A"/>
    <w:rPr>
      <w:i/>
      <w:iCs/>
      <w:color w:val="404040" w:themeColor="text1" w:themeTint="BF"/>
    </w:rPr>
  </w:style>
  <w:style w:type="paragraph" w:styleId="ListParagraph">
    <w:name w:val="List Paragraph"/>
    <w:basedOn w:val="Normal"/>
    <w:uiPriority w:val="34"/>
    <w:qFormat/>
    <w:rsid w:val="0041391A"/>
    <w:pPr>
      <w:ind w:left="720"/>
      <w:contextualSpacing/>
    </w:pPr>
  </w:style>
  <w:style w:type="character" w:styleId="IntenseEmphasis">
    <w:name w:val="Intense Emphasis"/>
    <w:basedOn w:val="DefaultParagraphFont"/>
    <w:uiPriority w:val="21"/>
    <w:qFormat/>
    <w:rsid w:val="0041391A"/>
    <w:rPr>
      <w:i/>
      <w:iCs/>
      <w:color w:val="0F4761" w:themeColor="accent1" w:themeShade="BF"/>
    </w:rPr>
  </w:style>
  <w:style w:type="paragraph" w:styleId="IntenseQuote">
    <w:name w:val="Intense Quote"/>
    <w:basedOn w:val="Normal"/>
    <w:next w:val="Normal"/>
    <w:link w:val="IntenseQuoteChar"/>
    <w:uiPriority w:val="30"/>
    <w:qFormat/>
    <w:rsid w:val="004139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391A"/>
    <w:rPr>
      <w:i/>
      <w:iCs/>
      <w:color w:val="0F4761" w:themeColor="accent1" w:themeShade="BF"/>
    </w:rPr>
  </w:style>
  <w:style w:type="character" w:styleId="IntenseReference">
    <w:name w:val="Intense Reference"/>
    <w:basedOn w:val="DefaultParagraphFont"/>
    <w:uiPriority w:val="32"/>
    <w:qFormat/>
    <w:rsid w:val="0041391A"/>
    <w:rPr>
      <w:b/>
      <w:bCs/>
      <w:smallCaps/>
      <w:color w:val="0F4761" w:themeColor="accent1" w:themeShade="BF"/>
      <w:spacing w:val="5"/>
    </w:rPr>
  </w:style>
  <w:style w:type="paragraph" w:styleId="Header">
    <w:name w:val="header"/>
    <w:basedOn w:val="Normal"/>
    <w:link w:val="HeaderChar"/>
    <w:uiPriority w:val="99"/>
    <w:unhideWhenUsed/>
    <w:rsid w:val="00C70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23D"/>
  </w:style>
  <w:style w:type="paragraph" w:styleId="Footer">
    <w:name w:val="footer"/>
    <w:basedOn w:val="Normal"/>
    <w:link w:val="FooterChar"/>
    <w:uiPriority w:val="99"/>
    <w:unhideWhenUsed/>
    <w:rsid w:val="00C702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23D"/>
  </w:style>
  <w:style w:type="paragraph" w:styleId="NoSpacing">
    <w:name w:val="No Spacing"/>
    <w:link w:val="NoSpacingChar"/>
    <w:uiPriority w:val="1"/>
    <w:qFormat/>
    <w:rsid w:val="00C7023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7023D"/>
    <w:rPr>
      <w:rFonts w:eastAsiaTheme="minorEastAsia"/>
      <w:kern w:val="0"/>
      <w:sz w:val="22"/>
      <w:szCs w:val="22"/>
      <w:lang w:val="en-US"/>
      <w14:ligatures w14:val="none"/>
    </w:rPr>
  </w:style>
  <w:style w:type="character" w:styleId="Hyperlink">
    <w:name w:val="Hyperlink"/>
    <w:basedOn w:val="DefaultParagraphFont"/>
    <w:uiPriority w:val="99"/>
    <w:unhideWhenUsed/>
    <w:rsid w:val="00CD1183"/>
    <w:rPr>
      <w:color w:val="467886" w:themeColor="hyperlink"/>
      <w:u w:val="single"/>
    </w:rPr>
  </w:style>
  <w:style w:type="character" w:styleId="UnresolvedMention">
    <w:name w:val="Unresolved Mention"/>
    <w:basedOn w:val="DefaultParagraphFont"/>
    <w:uiPriority w:val="99"/>
    <w:semiHidden/>
    <w:unhideWhenUsed/>
    <w:rsid w:val="00CD11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doi.org/10.58905/apollo.v2i1.23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FECF8B8270547B6A706D5235915DAE8"/>
        <w:category>
          <w:name w:val="General"/>
          <w:gallery w:val="placeholder"/>
        </w:category>
        <w:types>
          <w:type w:val="bbPlcHdr"/>
        </w:types>
        <w:behaviors>
          <w:behavior w:val="content"/>
        </w:behaviors>
        <w:guid w:val="{C71E7ABC-AE2F-4088-9B93-721B0449BB8A}"/>
      </w:docPartPr>
      <w:docPartBody>
        <w:p w:rsidR="00000000" w:rsidRDefault="008D7998" w:rsidP="008D7998">
          <w:pPr>
            <w:pStyle w:val="5FECF8B8270547B6A706D5235915DAE8"/>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998"/>
    <w:rsid w:val="008D7998"/>
    <w:rsid w:val="00B15E64"/>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ECF8B8270547B6A706D5235915DAE8">
    <w:name w:val="5FECF8B8270547B6A706D5235915DAE8"/>
    <w:rsid w:val="008D7998"/>
  </w:style>
  <w:style w:type="paragraph" w:customStyle="1" w:styleId="22F17110DEB14265AF52384E66E58446">
    <w:name w:val="22F17110DEB14265AF52384E66E58446"/>
    <w:rsid w:val="008D799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TotalTime>
  <Pages>11</Pages>
  <Words>2231</Words>
  <Characters>12717</Characters>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2025-12-05T19:33:00Z</dcterms:created>
  <dcterms:modified xsi:type="dcterms:W3CDTF">2025-12-05T20:25:00Z</dcterms:modified>
</cp:coreProperties>
</file>