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D03F23F" w14:textId="77777777" w:rsidR="00FE4E7F" w:rsidRPr="00F80370" w:rsidRDefault="00FE4E7F" w:rsidP="00FE4E7F">
      <w:pPr>
        <w:spacing w:after="160" w:line="259" w:lineRule="auto"/>
        <w:jc w:val="center"/>
        <w:rPr>
          <w:rFonts w:ascii="Arial" w:hAnsi="Arial"/>
        </w:rPr>
      </w:pPr>
    </w:p>
    <w:p w14:paraId="3B711362" w14:textId="77777777" w:rsidR="00FE4E7F" w:rsidRPr="00F80370" w:rsidRDefault="00FE4E7F" w:rsidP="00FE4E7F">
      <w:pPr>
        <w:spacing w:after="160" w:line="259" w:lineRule="auto"/>
        <w:jc w:val="center"/>
        <w:rPr>
          <w:rFonts w:ascii="Arial" w:hAnsi="Arial"/>
        </w:rPr>
      </w:pPr>
    </w:p>
    <w:p w14:paraId="7C016ECA" w14:textId="77777777" w:rsidR="00FE4E7F" w:rsidRPr="00F80370" w:rsidRDefault="00FE4E7F" w:rsidP="00FE4E7F">
      <w:pPr>
        <w:spacing w:after="160" w:line="259" w:lineRule="auto"/>
        <w:jc w:val="center"/>
        <w:rPr>
          <w:rFonts w:ascii="Arial" w:hAnsi="Arial"/>
        </w:rPr>
      </w:pPr>
    </w:p>
    <w:p w14:paraId="5E043391" w14:textId="77777777" w:rsidR="00FE4E7F" w:rsidRPr="00F80370" w:rsidRDefault="00FE4E7F" w:rsidP="00FE4E7F">
      <w:pPr>
        <w:spacing w:after="160" w:line="259" w:lineRule="auto"/>
        <w:jc w:val="center"/>
        <w:rPr>
          <w:rFonts w:ascii="Arial" w:hAnsi="Arial"/>
        </w:rPr>
      </w:pPr>
    </w:p>
    <w:p w14:paraId="623B2900" w14:textId="77777777" w:rsidR="00FE4E7F" w:rsidRPr="00F80370" w:rsidRDefault="00FE4E7F" w:rsidP="00FE4E7F">
      <w:pPr>
        <w:spacing w:after="160" w:line="259" w:lineRule="auto"/>
        <w:jc w:val="center"/>
        <w:rPr>
          <w:rFonts w:ascii="Arial" w:hAnsi="Arial"/>
        </w:rPr>
      </w:pPr>
    </w:p>
    <w:p w14:paraId="12A0D159" w14:textId="77777777" w:rsidR="00FE4E7F" w:rsidRPr="00F80370" w:rsidRDefault="00FE4E7F" w:rsidP="00FE4E7F">
      <w:pPr>
        <w:spacing w:after="160" w:line="259" w:lineRule="auto"/>
        <w:jc w:val="center"/>
        <w:rPr>
          <w:rFonts w:ascii="Arial" w:hAnsi="Arial"/>
        </w:rPr>
      </w:pPr>
    </w:p>
    <w:p w14:paraId="3E8C0FD6" w14:textId="77777777" w:rsidR="00FE4E7F" w:rsidRPr="00F80370" w:rsidRDefault="00FE4E7F" w:rsidP="00FE4E7F">
      <w:pPr>
        <w:spacing w:after="160" w:line="259" w:lineRule="auto"/>
        <w:jc w:val="center"/>
        <w:rPr>
          <w:rFonts w:ascii="Arial" w:hAnsi="Arial"/>
        </w:rPr>
      </w:pPr>
    </w:p>
    <w:p w14:paraId="1E4849AE" w14:textId="77777777" w:rsidR="00FE4E7F" w:rsidRPr="00F80370" w:rsidRDefault="00FE4E7F" w:rsidP="00FE4E7F">
      <w:pPr>
        <w:spacing w:after="160" w:line="259" w:lineRule="auto"/>
        <w:jc w:val="center"/>
        <w:rPr>
          <w:rFonts w:ascii="Arial" w:hAnsi="Arial"/>
        </w:rPr>
      </w:pPr>
    </w:p>
    <w:p w14:paraId="563F4FE2" w14:textId="77777777" w:rsidR="00FE4E7F" w:rsidRPr="00F80370" w:rsidRDefault="00FE4E7F" w:rsidP="00FE4E7F">
      <w:pPr>
        <w:spacing w:after="160" w:line="259" w:lineRule="auto"/>
        <w:jc w:val="center"/>
        <w:rPr>
          <w:rFonts w:ascii="Arial" w:hAnsi="Arial"/>
        </w:rPr>
      </w:pPr>
    </w:p>
    <w:p w14:paraId="55E8695E" w14:textId="77777777" w:rsidR="00FE4E7F" w:rsidRPr="00F80370" w:rsidRDefault="00FE4E7F" w:rsidP="00FE4E7F">
      <w:pPr>
        <w:spacing w:after="160" w:line="259" w:lineRule="auto"/>
        <w:jc w:val="center"/>
        <w:rPr>
          <w:rFonts w:ascii="Arial" w:hAnsi="Arial"/>
        </w:rPr>
      </w:pPr>
    </w:p>
    <w:p w14:paraId="501F13F0" w14:textId="77777777" w:rsidR="00FE4E7F" w:rsidRPr="00F80370" w:rsidRDefault="00FD36A5" w:rsidP="00FE4E7F">
      <w:pPr>
        <w:spacing w:after="160" w:line="259" w:lineRule="auto"/>
        <w:jc w:val="center"/>
        <w:rPr>
          <w:rFonts w:ascii="Arial" w:hAnsi="Arial"/>
          <w:b/>
          <w:bCs/>
          <w:sz w:val="32"/>
          <w:szCs w:val="32"/>
        </w:rPr>
      </w:pPr>
      <w:r w:rsidRPr="00F80370">
        <w:rPr>
          <w:rFonts w:ascii="Arial" w:hAnsi="Arial"/>
          <w:b/>
          <w:bCs/>
          <w:sz w:val="32"/>
          <w:szCs w:val="32"/>
        </w:rPr>
        <w:t>Master of Business Administration</w:t>
      </w:r>
    </w:p>
    <w:p w14:paraId="534CC164" w14:textId="77777777" w:rsidR="00DD0919" w:rsidRPr="00F80370" w:rsidRDefault="00FE4E7F" w:rsidP="00FE4E7F">
      <w:pPr>
        <w:spacing w:after="160" w:line="259" w:lineRule="auto"/>
        <w:jc w:val="center"/>
        <w:rPr>
          <w:rFonts w:ascii="Arial" w:hAnsi="Arial"/>
          <w:b/>
          <w:bCs/>
          <w:sz w:val="32"/>
          <w:szCs w:val="32"/>
        </w:rPr>
      </w:pPr>
      <w:r w:rsidRPr="00F80370">
        <w:rPr>
          <w:rFonts w:ascii="Arial" w:hAnsi="Arial"/>
          <w:b/>
          <w:bCs/>
          <w:sz w:val="32"/>
          <w:szCs w:val="32"/>
        </w:rPr>
        <w:t>Marketing Environment Analysis</w:t>
      </w:r>
    </w:p>
    <w:p w14:paraId="42A4060D" w14:textId="77777777" w:rsidR="00FD36A5" w:rsidRPr="00F80370" w:rsidRDefault="00FD36A5" w:rsidP="00FE4E7F">
      <w:pPr>
        <w:spacing w:after="160" w:line="259" w:lineRule="auto"/>
        <w:jc w:val="center"/>
        <w:rPr>
          <w:rFonts w:ascii="Arial" w:hAnsi="Arial"/>
          <w:b/>
          <w:bCs/>
          <w:sz w:val="32"/>
          <w:szCs w:val="32"/>
        </w:rPr>
      </w:pPr>
      <w:r w:rsidRPr="00F80370">
        <w:rPr>
          <w:rFonts w:ascii="Arial" w:hAnsi="Arial"/>
          <w:b/>
          <w:bCs/>
          <w:sz w:val="32"/>
          <w:szCs w:val="32"/>
        </w:rPr>
        <w:t>Module code: LCMB7024</w:t>
      </w:r>
    </w:p>
    <w:p w14:paraId="2988E9B4" w14:textId="6DAF23AB" w:rsidR="00FD36A5" w:rsidRPr="00F80370" w:rsidRDefault="00FD36A5" w:rsidP="00FE4E7F">
      <w:pPr>
        <w:spacing w:after="160" w:line="259" w:lineRule="auto"/>
        <w:jc w:val="center"/>
        <w:rPr>
          <w:rFonts w:ascii="Arial" w:hAnsi="Arial"/>
          <w:b/>
          <w:bCs/>
          <w:sz w:val="32"/>
          <w:szCs w:val="32"/>
        </w:rPr>
      </w:pPr>
      <w:r w:rsidRPr="00F80370">
        <w:rPr>
          <w:rFonts w:ascii="Arial" w:hAnsi="Arial"/>
          <w:b/>
          <w:bCs/>
          <w:sz w:val="32"/>
          <w:szCs w:val="32"/>
        </w:rPr>
        <w:t>Student Name:</w:t>
      </w:r>
      <w:r w:rsidR="00A957A8" w:rsidRPr="00F80370">
        <w:rPr>
          <w:rFonts w:ascii="Arial" w:hAnsi="Arial"/>
          <w:b/>
          <w:bCs/>
          <w:sz w:val="32"/>
          <w:szCs w:val="32"/>
        </w:rPr>
        <w:t xml:space="preserve"> Shreman Bhushanbhai Mankad</w:t>
      </w:r>
    </w:p>
    <w:p w14:paraId="047A7516" w14:textId="18D6F7C8" w:rsidR="00FD36A5" w:rsidRPr="00F80370" w:rsidRDefault="00FD36A5" w:rsidP="00FE4E7F">
      <w:pPr>
        <w:spacing w:after="160" w:line="259" w:lineRule="auto"/>
        <w:jc w:val="center"/>
        <w:rPr>
          <w:rFonts w:ascii="Arial" w:hAnsi="Arial"/>
          <w:b/>
          <w:bCs/>
          <w:sz w:val="32"/>
          <w:szCs w:val="32"/>
        </w:rPr>
      </w:pPr>
      <w:r w:rsidRPr="00F80370">
        <w:rPr>
          <w:rFonts w:ascii="Arial" w:hAnsi="Arial"/>
          <w:b/>
          <w:bCs/>
          <w:sz w:val="32"/>
          <w:szCs w:val="32"/>
        </w:rPr>
        <w:t>Student ID:</w:t>
      </w:r>
      <w:r w:rsidR="00A957A8" w:rsidRPr="00F80370">
        <w:rPr>
          <w:rFonts w:ascii="Arial" w:hAnsi="Arial"/>
          <w:b/>
          <w:bCs/>
          <w:sz w:val="32"/>
          <w:szCs w:val="32"/>
        </w:rPr>
        <w:t xml:space="preserve"> 2537843</w:t>
      </w:r>
    </w:p>
    <w:p w14:paraId="4F56DCD7" w14:textId="592152BB" w:rsidR="00A957A8" w:rsidRPr="00F80370" w:rsidRDefault="00A957A8" w:rsidP="00FE4E7F">
      <w:pPr>
        <w:spacing w:after="160" w:line="259" w:lineRule="auto"/>
        <w:jc w:val="center"/>
        <w:rPr>
          <w:rFonts w:ascii="Arial" w:hAnsi="Arial"/>
          <w:b/>
          <w:bCs/>
          <w:sz w:val="32"/>
          <w:szCs w:val="32"/>
        </w:rPr>
      </w:pPr>
      <w:r w:rsidRPr="00F80370">
        <w:rPr>
          <w:rFonts w:ascii="Arial" w:hAnsi="Arial"/>
          <w:b/>
          <w:bCs/>
          <w:sz w:val="32"/>
          <w:szCs w:val="32"/>
        </w:rPr>
        <w:t>Professor: Taonga Kaonga</w:t>
      </w:r>
      <w:r w:rsidR="00FB4D1F">
        <w:rPr>
          <w:rFonts w:ascii="Arial" w:hAnsi="Arial"/>
          <w:b/>
          <w:bCs/>
          <w:sz w:val="32"/>
          <w:szCs w:val="32"/>
        </w:rPr>
        <w:t xml:space="preserve"> </w:t>
      </w:r>
      <w:proofErr w:type="spellStart"/>
      <w:r w:rsidR="00FB4D1F">
        <w:rPr>
          <w:rFonts w:ascii="Arial" w:hAnsi="Arial"/>
          <w:b/>
          <w:bCs/>
          <w:sz w:val="32"/>
          <w:szCs w:val="32"/>
        </w:rPr>
        <w:t>Sobere-Snithers</w:t>
      </w:r>
      <w:proofErr w:type="spellEnd"/>
    </w:p>
    <w:p w14:paraId="68EA8689" w14:textId="77777777" w:rsidR="00FD36A5" w:rsidRPr="00F80370" w:rsidRDefault="00FD36A5" w:rsidP="00FE4E7F">
      <w:pPr>
        <w:spacing w:after="160" w:line="259" w:lineRule="auto"/>
        <w:jc w:val="center"/>
        <w:rPr>
          <w:rFonts w:ascii="Arial" w:hAnsi="Arial"/>
          <w:b/>
          <w:bCs/>
          <w:sz w:val="32"/>
          <w:szCs w:val="32"/>
        </w:rPr>
      </w:pPr>
    </w:p>
    <w:p w14:paraId="083822CB" w14:textId="77777777" w:rsidR="00DD0919" w:rsidRPr="00F80370" w:rsidRDefault="00DD0919">
      <w:pPr>
        <w:spacing w:after="160" w:line="259" w:lineRule="auto"/>
        <w:jc w:val="left"/>
        <w:rPr>
          <w:rFonts w:ascii="Arial" w:hAnsi="Arial"/>
          <w:b/>
          <w:bCs/>
          <w:sz w:val="44"/>
          <w:szCs w:val="44"/>
        </w:rPr>
      </w:pPr>
      <w:r w:rsidRPr="00F80370">
        <w:rPr>
          <w:rFonts w:ascii="Arial" w:hAnsi="Arial"/>
          <w:b/>
          <w:bCs/>
          <w:sz w:val="44"/>
          <w:szCs w:val="44"/>
        </w:rPr>
        <w:br w:type="page"/>
      </w:r>
    </w:p>
    <w:p w14:paraId="6C9B843C" w14:textId="77777777" w:rsidR="004D0925" w:rsidRPr="00F80370" w:rsidRDefault="004D0925" w:rsidP="004D0925">
      <w:pPr>
        <w:jc w:val="center"/>
        <w:rPr>
          <w:rFonts w:ascii="Arial" w:hAnsi="Arial"/>
          <w:b/>
          <w:bCs/>
        </w:rPr>
      </w:pPr>
      <w:r w:rsidRPr="00F80370">
        <w:rPr>
          <w:rFonts w:ascii="Arial" w:hAnsi="Arial"/>
          <w:b/>
          <w:bCs/>
        </w:rPr>
        <w:t>Executive Summary</w:t>
      </w:r>
    </w:p>
    <w:p w14:paraId="252CDE5F" w14:textId="0AE79D2A" w:rsidR="004D0925" w:rsidRDefault="004D0925" w:rsidP="004D0925">
      <w:pPr>
        <w:rPr>
          <w:rFonts w:ascii="Arial" w:hAnsi="Arial"/>
        </w:rPr>
      </w:pPr>
      <w:r w:rsidRPr="00F80370">
        <w:rPr>
          <w:rFonts w:ascii="Arial" w:hAnsi="Arial"/>
        </w:rPr>
        <w:t xml:space="preserve">This report critically analysed the external marketing environment factors influencing BHP’s </w:t>
      </w:r>
      <w:r w:rsidR="00835061">
        <w:rPr>
          <w:rFonts w:ascii="Arial" w:hAnsi="Arial"/>
        </w:rPr>
        <w:t xml:space="preserve">(Broken Hill Proprietary Company Limited) </w:t>
      </w:r>
      <w:r w:rsidRPr="00F80370">
        <w:rPr>
          <w:rFonts w:ascii="Arial" w:hAnsi="Arial"/>
        </w:rPr>
        <w:t>transition towards a lower carbon business model. Two external actors were identified during the analysis as having a significant impact on the company's sustainability strategy: Natural Environment and Political and Regulatory Environment. The operational and compliance pressures of climate change, the pressure from greenhouse gases and the increasing frequency of extreme weather events also brought new opportunities in the form of the rising demand for critical minerals like copper, nickel and potash. Likewise, Australian climate policy and regulatory changes enhanced the urgency to reduce emissions and promoted investment in clean technologies and energy transition minerals.</w:t>
      </w:r>
    </w:p>
    <w:p w14:paraId="47BDC236" w14:textId="77777777" w:rsidR="00A375A1" w:rsidRPr="00F80370" w:rsidRDefault="00A375A1" w:rsidP="004D0925">
      <w:pPr>
        <w:rPr>
          <w:rFonts w:ascii="Arial" w:hAnsi="Arial"/>
        </w:rPr>
      </w:pPr>
    </w:p>
    <w:p w14:paraId="455B9DA1" w14:textId="77777777" w:rsidR="00082A80" w:rsidRPr="00F80370" w:rsidRDefault="004D0925" w:rsidP="004D0925">
      <w:pPr>
        <w:rPr>
          <w:rFonts w:ascii="Arial" w:hAnsi="Arial"/>
        </w:rPr>
      </w:pPr>
      <w:r w:rsidRPr="00F80370">
        <w:rPr>
          <w:rFonts w:ascii="Arial" w:hAnsi="Arial"/>
        </w:rPr>
        <w:t>The report suggested the following strategies from the Ansoff Matrix for supporting future growth: Product Development and Market Development. The strategies centered on growing BHP's portfolio of lower carbon commodities and growing participation in new clean energy markets. Moreover, the report recommended to adopt a Differentiation Strategy with selected Cost Leadership advantages for enhancing competitive positioning. Through sustainable product solutions, technology innovation and operational efficiency, BHP has the potential to boost its environmental standing, deliver on stakeholder expectations, and drive long term growth and participate in global decarbonisation goals.</w:t>
      </w:r>
    </w:p>
    <w:p w14:paraId="66BB0F64" w14:textId="77777777" w:rsidR="00082A80" w:rsidRPr="00F80370" w:rsidRDefault="00082A80">
      <w:pPr>
        <w:spacing w:after="160" w:line="259" w:lineRule="auto"/>
        <w:jc w:val="left"/>
        <w:rPr>
          <w:rFonts w:ascii="Arial" w:hAnsi="Arial"/>
          <w:b/>
          <w:bCs/>
          <w:sz w:val="44"/>
          <w:szCs w:val="44"/>
        </w:rPr>
      </w:pPr>
      <w:r w:rsidRPr="00F80370">
        <w:rPr>
          <w:rFonts w:ascii="Arial" w:hAnsi="Arial"/>
          <w:b/>
          <w:bCs/>
          <w:sz w:val="44"/>
          <w:szCs w:val="44"/>
        </w:rPr>
        <w:br w:type="page"/>
      </w:r>
    </w:p>
    <w:sdt>
      <w:sdtPr>
        <w:rPr>
          <w:rFonts w:ascii="Arial" w:eastAsia="Arial" w:hAnsi="Arial" w:cs="Arial"/>
          <w:color w:val="auto"/>
          <w:kern w:val="2"/>
          <w:sz w:val="24"/>
          <w:szCs w:val="22"/>
          <w:lang w:val="en-IN" w:eastAsia="en-IN"/>
        </w:rPr>
        <w:id w:val="1706137376"/>
        <w:docPartObj>
          <w:docPartGallery w:val="Table of Contents"/>
          <w:docPartUnique/>
        </w:docPartObj>
      </w:sdtPr>
      <w:sdtEndPr>
        <w:rPr>
          <w:b/>
          <w:bCs/>
          <w:noProof/>
        </w:rPr>
      </w:sdtEndPr>
      <w:sdtContent>
        <w:p w14:paraId="314A4A5E" w14:textId="77777777" w:rsidR="00082A80" w:rsidRPr="00F80370" w:rsidRDefault="00082A80" w:rsidP="00082A80">
          <w:pPr>
            <w:pStyle w:val="TOCHeading"/>
            <w:jc w:val="center"/>
            <w:rPr>
              <w:rFonts w:ascii="Arial" w:hAnsi="Arial" w:cs="Arial"/>
              <w:b/>
              <w:bCs/>
              <w:color w:val="000000" w:themeColor="text1"/>
              <w:sz w:val="28"/>
              <w:szCs w:val="28"/>
            </w:rPr>
          </w:pPr>
          <w:r w:rsidRPr="00F80370">
            <w:rPr>
              <w:rFonts w:ascii="Arial" w:hAnsi="Arial" w:cs="Arial"/>
              <w:b/>
              <w:bCs/>
              <w:color w:val="000000" w:themeColor="text1"/>
              <w:sz w:val="28"/>
              <w:szCs w:val="28"/>
            </w:rPr>
            <w:t>Table of Contents</w:t>
          </w:r>
        </w:p>
        <w:p w14:paraId="0A13C63A" w14:textId="77777777" w:rsidR="007A715D" w:rsidRPr="00F80370" w:rsidRDefault="00125051">
          <w:pPr>
            <w:pStyle w:val="TOC1"/>
            <w:tabs>
              <w:tab w:val="right" w:leader="dot" w:pos="9016"/>
            </w:tabs>
            <w:rPr>
              <w:rFonts w:ascii="Arial" w:eastAsiaTheme="minorEastAsia" w:hAnsi="Arial"/>
              <w:noProof/>
              <w:szCs w:val="24"/>
            </w:rPr>
          </w:pPr>
          <w:r w:rsidRPr="00F80370">
            <w:rPr>
              <w:rFonts w:ascii="Arial" w:hAnsi="Arial"/>
            </w:rPr>
            <w:fldChar w:fldCharType="begin"/>
          </w:r>
          <w:r w:rsidR="00082A80" w:rsidRPr="00F80370">
            <w:rPr>
              <w:rFonts w:ascii="Arial" w:hAnsi="Arial"/>
            </w:rPr>
            <w:instrText xml:space="preserve"> TOC \o "1-3" \h \z \u </w:instrText>
          </w:r>
          <w:r w:rsidRPr="00F80370">
            <w:rPr>
              <w:rFonts w:ascii="Arial" w:hAnsi="Arial"/>
            </w:rPr>
            <w:fldChar w:fldCharType="separate"/>
          </w:r>
          <w:hyperlink w:anchor="_Toc231678812" w:history="1">
            <w:r w:rsidR="007A715D" w:rsidRPr="00F80370">
              <w:rPr>
                <w:rStyle w:val="Hyperlink"/>
                <w:rFonts w:ascii="Arial" w:hAnsi="Arial"/>
                <w:noProof/>
              </w:rPr>
              <w:t>Part A:</w:t>
            </w:r>
            <w:r w:rsidR="007A715D" w:rsidRPr="00F80370">
              <w:rPr>
                <w:rFonts w:ascii="Arial" w:hAnsi="Arial"/>
                <w:noProof/>
                <w:webHidden/>
              </w:rPr>
              <w:tab/>
            </w:r>
            <w:r w:rsidRPr="00F80370">
              <w:rPr>
                <w:rFonts w:ascii="Arial" w:hAnsi="Arial"/>
                <w:noProof/>
                <w:webHidden/>
              </w:rPr>
              <w:fldChar w:fldCharType="begin"/>
            </w:r>
            <w:r w:rsidR="007A715D" w:rsidRPr="00F80370">
              <w:rPr>
                <w:rFonts w:ascii="Arial" w:hAnsi="Arial"/>
                <w:noProof/>
                <w:webHidden/>
              </w:rPr>
              <w:instrText xml:space="preserve"> PAGEREF _Toc231678812 \h </w:instrText>
            </w:r>
            <w:r w:rsidRPr="00F80370">
              <w:rPr>
                <w:rFonts w:ascii="Arial" w:hAnsi="Arial"/>
                <w:noProof/>
                <w:webHidden/>
              </w:rPr>
            </w:r>
            <w:r w:rsidRPr="00F80370">
              <w:rPr>
                <w:rFonts w:ascii="Arial" w:hAnsi="Arial"/>
                <w:noProof/>
                <w:webHidden/>
              </w:rPr>
              <w:fldChar w:fldCharType="separate"/>
            </w:r>
            <w:r w:rsidR="007A715D" w:rsidRPr="00F80370">
              <w:rPr>
                <w:rFonts w:ascii="Arial" w:hAnsi="Arial"/>
                <w:noProof/>
                <w:webHidden/>
              </w:rPr>
              <w:t>4</w:t>
            </w:r>
            <w:r w:rsidRPr="00F80370">
              <w:rPr>
                <w:rFonts w:ascii="Arial" w:hAnsi="Arial"/>
                <w:noProof/>
                <w:webHidden/>
              </w:rPr>
              <w:fldChar w:fldCharType="end"/>
            </w:r>
          </w:hyperlink>
        </w:p>
        <w:p w14:paraId="33A85CE3" w14:textId="77777777" w:rsidR="007A715D" w:rsidRPr="00F80370" w:rsidRDefault="007A715D">
          <w:pPr>
            <w:pStyle w:val="TOC2"/>
            <w:tabs>
              <w:tab w:val="right" w:leader="dot" w:pos="9016"/>
            </w:tabs>
            <w:rPr>
              <w:rFonts w:ascii="Arial" w:eastAsiaTheme="minorEastAsia" w:hAnsi="Arial"/>
              <w:noProof/>
              <w:szCs w:val="24"/>
            </w:rPr>
          </w:pPr>
          <w:hyperlink w:anchor="_Toc231678813" w:history="1">
            <w:r w:rsidRPr="00F80370">
              <w:rPr>
                <w:rStyle w:val="Hyperlink"/>
                <w:rFonts w:ascii="Arial" w:hAnsi="Arial"/>
                <w:noProof/>
              </w:rPr>
              <w:t xml:space="preserve">Critically analyse two external marketing environment </w:t>
            </w:r>
            <w:r w:rsidR="00106864" w:rsidRPr="00F80370">
              <w:rPr>
                <w:rStyle w:val="Hyperlink"/>
                <w:rFonts w:ascii="Arial" w:hAnsi="Arial"/>
                <w:noProof/>
              </w:rPr>
              <w:t>F</w:t>
            </w:r>
            <w:r w:rsidRPr="00F80370">
              <w:rPr>
                <w:rStyle w:val="Hyperlink"/>
                <w:rFonts w:ascii="Arial" w:hAnsi="Arial"/>
                <w:noProof/>
              </w:rPr>
              <w:t>actors influencing its transition toward lower-carbon products</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_Toc231678813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4</w:t>
            </w:r>
            <w:r w:rsidR="00125051" w:rsidRPr="00F80370">
              <w:rPr>
                <w:rFonts w:ascii="Arial" w:hAnsi="Arial"/>
                <w:noProof/>
                <w:webHidden/>
              </w:rPr>
              <w:fldChar w:fldCharType="end"/>
            </w:r>
          </w:hyperlink>
        </w:p>
        <w:p w14:paraId="5D0044AF" w14:textId="77777777" w:rsidR="007A715D" w:rsidRPr="00F80370" w:rsidRDefault="007A715D">
          <w:pPr>
            <w:pStyle w:val="TOC1"/>
            <w:tabs>
              <w:tab w:val="right" w:leader="dot" w:pos="9016"/>
            </w:tabs>
            <w:rPr>
              <w:rFonts w:ascii="Arial" w:eastAsiaTheme="minorEastAsia" w:hAnsi="Arial"/>
              <w:noProof/>
              <w:szCs w:val="24"/>
            </w:rPr>
          </w:pPr>
          <w:hyperlink w:anchor="_Toc231678814" w:history="1">
            <w:r w:rsidRPr="00F80370">
              <w:rPr>
                <w:rStyle w:val="Hyperlink"/>
                <w:rFonts w:ascii="Arial" w:hAnsi="Arial"/>
                <w:noProof/>
              </w:rPr>
              <w:t>Part B</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_Toc231678814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6</w:t>
            </w:r>
            <w:r w:rsidR="00125051" w:rsidRPr="00F80370">
              <w:rPr>
                <w:rFonts w:ascii="Arial" w:hAnsi="Arial"/>
                <w:noProof/>
                <w:webHidden/>
              </w:rPr>
              <w:fldChar w:fldCharType="end"/>
            </w:r>
          </w:hyperlink>
        </w:p>
        <w:p w14:paraId="6E57CDB4" w14:textId="77777777" w:rsidR="007A715D" w:rsidRPr="00F80370" w:rsidRDefault="007A715D">
          <w:pPr>
            <w:pStyle w:val="TOC2"/>
            <w:tabs>
              <w:tab w:val="right" w:leader="dot" w:pos="9016"/>
            </w:tabs>
            <w:rPr>
              <w:rFonts w:ascii="Arial" w:eastAsiaTheme="minorEastAsia" w:hAnsi="Arial"/>
              <w:noProof/>
              <w:szCs w:val="24"/>
            </w:rPr>
          </w:pPr>
          <w:hyperlink w:anchor="_Toc231678815" w:history="1">
            <w:r w:rsidRPr="00F80370">
              <w:rPr>
                <w:rStyle w:val="Hyperlink"/>
                <w:rFonts w:ascii="Arial" w:hAnsi="Arial"/>
                <w:noProof/>
              </w:rPr>
              <w:t>Strategic Growth Approach Using the Ansoff Matrix</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_Toc231678815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6</w:t>
            </w:r>
            <w:r w:rsidR="00125051" w:rsidRPr="00F80370">
              <w:rPr>
                <w:rFonts w:ascii="Arial" w:hAnsi="Arial"/>
                <w:noProof/>
                <w:webHidden/>
              </w:rPr>
              <w:fldChar w:fldCharType="end"/>
            </w:r>
          </w:hyperlink>
        </w:p>
        <w:p w14:paraId="397B7451" w14:textId="77777777" w:rsidR="007A715D" w:rsidRPr="00F80370" w:rsidRDefault="007A715D">
          <w:pPr>
            <w:pStyle w:val="TOC2"/>
            <w:tabs>
              <w:tab w:val="right" w:leader="dot" w:pos="9016"/>
            </w:tabs>
            <w:rPr>
              <w:rFonts w:ascii="Arial" w:eastAsiaTheme="minorEastAsia" w:hAnsi="Arial"/>
              <w:noProof/>
              <w:szCs w:val="24"/>
            </w:rPr>
          </w:pPr>
          <w:hyperlink w:anchor="_Toc231678816" w:history="1">
            <w:r w:rsidRPr="00F80370">
              <w:rPr>
                <w:rStyle w:val="Hyperlink"/>
                <w:rFonts w:ascii="Arial" w:hAnsi="Arial"/>
                <w:noProof/>
              </w:rPr>
              <w:t>Achieving Competitive Advantage Using Porter’s Generic Strategies</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_Toc231678816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8</w:t>
            </w:r>
            <w:r w:rsidR="00125051" w:rsidRPr="00F80370">
              <w:rPr>
                <w:rFonts w:ascii="Arial" w:hAnsi="Arial"/>
                <w:noProof/>
                <w:webHidden/>
              </w:rPr>
              <w:fldChar w:fldCharType="end"/>
            </w:r>
          </w:hyperlink>
        </w:p>
        <w:p w14:paraId="502A1FEA" w14:textId="77777777" w:rsidR="007A715D" w:rsidRPr="00F80370" w:rsidRDefault="007A715D">
          <w:pPr>
            <w:pStyle w:val="TOC1"/>
            <w:tabs>
              <w:tab w:val="right" w:leader="dot" w:pos="9016"/>
            </w:tabs>
            <w:rPr>
              <w:rFonts w:ascii="Arial" w:eastAsiaTheme="minorEastAsia" w:hAnsi="Arial"/>
              <w:noProof/>
              <w:szCs w:val="24"/>
            </w:rPr>
          </w:pPr>
          <w:hyperlink w:anchor="_Toc231678817" w:history="1">
            <w:r w:rsidRPr="00F80370">
              <w:rPr>
                <w:rStyle w:val="Hyperlink"/>
                <w:rFonts w:ascii="Arial" w:hAnsi="Arial"/>
                <w:noProof/>
              </w:rPr>
              <w:t>Part C: Critical Reflection on AI Usage</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_Toc231678817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9</w:t>
            </w:r>
            <w:r w:rsidR="00125051" w:rsidRPr="00F80370">
              <w:rPr>
                <w:rFonts w:ascii="Arial" w:hAnsi="Arial"/>
                <w:noProof/>
                <w:webHidden/>
              </w:rPr>
              <w:fldChar w:fldCharType="end"/>
            </w:r>
          </w:hyperlink>
        </w:p>
        <w:p w14:paraId="7B1741B3" w14:textId="77777777" w:rsidR="007A715D" w:rsidRPr="00F80370" w:rsidRDefault="007A715D">
          <w:pPr>
            <w:pStyle w:val="TOC2"/>
            <w:tabs>
              <w:tab w:val="left" w:pos="720"/>
              <w:tab w:val="right" w:leader="dot" w:pos="9016"/>
            </w:tabs>
            <w:rPr>
              <w:rFonts w:ascii="Arial" w:eastAsiaTheme="minorEastAsia" w:hAnsi="Arial"/>
              <w:noProof/>
              <w:szCs w:val="24"/>
            </w:rPr>
          </w:pPr>
          <w:hyperlink w:anchor="_Toc231678818" w:history="1">
            <w:r w:rsidRPr="00F80370">
              <w:rPr>
                <w:rStyle w:val="Hyperlink"/>
                <w:rFonts w:ascii="Arial" w:hAnsi="Arial"/>
                <w:noProof/>
              </w:rPr>
              <w:t>a.</w:t>
            </w:r>
            <w:r w:rsidRPr="00F80370">
              <w:rPr>
                <w:rFonts w:ascii="Arial" w:eastAsiaTheme="minorEastAsia" w:hAnsi="Arial"/>
                <w:noProof/>
                <w:szCs w:val="24"/>
              </w:rPr>
              <w:tab/>
            </w:r>
            <w:r w:rsidRPr="00F80370">
              <w:rPr>
                <w:rStyle w:val="Hyperlink"/>
                <w:rFonts w:ascii="Arial" w:hAnsi="Arial"/>
                <w:noProof/>
              </w:rPr>
              <w:t>Tool Disclosure:</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_Toc231678818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9</w:t>
            </w:r>
            <w:r w:rsidR="00125051" w:rsidRPr="00F80370">
              <w:rPr>
                <w:rFonts w:ascii="Arial" w:hAnsi="Arial"/>
                <w:noProof/>
                <w:webHidden/>
              </w:rPr>
              <w:fldChar w:fldCharType="end"/>
            </w:r>
          </w:hyperlink>
        </w:p>
        <w:p w14:paraId="46406D3C" w14:textId="77777777" w:rsidR="007A715D" w:rsidRPr="00F80370" w:rsidRDefault="007A715D">
          <w:pPr>
            <w:pStyle w:val="TOC2"/>
            <w:tabs>
              <w:tab w:val="left" w:pos="720"/>
              <w:tab w:val="right" w:leader="dot" w:pos="9016"/>
            </w:tabs>
            <w:rPr>
              <w:rFonts w:ascii="Arial" w:eastAsiaTheme="minorEastAsia" w:hAnsi="Arial"/>
              <w:noProof/>
              <w:szCs w:val="24"/>
            </w:rPr>
          </w:pPr>
          <w:hyperlink w:anchor="_Toc231678819" w:history="1">
            <w:r w:rsidRPr="00F80370">
              <w:rPr>
                <w:rStyle w:val="Hyperlink"/>
                <w:rFonts w:ascii="Arial" w:hAnsi="Arial"/>
                <w:noProof/>
              </w:rPr>
              <w:t>b.</w:t>
            </w:r>
            <w:r w:rsidRPr="00F80370">
              <w:rPr>
                <w:rFonts w:ascii="Arial" w:eastAsiaTheme="minorEastAsia" w:hAnsi="Arial"/>
                <w:noProof/>
                <w:szCs w:val="24"/>
              </w:rPr>
              <w:tab/>
            </w:r>
            <w:r w:rsidRPr="00F80370">
              <w:rPr>
                <w:rStyle w:val="Hyperlink"/>
                <w:rFonts w:ascii="Arial" w:hAnsi="Arial"/>
                <w:noProof/>
              </w:rPr>
              <w:t>Critical Evaluation of AI Output:</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_Toc231678819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9</w:t>
            </w:r>
            <w:r w:rsidR="00125051" w:rsidRPr="00F80370">
              <w:rPr>
                <w:rFonts w:ascii="Arial" w:hAnsi="Arial"/>
                <w:noProof/>
                <w:webHidden/>
              </w:rPr>
              <w:fldChar w:fldCharType="end"/>
            </w:r>
          </w:hyperlink>
        </w:p>
        <w:p w14:paraId="30AB5E5B" w14:textId="77777777" w:rsidR="007A715D" w:rsidRPr="00F80370" w:rsidRDefault="007A715D">
          <w:pPr>
            <w:pStyle w:val="TOC2"/>
            <w:tabs>
              <w:tab w:val="left" w:pos="720"/>
              <w:tab w:val="right" w:leader="dot" w:pos="9016"/>
            </w:tabs>
            <w:rPr>
              <w:rFonts w:ascii="Arial" w:eastAsiaTheme="minorEastAsia" w:hAnsi="Arial"/>
              <w:noProof/>
              <w:szCs w:val="24"/>
            </w:rPr>
          </w:pPr>
          <w:hyperlink w:anchor="_Toc231678820" w:history="1">
            <w:r w:rsidRPr="00F80370">
              <w:rPr>
                <w:rStyle w:val="Hyperlink"/>
                <w:rFonts w:ascii="Arial" w:hAnsi="Arial"/>
                <w:noProof/>
              </w:rPr>
              <w:t>c.</w:t>
            </w:r>
            <w:r w:rsidRPr="00F80370">
              <w:rPr>
                <w:rFonts w:ascii="Arial" w:eastAsiaTheme="minorEastAsia" w:hAnsi="Arial"/>
                <w:noProof/>
                <w:szCs w:val="24"/>
              </w:rPr>
              <w:tab/>
            </w:r>
            <w:r w:rsidRPr="00F80370">
              <w:rPr>
                <w:rStyle w:val="Hyperlink"/>
                <w:rFonts w:ascii="Arial" w:hAnsi="Arial"/>
                <w:noProof/>
              </w:rPr>
              <w:t>Contribution Analysis:</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_Toc231678820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10</w:t>
            </w:r>
            <w:r w:rsidR="00125051" w:rsidRPr="00F80370">
              <w:rPr>
                <w:rFonts w:ascii="Arial" w:hAnsi="Arial"/>
                <w:noProof/>
                <w:webHidden/>
              </w:rPr>
              <w:fldChar w:fldCharType="end"/>
            </w:r>
          </w:hyperlink>
        </w:p>
        <w:p w14:paraId="394F8E71" w14:textId="77777777" w:rsidR="007A715D" w:rsidRPr="00F80370" w:rsidRDefault="007A715D">
          <w:pPr>
            <w:pStyle w:val="TOC2"/>
            <w:tabs>
              <w:tab w:val="left" w:pos="720"/>
              <w:tab w:val="right" w:leader="dot" w:pos="9016"/>
            </w:tabs>
            <w:rPr>
              <w:rFonts w:ascii="Arial" w:eastAsiaTheme="minorEastAsia" w:hAnsi="Arial"/>
              <w:noProof/>
              <w:szCs w:val="24"/>
            </w:rPr>
          </w:pPr>
          <w:hyperlink w:anchor="_Toc231678821" w:history="1">
            <w:r w:rsidRPr="00F80370">
              <w:rPr>
                <w:rStyle w:val="Hyperlink"/>
                <w:rFonts w:ascii="Arial" w:hAnsi="Arial"/>
                <w:noProof/>
              </w:rPr>
              <w:t>d.</w:t>
            </w:r>
            <w:r w:rsidRPr="00F80370">
              <w:rPr>
                <w:rFonts w:ascii="Arial" w:eastAsiaTheme="minorEastAsia" w:hAnsi="Arial"/>
                <w:noProof/>
                <w:szCs w:val="24"/>
              </w:rPr>
              <w:tab/>
            </w:r>
            <w:r w:rsidRPr="00F80370">
              <w:rPr>
                <w:rStyle w:val="Hyperlink"/>
                <w:rFonts w:ascii="Arial" w:hAnsi="Arial"/>
                <w:noProof/>
              </w:rPr>
              <w:t>Ethical &amp; Professional Reflection:</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_Toc231678821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10</w:t>
            </w:r>
            <w:r w:rsidR="00125051" w:rsidRPr="00F80370">
              <w:rPr>
                <w:rFonts w:ascii="Arial" w:hAnsi="Arial"/>
                <w:noProof/>
                <w:webHidden/>
              </w:rPr>
              <w:fldChar w:fldCharType="end"/>
            </w:r>
          </w:hyperlink>
        </w:p>
        <w:p w14:paraId="3C186688" w14:textId="77777777" w:rsidR="007A715D" w:rsidRPr="00F80370" w:rsidRDefault="007A715D">
          <w:pPr>
            <w:pStyle w:val="TOC1"/>
            <w:tabs>
              <w:tab w:val="right" w:leader="dot" w:pos="9016"/>
            </w:tabs>
            <w:rPr>
              <w:rFonts w:ascii="Arial" w:eastAsiaTheme="minorEastAsia" w:hAnsi="Arial"/>
              <w:noProof/>
              <w:szCs w:val="24"/>
            </w:rPr>
          </w:pPr>
          <w:hyperlink w:anchor="_Toc231678822" w:history="1">
            <w:r w:rsidRPr="00F80370">
              <w:rPr>
                <w:rStyle w:val="Hyperlink"/>
                <w:rFonts w:ascii="Arial" w:hAnsi="Arial"/>
                <w:noProof/>
              </w:rPr>
              <w:t>References</w:t>
            </w:r>
            <w:r w:rsidRPr="00F80370">
              <w:rPr>
                <w:rFonts w:ascii="Arial" w:hAnsi="Arial"/>
                <w:noProof/>
                <w:webHidden/>
              </w:rPr>
              <w:tab/>
            </w:r>
            <w:r w:rsidR="00125051" w:rsidRPr="00F80370">
              <w:rPr>
                <w:rFonts w:ascii="Arial" w:hAnsi="Arial"/>
                <w:noProof/>
                <w:webHidden/>
              </w:rPr>
              <w:fldChar w:fldCharType="begin"/>
            </w:r>
            <w:r w:rsidRPr="00F80370">
              <w:rPr>
                <w:rFonts w:ascii="Arial" w:hAnsi="Arial"/>
                <w:noProof/>
                <w:webHidden/>
              </w:rPr>
              <w:instrText xml:space="preserve"> PAGEREF _Toc231678822 \h </w:instrText>
            </w:r>
            <w:r w:rsidR="00125051" w:rsidRPr="00F80370">
              <w:rPr>
                <w:rFonts w:ascii="Arial" w:hAnsi="Arial"/>
                <w:noProof/>
                <w:webHidden/>
              </w:rPr>
            </w:r>
            <w:r w:rsidR="00125051" w:rsidRPr="00F80370">
              <w:rPr>
                <w:rFonts w:ascii="Arial" w:hAnsi="Arial"/>
                <w:noProof/>
                <w:webHidden/>
              </w:rPr>
              <w:fldChar w:fldCharType="separate"/>
            </w:r>
            <w:r w:rsidRPr="00F80370">
              <w:rPr>
                <w:rFonts w:ascii="Arial" w:hAnsi="Arial"/>
                <w:noProof/>
                <w:webHidden/>
              </w:rPr>
              <w:t>11</w:t>
            </w:r>
            <w:r w:rsidR="00125051" w:rsidRPr="00F80370">
              <w:rPr>
                <w:rFonts w:ascii="Arial" w:hAnsi="Arial"/>
                <w:noProof/>
                <w:webHidden/>
              </w:rPr>
              <w:fldChar w:fldCharType="end"/>
            </w:r>
          </w:hyperlink>
        </w:p>
        <w:p w14:paraId="0F225550" w14:textId="77777777" w:rsidR="00082A80" w:rsidRPr="00F80370" w:rsidRDefault="00125051">
          <w:pPr>
            <w:rPr>
              <w:rFonts w:ascii="Arial" w:hAnsi="Arial"/>
            </w:rPr>
          </w:pPr>
          <w:r w:rsidRPr="00F80370">
            <w:rPr>
              <w:rFonts w:ascii="Arial" w:hAnsi="Arial"/>
              <w:b/>
              <w:bCs/>
              <w:noProof/>
            </w:rPr>
            <w:fldChar w:fldCharType="end"/>
          </w:r>
        </w:p>
      </w:sdtContent>
    </w:sdt>
    <w:p w14:paraId="332F92BD" w14:textId="77777777" w:rsidR="00E63821" w:rsidRPr="00F80370" w:rsidRDefault="00E63821" w:rsidP="00FE4E7F">
      <w:pPr>
        <w:spacing w:after="160" w:line="259" w:lineRule="auto"/>
        <w:jc w:val="center"/>
        <w:rPr>
          <w:rFonts w:ascii="Arial" w:hAnsi="Arial"/>
          <w:b/>
          <w:bCs/>
          <w:sz w:val="44"/>
          <w:szCs w:val="44"/>
        </w:rPr>
      </w:pPr>
      <w:r w:rsidRPr="00F80370">
        <w:rPr>
          <w:rFonts w:ascii="Arial" w:hAnsi="Arial"/>
          <w:b/>
          <w:bCs/>
          <w:sz w:val="44"/>
          <w:szCs w:val="44"/>
        </w:rPr>
        <w:br w:type="page"/>
      </w:r>
    </w:p>
    <w:p w14:paraId="431D2ABC" w14:textId="77777777" w:rsidR="00EF7ABB" w:rsidRPr="00F80370" w:rsidRDefault="00EF7ABB" w:rsidP="00EF7ABB">
      <w:pPr>
        <w:pStyle w:val="Heading1"/>
        <w:rPr>
          <w:rFonts w:ascii="Arial" w:hAnsi="Arial"/>
        </w:rPr>
      </w:pPr>
      <w:bookmarkStart w:id="0" w:name="_Toc231678812"/>
      <w:r w:rsidRPr="00F80370">
        <w:rPr>
          <w:rFonts w:ascii="Arial" w:hAnsi="Arial"/>
        </w:rPr>
        <w:t xml:space="preserve">Part </w:t>
      </w:r>
      <w:r w:rsidR="009D1799" w:rsidRPr="00F80370">
        <w:rPr>
          <w:rFonts w:ascii="Arial" w:hAnsi="Arial"/>
        </w:rPr>
        <w:t>A:</w:t>
      </w:r>
      <w:bookmarkEnd w:id="0"/>
    </w:p>
    <w:p w14:paraId="50FD527A" w14:textId="77777777" w:rsidR="002C20B6" w:rsidRPr="00F80370" w:rsidRDefault="002C20B6" w:rsidP="002C20B6">
      <w:pPr>
        <w:pStyle w:val="Heading2"/>
        <w:rPr>
          <w:rFonts w:ascii="Arial" w:hAnsi="Arial"/>
        </w:rPr>
      </w:pPr>
      <w:bookmarkStart w:id="1" w:name="_Toc231678813"/>
      <w:r w:rsidRPr="00F80370">
        <w:rPr>
          <w:rFonts w:ascii="Arial" w:hAnsi="Arial"/>
        </w:rPr>
        <w:t xml:space="preserve">Critically analyse two external marketing environment </w:t>
      </w:r>
      <w:r w:rsidR="00106864" w:rsidRPr="00F80370">
        <w:rPr>
          <w:rFonts w:ascii="Arial" w:hAnsi="Arial"/>
        </w:rPr>
        <w:t>f</w:t>
      </w:r>
      <w:r w:rsidR="00F30276" w:rsidRPr="00F80370">
        <w:rPr>
          <w:rFonts w:ascii="Arial" w:hAnsi="Arial"/>
        </w:rPr>
        <w:t>actors</w:t>
      </w:r>
      <w:r w:rsidRPr="00F80370">
        <w:rPr>
          <w:rFonts w:ascii="Arial" w:hAnsi="Arial"/>
        </w:rPr>
        <w:t xml:space="preserve"> influencing its transition toward lower-carbon products</w:t>
      </w:r>
      <w:bookmarkEnd w:id="1"/>
    </w:p>
    <w:p w14:paraId="2151E68B" w14:textId="77777777" w:rsidR="00FD03C2" w:rsidRPr="00F80370" w:rsidRDefault="00FD03C2" w:rsidP="00FD03C2">
      <w:pPr>
        <w:rPr>
          <w:rFonts w:ascii="Arial" w:hAnsi="Arial"/>
          <w:color w:val="000000" w:themeColor="text1"/>
        </w:rPr>
      </w:pPr>
      <w:r w:rsidRPr="00F80370">
        <w:rPr>
          <w:rFonts w:ascii="Arial" w:hAnsi="Arial"/>
          <w:color w:val="000000" w:themeColor="text1"/>
        </w:rPr>
        <w:t>BHP is one of the world's biggest mining companies and mining is a major contributor to global greenhouse gas (GHG) emissions</w:t>
      </w:r>
      <w:r w:rsidR="00A7306A" w:rsidRPr="00F80370">
        <w:rPr>
          <w:rFonts w:ascii="Arial" w:hAnsi="Arial"/>
          <w:color w:val="000000" w:themeColor="text1"/>
        </w:rPr>
        <w:t xml:space="preserve"> (</w:t>
      </w:r>
      <w:r w:rsidR="00D67FB8" w:rsidRPr="00F80370">
        <w:rPr>
          <w:rFonts w:ascii="Arial" w:hAnsi="Arial"/>
          <w:color w:val="000000" w:themeColor="text1"/>
        </w:rPr>
        <w:t>bhp.com, 2026</w:t>
      </w:r>
      <w:r w:rsidR="00A7306A" w:rsidRPr="00F80370">
        <w:rPr>
          <w:rFonts w:ascii="Arial" w:hAnsi="Arial"/>
          <w:color w:val="000000" w:themeColor="text1"/>
        </w:rPr>
        <w:t>)</w:t>
      </w:r>
      <w:r w:rsidRPr="00F80370">
        <w:rPr>
          <w:rFonts w:ascii="Arial" w:hAnsi="Arial"/>
          <w:color w:val="000000" w:themeColor="text1"/>
        </w:rPr>
        <w:t>. Around a quarter of the emissions reported by the world's largest companies come from the metals and mining industry, thus, mining companies have a strong incentive to implement sustainable practices. BHP has in turn responded by investing in reducing carbon emissions, renewable energy and cleaner production technologies. Strong influence of external actors in marketing environment on the strategic transition</w:t>
      </w:r>
      <w:r w:rsidR="00A7306A" w:rsidRPr="00F80370">
        <w:rPr>
          <w:rFonts w:ascii="Arial" w:hAnsi="Arial"/>
          <w:color w:val="000000" w:themeColor="text1"/>
        </w:rPr>
        <w:t xml:space="preserve"> (</w:t>
      </w:r>
      <w:r w:rsidR="00862A17" w:rsidRPr="00F80370">
        <w:rPr>
          <w:rFonts w:ascii="Arial" w:hAnsi="Arial"/>
          <w:color w:val="000000" w:themeColor="text1"/>
        </w:rPr>
        <w:t>Wright and Nyberg, 2024</w:t>
      </w:r>
      <w:r w:rsidR="00A7306A" w:rsidRPr="00F80370">
        <w:rPr>
          <w:rFonts w:ascii="Arial" w:hAnsi="Arial"/>
          <w:color w:val="000000" w:themeColor="text1"/>
        </w:rPr>
        <w:t>)</w:t>
      </w:r>
      <w:r w:rsidRPr="00F80370">
        <w:rPr>
          <w:rFonts w:ascii="Arial" w:hAnsi="Arial"/>
          <w:color w:val="000000" w:themeColor="text1"/>
        </w:rPr>
        <w:t>. Of these, the Natural Environment is the biggest, and the Political and Regulatory Environment is also important in driving BHP's sustainability approach.</w:t>
      </w:r>
    </w:p>
    <w:p w14:paraId="5E061C44" w14:textId="77777777" w:rsidR="00FD03C2" w:rsidRPr="00F80370" w:rsidRDefault="009B6FBE" w:rsidP="00F30276">
      <w:pPr>
        <w:jc w:val="center"/>
        <w:rPr>
          <w:rFonts w:ascii="Arial" w:hAnsi="Arial"/>
          <w:color w:val="000000" w:themeColor="text1"/>
        </w:rPr>
      </w:pPr>
      <w:r w:rsidRPr="00F80370">
        <w:rPr>
          <w:rFonts w:ascii="Arial" w:hAnsi="Arial"/>
          <w:noProof/>
          <w:color w:val="000000" w:themeColor="text1"/>
          <w:lang w:val="en-US" w:eastAsia="en-US"/>
        </w:rPr>
        <w:drawing>
          <wp:inline distT="0" distB="0" distL="0" distR="0" wp14:anchorId="4BFEACD7" wp14:editId="04399225">
            <wp:extent cx="4148667" cy="1616710"/>
            <wp:effectExtent l="0" t="0" r="17145" b="0"/>
            <wp:docPr id="30192113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B773844" w14:textId="77777777" w:rsidR="001D0207" w:rsidRPr="00F80370" w:rsidRDefault="001D0207" w:rsidP="00F30276">
      <w:pPr>
        <w:jc w:val="center"/>
        <w:rPr>
          <w:rFonts w:ascii="Arial" w:hAnsi="Arial"/>
          <w:b/>
          <w:bCs/>
          <w:color w:val="000000" w:themeColor="text1"/>
        </w:rPr>
      </w:pPr>
      <w:r w:rsidRPr="00F80370">
        <w:rPr>
          <w:rFonts w:ascii="Arial" w:hAnsi="Arial"/>
          <w:b/>
          <w:bCs/>
          <w:color w:val="000000" w:themeColor="text1"/>
        </w:rPr>
        <w:t>Figure 1: Two external marketing environment actors</w:t>
      </w:r>
    </w:p>
    <w:p w14:paraId="17B66132" w14:textId="77777777" w:rsidR="0079453D" w:rsidRPr="00F80370" w:rsidRDefault="0079453D" w:rsidP="00F30276">
      <w:pPr>
        <w:jc w:val="center"/>
        <w:rPr>
          <w:rFonts w:ascii="Arial" w:hAnsi="Arial"/>
          <w:color w:val="000000" w:themeColor="text1"/>
        </w:rPr>
      </w:pPr>
      <w:r w:rsidRPr="00F80370">
        <w:rPr>
          <w:rFonts w:ascii="Arial" w:hAnsi="Arial"/>
          <w:color w:val="000000" w:themeColor="text1"/>
        </w:rPr>
        <w:t xml:space="preserve">(Source: </w:t>
      </w:r>
      <w:r w:rsidR="002A6E23" w:rsidRPr="00F80370">
        <w:rPr>
          <w:rFonts w:ascii="Arial" w:hAnsi="Arial"/>
          <w:color w:val="000000" w:themeColor="text1"/>
        </w:rPr>
        <w:t xml:space="preserve">Self-Created </w:t>
      </w:r>
      <w:r w:rsidRPr="00F80370">
        <w:rPr>
          <w:rFonts w:ascii="Arial" w:hAnsi="Arial"/>
          <w:color w:val="000000" w:themeColor="text1"/>
        </w:rPr>
        <w:t>)</w:t>
      </w:r>
    </w:p>
    <w:p w14:paraId="4ABB827F" w14:textId="77777777" w:rsidR="00FD03C2" w:rsidRPr="00F80370" w:rsidRDefault="00FD03C2" w:rsidP="00FD03C2">
      <w:pPr>
        <w:rPr>
          <w:rFonts w:ascii="Arial" w:hAnsi="Arial"/>
          <w:b/>
          <w:bCs/>
          <w:color w:val="000000" w:themeColor="text1"/>
        </w:rPr>
      </w:pPr>
      <w:r w:rsidRPr="00F80370">
        <w:rPr>
          <w:rFonts w:ascii="Arial" w:hAnsi="Arial"/>
          <w:b/>
          <w:bCs/>
          <w:color w:val="000000" w:themeColor="text1"/>
        </w:rPr>
        <w:t>1. Natural Environment:</w:t>
      </w:r>
    </w:p>
    <w:p w14:paraId="168A18FB" w14:textId="77777777" w:rsidR="00FD03C2" w:rsidRDefault="00F37619" w:rsidP="00FD03C2">
      <w:pPr>
        <w:rPr>
          <w:rFonts w:ascii="Arial" w:hAnsi="Arial"/>
          <w:color w:val="000000" w:themeColor="text1"/>
        </w:rPr>
      </w:pPr>
      <w:r w:rsidRPr="00F80370">
        <w:rPr>
          <w:rFonts w:ascii="Arial" w:hAnsi="Arial"/>
          <w:color w:val="000000" w:themeColor="text1"/>
        </w:rPr>
        <w:t xml:space="preserve">The Natural Environment is the most </w:t>
      </w:r>
      <w:r w:rsidR="00CA049C" w:rsidRPr="00F80370">
        <w:rPr>
          <w:rFonts w:ascii="Arial" w:hAnsi="Arial"/>
          <w:color w:val="000000" w:themeColor="text1"/>
        </w:rPr>
        <w:t>central</w:t>
      </w:r>
      <w:r w:rsidRPr="00F80370">
        <w:rPr>
          <w:rFonts w:ascii="Arial" w:hAnsi="Arial"/>
          <w:color w:val="000000" w:themeColor="text1"/>
        </w:rPr>
        <w:t xml:space="preserve"> segment in the external marketing environment which is impacting BHP's journey towards lower carbon and transitioning products (Kayani et al 2024). It directly affects market demand, sustainability and the long term competitiveness of operations, investor expectations.</w:t>
      </w:r>
      <w:r w:rsidR="00FD03C2" w:rsidRPr="00F80370">
        <w:rPr>
          <w:rFonts w:ascii="Arial" w:hAnsi="Arial"/>
          <w:color w:val="000000" w:themeColor="text1"/>
        </w:rPr>
        <w:t xml:space="preserve">Climate change poses immediate threats to businesses as well as considerable opportunities </w:t>
      </w:r>
      <w:r w:rsidR="006625D1" w:rsidRPr="00F80370">
        <w:rPr>
          <w:rFonts w:ascii="Arial" w:hAnsi="Arial"/>
          <w:color w:val="000000" w:themeColor="text1"/>
        </w:rPr>
        <w:t>for</w:t>
      </w:r>
      <w:r w:rsidR="00FD03C2" w:rsidRPr="00F80370">
        <w:rPr>
          <w:rFonts w:ascii="Arial" w:hAnsi="Arial"/>
          <w:color w:val="000000" w:themeColor="text1"/>
        </w:rPr>
        <w:t xml:space="preserve"> the mining sector, in comparison to other environmental issues.</w:t>
      </w:r>
    </w:p>
    <w:p w14:paraId="61B95777" w14:textId="77777777" w:rsidR="00F80370" w:rsidRPr="00F80370" w:rsidRDefault="00F80370" w:rsidP="00FD03C2">
      <w:pPr>
        <w:rPr>
          <w:rFonts w:ascii="Arial" w:hAnsi="Arial"/>
          <w:color w:val="000000" w:themeColor="text1"/>
        </w:rPr>
      </w:pPr>
    </w:p>
    <w:p w14:paraId="72092EB6" w14:textId="77777777" w:rsidR="00F80370" w:rsidRDefault="006625D1" w:rsidP="00FD03C2">
      <w:pPr>
        <w:rPr>
          <w:rFonts w:ascii="Arial" w:hAnsi="Arial"/>
          <w:color w:val="000000" w:themeColor="text1"/>
        </w:rPr>
      </w:pPr>
      <w:r w:rsidRPr="00F80370">
        <w:rPr>
          <w:rFonts w:ascii="Arial" w:hAnsi="Arial"/>
          <w:color w:val="000000" w:themeColor="text1"/>
        </w:rPr>
        <w:t>Even more</w:t>
      </w:r>
      <w:r w:rsidR="00FD03C2" w:rsidRPr="00F80370">
        <w:rPr>
          <w:rFonts w:ascii="Arial" w:hAnsi="Arial"/>
          <w:color w:val="000000" w:themeColor="text1"/>
        </w:rPr>
        <w:t xml:space="preserve">, a significant obstacle to BHP is that they are under more pressure to cut down on greenhouse gas emissions. Companies like BHP are under </w:t>
      </w:r>
      <w:r w:rsidR="00BC17A4" w:rsidRPr="00F80370">
        <w:rPr>
          <w:rFonts w:ascii="Arial" w:hAnsi="Arial"/>
          <w:color w:val="000000" w:themeColor="text1"/>
        </w:rPr>
        <w:t>the spotlight</w:t>
      </w:r>
      <w:r w:rsidR="00FD03C2" w:rsidRPr="00F80370">
        <w:rPr>
          <w:rFonts w:ascii="Arial" w:hAnsi="Arial"/>
          <w:color w:val="000000" w:themeColor="text1"/>
        </w:rPr>
        <w:t xml:space="preserve"> for environmental scrutiny as the mining and metals industry accounts for around a quarter of the largest companies' GHG emissions</w:t>
      </w:r>
      <w:r w:rsidR="00ED4399" w:rsidRPr="00F80370">
        <w:rPr>
          <w:rFonts w:ascii="Arial" w:hAnsi="Arial"/>
          <w:color w:val="000000" w:themeColor="text1"/>
        </w:rPr>
        <w:t xml:space="preserve"> (</w:t>
      </w:r>
      <w:proofErr w:type="spellStart"/>
      <w:r w:rsidR="0094285D" w:rsidRPr="00F80370">
        <w:rPr>
          <w:rFonts w:ascii="Arial" w:hAnsi="Arial"/>
          <w:color w:val="000000" w:themeColor="text1"/>
        </w:rPr>
        <w:t>Igogo</w:t>
      </w:r>
      <w:r w:rsidR="0094285D" w:rsidRPr="00F80370">
        <w:rPr>
          <w:rFonts w:ascii="Arial" w:hAnsi="Arial"/>
          <w:i/>
          <w:iCs/>
          <w:color w:val="000000" w:themeColor="text1"/>
        </w:rPr>
        <w:t>et</w:t>
      </w:r>
      <w:proofErr w:type="spellEnd"/>
      <w:r w:rsidR="0094285D" w:rsidRPr="00F80370">
        <w:rPr>
          <w:rFonts w:ascii="Arial" w:hAnsi="Arial"/>
          <w:i/>
          <w:iCs/>
          <w:color w:val="000000" w:themeColor="text1"/>
        </w:rPr>
        <w:t xml:space="preserve"> al. </w:t>
      </w:r>
      <w:r w:rsidR="0094285D" w:rsidRPr="00F80370">
        <w:rPr>
          <w:rFonts w:ascii="Arial" w:hAnsi="Arial"/>
          <w:color w:val="000000" w:themeColor="text1"/>
        </w:rPr>
        <w:t>2021</w:t>
      </w:r>
      <w:r w:rsidR="00ED4399" w:rsidRPr="00F80370">
        <w:rPr>
          <w:rFonts w:ascii="Arial" w:hAnsi="Arial"/>
          <w:color w:val="000000" w:themeColor="text1"/>
        </w:rPr>
        <w:t>)</w:t>
      </w:r>
      <w:r w:rsidR="00FD03C2" w:rsidRPr="00F80370">
        <w:rPr>
          <w:rFonts w:ascii="Arial" w:hAnsi="Arial"/>
          <w:color w:val="000000" w:themeColor="text1"/>
        </w:rPr>
        <w:t xml:space="preserve">. Floods, droughts, extreme heat and severe weather events are all climate related risks and can affect mining operations, damage infrastructure and cost mining operations. </w:t>
      </w:r>
      <w:r w:rsidR="00933041" w:rsidRPr="00F80370">
        <w:rPr>
          <w:rFonts w:ascii="Arial" w:hAnsi="Arial"/>
          <w:color w:val="000000" w:themeColor="text1"/>
        </w:rPr>
        <w:t xml:space="preserve">For example, adverse weather affected operations for BHP for FY2025 (bhp.com, 2026), showing how operations at a mine are sensitive to the weather. In addition, environmental issues have become more vocal and coal mining companies are increasingly expected to provide tangible evidence of emission reductions, a concern that is driving BHP to make substantial investments in emission reduction technologies and cleaner production practices. BHP is working towards continuing </w:t>
      </w:r>
      <w:r w:rsidR="00F80370" w:rsidRPr="00F80370">
        <w:rPr>
          <w:rFonts w:ascii="Arial" w:hAnsi="Arial"/>
          <w:color w:val="000000" w:themeColor="text1"/>
        </w:rPr>
        <w:t>to Lower</w:t>
      </w:r>
      <w:r w:rsidR="00933041" w:rsidRPr="00F80370">
        <w:rPr>
          <w:rFonts w:ascii="Arial" w:hAnsi="Arial"/>
          <w:color w:val="000000" w:themeColor="text1"/>
        </w:rPr>
        <w:t xml:space="preserve"> Scope 1 and Scope 2 Emissions by 5% per year, but much investment and innovation is required to achieve this (bhp.com, 2026). However, there exists a substantial marketing potential as well in the area of the Natural Environment. </w:t>
      </w:r>
    </w:p>
    <w:p w14:paraId="43ADD6DA" w14:textId="77777777" w:rsidR="00F80370" w:rsidRDefault="00F80370" w:rsidP="00FD03C2">
      <w:pPr>
        <w:rPr>
          <w:rFonts w:ascii="Arial" w:hAnsi="Arial"/>
          <w:color w:val="000000" w:themeColor="text1"/>
        </w:rPr>
      </w:pPr>
    </w:p>
    <w:p w14:paraId="4AED1CAA" w14:textId="20E45121" w:rsidR="00FD03C2" w:rsidRPr="00F80370" w:rsidRDefault="00933041" w:rsidP="00FD03C2">
      <w:pPr>
        <w:rPr>
          <w:rFonts w:ascii="Arial" w:hAnsi="Arial"/>
          <w:color w:val="000000" w:themeColor="text1"/>
        </w:rPr>
      </w:pPr>
      <w:r w:rsidRPr="00F80370">
        <w:rPr>
          <w:rFonts w:ascii="Arial" w:hAnsi="Arial"/>
          <w:color w:val="000000" w:themeColor="text1"/>
        </w:rPr>
        <w:t xml:space="preserve">It's a fact that is arguably true that world demand for minerals is likely to grow with climate change as a key element of the global energy transition. Additionally, copper plays a key role in electric vehicles, renewable energy power generation, battery storage systems, and electric power transmission (Oliveros-Sepúlveda et al. 2025). </w:t>
      </w:r>
      <w:r w:rsidR="00FD03C2" w:rsidRPr="00F80370">
        <w:rPr>
          <w:rFonts w:ascii="Arial" w:hAnsi="Arial"/>
          <w:color w:val="000000" w:themeColor="text1"/>
        </w:rPr>
        <w:t xml:space="preserve"> Seizing this opportunity, BHP's copper production hit a new peak of 2.02 million </w:t>
      </w:r>
      <w:r w:rsidR="00BC17A4" w:rsidRPr="00F80370">
        <w:rPr>
          <w:rFonts w:ascii="Arial" w:hAnsi="Arial"/>
          <w:color w:val="000000" w:themeColor="text1"/>
        </w:rPr>
        <w:t>tones</w:t>
      </w:r>
      <w:r w:rsidR="00FD03C2" w:rsidRPr="00F80370">
        <w:rPr>
          <w:rFonts w:ascii="Arial" w:hAnsi="Arial"/>
          <w:color w:val="000000" w:themeColor="text1"/>
        </w:rPr>
        <w:t xml:space="preserve"> in FY2025, up 8</w:t>
      </w:r>
      <w:r w:rsidR="0015340C" w:rsidRPr="00F80370">
        <w:rPr>
          <w:rFonts w:ascii="Arial" w:hAnsi="Arial"/>
          <w:color w:val="000000" w:themeColor="text1"/>
        </w:rPr>
        <w:t>%</w:t>
      </w:r>
      <w:r w:rsidR="00FD03C2" w:rsidRPr="00F80370">
        <w:rPr>
          <w:rFonts w:ascii="Arial" w:hAnsi="Arial"/>
          <w:color w:val="000000" w:themeColor="text1"/>
        </w:rPr>
        <w:t xml:space="preserve"> from FY2024 and 28</w:t>
      </w:r>
      <w:r w:rsidR="0015340C" w:rsidRPr="00F80370">
        <w:rPr>
          <w:rFonts w:ascii="Arial" w:hAnsi="Arial"/>
          <w:color w:val="000000" w:themeColor="text1"/>
        </w:rPr>
        <w:t>%</w:t>
      </w:r>
      <w:r w:rsidR="00FD03C2" w:rsidRPr="00F80370">
        <w:rPr>
          <w:rFonts w:ascii="Arial" w:hAnsi="Arial"/>
          <w:color w:val="000000" w:themeColor="text1"/>
        </w:rPr>
        <w:t xml:space="preserve"> from FY2022. Commercial importance of low carbon commodities, with copper representing about 45</w:t>
      </w:r>
      <w:r w:rsidR="0015340C" w:rsidRPr="00F80370">
        <w:rPr>
          <w:rFonts w:ascii="Arial" w:hAnsi="Arial"/>
          <w:color w:val="000000" w:themeColor="text1"/>
        </w:rPr>
        <w:t>%</w:t>
      </w:r>
      <w:r w:rsidR="00FD03C2" w:rsidRPr="00F80370">
        <w:rPr>
          <w:rFonts w:ascii="Arial" w:hAnsi="Arial"/>
          <w:color w:val="000000" w:themeColor="text1"/>
        </w:rPr>
        <w:t xml:space="preserve"> of BHP's EBITDA.Additionally, environmental issues have led BHP to allocate US$2.1 billion to the copper joint venture Vicuña, and to develop the Jansen potash project that benefits sustainable agriculture and food security</w:t>
      </w:r>
      <w:r w:rsidR="004C0E49" w:rsidRPr="00F80370">
        <w:rPr>
          <w:rFonts w:ascii="Arial" w:hAnsi="Arial"/>
          <w:color w:val="000000" w:themeColor="text1"/>
        </w:rPr>
        <w:t xml:space="preserve"> (</w:t>
      </w:r>
      <w:r w:rsidR="0008320B" w:rsidRPr="00F80370">
        <w:rPr>
          <w:rFonts w:ascii="Arial" w:hAnsi="Arial"/>
          <w:color w:val="000000" w:themeColor="text1"/>
        </w:rPr>
        <w:t>bhp.com, 2026</w:t>
      </w:r>
      <w:r w:rsidR="004C0E49" w:rsidRPr="00F80370">
        <w:rPr>
          <w:rFonts w:ascii="Arial" w:hAnsi="Arial"/>
          <w:color w:val="000000" w:themeColor="text1"/>
        </w:rPr>
        <w:t>)</w:t>
      </w:r>
      <w:r w:rsidR="00FD03C2" w:rsidRPr="00F80370">
        <w:rPr>
          <w:rFonts w:ascii="Arial" w:hAnsi="Arial"/>
          <w:color w:val="000000" w:themeColor="text1"/>
        </w:rPr>
        <w:t>. This means that environmental pressures drive costs and risks of compliance up, but also present opportunities for BHP to enhance its market position by developing products that help to achieve the decarbonisation and sustainability goals of the world.</w:t>
      </w:r>
    </w:p>
    <w:p w14:paraId="05718A8A" w14:textId="77777777" w:rsidR="00FD03C2" w:rsidRPr="00F80370" w:rsidRDefault="00FD03C2" w:rsidP="00FD03C2">
      <w:pPr>
        <w:rPr>
          <w:rFonts w:ascii="Arial" w:hAnsi="Arial"/>
          <w:color w:val="000000" w:themeColor="text1"/>
        </w:rPr>
      </w:pPr>
    </w:p>
    <w:p w14:paraId="6FDC8F5F" w14:textId="77777777" w:rsidR="00FD03C2" w:rsidRPr="00F80370" w:rsidRDefault="00FD03C2" w:rsidP="00FD03C2">
      <w:pPr>
        <w:rPr>
          <w:rFonts w:ascii="Arial" w:hAnsi="Arial"/>
          <w:b/>
          <w:bCs/>
          <w:color w:val="000000" w:themeColor="text1"/>
        </w:rPr>
      </w:pPr>
      <w:r w:rsidRPr="00F80370">
        <w:rPr>
          <w:rFonts w:ascii="Arial" w:hAnsi="Arial"/>
          <w:b/>
          <w:bCs/>
          <w:color w:val="000000" w:themeColor="text1"/>
        </w:rPr>
        <w:t>2. Political and Regulatory Environment:</w:t>
      </w:r>
    </w:p>
    <w:p w14:paraId="7B751509" w14:textId="77777777" w:rsidR="00FD03C2" w:rsidRDefault="00FD03C2" w:rsidP="00FD03C2">
      <w:pPr>
        <w:rPr>
          <w:rFonts w:ascii="Arial" w:hAnsi="Arial"/>
          <w:color w:val="000000" w:themeColor="text1"/>
        </w:rPr>
      </w:pPr>
      <w:r w:rsidRPr="00F80370">
        <w:rPr>
          <w:rFonts w:ascii="Arial" w:hAnsi="Arial"/>
          <w:color w:val="000000" w:themeColor="text1"/>
        </w:rPr>
        <w:t>Another major external marketing environmental impacting BHP's move towards the lower carbon environment is the Political and Regulatory Environment</w:t>
      </w:r>
      <w:r w:rsidR="00EB6EAA" w:rsidRPr="00F80370">
        <w:rPr>
          <w:rFonts w:ascii="Arial" w:hAnsi="Arial"/>
          <w:color w:val="000000" w:themeColor="text1"/>
        </w:rPr>
        <w:t xml:space="preserve"> (</w:t>
      </w:r>
      <w:r w:rsidR="00A505EC" w:rsidRPr="00F80370">
        <w:rPr>
          <w:rFonts w:ascii="Arial" w:hAnsi="Arial"/>
          <w:color w:val="000000" w:themeColor="text1"/>
        </w:rPr>
        <w:t>theguardian.com, 2026</w:t>
      </w:r>
      <w:r w:rsidR="00EB6EAA" w:rsidRPr="00F80370">
        <w:rPr>
          <w:rFonts w:ascii="Arial" w:hAnsi="Arial"/>
          <w:color w:val="000000" w:themeColor="text1"/>
        </w:rPr>
        <w:t>)</w:t>
      </w:r>
      <w:r w:rsidRPr="00F80370">
        <w:rPr>
          <w:rFonts w:ascii="Arial" w:hAnsi="Arial"/>
          <w:color w:val="000000" w:themeColor="text1"/>
        </w:rPr>
        <w:t xml:space="preserve">. In Australia, governments have enacted </w:t>
      </w:r>
      <w:r w:rsidR="00EF7ABB" w:rsidRPr="00F80370">
        <w:rPr>
          <w:rFonts w:ascii="Arial" w:hAnsi="Arial"/>
          <w:color w:val="000000" w:themeColor="text1"/>
        </w:rPr>
        <w:t>more</w:t>
      </w:r>
      <w:r w:rsidRPr="00F80370">
        <w:rPr>
          <w:rFonts w:ascii="Arial" w:hAnsi="Arial"/>
          <w:color w:val="000000" w:themeColor="text1"/>
        </w:rPr>
        <w:t xml:space="preserve"> ambitious policies, environmental guidelines and emissions reduction goals, which have a direct impact on strategic planning decisions in the mining industry. As a result, BHP is faced with challenges and opportunities arising from regulatory changes.</w:t>
      </w:r>
    </w:p>
    <w:p w14:paraId="7445A1FD" w14:textId="77777777" w:rsidR="0029064C" w:rsidRPr="00F80370" w:rsidRDefault="0029064C" w:rsidP="00FD03C2">
      <w:pPr>
        <w:rPr>
          <w:rFonts w:ascii="Arial" w:hAnsi="Arial"/>
          <w:color w:val="000000" w:themeColor="text1"/>
        </w:rPr>
      </w:pPr>
    </w:p>
    <w:p w14:paraId="55B4FF44" w14:textId="77777777" w:rsidR="002A6E23" w:rsidRDefault="00FD03C2" w:rsidP="002A6E23">
      <w:pPr>
        <w:rPr>
          <w:rFonts w:ascii="Arial" w:hAnsi="Arial"/>
          <w:color w:val="000000" w:themeColor="text1"/>
        </w:rPr>
      </w:pPr>
      <w:r w:rsidRPr="00F80370">
        <w:rPr>
          <w:rFonts w:ascii="Arial" w:hAnsi="Arial"/>
          <w:color w:val="000000" w:themeColor="text1"/>
        </w:rPr>
        <w:t>The first is the challenge of Australia's pledge to cut its greenhouse gas emissions under the Paris Agreement and the enactment of domestic climate policies</w:t>
      </w:r>
      <w:r w:rsidR="00EB6EAA" w:rsidRPr="00F80370">
        <w:rPr>
          <w:rFonts w:ascii="Arial" w:hAnsi="Arial"/>
          <w:color w:val="000000" w:themeColor="text1"/>
        </w:rPr>
        <w:t xml:space="preserve"> (</w:t>
      </w:r>
      <w:r w:rsidR="00381AEB" w:rsidRPr="00F80370">
        <w:rPr>
          <w:rFonts w:ascii="Arial" w:hAnsi="Arial"/>
          <w:color w:val="000000" w:themeColor="text1"/>
        </w:rPr>
        <w:t xml:space="preserve">McDonald </w:t>
      </w:r>
      <w:r w:rsidR="00381AEB" w:rsidRPr="00F80370">
        <w:rPr>
          <w:rFonts w:ascii="Arial" w:hAnsi="Arial"/>
          <w:i/>
          <w:iCs/>
          <w:color w:val="000000" w:themeColor="text1"/>
        </w:rPr>
        <w:t xml:space="preserve">et al. </w:t>
      </w:r>
      <w:r w:rsidR="00381AEB" w:rsidRPr="00F80370">
        <w:rPr>
          <w:rFonts w:ascii="Arial" w:hAnsi="Arial"/>
          <w:color w:val="000000" w:themeColor="text1"/>
        </w:rPr>
        <w:t>2023</w:t>
      </w:r>
      <w:r w:rsidR="00EB6EAA" w:rsidRPr="00F80370">
        <w:rPr>
          <w:rFonts w:ascii="Arial" w:hAnsi="Arial"/>
          <w:color w:val="000000" w:themeColor="text1"/>
        </w:rPr>
        <w:t>)</w:t>
      </w:r>
      <w:r w:rsidRPr="00F80370">
        <w:rPr>
          <w:rFonts w:ascii="Arial" w:hAnsi="Arial"/>
          <w:color w:val="000000" w:themeColor="text1"/>
        </w:rPr>
        <w:t>. The Climate Change Act 2022 puts the emissions reduction target on a firm legal footing</w:t>
      </w:r>
      <w:r w:rsidR="00257A4B" w:rsidRPr="00F80370">
        <w:rPr>
          <w:rFonts w:ascii="Arial" w:hAnsi="Arial"/>
          <w:color w:val="000000" w:themeColor="text1"/>
        </w:rPr>
        <w:t>. B</w:t>
      </w:r>
      <w:r w:rsidRPr="00F80370">
        <w:rPr>
          <w:rFonts w:ascii="Arial" w:hAnsi="Arial"/>
          <w:color w:val="000000" w:themeColor="text1"/>
        </w:rPr>
        <w:t>y 2030, Australia will reduce its emissions by 43</w:t>
      </w:r>
      <w:r w:rsidR="0015340C" w:rsidRPr="00F80370">
        <w:rPr>
          <w:rFonts w:ascii="Arial" w:hAnsi="Arial"/>
          <w:color w:val="000000" w:themeColor="text1"/>
        </w:rPr>
        <w:t>%</w:t>
      </w:r>
      <w:r w:rsidRPr="00F80370">
        <w:rPr>
          <w:rFonts w:ascii="Arial" w:hAnsi="Arial"/>
          <w:color w:val="000000" w:themeColor="text1"/>
        </w:rPr>
        <w:t xml:space="preserve"> from 2005 level</w:t>
      </w:r>
      <w:r w:rsidR="008371C5" w:rsidRPr="00F80370">
        <w:rPr>
          <w:rFonts w:ascii="Arial" w:hAnsi="Arial"/>
          <w:color w:val="000000" w:themeColor="text1"/>
        </w:rPr>
        <w:t xml:space="preserve"> and</w:t>
      </w:r>
      <w:r w:rsidRPr="00F80370">
        <w:rPr>
          <w:rFonts w:ascii="Arial" w:hAnsi="Arial"/>
          <w:color w:val="000000" w:themeColor="text1"/>
        </w:rPr>
        <w:t xml:space="preserve"> by 2050, Australia will eventually reach net zero. Also, there needs to be a significant lowering of the emissions baseline of industrial activities, such as mining operations, over time </w:t>
      </w:r>
      <w:r w:rsidR="008B6B7B" w:rsidRPr="00F80370">
        <w:rPr>
          <w:rFonts w:ascii="Arial" w:hAnsi="Arial"/>
          <w:color w:val="000000" w:themeColor="text1"/>
        </w:rPr>
        <w:t>because of</w:t>
      </w:r>
      <w:r w:rsidRPr="00F80370">
        <w:rPr>
          <w:rFonts w:ascii="Arial" w:hAnsi="Arial"/>
          <w:color w:val="000000" w:themeColor="text1"/>
        </w:rPr>
        <w:t xml:space="preserve"> the reforms to the Safeguard Mechanism</w:t>
      </w:r>
      <w:r w:rsidR="00EB6EAA" w:rsidRPr="00F80370">
        <w:rPr>
          <w:rFonts w:ascii="Arial" w:hAnsi="Arial"/>
          <w:color w:val="000000" w:themeColor="text1"/>
        </w:rPr>
        <w:t xml:space="preserve"> (</w:t>
      </w:r>
      <w:r w:rsidR="00381AEB" w:rsidRPr="00F80370">
        <w:rPr>
          <w:rFonts w:ascii="Arial" w:hAnsi="Arial"/>
          <w:color w:val="000000" w:themeColor="text1"/>
        </w:rPr>
        <w:t xml:space="preserve">Ivanova </w:t>
      </w:r>
      <w:r w:rsidR="00381AEB" w:rsidRPr="00F80370">
        <w:rPr>
          <w:rFonts w:ascii="Arial" w:hAnsi="Arial"/>
          <w:i/>
          <w:iCs/>
          <w:color w:val="000000" w:themeColor="text1"/>
        </w:rPr>
        <w:t xml:space="preserve">et al. </w:t>
      </w:r>
      <w:r w:rsidR="00381AEB" w:rsidRPr="00F80370">
        <w:rPr>
          <w:rFonts w:ascii="Arial" w:hAnsi="Arial"/>
          <w:color w:val="000000" w:themeColor="text1"/>
        </w:rPr>
        <w:t>2022</w:t>
      </w:r>
      <w:r w:rsidR="00EB6EAA" w:rsidRPr="00F80370">
        <w:rPr>
          <w:rFonts w:ascii="Arial" w:hAnsi="Arial"/>
          <w:color w:val="000000" w:themeColor="text1"/>
        </w:rPr>
        <w:t>)</w:t>
      </w:r>
      <w:r w:rsidRPr="00F80370">
        <w:rPr>
          <w:rFonts w:ascii="Arial" w:hAnsi="Arial"/>
          <w:color w:val="000000" w:themeColor="text1"/>
        </w:rPr>
        <w:t xml:space="preserve">. </w:t>
      </w:r>
      <w:r w:rsidR="002A6E23" w:rsidRPr="00F80370">
        <w:rPr>
          <w:rFonts w:ascii="Arial" w:hAnsi="Arial"/>
          <w:color w:val="000000" w:themeColor="text1"/>
        </w:rPr>
        <w:t>The regulations impose more stringent compliance costs on the miners, requiring them to invest in cleaner tech, renewables, and emissions monitoring. BHP would need to make substantial capital investment and qualify for these requirements, meaning it would need to impose an operational cost which would affect profits in the short-term.</w:t>
      </w:r>
    </w:p>
    <w:p w14:paraId="1110D82A" w14:textId="77777777" w:rsidR="00F80370" w:rsidRPr="00F80370" w:rsidRDefault="00F80370" w:rsidP="002A6E23">
      <w:pPr>
        <w:rPr>
          <w:rFonts w:ascii="Arial" w:hAnsi="Arial"/>
          <w:color w:val="000000" w:themeColor="text1"/>
        </w:rPr>
      </w:pPr>
    </w:p>
    <w:p w14:paraId="1BB1BD6E" w14:textId="77777777" w:rsidR="007A05AC" w:rsidRPr="00F80370" w:rsidRDefault="002A6E23" w:rsidP="002A6E23">
      <w:pPr>
        <w:rPr>
          <w:rFonts w:ascii="Arial" w:hAnsi="Arial"/>
          <w:color w:val="000000" w:themeColor="text1"/>
        </w:rPr>
      </w:pPr>
      <w:r w:rsidRPr="00F80370">
        <w:rPr>
          <w:rFonts w:ascii="Arial" w:hAnsi="Arial"/>
          <w:color w:val="000000" w:themeColor="text1"/>
        </w:rPr>
        <w:t xml:space="preserve">However, </w:t>
      </w:r>
      <w:r w:rsidR="00D25AF8" w:rsidRPr="00F80370">
        <w:rPr>
          <w:rFonts w:ascii="Arial" w:hAnsi="Arial"/>
          <w:color w:val="000000" w:themeColor="text1"/>
        </w:rPr>
        <w:t>t</w:t>
      </w:r>
      <w:r w:rsidRPr="00F80370">
        <w:rPr>
          <w:rFonts w:ascii="Arial" w:hAnsi="Arial"/>
          <w:color w:val="000000" w:themeColor="text1"/>
        </w:rPr>
        <w:t xml:space="preserve">he regulations reforms do create </w:t>
      </w:r>
      <w:r w:rsidR="002814D5" w:rsidRPr="00F80370">
        <w:rPr>
          <w:rFonts w:ascii="Arial" w:hAnsi="Arial"/>
          <w:color w:val="000000" w:themeColor="text1"/>
        </w:rPr>
        <w:t>enormous</w:t>
      </w:r>
      <w:r w:rsidRPr="00F80370">
        <w:rPr>
          <w:rFonts w:ascii="Arial" w:hAnsi="Arial"/>
          <w:color w:val="000000" w:themeColor="text1"/>
        </w:rPr>
        <w:t xml:space="preserve"> new markets possibilities (Martin and Rice, 2021). In recent years, the Australian government has given critical minerals a strong boost and these minerals play an important role in the transition to low carbon energy. Strategic minerals like copper, nickel, potash are being focused on due to their applications in renewable energy infrastructure, batteries, and electrification. BHP's portfolio is unarguably punching above its weight to respond to these priorities. The current FY2025 capital/expansion and exploration represents US$9.8 billion of BHP's spending, with a focus on commodities in the future (investegate.co.uk, 2025)</w:t>
      </w:r>
      <w:r w:rsidR="00FD03C2" w:rsidRPr="00F80370">
        <w:rPr>
          <w:rFonts w:ascii="Arial" w:hAnsi="Arial"/>
          <w:color w:val="000000" w:themeColor="text1"/>
        </w:rPr>
        <w:t>. The company also invested US$396 million in exploration activities, with a particular focus on increasing the company's copper resource. A second is provided by support for innovation and clean technology from government</w:t>
      </w:r>
      <w:r w:rsidR="00EB6EAA" w:rsidRPr="00F80370">
        <w:rPr>
          <w:rFonts w:ascii="Arial" w:hAnsi="Arial"/>
          <w:color w:val="000000" w:themeColor="text1"/>
        </w:rPr>
        <w:t xml:space="preserve"> (</w:t>
      </w:r>
      <w:proofErr w:type="spellStart"/>
      <w:r w:rsidR="00C94F8B" w:rsidRPr="00F80370">
        <w:rPr>
          <w:rFonts w:ascii="Arial" w:hAnsi="Arial"/>
          <w:color w:val="000000" w:themeColor="text1"/>
        </w:rPr>
        <w:t>Razmjoo</w:t>
      </w:r>
      <w:r w:rsidR="00C94F8B" w:rsidRPr="00F80370">
        <w:rPr>
          <w:rFonts w:ascii="Arial" w:hAnsi="Arial"/>
          <w:i/>
          <w:iCs/>
          <w:color w:val="000000" w:themeColor="text1"/>
        </w:rPr>
        <w:t>et</w:t>
      </w:r>
      <w:proofErr w:type="spellEnd"/>
      <w:r w:rsidR="00C94F8B" w:rsidRPr="00F80370">
        <w:rPr>
          <w:rFonts w:ascii="Arial" w:hAnsi="Arial"/>
          <w:i/>
          <w:iCs/>
          <w:color w:val="000000" w:themeColor="text1"/>
        </w:rPr>
        <w:t xml:space="preserve"> al. </w:t>
      </w:r>
      <w:r w:rsidR="00C94F8B" w:rsidRPr="00F80370">
        <w:rPr>
          <w:rFonts w:ascii="Arial" w:hAnsi="Arial"/>
          <w:color w:val="000000" w:themeColor="text1"/>
        </w:rPr>
        <w:t>2022</w:t>
      </w:r>
      <w:r w:rsidR="00EB6EAA" w:rsidRPr="00F80370">
        <w:rPr>
          <w:rFonts w:ascii="Arial" w:hAnsi="Arial"/>
          <w:color w:val="000000" w:themeColor="text1"/>
        </w:rPr>
        <w:t>)</w:t>
      </w:r>
      <w:r w:rsidR="00FD03C2" w:rsidRPr="00F80370">
        <w:rPr>
          <w:rFonts w:ascii="Arial" w:hAnsi="Arial"/>
          <w:color w:val="000000" w:themeColor="text1"/>
        </w:rPr>
        <w:t>. The company invested in technologies for industrial electrification, ammonia cracking, maritime de</w:t>
      </w:r>
      <w:r w:rsidR="008B6B7B" w:rsidRPr="00F80370">
        <w:rPr>
          <w:rFonts w:ascii="Arial" w:hAnsi="Arial"/>
          <w:color w:val="000000" w:themeColor="text1"/>
        </w:rPr>
        <w:t>-</w:t>
      </w:r>
      <w:r w:rsidR="00FD03C2" w:rsidRPr="00F80370">
        <w:rPr>
          <w:rFonts w:ascii="Arial" w:hAnsi="Arial"/>
          <w:color w:val="000000" w:themeColor="text1"/>
        </w:rPr>
        <w:t xml:space="preserve">carbonisation and electrochemical reduction processes via BHP Ventures. </w:t>
      </w:r>
    </w:p>
    <w:p w14:paraId="0CBCE3C1" w14:textId="77777777" w:rsidR="00EF7ABB" w:rsidRPr="00F80370" w:rsidRDefault="00EF7ABB" w:rsidP="00EF7ABB">
      <w:pPr>
        <w:pStyle w:val="Heading1"/>
        <w:rPr>
          <w:rFonts w:ascii="Arial" w:hAnsi="Arial"/>
          <w:color w:val="000000" w:themeColor="text1"/>
        </w:rPr>
      </w:pPr>
      <w:bookmarkStart w:id="2" w:name="_Toc231678814"/>
      <w:r w:rsidRPr="00F80370">
        <w:rPr>
          <w:rFonts w:ascii="Arial" w:hAnsi="Arial"/>
          <w:color w:val="000000" w:themeColor="text1"/>
        </w:rPr>
        <w:t xml:space="preserve">Part </w:t>
      </w:r>
      <w:r w:rsidR="009D1799" w:rsidRPr="00F80370">
        <w:rPr>
          <w:rFonts w:ascii="Arial" w:hAnsi="Arial"/>
          <w:color w:val="000000" w:themeColor="text1"/>
        </w:rPr>
        <w:t>B</w:t>
      </w:r>
      <w:bookmarkEnd w:id="2"/>
    </w:p>
    <w:p w14:paraId="457A1ED5" w14:textId="77777777" w:rsidR="008E5F4A" w:rsidRPr="00F80370" w:rsidRDefault="008E5F4A" w:rsidP="008E5F4A">
      <w:pPr>
        <w:pStyle w:val="Heading2"/>
        <w:rPr>
          <w:rFonts w:ascii="Arial" w:hAnsi="Arial"/>
          <w:color w:val="000000" w:themeColor="text1"/>
        </w:rPr>
      </w:pPr>
      <w:bookmarkStart w:id="3" w:name="_Toc231678815"/>
      <w:r w:rsidRPr="00F80370">
        <w:rPr>
          <w:rFonts w:ascii="Arial" w:hAnsi="Arial"/>
          <w:color w:val="000000" w:themeColor="text1"/>
        </w:rPr>
        <w:t>Strategic Growth Approach Using the Ansoff Matrix</w:t>
      </w:r>
      <w:bookmarkEnd w:id="3"/>
    </w:p>
    <w:p w14:paraId="78FDA24C" w14:textId="77777777" w:rsidR="004A554D" w:rsidRDefault="004A554D" w:rsidP="004A554D">
      <w:pPr>
        <w:rPr>
          <w:rFonts w:ascii="Arial" w:hAnsi="Arial"/>
          <w:color w:val="000000" w:themeColor="text1"/>
        </w:rPr>
      </w:pPr>
      <w:r w:rsidRPr="00F80370">
        <w:rPr>
          <w:rFonts w:ascii="Arial" w:hAnsi="Arial"/>
          <w:color w:val="000000" w:themeColor="text1"/>
        </w:rPr>
        <w:t xml:space="preserve">Through </w:t>
      </w:r>
      <w:r w:rsidR="0012318C" w:rsidRPr="00F80370">
        <w:rPr>
          <w:rFonts w:ascii="Arial" w:hAnsi="Arial"/>
          <w:color w:val="000000" w:themeColor="text1"/>
        </w:rPr>
        <w:t>environmental</w:t>
      </w:r>
      <w:r w:rsidRPr="00F80370">
        <w:rPr>
          <w:rFonts w:ascii="Arial" w:hAnsi="Arial"/>
          <w:color w:val="000000" w:themeColor="text1"/>
        </w:rPr>
        <w:t xml:space="preserve"> analysis, BHP should consider product development and market development strategies from the </w:t>
      </w:r>
      <w:r w:rsidRPr="00F80370">
        <w:rPr>
          <w:rFonts w:ascii="Arial" w:hAnsi="Arial"/>
          <w:b/>
          <w:bCs/>
          <w:color w:val="000000" w:themeColor="text1"/>
        </w:rPr>
        <w:t>Ansoff Matrix</w:t>
      </w:r>
      <w:r w:rsidRPr="00F80370">
        <w:rPr>
          <w:rFonts w:ascii="Arial" w:hAnsi="Arial"/>
          <w:color w:val="000000" w:themeColor="text1"/>
        </w:rPr>
        <w:t xml:space="preserve"> to help speed up their transition to a low carbon business model</w:t>
      </w:r>
      <w:r w:rsidR="00EB6EAA" w:rsidRPr="00F80370">
        <w:rPr>
          <w:rFonts w:ascii="Arial" w:hAnsi="Arial"/>
          <w:color w:val="000000" w:themeColor="text1"/>
        </w:rPr>
        <w:t xml:space="preserve"> (</w:t>
      </w:r>
      <w:r w:rsidR="003E5F0B" w:rsidRPr="00F80370">
        <w:rPr>
          <w:rFonts w:ascii="Arial" w:hAnsi="Arial"/>
          <w:color w:val="000000" w:themeColor="text1"/>
        </w:rPr>
        <w:t>Bandyopadhyay and Maiti, 2022</w:t>
      </w:r>
      <w:r w:rsidR="00EB6EAA" w:rsidRPr="00F80370">
        <w:rPr>
          <w:rFonts w:ascii="Arial" w:hAnsi="Arial"/>
          <w:color w:val="000000" w:themeColor="text1"/>
        </w:rPr>
        <w:t>)</w:t>
      </w:r>
      <w:r w:rsidRPr="00F80370">
        <w:rPr>
          <w:rFonts w:ascii="Arial" w:hAnsi="Arial"/>
          <w:color w:val="000000" w:themeColor="text1"/>
        </w:rPr>
        <w:t xml:space="preserve">. Product development is a suitable application since BHP has a solid presence in well-established mining markets and </w:t>
      </w:r>
      <w:r w:rsidR="0012318C" w:rsidRPr="00F80370">
        <w:rPr>
          <w:rFonts w:ascii="Arial" w:hAnsi="Arial"/>
          <w:color w:val="000000" w:themeColor="text1"/>
        </w:rPr>
        <w:t>requires</w:t>
      </w:r>
      <w:r w:rsidRPr="00F80370">
        <w:rPr>
          <w:rFonts w:ascii="Arial" w:hAnsi="Arial"/>
          <w:color w:val="000000" w:themeColor="text1"/>
        </w:rPr>
        <w:t xml:space="preserve"> adding to their product mix to address evolving customer and regulatory needs.</w:t>
      </w:r>
    </w:p>
    <w:p w14:paraId="773C35E2" w14:textId="77777777" w:rsidR="004678EE" w:rsidRPr="00F80370" w:rsidRDefault="004678EE" w:rsidP="004A554D">
      <w:pPr>
        <w:rPr>
          <w:rFonts w:ascii="Arial" w:hAnsi="Arial"/>
          <w:color w:val="000000" w:themeColor="text1"/>
        </w:rPr>
      </w:pPr>
    </w:p>
    <w:tbl>
      <w:tblPr>
        <w:tblStyle w:val="GridTable5Dark-Accent11"/>
        <w:tblW w:w="0" w:type="auto"/>
        <w:jc w:val="center"/>
        <w:tblLook w:val="04A0" w:firstRow="1" w:lastRow="0" w:firstColumn="1" w:lastColumn="0" w:noHBand="0" w:noVBand="1"/>
      </w:tblPr>
      <w:tblGrid>
        <w:gridCol w:w="2218"/>
        <w:gridCol w:w="6798"/>
      </w:tblGrid>
      <w:tr w:rsidR="00E62E64" w:rsidRPr="00F80370" w14:paraId="1796EB70" w14:textId="77777777" w:rsidTr="004678E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484468" w14:textId="77777777" w:rsidR="00E62E64" w:rsidRPr="00F80370" w:rsidRDefault="00E62E64" w:rsidP="00E62E64">
            <w:pPr>
              <w:jc w:val="center"/>
              <w:rPr>
                <w:rFonts w:ascii="Arial" w:hAnsi="Arial"/>
              </w:rPr>
            </w:pPr>
            <w:r w:rsidRPr="00F80370">
              <w:rPr>
                <w:rFonts w:ascii="Arial" w:hAnsi="Arial"/>
              </w:rPr>
              <w:t>Ansoff Strategy</w:t>
            </w:r>
          </w:p>
        </w:tc>
        <w:tc>
          <w:tcPr>
            <w:tcW w:w="0" w:type="auto"/>
            <w:hideMark/>
          </w:tcPr>
          <w:p w14:paraId="30751AEE" w14:textId="77777777" w:rsidR="00E62E64" w:rsidRPr="00F80370" w:rsidRDefault="00E62E64" w:rsidP="004678EE">
            <w:pPr>
              <w:cnfStyle w:val="100000000000" w:firstRow="1" w:lastRow="0" w:firstColumn="0" w:lastColumn="0" w:oddVBand="0" w:evenVBand="0" w:oddHBand="0" w:evenHBand="0" w:firstRowFirstColumn="0" w:firstRowLastColumn="0" w:lastRowFirstColumn="0" w:lastRowLastColumn="0"/>
              <w:rPr>
                <w:rFonts w:ascii="Arial" w:hAnsi="Arial"/>
              </w:rPr>
            </w:pPr>
            <w:r w:rsidRPr="00F80370">
              <w:rPr>
                <w:rFonts w:ascii="Arial" w:hAnsi="Arial"/>
              </w:rPr>
              <w:t>Application to BHP</w:t>
            </w:r>
          </w:p>
        </w:tc>
      </w:tr>
      <w:tr w:rsidR="00E62E64" w:rsidRPr="00F80370" w14:paraId="7BC9C5B3"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D2EC66" w14:textId="77777777" w:rsidR="00E62E64" w:rsidRPr="00F80370" w:rsidRDefault="00E62E64" w:rsidP="00E62E64">
            <w:pPr>
              <w:jc w:val="center"/>
              <w:rPr>
                <w:rFonts w:ascii="Arial" w:hAnsi="Arial"/>
              </w:rPr>
            </w:pPr>
            <w:r w:rsidRPr="00F80370">
              <w:rPr>
                <w:rFonts w:ascii="Arial" w:hAnsi="Arial"/>
              </w:rPr>
              <w:t>Product Development</w:t>
            </w:r>
          </w:p>
        </w:tc>
        <w:tc>
          <w:tcPr>
            <w:tcW w:w="0" w:type="auto"/>
            <w:hideMark/>
          </w:tcPr>
          <w:p w14:paraId="1DC3CE30" w14:textId="77777777" w:rsidR="00E62E64" w:rsidRPr="00F80370" w:rsidRDefault="00E62E64" w:rsidP="004678EE">
            <w:pP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Expand lower carbon products such as copper, nickel, and potash for existing markets.</w:t>
            </w:r>
          </w:p>
        </w:tc>
      </w:tr>
      <w:tr w:rsidR="00E62E64" w:rsidRPr="00F80370" w14:paraId="3CEFCF5F" w14:textId="77777777" w:rsidTr="004678E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B26210" w14:textId="77777777" w:rsidR="00E62E64" w:rsidRPr="00F80370" w:rsidRDefault="00E62E64" w:rsidP="00E62E64">
            <w:pPr>
              <w:jc w:val="center"/>
              <w:rPr>
                <w:rFonts w:ascii="Arial" w:hAnsi="Arial"/>
              </w:rPr>
            </w:pPr>
            <w:r w:rsidRPr="00F80370">
              <w:rPr>
                <w:rFonts w:ascii="Arial" w:hAnsi="Arial"/>
              </w:rPr>
              <w:t>Market Development</w:t>
            </w:r>
          </w:p>
        </w:tc>
        <w:tc>
          <w:tcPr>
            <w:tcW w:w="0" w:type="auto"/>
            <w:hideMark/>
          </w:tcPr>
          <w:p w14:paraId="0468A0DC" w14:textId="77777777" w:rsidR="00E62E64" w:rsidRPr="00F80370" w:rsidRDefault="00E62E64" w:rsidP="004678EE">
            <w:pPr>
              <w:cnfStyle w:val="000000000000" w:firstRow="0" w:lastRow="0" w:firstColumn="0" w:lastColumn="0" w:oddVBand="0" w:evenVBand="0" w:oddHBand="0" w:evenHBand="0" w:firstRowFirstColumn="0" w:firstRowLastColumn="0" w:lastRowFirstColumn="0" w:lastRowLastColumn="0"/>
              <w:rPr>
                <w:rFonts w:ascii="Arial" w:hAnsi="Arial"/>
              </w:rPr>
            </w:pPr>
            <w:r w:rsidRPr="00F80370">
              <w:rPr>
                <w:rFonts w:ascii="Arial" w:hAnsi="Arial"/>
              </w:rPr>
              <w:t>Supply low carbon commodities to new markets such as EVs, renewable energy, and hydrogen industries.</w:t>
            </w:r>
          </w:p>
        </w:tc>
      </w:tr>
      <w:tr w:rsidR="00E62E64" w:rsidRPr="00F80370" w14:paraId="79A27F56"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F332DF" w14:textId="77777777" w:rsidR="00E62E64" w:rsidRPr="00F80370" w:rsidRDefault="00E62E64" w:rsidP="00E62E64">
            <w:pPr>
              <w:jc w:val="center"/>
              <w:rPr>
                <w:rFonts w:ascii="Arial" w:hAnsi="Arial"/>
              </w:rPr>
            </w:pPr>
            <w:r w:rsidRPr="00F80370">
              <w:rPr>
                <w:rFonts w:ascii="Arial" w:hAnsi="Arial"/>
              </w:rPr>
              <w:t>Growth Opportunity</w:t>
            </w:r>
          </w:p>
        </w:tc>
        <w:tc>
          <w:tcPr>
            <w:tcW w:w="0" w:type="auto"/>
            <w:hideMark/>
          </w:tcPr>
          <w:p w14:paraId="4AF37A2A" w14:textId="77777777" w:rsidR="00E62E64" w:rsidRPr="00F80370" w:rsidRDefault="00E62E64" w:rsidP="004678EE">
            <w:pP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Increasing demand for critical minerals supporting global decarbonisation.</w:t>
            </w:r>
          </w:p>
        </w:tc>
      </w:tr>
      <w:tr w:rsidR="00E62E64" w:rsidRPr="00F80370" w14:paraId="63CA8D64" w14:textId="77777777" w:rsidTr="004678E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FBFD87" w14:textId="77777777" w:rsidR="00E62E64" w:rsidRPr="00F80370" w:rsidRDefault="00E62E64" w:rsidP="00E62E64">
            <w:pPr>
              <w:jc w:val="center"/>
              <w:rPr>
                <w:rFonts w:ascii="Arial" w:hAnsi="Arial"/>
              </w:rPr>
            </w:pPr>
            <w:r w:rsidRPr="00F80370">
              <w:rPr>
                <w:rFonts w:ascii="Arial" w:hAnsi="Arial"/>
              </w:rPr>
              <w:t>Expected Outcome</w:t>
            </w:r>
          </w:p>
        </w:tc>
        <w:tc>
          <w:tcPr>
            <w:tcW w:w="0" w:type="auto"/>
            <w:hideMark/>
          </w:tcPr>
          <w:p w14:paraId="033A047B" w14:textId="77777777" w:rsidR="00E62E64" w:rsidRPr="00F80370" w:rsidRDefault="00E62E64" w:rsidP="004678EE">
            <w:pPr>
              <w:cnfStyle w:val="000000000000" w:firstRow="0" w:lastRow="0" w:firstColumn="0" w:lastColumn="0" w:oddVBand="0" w:evenVBand="0" w:oddHBand="0" w:evenHBand="0" w:firstRowFirstColumn="0" w:firstRowLastColumn="0" w:lastRowFirstColumn="0" w:lastRowLastColumn="0"/>
              <w:rPr>
                <w:rFonts w:ascii="Arial" w:hAnsi="Arial"/>
              </w:rPr>
            </w:pPr>
            <w:r w:rsidRPr="00F80370">
              <w:rPr>
                <w:rFonts w:ascii="Arial" w:hAnsi="Arial"/>
              </w:rPr>
              <w:t>Sustainable growth, reduced reliance on carbon intensive commodities, and stronger market position.</w:t>
            </w:r>
          </w:p>
        </w:tc>
      </w:tr>
    </w:tbl>
    <w:p w14:paraId="6C9F23B3" w14:textId="77777777" w:rsidR="00E62E64" w:rsidRPr="00F80370" w:rsidRDefault="00F84DBE" w:rsidP="00E62E64">
      <w:pPr>
        <w:jc w:val="center"/>
        <w:rPr>
          <w:rFonts w:ascii="Arial" w:hAnsi="Arial"/>
          <w:b/>
          <w:bCs/>
        </w:rPr>
      </w:pPr>
      <w:r w:rsidRPr="00F80370">
        <w:rPr>
          <w:rFonts w:ascii="Arial" w:hAnsi="Arial"/>
          <w:b/>
          <w:bCs/>
        </w:rPr>
        <w:t xml:space="preserve">Table </w:t>
      </w:r>
      <w:r w:rsidR="00281C8E" w:rsidRPr="00F80370">
        <w:rPr>
          <w:rFonts w:ascii="Arial" w:hAnsi="Arial"/>
          <w:b/>
          <w:bCs/>
        </w:rPr>
        <w:t>1</w:t>
      </w:r>
      <w:r w:rsidRPr="00F80370">
        <w:rPr>
          <w:rFonts w:ascii="Arial" w:hAnsi="Arial"/>
          <w:b/>
          <w:bCs/>
        </w:rPr>
        <w:t>: Ansoff Matrix Table</w:t>
      </w:r>
    </w:p>
    <w:p w14:paraId="302969DD" w14:textId="77777777" w:rsidR="00F84DBE" w:rsidRPr="00F80370" w:rsidRDefault="00F84DBE" w:rsidP="00E62E64">
      <w:pPr>
        <w:jc w:val="center"/>
        <w:rPr>
          <w:rFonts w:ascii="Arial" w:hAnsi="Arial"/>
        </w:rPr>
      </w:pPr>
      <w:r w:rsidRPr="00F80370">
        <w:rPr>
          <w:rFonts w:ascii="Arial" w:hAnsi="Arial"/>
        </w:rPr>
        <w:t xml:space="preserve">(Source: </w:t>
      </w:r>
      <w:r w:rsidR="002A6E23" w:rsidRPr="00F80370">
        <w:rPr>
          <w:rFonts w:ascii="Arial" w:hAnsi="Arial"/>
        </w:rPr>
        <w:t xml:space="preserve">Self-Created </w:t>
      </w:r>
      <w:r w:rsidRPr="00F80370">
        <w:rPr>
          <w:rFonts w:ascii="Arial" w:hAnsi="Arial"/>
        </w:rPr>
        <w:t>)</w:t>
      </w:r>
    </w:p>
    <w:p w14:paraId="3FCF030D" w14:textId="77777777" w:rsidR="004A554D" w:rsidRDefault="004A554D" w:rsidP="004A554D">
      <w:pPr>
        <w:rPr>
          <w:rFonts w:ascii="Arial" w:hAnsi="Arial"/>
        </w:rPr>
      </w:pPr>
      <w:r w:rsidRPr="00F80370">
        <w:rPr>
          <w:rFonts w:ascii="Arial" w:hAnsi="Arial"/>
        </w:rPr>
        <w:t>Product development is the process of creating new and improved products for existing markets</w:t>
      </w:r>
      <w:r w:rsidR="00EB6EAA" w:rsidRPr="00F80370">
        <w:rPr>
          <w:rFonts w:ascii="Arial" w:hAnsi="Arial"/>
        </w:rPr>
        <w:t xml:space="preserve"> (</w:t>
      </w:r>
      <w:r w:rsidR="00F318B4" w:rsidRPr="00F80370">
        <w:rPr>
          <w:rFonts w:ascii="Arial" w:hAnsi="Arial"/>
        </w:rPr>
        <w:t>Blinova</w:t>
      </w:r>
      <w:r w:rsidR="00F318B4" w:rsidRPr="00F80370">
        <w:rPr>
          <w:rFonts w:ascii="Arial" w:hAnsi="Arial"/>
          <w:i/>
          <w:iCs/>
        </w:rPr>
        <w:t xml:space="preserve">et al. </w:t>
      </w:r>
      <w:r w:rsidR="00F318B4" w:rsidRPr="00F80370">
        <w:rPr>
          <w:rFonts w:ascii="Arial" w:hAnsi="Arial"/>
        </w:rPr>
        <w:t>2022</w:t>
      </w:r>
      <w:r w:rsidR="00EB6EAA" w:rsidRPr="00F80370">
        <w:rPr>
          <w:rFonts w:ascii="Arial" w:hAnsi="Arial"/>
        </w:rPr>
        <w:t>)</w:t>
      </w:r>
      <w:r w:rsidRPr="00F80370">
        <w:rPr>
          <w:rFonts w:ascii="Arial" w:hAnsi="Arial"/>
        </w:rPr>
        <w:t>. BHP has already started this process, with an investment emphasis on copper, nickel and potash – minerals that are essential for renewable energy technologies, electric vehicles, battery storage and sustainable agriculture. The company has been generating record production of copper (2.02 million tonnes) and is advancing projects in Chile, South Australia and the Vicuña joint venture</w:t>
      </w:r>
      <w:r w:rsidR="00EB6EAA" w:rsidRPr="00F80370">
        <w:rPr>
          <w:rFonts w:ascii="Arial" w:hAnsi="Arial"/>
        </w:rPr>
        <w:t xml:space="preserve"> (</w:t>
      </w:r>
      <w:r w:rsidR="00651377" w:rsidRPr="00F80370">
        <w:rPr>
          <w:rFonts w:ascii="Arial" w:hAnsi="Arial"/>
        </w:rPr>
        <w:t>investegate.co.uk, 2026</w:t>
      </w:r>
      <w:r w:rsidR="00EB6EAA" w:rsidRPr="00F80370">
        <w:rPr>
          <w:rFonts w:ascii="Arial" w:hAnsi="Arial"/>
        </w:rPr>
        <w:t>)</w:t>
      </w:r>
      <w:r w:rsidRPr="00F80370">
        <w:rPr>
          <w:rFonts w:ascii="Arial" w:hAnsi="Arial"/>
        </w:rPr>
        <w:t>. BHP can meet this rising customer demand for sustainable raw materials and minimise reliance on traditional carbon-intensive commodity production by boosting output of these commodities, and by developing new solutions</w:t>
      </w:r>
      <w:r w:rsidR="00EB6EAA" w:rsidRPr="00F80370">
        <w:rPr>
          <w:rFonts w:ascii="Arial" w:hAnsi="Arial"/>
        </w:rPr>
        <w:t xml:space="preserve">. It </w:t>
      </w:r>
      <w:r w:rsidRPr="00F80370">
        <w:rPr>
          <w:rFonts w:ascii="Arial" w:hAnsi="Arial"/>
        </w:rPr>
        <w:t>will lower carbon emissions in the carbon steelmaking value chain</w:t>
      </w:r>
      <w:r w:rsidR="00EB6EAA" w:rsidRPr="00F80370">
        <w:rPr>
          <w:rFonts w:ascii="Arial" w:hAnsi="Arial"/>
        </w:rPr>
        <w:t xml:space="preserve"> (</w:t>
      </w:r>
      <w:r w:rsidR="003C24AE" w:rsidRPr="00F80370">
        <w:rPr>
          <w:rFonts w:ascii="Arial" w:hAnsi="Arial"/>
        </w:rPr>
        <w:t>Sun</w:t>
      </w:r>
      <w:r w:rsidR="003C24AE" w:rsidRPr="00F80370">
        <w:rPr>
          <w:rFonts w:ascii="Arial" w:hAnsi="Arial"/>
          <w:i/>
          <w:iCs/>
        </w:rPr>
        <w:t xml:space="preserve">et al. </w:t>
      </w:r>
      <w:r w:rsidR="003C24AE" w:rsidRPr="00F80370">
        <w:rPr>
          <w:rFonts w:ascii="Arial" w:hAnsi="Arial"/>
        </w:rPr>
        <w:t>2025</w:t>
      </w:r>
      <w:r w:rsidR="00EB6EAA" w:rsidRPr="00F80370">
        <w:rPr>
          <w:rFonts w:ascii="Arial" w:hAnsi="Arial"/>
        </w:rPr>
        <w:t>)</w:t>
      </w:r>
      <w:r w:rsidRPr="00F80370">
        <w:rPr>
          <w:rFonts w:ascii="Arial" w:hAnsi="Arial"/>
        </w:rPr>
        <w:t>. This is justified due to the increased demand for critical minerals across the globe as countries strive for decarbonisation.</w:t>
      </w:r>
    </w:p>
    <w:p w14:paraId="5922DFC1" w14:textId="77777777" w:rsidR="0029064C" w:rsidRPr="00F80370" w:rsidRDefault="0029064C" w:rsidP="004A554D">
      <w:pPr>
        <w:rPr>
          <w:rFonts w:ascii="Arial" w:hAnsi="Arial"/>
        </w:rPr>
      </w:pPr>
    </w:p>
    <w:p w14:paraId="03B4D34E" w14:textId="77777777" w:rsidR="004A554D" w:rsidRPr="00F80370" w:rsidRDefault="004A554D" w:rsidP="004A554D">
      <w:pPr>
        <w:rPr>
          <w:rFonts w:ascii="Arial" w:hAnsi="Arial"/>
        </w:rPr>
      </w:pPr>
      <w:r w:rsidRPr="00F80370">
        <w:rPr>
          <w:rFonts w:ascii="Arial" w:hAnsi="Arial"/>
        </w:rPr>
        <w:t>BHP should also pursue a market development strategy, by diversifying into new clean energy markets by supplying low-carbon commodities</w:t>
      </w:r>
      <w:r w:rsidR="00EB6EAA" w:rsidRPr="00F80370">
        <w:rPr>
          <w:rFonts w:ascii="Arial" w:hAnsi="Arial"/>
        </w:rPr>
        <w:t xml:space="preserve"> (</w:t>
      </w:r>
      <w:r w:rsidR="00116A61" w:rsidRPr="00F80370">
        <w:rPr>
          <w:rFonts w:ascii="Arial" w:hAnsi="Arial"/>
        </w:rPr>
        <w:t>Ali</w:t>
      </w:r>
      <w:r w:rsidR="00116A61" w:rsidRPr="00F80370">
        <w:rPr>
          <w:rFonts w:ascii="Arial" w:hAnsi="Arial"/>
          <w:i/>
          <w:iCs/>
        </w:rPr>
        <w:t xml:space="preserve">et al. </w:t>
      </w:r>
      <w:r w:rsidR="00116A61" w:rsidRPr="00F80370">
        <w:rPr>
          <w:rFonts w:ascii="Arial" w:hAnsi="Arial"/>
        </w:rPr>
        <w:t>2022</w:t>
      </w:r>
      <w:r w:rsidR="00EB6EAA" w:rsidRPr="00F80370">
        <w:rPr>
          <w:rFonts w:ascii="Arial" w:hAnsi="Arial"/>
        </w:rPr>
        <w:t>)</w:t>
      </w:r>
      <w:r w:rsidRPr="00F80370">
        <w:rPr>
          <w:rFonts w:ascii="Arial" w:hAnsi="Arial"/>
        </w:rPr>
        <w:t xml:space="preserve">. New industrial customers are served by the opportunities of the rapid growth of renewable energy infrastructure, electric mobility, battery production, hydrogen production and digital technologies. Working closely with electric </w:t>
      </w:r>
      <w:r w:rsidR="00AF7D61" w:rsidRPr="00F80370">
        <w:rPr>
          <w:rFonts w:ascii="Arial" w:hAnsi="Arial"/>
        </w:rPr>
        <w:t>vehicles</w:t>
      </w:r>
      <w:r w:rsidRPr="00F80370">
        <w:rPr>
          <w:rFonts w:ascii="Arial" w:hAnsi="Arial"/>
        </w:rPr>
        <w:t>, renewable energy and low emission-steel manufacturers will enable BHP to benefit from growing global markets abroad, while also contributing to the global climate targets.</w:t>
      </w:r>
    </w:p>
    <w:p w14:paraId="4B1B190C" w14:textId="77777777" w:rsidR="004A554D" w:rsidRPr="00F80370" w:rsidRDefault="004A554D" w:rsidP="004A554D">
      <w:pPr>
        <w:rPr>
          <w:rFonts w:ascii="Arial" w:hAnsi="Arial"/>
        </w:rPr>
      </w:pPr>
      <w:r w:rsidRPr="00F80370">
        <w:rPr>
          <w:rFonts w:ascii="Arial" w:hAnsi="Arial"/>
        </w:rPr>
        <w:t>This strategy is accompanied by examples from the Australian mining industry</w:t>
      </w:r>
      <w:r w:rsidR="00EB6EAA" w:rsidRPr="00F80370">
        <w:rPr>
          <w:rFonts w:ascii="Arial" w:hAnsi="Arial"/>
        </w:rPr>
        <w:t xml:space="preserve"> (</w:t>
      </w:r>
      <w:r w:rsidR="00116A61" w:rsidRPr="00F80370">
        <w:rPr>
          <w:rFonts w:ascii="Arial" w:hAnsi="Arial"/>
        </w:rPr>
        <w:t>Howes, 2023</w:t>
      </w:r>
      <w:r w:rsidR="00EB6EAA" w:rsidRPr="00F80370">
        <w:rPr>
          <w:rFonts w:ascii="Arial" w:hAnsi="Arial"/>
        </w:rPr>
        <w:t>)</w:t>
      </w:r>
      <w:r w:rsidRPr="00F80370">
        <w:rPr>
          <w:rFonts w:ascii="Arial" w:hAnsi="Arial"/>
        </w:rPr>
        <w:t>. Rio Tinto has ramped up investment in lithium and battery materials to meet the rising demand for EVs. Likewise, Fortescue Ltd is spreading its risk portfolio beyond iron ore with significant investments in green hydrogen and renewables initiatives</w:t>
      </w:r>
      <w:r w:rsidR="00EB6EAA" w:rsidRPr="00F80370">
        <w:rPr>
          <w:rFonts w:ascii="Arial" w:hAnsi="Arial"/>
        </w:rPr>
        <w:t xml:space="preserve"> (</w:t>
      </w:r>
      <w:r w:rsidR="001E61A4" w:rsidRPr="00F80370">
        <w:rPr>
          <w:rFonts w:ascii="Arial" w:hAnsi="Arial"/>
        </w:rPr>
        <w:t>fortescue.com, 2026</w:t>
      </w:r>
      <w:r w:rsidR="00EB6EAA" w:rsidRPr="00F80370">
        <w:rPr>
          <w:rFonts w:ascii="Arial" w:hAnsi="Arial"/>
        </w:rPr>
        <w:t>)</w:t>
      </w:r>
      <w:r w:rsidRPr="00F80370">
        <w:rPr>
          <w:rFonts w:ascii="Arial" w:hAnsi="Arial"/>
        </w:rPr>
        <w:t>. These are all examples of product development and market development efforts that can provide growth opportunities and fit sustainability expectations. The synergy of the strategy allows BHP to bring its core mining know-how, assets and global customer base to bear and to operate in the fast-growing low carbon industries</w:t>
      </w:r>
      <w:r w:rsidR="00EB6EAA" w:rsidRPr="00F80370">
        <w:rPr>
          <w:rFonts w:ascii="Arial" w:hAnsi="Arial"/>
        </w:rPr>
        <w:t xml:space="preserve"> (</w:t>
      </w:r>
      <w:r w:rsidR="003C24AE" w:rsidRPr="00F80370">
        <w:rPr>
          <w:rFonts w:ascii="Arial" w:hAnsi="Arial"/>
        </w:rPr>
        <w:t>Idrees</w:t>
      </w:r>
      <w:r w:rsidR="003C24AE" w:rsidRPr="00F80370">
        <w:rPr>
          <w:rFonts w:ascii="Arial" w:hAnsi="Arial"/>
          <w:i/>
          <w:iCs/>
        </w:rPr>
        <w:t xml:space="preserve">et al. </w:t>
      </w:r>
      <w:r w:rsidR="003C24AE" w:rsidRPr="00F80370">
        <w:rPr>
          <w:rFonts w:ascii="Arial" w:hAnsi="Arial"/>
        </w:rPr>
        <w:t>2023</w:t>
      </w:r>
      <w:r w:rsidR="00EB6EAA" w:rsidRPr="00F80370">
        <w:rPr>
          <w:rFonts w:ascii="Arial" w:hAnsi="Arial"/>
        </w:rPr>
        <w:t>)</w:t>
      </w:r>
      <w:r w:rsidRPr="00F80370">
        <w:rPr>
          <w:rFonts w:ascii="Arial" w:hAnsi="Arial"/>
        </w:rPr>
        <w:t>. It helps limit exposure to the low-carbon intensive markets and can help drive long-term growth by sustainable resource development and innovation.</w:t>
      </w:r>
    </w:p>
    <w:p w14:paraId="699CC6A9" w14:textId="77777777" w:rsidR="004A554D" w:rsidRPr="00F80370" w:rsidRDefault="008E5F4A" w:rsidP="008E5F4A">
      <w:pPr>
        <w:pStyle w:val="Heading2"/>
        <w:rPr>
          <w:rFonts w:ascii="Arial" w:hAnsi="Arial"/>
        </w:rPr>
      </w:pPr>
      <w:bookmarkStart w:id="4" w:name="_Toc231678816"/>
      <w:r w:rsidRPr="00F80370">
        <w:rPr>
          <w:rFonts w:ascii="Arial" w:hAnsi="Arial"/>
        </w:rPr>
        <w:t>Achieving Competitive Advantage Using Porter’s Generic Strategies</w:t>
      </w:r>
      <w:bookmarkEnd w:id="4"/>
    </w:p>
    <w:p w14:paraId="3E7E316A" w14:textId="77777777" w:rsidR="00004B2E" w:rsidRDefault="004A554D" w:rsidP="004A554D">
      <w:pPr>
        <w:rPr>
          <w:rFonts w:ascii="Arial" w:hAnsi="Arial"/>
        </w:rPr>
      </w:pPr>
      <w:r w:rsidRPr="00F80370">
        <w:rPr>
          <w:rFonts w:ascii="Arial" w:hAnsi="Arial"/>
        </w:rPr>
        <w:t>BHP should pursue a differentiation strategy with some cost leadership advantages to gain competitive benefits in its shift to a lower carbon business model</w:t>
      </w:r>
      <w:r w:rsidR="00A34C3E" w:rsidRPr="00F80370">
        <w:rPr>
          <w:rFonts w:ascii="Arial" w:hAnsi="Arial"/>
        </w:rPr>
        <w:t xml:space="preserve"> (</w:t>
      </w:r>
      <w:r w:rsidR="005B517E" w:rsidRPr="00F80370">
        <w:rPr>
          <w:rFonts w:ascii="Arial" w:hAnsi="Arial"/>
        </w:rPr>
        <w:t>Acar, 2024</w:t>
      </w:r>
      <w:r w:rsidR="00A34C3E" w:rsidRPr="00F80370">
        <w:rPr>
          <w:rFonts w:ascii="Arial" w:hAnsi="Arial"/>
        </w:rPr>
        <w:t>)</w:t>
      </w:r>
      <w:r w:rsidRPr="00F80370">
        <w:rPr>
          <w:rFonts w:ascii="Arial" w:hAnsi="Arial"/>
        </w:rPr>
        <w:t xml:space="preserve">. The most relevant </w:t>
      </w:r>
      <w:r w:rsidRPr="00F80370">
        <w:rPr>
          <w:rFonts w:ascii="Arial" w:hAnsi="Arial"/>
          <w:b/>
          <w:bCs/>
        </w:rPr>
        <w:t xml:space="preserve">Porter </w:t>
      </w:r>
      <w:r w:rsidR="005F405C" w:rsidRPr="00F80370">
        <w:rPr>
          <w:rFonts w:ascii="Arial" w:hAnsi="Arial"/>
          <w:b/>
          <w:bCs/>
        </w:rPr>
        <w:t>G</w:t>
      </w:r>
      <w:r w:rsidRPr="00F80370">
        <w:rPr>
          <w:rFonts w:ascii="Arial" w:hAnsi="Arial"/>
          <w:b/>
          <w:bCs/>
        </w:rPr>
        <w:t xml:space="preserve">eneric </w:t>
      </w:r>
      <w:r w:rsidR="005F405C" w:rsidRPr="00F80370">
        <w:rPr>
          <w:rFonts w:ascii="Arial" w:hAnsi="Arial"/>
          <w:b/>
          <w:bCs/>
        </w:rPr>
        <w:t>S</w:t>
      </w:r>
      <w:r w:rsidRPr="00F80370">
        <w:rPr>
          <w:rFonts w:ascii="Arial" w:hAnsi="Arial"/>
          <w:b/>
          <w:bCs/>
        </w:rPr>
        <w:t>trategy</w:t>
      </w:r>
      <w:r w:rsidRPr="00F80370">
        <w:rPr>
          <w:rFonts w:ascii="Arial" w:hAnsi="Arial"/>
        </w:rPr>
        <w:t xml:space="preserve"> is differentiation, because sustainability, emissions reduction and responsible sourcing are </w:t>
      </w:r>
      <w:r w:rsidR="00C3185D" w:rsidRPr="00F80370">
        <w:rPr>
          <w:rFonts w:ascii="Arial" w:hAnsi="Arial"/>
        </w:rPr>
        <w:t>morevital</w:t>
      </w:r>
      <w:r w:rsidRPr="00F80370">
        <w:rPr>
          <w:rFonts w:ascii="Arial" w:hAnsi="Arial"/>
        </w:rPr>
        <w:t xml:space="preserve"> factors when choosing suppliers by customers, investors, governments and industrial buyers. </w:t>
      </w:r>
    </w:p>
    <w:p w14:paraId="5A707C02" w14:textId="77777777" w:rsidR="004678EE" w:rsidRPr="00F80370" w:rsidRDefault="004678EE" w:rsidP="004A554D">
      <w:pPr>
        <w:rPr>
          <w:rFonts w:ascii="Arial" w:hAnsi="Arial"/>
        </w:rPr>
      </w:pPr>
    </w:p>
    <w:tbl>
      <w:tblPr>
        <w:tblStyle w:val="GridTable4-Accent31"/>
        <w:tblW w:w="0" w:type="auto"/>
        <w:jc w:val="center"/>
        <w:tblLook w:val="04A0" w:firstRow="1" w:lastRow="0" w:firstColumn="1" w:lastColumn="0" w:noHBand="0" w:noVBand="1"/>
      </w:tblPr>
      <w:tblGrid>
        <w:gridCol w:w="3065"/>
        <w:gridCol w:w="5951"/>
      </w:tblGrid>
      <w:tr w:rsidR="00467A37" w:rsidRPr="00F80370" w14:paraId="269B5FCB" w14:textId="77777777" w:rsidTr="004678E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3A7831" w14:textId="77777777" w:rsidR="00467A37" w:rsidRPr="00F80370" w:rsidRDefault="00467A37" w:rsidP="00467A37">
            <w:pPr>
              <w:jc w:val="center"/>
              <w:rPr>
                <w:rFonts w:ascii="Arial" w:hAnsi="Arial"/>
              </w:rPr>
            </w:pPr>
            <w:r w:rsidRPr="00F80370">
              <w:rPr>
                <w:rFonts w:ascii="Arial" w:hAnsi="Arial"/>
              </w:rPr>
              <w:t>Strategy</w:t>
            </w:r>
          </w:p>
        </w:tc>
        <w:tc>
          <w:tcPr>
            <w:tcW w:w="0" w:type="auto"/>
            <w:hideMark/>
          </w:tcPr>
          <w:p w14:paraId="0021AAA0" w14:textId="77777777" w:rsidR="00467A37" w:rsidRPr="00F80370" w:rsidRDefault="00467A37" w:rsidP="00467A37">
            <w:pPr>
              <w:jc w:val="center"/>
              <w:cnfStyle w:val="100000000000" w:firstRow="1" w:lastRow="0" w:firstColumn="0" w:lastColumn="0" w:oddVBand="0" w:evenVBand="0" w:oddHBand="0" w:evenHBand="0" w:firstRowFirstColumn="0" w:firstRowLastColumn="0" w:lastRowFirstColumn="0" w:lastRowLastColumn="0"/>
              <w:rPr>
                <w:rFonts w:ascii="Arial" w:hAnsi="Arial"/>
              </w:rPr>
            </w:pPr>
            <w:r w:rsidRPr="00F80370">
              <w:rPr>
                <w:rFonts w:ascii="Arial" w:hAnsi="Arial"/>
              </w:rPr>
              <w:t>Application to BHP</w:t>
            </w:r>
          </w:p>
        </w:tc>
      </w:tr>
      <w:tr w:rsidR="00467A37" w:rsidRPr="00F80370" w14:paraId="049685FF"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B6B3E8" w14:textId="77777777" w:rsidR="00467A37" w:rsidRPr="00F80370" w:rsidRDefault="00467A37" w:rsidP="00467A37">
            <w:pPr>
              <w:jc w:val="center"/>
              <w:rPr>
                <w:rFonts w:ascii="Arial" w:hAnsi="Arial"/>
              </w:rPr>
            </w:pPr>
            <w:r w:rsidRPr="00F80370">
              <w:rPr>
                <w:rFonts w:ascii="Arial" w:hAnsi="Arial"/>
              </w:rPr>
              <w:t>Differentiation</w:t>
            </w:r>
          </w:p>
        </w:tc>
        <w:tc>
          <w:tcPr>
            <w:tcW w:w="0" w:type="auto"/>
            <w:hideMark/>
          </w:tcPr>
          <w:p w14:paraId="4920A63E" w14:textId="77777777" w:rsidR="00467A37" w:rsidRPr="00F80370" w:rsidRDefault="00467A37" w:rsidP="00467A37">
            <w:pPr>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Lower carbon copper, nickel, and potash products with sustainable sourcing.</w:t>
            </w:r>
          </w:p>
        </w:tc>
      </w:tr>
      <w:tr w:rsidR="00467A37" w:rsidRPr="00F80370" w14:paraId="7537348A" w14:textId="77777777" w:rsidTr="004678E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9F4993" w14:textId="77777777" w:rsidR="00467A37" w:rsidRPr="00F80370" w:rsidRDefault="00467A37" w:rsidP="00467A37">
            <w:pPr>
              <w:jc w:val="center"/>
              <w:rPr>
                <w:rFonts w:ascii="Arial" w:hAnsi="Arial"/>
              </w:rPr>
            </w:pPr>
            <w:r w:rsidRPr="00F80370">
              <w:rPr>
                <w:rFonts w:ascii="Arial" w:hAnsi="Arial"/>
              </w:rPr>
              <w:t>Innovation</w:t>
            </w:r>
          </w:p>
        </w:tc>
        <w:tc>
          <w:tcPr>
            <w:tcW w:w="0" w:type="auto"/>
            <w:hideMark/>
          </w:tcPr>
          <w:p w14:paraId="02D66040" w14:textId="77777777" w:rsidR="00467A37" w:rsidRPr="00F80370" w:rsidRDefault="00467A37" w:rsidP="00467A37">
            <w:pPr>
              <w:jc w:val="center"/>
              <w:cnfStyle w:val="000000000000" w:firstRow="0" w:lastRow="0" w:firstColumn="0" w:lastColumn="0" w:oddVBand="0" w:evenVBand="0" w:oddHBand="0" w:evenHBand="0" w:firstRowFirstColumn="0" w:firstRowLastColumn="0" w:lastRowFirstColumn="0" w:lastRowLastColumn="0"/>
              <w:rPr>
                <w:rFonts w:ascii="Arial" w:hAnsi="Arial"/>
              </w:rPr>
            </w:pPr>
            <w:r w:rsidRPr="00F80370">
              <w:rPr>
                <w:rFonts w:ascii="Arial" w:hAnsi="Arial"/>
              </w:rPr>
              <w:t>Investment in decarbonisation and renewable energy technologies.</w:t>
            </w:r>
          </w:p>
        </w:tc>
      </w:tr>
      <w:tr w:rsidR="00467A37" w:rsidRPr="00F80370" w14:paraId="5C6FE417"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E7824D" w14:textId="77777777" w:rsidR="00467A37" w:rsidRPr="00F80370" w:rsidRDefault="00467A37" w:rsidP="00467A37">
            <w:pPr>
              <w:jc w:val="center"/>
              <w:rPr>
                <w:rFonts w:ascii="Arial" w:hAnsi="Arial"/>
              </w:rPr>
            </w:pPr>
            <w:r w:rsidRPr="00F80370">
              <w:rPr>
                <w:rFonts w:ascii="Arial" w:hAnsi="Arial"/>
              </w:rPr>
              <w:t>Cost Leadership</w:t>
            </w:r>
          </w:p>
        </w:tc>
        <w:tc>
          <w:tcPr>
            <w:tcW w:w="0" w:type="auto"/>
            <w:hideMark/>
          </w:tcPr>
          <w:p w14:paraId="097EB199" w14:textId="77777777" w:rsidR="00467A37" w:rsidRPr="00F80370" w:rsidRDefault="00467A37" w:rsidP="00467A37">
            <w:pPr>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Low-cost iron ore production through operational efficiency.</w:t>
            </w:r>
          </w:p>
        </w:tc>
      </w:tr>
      <w:tr w:rsidR="00467A37" w:rsidRPr="00F80370" w14:paraId="4A0FEEED" w14:textId="77777777" w:rsidTr="004678E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8E3852" w14:textId="77777777" w:rsidR="00467A37" w:rsidRPr="00F80370" w:rsidRDefault="00467A37" w:rsidP="00467A37">
            <w:pPr>
              <w:jc w:val="center"/>
              <w:rPr>
                <w:rFonts w:ascii="Arial" w:hAnsi="Arial"/>
              </w:rPr>
            </w:pPr>
            <w:r w:rsidRPr="00F80370">
              <w:rPr>
                <w:rFonts w:ascii="Arial" w:hAnsi="Arial"/>
              </w:rPr>
              <w:t>Sustainability + Cost Efficiency</w:t>
            </w:r>
          </w:p>
        </w:tc>
        <w:tc>
          <w:tcPr>
            <w:tcW w:w="0" w:type="auto"/>
            <w:hideMark/>
          </w:tcPr>
          <w:p w14:paraId="2A138632" w14:textId="77777777" w:rsidR="00467A37" w:rsidRPr="00F80370" w:rsidRDefault="00467A37" w:rsidP="00467A37">
            <w:pPr>
              <w:jc w:val="center"/>
              <w:cnfStyle w:val="000000000000" w:firstRow="0" w:lastRow="0" w:firstColumn="0" w:lastColumn="0" w:oddVBand="0" w:evenVBand="0" w:oddHBand="0" w:evenHBand="0" w:firstRowFirstColumn="0" w:firstRowLastColumn="0" w:lastRowFirstColumn="0" w:lastRowLastColumn="0"/>
              <w:rPr>
                <w:rFonts w:ascii="Arial" w:hAnsi="Arial"/>
              </w:rPr>
            </w:pPr>
            <w:r w:rsidRPr="00F80370">
              <w:rPr>
                <w:rFonts w:ascii="Arial" w:hAnsi="Arial"/>
              </w:rPr>
              <w:t>Combining emissions reduction with lower operating costs.</w:t>
            </w:r>
          </w:p>
        </w:tc>
      </w:tr>
      <w:tr w:rsidR="00467A37" w:rsidRPr="00F80370" w14:paraId="5430A32B" w14:textId="77777777" w:rsidTr="004678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4DCDDE" w14:textId="77777777" w:rsidR="00467A37" w:rsidRPr="00F80370" w:rsidRDefault="00467A37" w:rsidP="00467A37">
            <w:pPr>
              <w:jc w:val="center"/>
              <w:rPr>
                <w:rFonts w:ascii="Arial" w:hAnsi="Arial"/>
              </w:rPr>
            </w:pPr>
            <w:r w:rsidRPr="00F80370">
              <w:rPr>
                <w:rFonts w:ascii="Arial" w:hAnsi="Arial"/>
              </w:rPr>
              <w:t>Competitive Advantage</w:t>
            </w:r>
          </w:p>
        </w:tc>
        <w:tc>
          <w:tcPr>
            <w:tcW w:w="0" w:type="auto"/>
            <w:hideMark/>
          </w:tcPr>
          <w:p w14:paraId="23DF9A56" w14:textId="77777777" w:rsidR="00467A37" w:rsidRPr="00F80370" w:rsidRDefault="00467A37" w:rsidP="00467A37">
            <w:pPr>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F80370">
              <w:rPr>
                <w:rFonts w:ascii="Arial" w:hAnsi="Arial"/>
              </w:rPr>
              <w:t>Strong ESG reputation, customer loyalty, and profitability.</w:t>
            </w:r>
          </w:p>
        </w:tc>
      </w:tr>
    </w:tbl>
    <w:p w14:paraId="68F07EDD" w14:textId="77777777" w:rsidR="00004B2E" w:rsidRPr="00F80370" w:rsidRDefault="008A6A8D" w:rsidP="00ED3046">
      <w:pPr>
        <w:jc w:val="center"/>
        <w:rPr>
          <w:rFonts w:ascii="Arial" w:hAnsi="Arial"/>
          <w:b/>
          <w:bCs/>
        </w:rPr>
      </w:pPr>
      <w:r w:rsidRPr="00F80370">
        <w:rPr>
          <w:rFonts w:ascii="Arial" w:hAnsi="Arial"/>
          <w:b/>
          <w:bCs/>
        </w:rPr>
        <w:t xml:space="preserve">Table </w:t>
      </w:r>
      <w:r w:rsidR="00281C8E" w:rsidRPr="00F80370">
        <w:rPr>
          <w:rFonts w:ascii="Arial" w:hAnsi="Arial"/>
          <w:b/>
          <w:bCs/>
        </w:rPr>
        <w:t>2</w:t>
      </w:r>
      <w:r w:rsidRPr="00F80370">
        <w:rPr>
          <w:rFonts w:ascii="Arial" w:hAnsi="Arial"/>
          <w:b/>
          <w:bCs/>
        </w:rPr>
        <w:t xml:space="preserve">: </w:t>
      </w:r>
      <w:r w:rsidR="00D5363B" w:rsidRPr="00F80370">
        <w:rPr>
          <w:rFonts w:ascii="Arial" w:hAnsi="Arial"/>
          <w:b/>
          <w:bCs/>
        </w:rPr>
        <w:t>Porter Generic Strategy Table</w:t>
      </w:r>
    </w:p>
    <w:p w14:paraId="6D3FC0BF" w14:textId="77777777" w:rsidR="00D5363B" w:rsidRPr="00F80370" w:rsidRDefault="00D5363B" w:rsidP="00ED3046">
      <w:pPr>
        <w:jc w:val="center"/>
        <w:rPr>
          <w:rFonts w:ascii="Arial" w:hAnsi="Arial"/>
          <w:b/>
          <w:bCs/>
        </w:rPr>
      </w:pPr>
      <w:r w:rsidRPr="00F80370">
        <w:rPr>
          <w:rFonts w:ascii="Arial" w:hAnsi="Arial"/>
          <w:b/>
          <w:bCs/>
        </w:rPr>
        <w:t>(</w:t>
      </w:r>
      <w:r w:rsidRPr="00F80370">
        <w:rPr>
          <w:rFonts w:ascii="Arial" w:hAnsi="Arial"/>
        </w:rPr>
        <w:t xml:space="preserve">Source: </w:t>
      </w:r>
      <w:r w:rsidR="002A6E23" w:rsidRPr="00F80370">
        <w:rPr>
          <w:rFonts w:ascii="Arial" w:hAnsi="Arial"/>
        </w:rPr>
        <w:t xml:space="preserve">Self-Created </w:t>
      </w:r>
      <w:r w:rsidRPr="00F80370">
        <w:rPr>
          <w:rFonts w:ascii="Arial" w:hAnsi="Arial"/>
          <w:b/>
          <w:bCs/>
        </w:rPr>
        <w:t>)</w:t>
      </w:r>
    </w:p>
    <w:p w14:paraId="41D23EC5" w14:textId="77777777" w:rsidR="004A554D" w:rsidRDefault="004A554D" w:rsidP="004A554D">
      <w:pPr>
        <w:rPr>
          <w:rFonts w:ascii="Arial" w:hAnsi="Arial"/>
        </w:rPr>
      </w:pPr>
      <w:r w:rsidRPr="00F80370">
        <w:rPr>
          <w:rFonts w:ascii="Arial" w:hAnsi="Arial"/>
        </w:rPr>
        <w:t xml:space="preserve">BHP can differentiate itself by providing minerals with reduced environmental impacts, being a leader in the decarbonisation movement, through differentiation. The company has already taken measures to minimise its operational Scope 1 and Scope 2 emissions and has made substantial capital investments in </w:t>
      </w:r>
      <w:r w:rsidR="008E5F4A" w:rsidRPr="00F80370">
        <w:rPr>
          <w:rFonts w:ascii="Arial" w:hAnsi="Arial"/>
        </w:rPr>
        <w:t>technology</w:t>
      </w:r>
      <w:r w:rsidRPr="00F80370">
        <w:rPr>
          <w:rFonts w:ascii="Arial" w:hAnsi="Arial"/>
        </w:rPr>
        <w:t xml:space="preserve"> enabling the production of lower carbon products</w:t>
      </w:r>
      <w:r w:rsidR="00A34C3E" w:rsidRPr="00F80370">
        <w:rPr>
          <w:rFonts w:ascii="Arial" w:hAnsi="Arial"/>
        </w:rPr>
        <w:t xml:space="preserve"> (</w:t>
      </w:r>
      <w:r w:rsidR="00EF1827" w:rsidRPr="00F80370">
        <w:rPr>
          <w:rFonts w:ascii="Arial" w:hAnsi="Arial"/>
        </w:rPr>
        <w:t>investegate.co.uk, 2026</w:t>
      </w:r>
      <w:r w:rsidR="00A34C3E" w:rsidRPr="00F80370">
        <w:rPr>
          <w:rFonts w:ascii="Arial" w:hAnsi="Arial"/>
        </w:rPr>
        <w:t>)</w:t>
      </w:r>
      <w:r w:rsidRPr="00F80370">
        <w:rPr>
          <w:rFonts w:ascii="Arial" w:hAnsi="Arial"/>
        </w:rPr>
        <w:t>. BHP can add value to those customers that are trying to cut emissions in their supply chains, by further developing responsibly sourced copper, nickel and potash products and by offering environmental reporting transparency. With increasingly tough environmental regulations, more manufacturers are prepared to pay more for sustainable materials that reflect their own climate commitments.</w:t>
      </w:r>
    </w:p>
    <w:p w14:paraId="4A85D475" w14:textId="77777777" w:rsidR="0029064C" w:rsidRPr="00F80370" w:rsidRDefault="0029064C" w:rsidP="004A554D">
      <w:pPr>
        <w:rPr>
          <w:rFonts w:ascii="Arial" w:hAnsi="Arial"/>
        </w:rPr>
      </w:pPr>
    </w:p>
    <w:p w14:paraId="39BEEE3F" w14:textId="77777777" w:rsidR="004A554D" w:rsidRDefault="004A554D" w:rsidP="004A554D">
      <w:pPr>
        <w:rPr>
          <w:rFonts w:ascii="Arial" w:hAnsi="Arial"/>
        </w:rPr>
      </w:pPr>
      <w:r w:rsidRPr="00F80370">
        <w:rPr>
          <w:rFonts w:ascii="Arial" w:hAnsi="Arial"/>
        </w:rPr>
        <w:t>One good example is Rio Tinto, which has introduced the ELYSIS technology partnership to create aluminium that has no direct carbon emissions from the smelting process</w:t>
      </w:r>
      <w:r w:rsidR="00A34C3E" w:rsidRPr="00F80370">
        <w:rPr>
          <w:rFonts w:ascii="Arial" w:hAnsi="Arial"/>
        </w:rPr>
        <w:t xml:space="preserve"> (</w:t>
      </w:r>
      <w:r w:rsidR="002361E6" w:rsidRPr="00F80370">
        <w:rPr>
          <w:rFonts w:ascii="Arial" w:hAnsi="Arial"/>
        </w:rPr>
        <w:t>riotinto.com, 2024</w:t>
      </w:r>
      <w:r w:rsidR="00A34C3E" w:rsidRPr="00F80370">
        <w:rPr>
          <w:rFonts w:ascii="Arial" w:hAnsi="Arial"/>
        </w:rPr>
        <w:t>)</w:t>
      </w:r>
      <w:r w:rsidRPr="00F80370">
        <w:rPr>
          <w:rFonts w:ascii="Arial" w:hAnsi="Arial"/>
        </w:rPr>
        <w:t xml:space="preserve">. This innovation sets Rio Tinto apart from its </w:t>
      </w:r>
      <w:r w:rsidR="00C3185D" w:rsidRPr="00F80370">
        <w:rPr>
          <w:rFonts w:ascii="Arial" w:hAnsi="Arial"/>
        </w:rPr>
        <w:t>rivals and</w:t>
      </w:r>
      <w:r w:rsidRPr="00F80370">
        <w:rPr>
          <w:rFonts w:ascii="Arial" w:hAnsi="Arial"/>
        </w:rPr>
        <w:t xml:space="preserve"> builds ties with eco-friendly consumers. Likewise, BHP can differentiate by investing in technologies for reducing carbon emissions in steel production and investing in renewable energy used for mining. Some of the cost leadership elements can also be applicable to BHP. Western Australia Iron Ore operations continued to be one of the world's lowest cost major iron ore operations for </w:t>
      </w:r>
      <w:r w:rsidR="0094496B" w:rsidRPr="00F80370">
        <w:rPr>
          <w:rFonts w:ascii="Arial" w:hAnsi="Arial"/>
        </w:rPr>
        <w:t>several</w:t>
      </w:r>
      <w:r w:rsidRPr="00F80370">
        <w:rPr>
          <w:rFonts w:ascii="Arial" w:hAnsi="Arial"/>
        </w:rPr>
        <w:t xml:space="preserve"> years</w:t>
      </w:r>
      <w:r w:rsidR="00A34C3E" w:rsidRPr="00F80370">
        <w:rPr>
          <w:rFonts w:ascii="Arial" w:hAnsi="Arial"/>
        </w:rPr>
        <w:t xml:space="preserve"> (</w:t>
      </w:r>
      <w:proofErr w:type="spellStart"/>
      <w:r w:rsidR="008C562E" w:rsidRPr="00F80370">
        <w:rPr>
          <w:rFonts w:ascii="Arial" w:hAnsi="Arial"/>
        </w:rPr>
        <w:t>Bulayani</w:t>
      </w:r>
      <w:r w:rsidR="008C562E" w:rsidRPr="00F80370">
        <w:rPr>
          <w:rFonts w:ascii="Arial" w:hAnsi="Arial"/>
          <w:i/>
          <w:iCs/>
        </w:rPr>
        <w:t>et</w:t>
      </w:r>
      <w:proofErr w:type="spellEnd"/>
      <w:r w:rsidR="008C562E" w:rsidRPr="00F80370">
        <w:rPr>
          <w:rFonts w:ascii="Arial" w:hAnsi="Arial"/>
          <w:i/>
          <w:iCs/>
        </w:rPr>
        <w:t xml:space="preserve"> al. </w:t>
      </w:r>
      <w:r w:rsidR="008C562E" w:rsidRPr="00F80370">
        <w:rPr>
          <w:rFonts w:ascii="Arial" w:hAnsi="Arial"/>
        </w:rPr>
        <w:t>2024</w:t>
      </w:r>
      <w:r w:rsidR="00A34C3E" w:rsidRPr="00F80370">
        <w:rPr>
          <w:rFonts w:ascii="Arial" w:hAnsi="Arial"/>
        </w:rPr>
        <w:t>)</w:t>
      </w:r>
      <w:r w:rsidRPr="00F80370">
        <w:rPr>
          <w:rFonts w:ascii="Arial" w:hAnsi="Arial"/>
        </w:rPr>
        <w:t xml:space="preserve">. BHP </w:t>
      </w:r>
      <w:r w:rsidR="0094496B" w:rsidRPr="00F80370">
        <w:rPr>
          <w:rFonts w:ascii="Arial" w:hAnsi="Arial"/>
        </w:rPr>
        <w:t>can</w:t>
      </w:r>
      <w:r w:rsidRPr="00F80370">
        <w:rPr>
          <w:rFonts w:ascii="Arial" w:hAnsi="Arial"/>
        </w:rPr>
        <w:t xml:space="preserve"> have a lower production cost than </w:t>
      </w:r>
      <w:r w:rsidR="0094496B" w:rsidRPr="00F80370">
        <w:rPr>
          <w:rFonts w:ascii="Arial" w:hAnsi="Arial"/>
        </w:rPr>
        <w:t>a few of</w:t>
      </w:r>
      <w:r w:rsidRPr="00F80370">
        <w:rPr>
          <w:rFonts w:ascii="Arial" w:hAnsi="Arial"/>
        </w:rPr>
        <w:t xml:space="preserve"> its competitors due to operational efficiency, economies of scale, advanced technology and strong supply chain management. This </w:t>
      </w:r>
      <w:r w:rsidR="004B7C04" w:rsidRPr="00F80370">
        <w:rPr>
          <w:rFonts w:ascii="Arial" w:hAnsi="Arial"/>
        </w:rPr>
        <w:t>cost</w:t>
      </w:r>
      <w:r w:rsidRPr="00F80370">
        <w:rPr>
          <w:rFonts w:ascii="Arial" w:hAnsi="Arial"/>
        </w:rPr>
        <w:t>-effective and sustainable production strategy makes it difficult for competitors to catch up.</w:t>
      </w:r>
    </w:p>
    <w:p w14:paraId="7352BAA1" w14:textId="77777777" w:rsidR="0029064C" w:rsidRPr="00F80370" w:rsidRDefault="0029064C" w:rsidP="004A554D">
      <w:pPr>
        <w:rPr>
          <w:rFonts w:ascii="Arial" w:hAnsi="Arial"/>
        </w:rPr>
      </w:pPr>
    </w:p>
    <w:p w14:paraId="6CC6C931" w14:textId="77777777" w:rsidR="004A554D" w:rsidRPr="00F80370" w:rsidRDefault="004A554D" w:rsidP="004A554D">
      <w:pPr>
        <w:rPr>
          <w:rFonts w:ascii="Arial" w:hAnsi="Arial"/>
        </w:rPr>
      </w:pPr>
      <w:r w:rsidRPr="00F80370">
        <w:rPr>
          <w:rFonts w:ascii="Arial" w:hAnsi="Arial"/>
        </w:rPr>
        <w:t xml:space="preserve">An example of this is with Fortescue Ltd, who are seeking to develop large-scale renewable energy and green hydrogen projects, </w:t>
      </w:r>
      <w:r w:rsidR="00985319" w:rsidRPr="00F80370">
        <w:rPr>
          <w:rFonts w:ascii="Arial" w:hAnsi="Arial"/>
        </w:rPr>
        <w:t>which</w:t>
      </w:r>
      <w:r w:rsidRPr="00F80370">
        <w:rPr>
          <w:rFonts w:ascii="Arial" w:hAnsi="Arial"/>
        </w:rPr>
        <w:t xml:space="preserve"> are also able to operate efficiently</w:t>
      </w:r>
      <w:r w:rsidR="00A34C3E" w:rsidRPr="00F80370">
        <w:rPr>
          <w:rFonts w:ascii="Arial" w:hAnsi="Arial"/>
        </w:rPr>
        <w:t xml:space="preserve"> (</w:t>
      </w:r>
      <w:r w:rsidR="00461527" w:rsidRPr="00F80370">
        <w:rPr>
          <w:rFonts w:ascii="Arial" w:hAnsi="Arial"/>
        </w:rPr>
        <w:t>fortescue.com, 2026</w:t>
      </w:r>
      <w:r w:rsidR="00A34C3E" w:rsidRPr="00F80370">
        <w:rPr>
          <w:rFonts w:ascii="Arial" w:hAnsi="Arial"/>
        </w:rPr>
        <w:t>)</w:t>
      </w:r>
      <w:r w:rsidRPr="00F80370">
        <w:rPr>
          <w:rFonts w:ascii="Arial" w:hAnsi="Arial"/>
        </w:rPr>
        <w:t>. Fortescue's goal is to reduce the future cost of energy whilst improving its environmental reputation. This is an example of the synergistic relationship between sustainability and cost efficiency. Differentiation, combined with operational efficiency, enables BHP to engage environmentally conscious customers, meet investor expectations, meet regulatory requirements and enhance brand reputation</w:t>
      </w:r>
      <w:r w:rsidR="00A34C3E" w:rsidRPr="00F80370">
        <w:rPr>
          <w:rFonts w:ascii="Arial" w:hAnsi="Arial"/>
        </w:rPr>
        <w:t xml:space="preserve"> (</w:t>
      </w:r>
      <w:r w:rsidR="00364294" w:rsidRPr="00F80370">
        <w:rPr>
          <w:rFonts w:ascii="Arial" w:hAnsi="Arial"/>
        </w:rPr>
        <w:t>Versteeg</w:t>
      </w:r>
      <w:r w:rsidR="00364294" w:rsidRPr="00F80370">
        <w:rPr>
          <w:rFonts w:ascii="Arial" w:hAnsi="Arial"/>
          <w:i/>
          <w:iCs/>
        </w:rPr>
        <w:t xml:space="preserve">et al. </w:t>
      </w:r>
      <w:r w:rsidR="00364294" w:rsidRPr="00F80370">
        <w:rPr>
          <w:rFonts w:ascii="Arial" w:hAnsi="Arial"/>
        </w:rPr>
        <w:t>2026</w:t>
      </w:r>
      <w:r w:rsidR="00A34C3E" w:rsidRPr="00F80370">
        <w:rPr>
          <w:rFonts w:ascii="Arial" w:hAnsi="Arial"/>
        </w:rPr>
        <w:t>)</w:t>
      </w:r>
      <w:r w:rsidRPr="00F80370">
        <w:rPr>
          <w:rFonts w:ascii="Arial" w:hAnsi="Arial"/>
        </w:rPr>
        <w:t xml:space="preserve">. As </w:t>
      </w:r>
      <w:r w:rsidR="00AF7D61" w:rsidRPr="00F80370">
        <w:rPr>
          <w:rFonts w:ascii="Arial" w:hAnsi="Arial"/>
        </w:rPr>
        <w:t>a bonus</w:t>
      </w:r>
      <w:r w:rsidRPr="00F80370">
        <w:rPr>
          <w:rFonts w:ascii="Arial" w:hAnsi="Arial"/>
        </w:rPr>
        <w:t xml:space="preserve">, </w:t>
      </w:r>
      <w:r w:rsidR="00AF7D61" w:rsidRPr="00F80370">
        <w:rPr>
          <w:rFonts w:ascii="Arial" w:hAnsi="Arial"/>
        </w:rPr>
        <w:t>efficient</w:t>
      </w:r>
      <w:r w:rsidRPr="00F80370">
        <w:rPr>
          <w:rFonts w:ascii="Arial" w:hAnsi="Arial"/>
        </w:rPr>
        <w:t xml:space="preserve"> production supports profitability in the face of substantial investments in de</w:t>
      </w:r>
      <w:r w:rsidR="003E0C12" w:rsidRPr="00F80370">
        <w:rPr>
          <w:rFonts w:ascii="Arial" w:hAnsi="Arial"/>
        </w:rPr>
        <w:t>-</w:t>
      </w:r>
      <w:r w:rsidRPr="00F80370">
        <w:rPr>
          <w:rFonts w:ascii="Arial" w:hAnsi="Arial"/>
        </w:rPr>
        <w:t>carbonisation, ensuring a sustainable competitive advantage in the changing global mining market.</w:t>
      </w:r>
    </w:p>
    <w:p w14:paraId="212142A1" w14:textId="77777777" w:rsidR="004A554D" w:rsidRPr="00F80370" w:rsidRDefault="004A554D" w:rsidP="004A554D">
      <w:pPr>
        <w:pStyle w:val="Heading1"/>
        <w:rPr>
          <w:rFonts w:ascii="Arial" w:hAnsi="Arial"/>
        </w:rPr>
      </w:pPr>
      <w:bookmarkStart w:id="5" w:name="_Toc231678817"/>
      <w:r w:rsidRPr="00F80370">
        <w:rPr>
          <w:rFonts w:ascii="Arial" w:hAnsi="Arial"/>
        </w:rPr>
        <w:t xml:space="preserve">Part </w:t>
      </w:r>
      <w:r w:rsidR="009D1799" w:rsidRPr="00F80370">
        <w:rPr>
          <w:rFonts w:ascii="Arial" w:hAnsi="Arial"/>
        </w:rPr>
        <w:t>C</w:t>
      </w:r>
      <w:r w:rsidRPr="00F80370">
        <w:rPr>
          <w:rFonts w:ascii="Arial" w:hAnsi="Arial"/>
        </w:rPr>
        <w:t>:</w:t>
      </w:r>
      <w:r w:rsidR="00073FF1" w:rsidRPr="00F80370">
        <w:rPr>
          <w:rFonts w:ascii="Arial" w:hAnsi="Arial"/>
        </w:rPr>
        <w:t>Critical Reflection on AI Usage</w:t>
      </w:r>
      <w:bookmarkEnd w:id="5"/>
    </w:p>
    <w:p w14:paraId="1405EEA3" w14:textId="77777777" w:rsidR="001E3496" w:rsidRPr="00F80370" w:rsidRDefault="001E3496" w:rsidP="001E3496">
      <w:pPr>
        <w:pStyle w:val="Heading2"/>
        <w:numPr>
          <w:ilvl w:val="0"/>
          <w:numId w:val="2"/>
        </w:numPr>
        <w:rPr>
          <w:rFonts w:ascii="Arial" w:hAnsi="Arial"/>
        </w:rPr>
      </w:pPr>
      <w:bookmarkStart w:id="6" w:name="_Toc231678818"/>
      <w:r w:rsidRPr="00F80370">
        <w:rPr>
          <w:rFonts w:ascii="Arial" w:hAnsi="Arial"/>
        </w:rPr>
        <w:t>Tool Disclosure:</w:t>
      </w:r>
      <w:bookmarkEnd w:id="6"/>
    </w:p>
    <w:p w14:paraId="42A09604" w14:textId="77777777" w:rsidR="0030457F" w:rsidRPr="00F80370" w:rsidRDefault="004C7646" w:rsidP="0030457F">
      <w:pPr>
        <w:rPr>
          <w:rFonts w:ascii="Arial" w:hAnsi="Arial"/>
          <w:color w:val="000000" w:themeColor="text1"/>
        </w:rPr>
      </w:pPr>
      <w:r w:rsidRPr="00F80370">
        <w:rPr>
          <w:rFonts w:ascii="Arial" w:hAnsi="Arial"/>
          <w:color w:val="000000" w:themeColor="text1"/>
        </w:rPr>
        <w:t>Artificial Intelligence (AI) has been used to aid in the preparation of this report. AI has been used to help structure the report, to organise ideas and to enhance the flow of the content throughout the report. Critically appraised, refined and verified with credible academic sources and company report for accuracy and relevance the generated suggestions were presented</w:t>
      </w:r>
      <w:r w:rsidR="00124DC1" w:rsidRPr="00F80370">
        <w:rPr>
          <w:rFonts w:ascii="Arial" w:hAnsi="Arial"/>
          <w:color w:val="000000" w:themeColor="text1"/>
        </w:rPr>
        <w:t xml:space="preserve">(Khalifa and </w:t>
      </w:r>
      <w:proofErr w:type="spellStart"/>
      <w:r w:rsidR="00124DC1" w:rsidRPr="00F80370">
        <w:rPr>
          <w:rFonts w:ascii="Arial" w:hAnsi="Arial"/>
          <w:color w:val="000000" w:themeColor="text1"/>
        </w:rPr>
        <w:t>Albadawy</w:t>
      </w:r>
      <w:proofErr w:type="spellEnd"/>
      <w:r w:rsidR="00124DC1" w:rsidRPr="00F80370">
        <w:rPr>
          <w:rFonts w:ascii="Arial" w:hAnsi="Arial"/>
          <w:color w:val="000000" w:themeColor="text1"/>
        </w:rPr>
        <w:t>, 2024)</w:t>
      </w:r>
      <w:r w:rsidRPr="00F80370">
        <w:rPr>
          <w:rFonts w:ascii="Arial" w:hAnsi="Arial"/>
          <w:color w:val="000000" w:themeColor="text1"/>
        </w:rPr>
        <w:t>. All analyses, interpretation, conclusions and decisions were written by the author, himself. AI usage has been recognized following the School academic integrity and academic AI usage guidelines</w:t>
      </w:r>
      <w:r w:rsidR="0030457F" w:rsidRPr="00F80370">
        <w:rPr>
          <w:rFonts w:ascii="Arial" w:hAnsi="Arial"/>
          <w:color w:val="000000" w:themeColor="text1"/>
        </w:rPr>
        <w:t>.</w:t>
      </w:r>
    </w:p>
    <w:p w14:paraId="25A7F723" w14:textId="77777777" w:rsidR="0030457F" w:rsidRPr="00F80370" w:rsidRDefault="00740705" w:rsidP="00740705">
      <w:pPr>
        <w:pStyle w:val="Heading2"/>
        <w:numPr>
          <w:ilvl w:val="0"/>
          <w:numId w:val="2"/>
        </w:numPr>
        <w:rPr>
          <w:rFonts w:ascii="Arial" w:hAnsi="Arial"/>
          <w:color w:val="000000" w:themeColor="text1"/>
        </w:rPr>
      </w:pPr>
      <w:bookmarkStart w:id="7" w:name="_Toc231678819"/>
      <w:r w:rsidRPr="00F80370">
        <w:rPr>
          <w:rFonts w:ascii="Arial" w:hAnsi="Arial"/>
          <w:color w:val="000000" w:themeColor="text1"/>
        </w:rPr>
        <w:t>Critical Evaluation of AI Output:</w:t>
      </w:r>
      <w:bookmarkEnd w:id="7"/>
    </w:p>
    <w:p w14:paraId="37C0D1D5" w14:textId="77777777" w:rsidR="0030457F" w:rsidRPr="00F80370" w:rsidRDefault="0030457F" w:rsidP="0030457F">
      <w:pPr>
        <w:rPr>
          <w:rFonts w:ascii="Arial" w:hAnsi="Arial"/>
          <w:color w:val="000000" w:themeColor="text1"/>
        </w:rPr>
      </w:pPr>
      <w:r w:rsidRPr="00F80370">
        <w:rPr>
          <w:rFonts w:ascii="Arial" w:hAnsi="Arial"/>
          <w:color w:val="000000" w:themeColor="text1"/>
        </w:rPr>
        <w:t>AI was used to aid in the structuring and conceptual understanding, but all information used in this report was independently reviewed and verified. The AI-generated suggestions were verified with academic papers and industry reports as well as BHP's Annual Report 2025. Statements that lacked supporting evidence, or statistics that were not accurate or general statements were deleted or corrected</w:t>
      </w:r>
      <w:r w:rsidR="0053016C" w:rsidRPr="00F80370">
        <w:rPr>
          <w:rFonts w:ascii="Arial" w:hAnsi="Arial"/>
          <w:color w:val="000000" w:themeColor="text1"/>
        </w:rPr>
        <w:t xml:space="preserve"> (</w:t>
      </w:r>
      <w:r w:rsidR="00F44912" w:rsidRPr="00F80370">
        <w:rPr>
          <w:rFonts w:ascii="Arial" w:hAnsi="Arial"/>
          <w:color w:val="000000" w:themeColor="text1"/>
        </w:rPr>
        <w:t xml:space="preserve">Ecker </w:t>
      </w:r>
      <w:r w:rsidR="00F44912" w:rsidRPr="00F80370">
        <w:rPr>
          <w:rFonts w:ascii="Arial" w:hAnsi="Arial"/>
          <w:i/>
          <w:iCs/>
          <w:color w:val="000000" w:themeColor="text1"/>
        </w:rPr>
        <w:t xml:space="preserve">et al. </w:t>
      </w:r>
      <w:r w:rsidR="00F44912" w:rsidRPr="00F80370">
        <w:rPr>
          <w:rFonts w:ascii="Arial" w:hAnsi="Arial"/>
          <w:color w:val="000000" w:themeColor="text1"/>
        </w:rPr>
        <w:t>2022</w:t>
      </w:r>
      <w:r w:rsidR="0053016C" w:rsidRPr="00F80370">
        <w:rPr>
          <w:rFonts w:ascii="Arial" w:hAnsi="Arial"/>
          <w:color w:val="000000" w:themeColor="text1"/>
        </w:rPr>
        <w:t>)</w:t>
      </w:r>
      <w:r w:rsidRPr="00F80370">
        <w:rPr>
          <w:rFonts w:ascii="Arial" w:hAnsi="Arial"/>
          <w:color w:val="000000" w:themeColor="text1"/>
        </w:rPr>
        <w:t xml:space="preserve">. This verification process was crucial to </w:t>
      </w:r>
      <w:r w:rsidR="0053016C" w:rsidRPr="00F80370">
        <w:rPr>
          <w:rFonts w:ascii="Arial" w:hAnsi="Arial"/>
          <w:color w:val="000000" w:themeColor="text1"/>
        </w:rPr>
        <w:t xml:space="preserve">me to </w:t>
      </w:r>
      <w:r w:rsidRPr="00F80370">
        <w:rPr>
          <w:rFonts w:ascii="Arial" w:hAnsi="Arial"/>
          <w:color w:val="000000" w:themeColor="text1"/>
        </w:rPr>
        <w:t>detect possible content hallucination caused by AI tools, to assure the factual correctness of the content, and to keep the logical consistency of the analysis.</w:t>
      </w:r>
    </w:p>
    <w:p w14:paraId="7B3EA33B" w14:textId="77777777" w:rsidR="0030457F" w:rsidRPr="00F80370" w:rsidRDefault="00740705" w:rsidP="00740705">
      <w:pPr>
        <w:pStyle w:val="Heading2"/>
        <w:numPr>
          <w:ilvl w:val="0"/>
          <w:numId w:val="2"/>
        </w:numPr>
        <w:rPr>
          <w:rFonts w:ascii="Arial" w:hAnsi="Arial"/>
          <w:color w:val="000000" w:themeColor="text1"/>
        </w:rPr>
      </w:pPr>
      <w:bookmarkStart w:id="8" w:name="_Toc231678820"/>
      <w:r w:rsidRPr="00F80370">
        <w:rPr>
          <w:rFonts w:ascii="Arial" w:hAnsi="Arial"/>
          <w:color w:val="000000" w:themeColor="text1"/>
        </w:rPr>
        <w:t>Contribution Analysis:</w:t>
      </w:r>
      <w:bookmarkEnd w:id="8"/>
    </w:p>
    <w:p w14:paraId="2D08F9E2" w14:textId="77777777" w:rsidR="0030457F" w:rsidRPr="00F80370" w:rsidRDefault="00106864" w:rsidP="0030457F">
      <w:pPr>
        <w:rPr>
          <w:rFonts w:ascii="Arial" w:hAnsi="Arial"/>
          <w:color w:val="000000" w:themeColor="text1"/>
        </w:rPr>
      </w:pPr>
      <w:r w:rsidRPr="00F80370">
        <w:rPr>
          <w:rFonts w:ascii="Arial" w:hAnsi="Arial"/>
          <w:color w:val="000000" w:themeColor="text1"/>
        </w:rPr>
        <w:t>AI was principally utilized as a supporting to forming an initial framework for discussion and further understanding of marketing theory and marketing concepts relevant to this report. The tool helped in starting ideas, structuring the content and further strengthening the structure of the analysis</w:t>
      </w:r>
      <w:r w:rsidR="00B41CA6" w:rsidRPr="00F80370">
        <w:rPr>
          <w:rFonts w:ascii="Arial" w:hAnsi="Arial"/>
          <w:color w:val="000000" w:themeColor="text1"/>
        </w:rPr>
        <w:t>(Howe et al. 2023)</w:t>
      </w:r>
      <w:r w:rsidRPr="00F80370">
        <w:rPr>
          <w:rFonts w:ascii="Arial" w:hAnsi="Arial"/>
          <w:color w:val="000000" w:themeColor="text1"/>
        </w:rPr>
        <w:t xml:space="preserve">. </w:t>
      </w:r>
      <w:r w:rsidR="00A72D2C" w:rsidRPr="00F80370">
        <w:rPr>
          <w:rFonts w:ascii="Arial" w:hAnsi="Arial"/>
          <w:color w:val="000000" w:themeColor="text1"/>
        </w:rPr>
        <w:t xml:space="preserve">The following analysis of BHP's external marketing environment, the selection and assessment of evidence, the interpretation of BHP's data and the application of appropriate theories has been independently undertaken by the </w:t>
      </w:r>
      <w:r w:rsidR="00DD6AAD" w:rsidRPr="00F80370">
        <w:rPr>
          <w:rFonts w:ascii="Arial" w:hAnsi="Arial"/>
          <w:color w:val="000000" w:themeColor="text1"/>
        </w:rPr>
        <w:t>author</w:t>
      </w:r>
      <w:r w:rsidR="00A72D2C" w:rsidRPr="00F80370">
        <w:rPr>
          <w:rFonts w:ascii="Arial" w:hAnsi="Arial"/>
          <w:color w:val="000000" w:themeColor="text1"/>
        </w:rPr>
        <w:t>. The recommendations were formulated using the results of academic literature and company reports, and the analysis and judgment of each person. In addition, research conclusions and final arguments of the research report corresponds with the author’s own understanding, critical thinking, interpretation of a research topic, in order to retain the academic integrity and originality of the final research report</w:t>
      </w:r>
      <w:r w:rsidR="0030457F" w:rsidRPr="00F80370">
        <w:rPr>
          <w:rFonts w:ascii="Arial" w:hAnsi="Arial"/>
          <w:color w:val="000000" w:themeColor="text1"/>
        </w:rPr>
        <w:t>.</w:t>
      </w:r>
    </w:p>
    <w:p w14:paraId="4C6718B6" w14:textId="77777777" w:rsidR="00740705" w:rsidRPr="00F80370" w:rsidRDefault="00740705" w:rsidP="00740705">
      <w:pPr>
        <w:pStyle w:val="Heading2"/>
        <w:numPr>
          <w:ilvl w:val="0"/>
          <w:numId w:val="2"/>
        </w:numPr>
        <w:rPr>
          <w:rFonts w:ascii="Arial" w:hAnsi="Arial"/>
          <w:color w:val="000000" w:themeColor="text1"/>
        </w:rPr>
      </w:pPr>
      <w:bookmarkStart w:id="9" w:name="_Toc231678821"/>
      <w:r w:rsidRPr="00F80370">
        <w:rPr>
          <w:rFonts w:ascii="Arial" w:hAnsi="Arial"/>
          <w:color w:val="000000" w:themeColor="text1"/>
        </w:rPr>
        <w:t>Ethical &amp; Professional Reflection:</w:t>
      </w:r>
      <w:bookmarkEnd w:id="9"/>
    </w:p>
    <w:p w14:paraId="2A2BCE24" w14:textId="77777777" w:rsidR="00D86757" w:rsidRPr="00F80370" w:rsidRDefault="00106864" w:rsidP="002F02E5">
      <w:pPr>
        <w:spacing w:after="160"/>
        <w:rPr>
          <w:rFonts w:ascii="Arial" w:hAnsi="Arial"/>
        </w:rPr>
      </w:pPr>
      <w:r w:rsidRPr="00F80370">
        <w:rPr>
          <w:rFonts w:ascii="Arial" w:hAnsi="Arial"/>
          <w:color w:val="000000" w:themeColor="text1"/>
        </w:rPr>
        <w:t>There are ethical and professional implications to consider when using AI in the field of marketing analysis. AI tools can enhance efficiency, aid learning, and aid in idea generation, but can't eliminate critical thinking or self-academic work. The user is responsible for checking for the accuracy and reliability of AI-generated information from credible academic and industry sources</w:t>
      </w:r>
      <w:r w:rsidR="004C7646" w:rsidRPr="00F80370">
        <w:rPr>
          <w:rFonts w:ascii="Arial" w:hAnsi="Arial"/>
          <w:color w:val="000000" w:themeColor="text1"/>
        </w:rPr>
        <w:t>(Clement et al. 2025)</w:t>
      </w:r>
      <w:r w:rsidRPr="00F80370">
        <w:rPr>
          <w:rFonts w:ascii="Arial" w:hAnsi="Arial"/>
          <w:color w:val="000000" w:themeColor="text1"/>
        </w:rPr>
        <w:t>. However, it is important to uphold academic honesty by correctly citing the use of AI inputs, and providing evidence rather than relying entirely on AI's conclusions, recommendations, and analyses. Artificial Intelligence use, from research to report writing, needs transparency, accountabilities and professional judgement to meet the requirement of responsible use.</w:t>
      </w:r>
      <w:r w:rsidR="00D86757" w:rsidRPr="00F80370">
        <w:rPr>
          <w:rFonts w:ascii="Arial" w:hAnsi="Arial"/>
        </w:rPr>
        <w:br w:type="page"/>
      </w:r>
    </w:p>
    <w:p w14:paraId="6D90149D" w14:textId="77777777" w:rsidR="00EF7ABB" w:rsidRPr="00F80370" w:rsidRDefault="00D86757" w:rsidP="00D86757">
      <w:pPr>
        <w:pStyle w:val="Heading1"/>
        <w:rPr>
          <w:rFonts w:ascii="Arial" w:hAnsi="Arial"/>
        </w:rPr>
      </w:pPr>
      <w:bookmarkStart w:id="10" w:name="_Toc231678822"/>
      <w:r w:rsidRPr="00F80370">
        <w:rPr>
          <w:rFonts w:ascii="Arial" w:hAnsi="Arial"/>
        </w:rPr>
        <w:t>References</w:t>
      </w:r>
      <w:bookmarkEnd w:id="10"/>
    </w:p>
    <w:p w14:paraId="4B73CD8F" w14:textId="77777777" w:rsidR="00F419DA" w:rsidRPr="00F80370" w:rsidRDefault="00F419DA" w:rsidP="00FD36A5">
      <w:pPr>
        <w:spacing w:after="240"/>
        <w:rPr>
          <w:rFonts w:ascii="Arial" w:hAnsi="Arial"/>
        </w:rPr>
      </w:pPr>
      <w:r w:rsidRPr="00F80370">
        <w:rPr>
          <w:rFonts w:ascii="Arial" w:hAnsi="Arial"/>
        </w:rPr>
        <w:t xml:space="preserve">Acar, S., 2024. A review of Porter’s generic strategies: Strategy examples in international firms. </w:t>
      </w:r>
      <w:r w:rsidRPr="00F80370">
        <w:rPr>
          <w:rFonts w:ascii="Arial" w:hAnsi="Arial"/>
          <w:i/>
          <w:iCs/>
        </w:rPr>
        <w:t>International Social Sciences Studies Journal</w:t>
      </w:r>
      <w:r w:rsidRPr="00F80370">
        <w:rPr>
          <w:rFonts w:ascii="Arial" w:hAnsi="Arial"/>
        </w:rPr>
        <w:t xml:space="preserve">, </w:t>
      </w:r>
      <w:r w:rsidRPr="00F80370">
        <w:rPr>
          <w:rFonts w:ascii="Arial" w:hAnsi="Arial"/>
          <w:i/>
          <w:iCs/>
        </w:rPr>
        <w:t>10</w:t>
      </w:r>
      <w:r w:rsidRPr="00F80370">
        <w:rPr>
          <w:rFonts w:ascii="Arial" w:hAnsi="Arial"/>
        </w:rPr>
        <w:t xml:space="preserve">(11), pp.1902-1918. </w:t>
      </w:r>
      <w:hyperlink r:id="rId11" w:history="1">
        <w:r w:rsidRPr="00F80370">
          <w:rPr>
            <w:rStyle w:val="Hyperlink"/>
            <w:rFonts w:ascii="Arial" w:hAnsi="Arial"/>
            <w:color w:val="auto"/>
          </w:rPr>
          <w:t>https://sssjournal.com/files/sssjournal/e5935340-8b65-4cf6-a1c1-cf266026257d.pdf</w:t>
        </w:r>
      </w:hyperlink>
    </w:p>
    <w:p w14:paraId="34A1D0D3" w14:textId="77777777" w:rsidR="00F419DA" w:rsidRPr="00F80370" w:rsidRDefault="00F419DA" w:rsidP="00FD36A5">
      <w:pPr>
        <w:spacing w:after="240"/>
        <w:rPr>
          <w:rFonts w:ascii="Arial" w:hAnsi="Arial"/>
        </w:rPr>
      </w:pPr>
      <w:r w:rsidRPr="00F80370">
        <w:rPr>
          <w:rFonts w:ascii="Arial" w:hAnsi="Arial"/>
        </w:rPr>
        <w:t xml:space="preserve">Ali, S.H., </w:t>
      </w:r>
      <w:proofErr w:type="spellStart"/>
      <w:r w:rsidRPr="00F80370">
        <w:rPr>
          <w:rFonts w:ascii="Arial" w:hAnsi="Arial"/>
        </w:rPr>
        <w:t>Kalantzakos</w:t>
      </w:r>
      <w:proofErr w:type="spellEnd"/>
      <w:r w:rsidRPr="00F80370">
        <w:rPr>
          <w:rFonts w:ascii="Arial" w:hAnsi="Arial"/>
        </w:rPr>
        <w:t xml:space="preserve">, S., Eggert, R., Gauss, R., </w:t>
      </w:r>
      <w:proofErr w:type="spellStart"/>
      <w:r w:rsidRPr="00F80370">
        <w:rPr>
          <w:rFonts w:ascii="Arial" w:hAnsi="Arial"/>
        </w:rPr>
        <w:t>Karayannopoulos</w:t>
      </w:r>
      <w:proofErr w:type="spellEnd"/>
      <w:r w:rsidRPr="00F80370">
        <w:rPr>
          <w:rFonts w:ascii="Arial" w:hAnsi="Arial"/>
        </w:rPr>
        <w:t xml:space="preserve">, C., Klinger, J., Pu, X., </w:t>
      </w:r>
      <w:proofErr w:type="spellStart"/>
      <w:r w:rsidRPr="00F80370">
        <w:rPr>
          <w:rFonts w:ascii="Arial" w:hAnsi="Arial"/>
        </w:rPr>
        <w:t>Vekasi</w:t>
      </w:r>
      <w:proofErr w:type="spellEnd"/>
      <w:r w:rsidRPr="00F80370">
        <w:rPr>
          <w:rFonts w:ascii="Arial" w:hAnsi="Arial"/>
        </w:rPr>
        <w:t xml:space="preserve">, K. and Perrons, R.K., 2022. Closing the infrastructure gap for decarbonization: the case for an integrated mineral supply agreement. </w:t>
      </w:r>
      <w:r w:rsidRPr="00F80370">
        <w:rPr>
          <w:rFonts w:ascii="Arial" w:hAnsi="Arial"/>
          <w:i/>
          <w:iCs/>
        </w:rPr>
        <w:t>Environmental Science &amp; Technology</w:t>
      </w:r>
      <w:r w:rsidRPr="00F80370">
        <w:rPr>
          <w:rFonts w:ascii="Arial" w:hAnsi="Arial"/>
        </w:rPr>
        <w:t xml:space="preserve">, </w:t>
      </w:r>
      <w:r w:rsidRPr="00F80370">
        <w:rPr>
          <w:rFonts w:ascii="Arial" w:hAnsi="Arial"/>
          <w:i/>
          <w:iCs/>
        </w:rPr>
        <w:t>56</w:t>
      </w:r>
      <w:r w:rsidRPr="00F80370">
        <w:rPr>
          <w:rFonts w:ascii="Arial" w:hAnsi="Arial"/>
        </w:rPr>
        <w:t xml:space="preserve">(22), pp.15280-15289. </w:t>
      </w:r>
      <w:hyperlink r:id="rId12" w:history="1">
        <w:r w:rsidRPr="00F80370">
          <w:rPr>
            <w:rStyle w:val="Hyperlink"/>
            <w:rFonts w:ascii="Arial" w:hAnsi="Arial"/>
            <w:color w:val="auto"/>
          </w:rPr>
          <w:t>https://par.nsf.gov/servlets/purl/10435231</w:t>
        </w:r>
      </w:hyperlink>
    </w:p>
    <w:p w14:paraId="3ED4FB61" w14:textId="77777777" w:rsidR="00F419DA" w:rsidRPr="00F80370" w:rsidRDefault="00F419DA" w:rsidP="00FD36A5">
      <w:pPr>
        <w:spacing w:after="240"/>
        <w:rPr>
          <w:rFonts w:ascii="Arial" w:hAnsi="Arial"/>
        </w:rPr>
      </w:pPr>
      <w:r w:rsidRPr="00F80370">
        <w:rPr>
          <w:rFonts w:ascii="Arial" w:hAnsi="Arial"/>
        </w:rPr>
        <w:t xml:space="preserve">Bandyopadhyay, S. and Maiti, S.K., 2022. Steering restoration of coal mining degraded ecosystem to achieve sustainable development goal-13 (climate action): United Nations decade of ecosystem restoration (2021–2030). </w:t>
      </w:r>
      <w:r w:rsidRPr="00F80370">
        <w:rPr>
          <w:rFonts w:ascii="Arial" w:hAnsi="Arial"/>
          <w:i/>
          <w:iCs/>
        </w:rPr>
        <w:t>Environmental Science and Pollution Research</w:t>
      </w:r>
      <w:r w:rsidRPr="00F80370">
        <w:rPr>
          <w:rFonts w:ascii="Arial" w:hAnsi="Arial"/>
        </w:rPr>
        <w:t xml:space="preserve">, </w:t>
      </w:r>
      <w:r w:rsidRPr="00F80370">
        <w:rPr>
          <w:rFonts w:ascii="Arial" w:hAnsi="Arial"/>
          <w:i/>
          <w:iCs/>
        </w:rPr>
        <w:t>29</w:t>
      </w:r>
      <w:r w:rsidRPr="00F80370">
        <w:rPr>
          <w:rFonts w:ascii="Arial" w:hAnsi="Arial"/>
        </w:rPr>
        <w:t xml:space="preserve">(59), pp.88383-88409. </w:t>
      </w:r>
      <w:hyperlink r:id="rId13" w:history="1">
        <w:r w:rsidRPr="00F80370">
          <w:rPr>
            <w:rStyle w:val="Hyperlink"/>
            <w:rFonts w:ascii="Arial" w:hAnsi="Arial"/>
            <w:color w:val="auto"/>
          </w:rPr>
          <w:t>https://pmc.ncbi.nlm.nih.gov/articles/PMC9630816/pdf/11356_2022_Article_23699.pdf</w:t>
        </w:r>
      </w:hyperlink>
    </w:p>
    <w:p w14:paraId="0BBC9215" w14:textId="77777777" w:rsidR="00F419DA" w:rsidRPr="00F80370" w:rsidRDefault="00F419DA" w:rsidP="00FD36A5">
      <w:pPr>
        <w:spacing w:after="240"/>
        <w:rPr>
          <w:rFonts w:ascii="Arial" w:hAnsi="Arial"/>
        </w:rPr>
      </w:pPr>
      <w:r w:rsidRPr="00F80370">
        <w:rPr>
          <w:rFonts w:ascii="Arial" w:hAnsi="Arial"/>
        </w:rPr>
        <w:t xml:space="preserve">bhp.com, 2026 [Online] Available at </w:t>
      </w:r>
      <w:hyperlink r:id="rId14" w:history="1">
        <w:r w:rsidRPr="00F80370">
          <w:rPr>
            <w:rStyle w:val="Hyperlink"/>
            <w:rFonts w:ascii="Arial" w:hAnsi="Arial"/>
            <w:color w:val="auto"/>
          </w:rPr>
          <w:t>https://www.bhp.com/investor-hub/reports-and-presentations/annual-report</w:t>
        </w:r>
      </w:hyperlink>
      <w:r w:rsidRPr="00F80370">
        <w:rPr>
          <w:rFonts w:ascii="Arial" w:hAnsi="Arial"/>
        </w:rPr>
        <w:t xml:space="preserve"> [Accessed on June 6, 2026]</w:t>
      </w:r>
    </w:p>
    <w:p w14:paraId="5C3CDAF0" w14:textId="77777777" w:rsidR="00F419DA" w:rsidRPr="00F80370" w:rsidRDefault="00F419DA" w:rsidP="00FD36A5">
      <w:pPr>
        <w:spacing w:after="240"/>
        <w:rPr>
          <w:rFonts w:ascii="Arial" w:hAnsi="Arial"/>
        </w:rPr>
      </w:pPr>
      <w:r w:rsidRPr="00F80370">
        <w:rPr>
          <w:rFonts w:ascii="Arial" w:hAnsi="Arial"/>
        </w:rPr>
        <w:t xml:space="preserve">Blinova, E., Ponomarenko, T. and Knysh, V., 2022. Analyzing the concept of corporate sustainability in the context of sustainable business development in the mining sector with elements of circular economy. </w:t>
      </w:r>
      <w:r w:rsidRPr="00F80370">
        <w:rPr>
          <w:rFonts w:ascii="Arial" w:hAnsi="Arial"/>
          <w:i/>
          <w:iCs/>
        </w:rPr>
        <w:t>Sustainability</w:t>
      </w:r>
      <w:r w:rsidRPr="00F80370">
        <w:rPr>
          <w:rFonts w:ascii="Arial" w:hAnsi="Arial"/>
        </w:rPr>
        <w:t xml:space="preserve">, </w:t>
      </w:r>
      <w:r w:rsidRPr="00F80370">
        <w:rPr>
          <w:rFonts w:ascii="Arial" w:hAnsi="Arial"/>
          <w:i/>
          <w:iCs/>
        </w:rPr>
        <w:t>14</w:t>
      </w:r>
      <w:r w:rsidRPr="00F80370">
        <w:rPr>
          <w:rFonts w:ascii="Arial" w:hAnsi="Arial"/>
        </w:rPr>
        <w:t xml:space="preserve">(13), p.8163. </w:t>
      </w:r>
      <w:hyperlink r:id="rId15" w:history="1">
        <w:r w:rsidRPr="00F80370">
          <w:rPr>
            <w:rStyle w:val="Hyperlink"/>
            <w:rFonts w:ascii="Arial" w:hAnsi="Arial"/>
            <w:color w:val="auto"/>
          </w:rPr>
          <w:t>https://www.mdpi.com/2071-1050/14/13/8163</w:t>
        </w:r>
      </w:hyperlink>
    </w:p>
    <w:p w14:paraId="25A80294" w14:textId="77777777" w:rsidR="00F419DA" w:rsidRPr="00F80370" w:rsidRDefault="00F419DA" w:rsidP="00FD36A5">
      <w:pPr>
        <w:spacing w:after="240"/>
        <w:rPr>
          <w:rFonts w:ascii="Arial" w:hAnsi="Arial"/>
        </w:rPr>
      </w:pPr>
      <w:proofErr w:type="spellStart"/>
      <w:r w:rsidRPr="00F80370">
        <w:rPr>
          <w:rFonts w:ascii="Arial" w:hAnsi="Arial"/>
        </w:rPr>
        <w:t>Bulayani</w:t>
      </w:r>
      <w:proofErr w:type="spellEnd"/>
      <w:r w:rsidRPr="00F80370">
        <w:rPr>
          <w:rFonts w:ascii="Arial" w:hAnsi="Arial"/>
        </w:rPr>
        <w:t xml:space="preserve">, M.M., </w:t>
      </w:r>
      <w:proofErr w:type="spellStart"/>
      <w:r w:rsidRPr="00F80370">
        <w:rPr>
          <w:rFonts w:ascii="Arial" w:hAnsi="Arial"/>
        </w:rPr>
        <w:t>Raghupatruni</w:t>
      </w:r>
      <w:proofErr w:type="spellEnd"/>
      <w:r w:rsidRPr="00F80370">
        <w:rPr>
          <w:rFonts w:ascii="Arial" w:hAnsi="Arial"/>
        </w:rPr>
        <w:t xml:space="preserve">, P., Mamvura, T. and </w:t>
      </w:r>
      <w:proofErr w:type="spellStart"/>
      <w:r w:rsidRPr="00F80370">
        <w:rPr>
          <w:rFonts w:ascii="Arial" w:hAnsi="Arial"/>
        </w:rPr>
        <w:t>Danha</w:t>
      </w:r>
      <w:proofErr w:type="spellEnd"/>
      <w:r w:rsidRPr="00F80370">
        <w:rPr>
          <w:rFonts w:ascii="Arial" w:hAnsi="Arial"/>
        </w:rPr>
        <w:t xml:space="preserve">, G., 2024. Exploring low-grade iron ore beneficiation techniques: a comprehensive review. </w:t>
      </w:r>
      <w:r w:rsidRPr="00F80370">
        <w:rPr>
          <w:rFonts w:ascii="Arial" w:hAnsi="Arial"/>
          <w:i/>
          <w:iCs/>
        </w:rPr>
        <w:t>Minerals</w:t>
      </w:r>
      <w:r w:rsidRPr="00F80370">
        <w:rPr>
          <w:rFonts w:ascii="Arial" w:hAnsi="Arial"/>
        </w:rPr>
        <w:t xml:space="preserve">, </w:t>
      </w:r>
      <w:r w:rsidRPr="00F80370">
        <w:rPr>
          <w:rFonts w:ascii="Arial" w:hAnsi="Arial"/>
          <w:i/>
          <w:iCs/>
        </w:rPr>
        <w:t>14</w:t>
      </w:r>
      <w:r w:rsidRPr="00F80370">
        <w:rPr>
          <w:rFonts w:ascii="Arial" w:hAnsi="Arial"/>
        </w:rPr>
        <w:t xml:space="preserve">(8), p.796. </w:t>
      </w:r>
      <w:hyperlink r:id="rId16" w:history="1">
        <w:r w:rsidRPr="00F80370">
          <w:rPr>
            <w:rStyle w:val="Hyperlink"/>
            <w:rFonts w:ascii="Arial" w:hAnsi="Arial"/>
            <w:color w:val="auto"/>
          </w:rPr>
          <w:t>https://www.mdpi.com/2075-163X/14/8/796</w:t>
        </w:r>
      </w:hyperlink>
    </w:p>
    <w:p w14:paraId="3977B5FE" w14:textId="77777777" w:rsidR="00F419DA" w:rsidRPr="00F80370" w:rsidRDefault="00F419DA" w:rsidP="00FD36A5">
      <w:pPr>
        <w:spacing w:after="240"/>
        <w:rPr>
          <w:rFonts w:ascii="Arial" w:hAnsi="Arial"/>
        </w:rPr>
      </w:pPr>
      <w:r w:rsidRPr="00F80370">
        <w:rPr>
          <w:rFonts w:ascii="Arial" w:hAnsi="Arial"/>
        </w:rPr>
        <w:t xml:space="preserve">Clement, T., </w:t>
      </w:r>
      <w:proofErr w:type="spellStart"/>
      <w:r w:rsidRPr="00F80370">
        <w:rPr>
          <w:rFonts w:ascii="Arial" w:hAnsi="Arial"/>
        </w:rPr>
        <w:t>Filani</w:t>
      </w:r>
      <w:proofErr w:type="spellEnd"/>
      <w:r w:rsidRPr="00F80370">
        <w:rPr>
          <w:rFonts w:ascii="Arial" w:hAnsi="Arial"/>
        </w:rPr>
        <w:t>, O.M. and Osho, G.O., 2025. Ethical Considerations in AI For Product and Marketing: A Critical Review of Privacy, Bias, and Employment Challenges. https://www.researchgate.net/profile/Tosin-Clement/publication/394149271_Ethical_Considerations_in_AI_For_Product_and_Marketing_A_Critical_Review_of_Privacy_Bias_and_Employment_Challenges/links/688b80786b89f30438b5d1ee/Ethical-Considerations-in-AI-For-Product-and-Marketing-A-Critical-Review-of-Privacy-Bias-and-Employment-Challenges.pdf</w:t>
      </w:r>
    </w:p>
    <w:p w14:paraId="408D9D07" w14:textId="77777777" w:rsidR="00F419DA" w:rsidRPr="00F80370" w:rsidRDefault="00F419DA" w:rsidP="00FD36A5">
      <w:pPr>
        <w:spacing w:after="240"/>
        <w:rPr>
          <w:rFonts w:ascii="Arial" w:hAnsi="Arial"/>
        </w:rPr>
      </w:pPr>
      <w:r w:rsidRPr="00F80370">
        <w:rPr>
          <w:rFonts w:ascii="Arial" w:hAnsi="Arial"/>
        </w:rPr>
        <w:t xml:space="preserve">Dvořák, J., Tripes, S., Sokolova, M. and </w:t>
      </w:r>
      <w:proofErr w:type="spellStart"/>
      <w:r w:rsidRPr="00F80370">
        <w:rPr>
          <w:rFonts w:ascii="Arial" w:hAnsi="Arial"/>
        </w:rPr>
        <w:t>Musilova</w:t>
      </w:r>
      <w:proofErr w:type="spellEnd"/>
      <w:r w:rsidRPr="00F80370">
        <w:rPr>
          <w:rFonts w:ascii="Arial" w:hAnsi="Arial"/>
        </w:rPr>
        <w:t xml:space="preserve">, I., 2022. Trends in business strategy research, bibliometric analysis and text mining. </w:t>
      </w:r>
      <w:r w:rsidRPr="00F80370">
        <w:rPr>
          <w:rFonts w:ascii="Arial" w:hAnsi="Arial"/>
          <w:i/>
          <w:iCs/>
        </w:rPr>
        <w:t>Journal of Business Economics and Management (JBEM)</w:t>
      </w:r>
      <w:r w:rsidRPr="00F80370">
        <w:rPr>
          <w:rFonts w:ascii="Arial" w:hAnsi="Arial"/>
        </w:rPr>
        <w:t xml:space="preserve">, </w:t>
      </w:r>
      <w:r w:rsidRPr="00F80370">
        <w:rPr>
          <w:rFonts w:ascii="Arial" w:hAnsi="Arial"/>
          <w:i/>
          <w:iCs/>
        </w:rPr>
        <w:t>23</w:t>
      </w:r>
      <w:r w:rsidRPr="00F80370">
        <w:rPr>
          <w:rFonts w:ascii="Arial" w:hAnsi="Arial"/>
        </w:rPr>
        <w:t xml:space="preserve">(6), pp.1377-1397. </w:t>
      </w:r>
      <w:hyperlink r:id="rId17" w:history="1">
        <w:r w:rsidRPr="00F80370">
          <w:rPr>
            <w:rStyle w:val="Hyperlink"/>
            <w:rFonts w:ascii="Arial" w:hAnsi="Arial"/>
            <w:color w:val="auto"/>
          </w:rPr>
          <w:t>https://www.econstor.eu/bitstream/10419/317609/1/1832940977.pdf</w:t>
        </w:r>
      </w:hyperlink>
    </w:p>
    <w:p w14:paraId="13CDE186" w14:textId="77777777" w:rsidR="00F419DA" w:rsidRPr="00F80370" w:rsidRDefault="00F419DA" w:rsidP="00FD36A5">
      <w:pPr>
        <w:spacing w:after="240"/>
        <w:rPr>
          <w:rFonts w:ascii="Arial" w:hAnsi="Arial"/>
        </w:rPr>
      </w:pPr>
      <w:r w:rsidRPr="00F80370">
        <w:rPr>
          <w:rFonts w:ascii="Arial" w:hAnsi="Arial"/>
        </w:rPr>
        <w:t xml:space="preserve">Ecker, U.K., Lewandowsky, S., Cook, J., Schmid, P., Fazio, L.K., Brashier, N., </w:t>
      </w:r>
      <w:proofErr w:type="spellStart"/>
      <w:r w:rsidRPr="00F80370">
        <w:rPr>
          <w:rFonts w:ascii="Arial" w:hAnsi="Arial"/>
        </w:rPr>
        <w:t>Kendeou</w:t>
      </w:r>
      <w:proofErr w:type="spellEnd"/>
      <w:r w:rsidRPr="00F80370">
        <w:rPr>
          <w:rFonts w:ascii="Arial" w:hAnsi="Arial"/>
        </w:rPr>
        <w:t xml:space="preserve">, P., Vraga, E.K. and Amazeen, M.A., 2022. The psychological drivers of misinformation belief and its resistance to correction. </w:t>
      </w:r>
      <w:r w:rsidRPr="00F80370">
        <w:rPr>
          <w:rFonts w:ascii="Arial" w:hAnsi="Arial"/>
          <w:i/>
          <w:iCs/>
        </w:rPr>
        <w:t>Nature Reviews Psychology</w:t>
      </w:r>
      <w:r w:rsidRPr="00F80370">
        <w:rPr>
          <w:rFonts w:ascii="Arial" w:hAnsi="Arial"/>
        </w:rPr>
        <w:t xml:space="preserve">, </w:t>
      </w:r>
      <w:r w:rsidRPr="00F80370">
        <w:rPr>
          <w:rFonts w:ascii="Arial" w:hAnsi="Arial"/>
          <w:i/>
          <w:iCs/>
        </w:rPr>
        <w:t>1</w:t>
      </w:r>
      <w:r w:rsidRPr="00F80370">
        <w:rPr>
          <w:rFonts w:ascii="Arial" w:hAnsi="Arial"/>
        </w:rPr>
        <w:t xml:space="preserve">(1), pp.13-29. </w:t>
      </w:r>
      <w:hyperlink r:id="rId18" w:history="1">
        <w:r w:rsidRPr="00F80370">
          <w:rPr>
            <w:rStyle w:val="Hyperlink"/>
            <w:rFonts w:ascii="Arial" w:hAnsi="Arial"/>
            <w:color w:val="auto"/>
          </w:rPr>
          <w:t>https://www.nature.com/articles/s44159-021-00006-y.pdf</w:t>
        </w:r>
      </w:hyperlink>
    </w:p>
    <w:p w14:paraId="5C518C33" w14:textId="77777777" w:rsidR="00F419DA" w:rsidRPr="00F80370" w:rsidRDefault="00F419DA" w:rsidP="00FD36A5">
      <w:pPr>
        <w:spacing w:after="240"/>
        <w:rPr>
          <w:rFonts w:ascii="Arial" w:hAnsi="Arial"/>
        </w:rPr>
      </w:pPr>
      <w:r w:rsidRPr="00F80370">
        <w:rPr>
          <w:rFonts w:ascii="Arial" w:hAnsi="Arial"/>
        </w:rPr>
        <w:t xml:space="preserve">fortescue.com, 2026 [Online] Available at </w:t>
      </w:r>
      <w:hyperlink r:id="rId19" w:history="1">
        <w:r w:rsidRPr="00F80370">
          <w:rPr>
            <w:rStyle w:val="Hyperlink"/>
            <w:rFonts w:ascii="Arial" w:hAnsi="Arial"/>
            <w:color w:val="auto"/>
          </w:rPr>
          <w:t>https://www.fortescue.com/what-we-do/global-growth</w:t>
        </w:r>
      </w:hyperlink>
      <w:r w:rsidRPr="00F80370">
        <w:rPr>
          <w:rFonts w:ascii="Arial" w:hAnsi="Arial"/>
        </w:rPr>
        <w:t xml:space="preserve"> [Accessed on June 6, 2026]</w:t>
      </w:r>
    </w:p>
    <w:p w14:paraId="3F7C550C" w14:textId="77777777" w:rsidR="00F419DA" w:rsidRPr="00F80370" w:rsidRDefault="00F419DA" w:rsidP="00FD36A5">
      <w:pPr>
        <w:spacing w:after="240"/>
        <w:rPr>
          <w:rFonts w:ascii="Arial" w:hAnsi="Arial"/>
        </w:rPr>
      </w:pPr>
      <w:r w:rsidRPr="00F80370">
        <w:rPr>
          <w:rFonts w:ascii="Arial" w:hAnsi="Arial"/>
        </w:rPr>
        <w:t xml:space="preserve">Fose, N., Singh, A.R., Krishnamurthy, S., </w:t>
      </w:r>
      <w:proofErr w:type="spellStart"/>
      <w:r w:rsidRPr="00F80370">
        <w:rPr>
          <w:rFonts w:ascii="Arial" w:hAnsi="Arial"/>
        </w:rPr>
        <w:t>Ratshitanga</w:t>
      </w:r>
      <w:proofErr w:type="spellEnd"/>
      <w:r w:rsidRPr="00F80370">
        <w:rPr>
          <w:rFonts w:ascii="Arial" w:hAnsi="Arial"/>
        </w:rPr>
        <w:t xml:space="preserve">, M. and Moodley, P., 2024. Empowering distribution system operators: A review of distributed energy resource forecasting techniques. </w:t>
      </w:r>
      <w:proofErr w:type="spellStart"/>
      <w:r w:rsidRPr="00F80370">
        <w:rPr>
          <w:rFonts w:ascii="Arial" w:hAnsi="Arial"/>
          <w:i/>
          <w:iCs/>
        </w:rPr>
        <w:t>Heliyon</w:t>
      </w:r>
      <w:proofErr w:type="spellEnd"/>
      <w:r w:rsidRPr="00F80370">
        <w:rPr>
          <w:rFonts w:ascii="Arial" w:hAnsi="Arial"/>
        </w:rPr>
        <w:t xml:space="preserve">, </w:t>
      </w:r>
      <w:r w:rsidRPr="00F80370">
        <w:rPr>
          <w:rFonts w:ascii="Arial" w:hAnsi="Arial"/>
          <w:i/>
          <w:iCs/>
        </w:rPr>
        <w:t>10</w:t>
      </w:r>
      <w:r w:rsidRPr="00F80370">
        <w:rPr>
          <w:rFonts w:ascii="Arial" w:hAnsi="Arial"/>
        </w:rPr>
        <w:t xml:space="preserve">(15). </w:t>
      </w:r>
      <w:hyperlink r:id="rId20" w:history="1">
        <w:r w:rsidRPr="00F80370">
          <w:rPr>
            <w:rStyle w:val="Hyperlink"/>
            <w:rFonts w:ascii="Arial" w:hAnsi="Arial"/>
            <w:color w:val="auto"/>
          </w:rPr>
          <w:t>https://www.cell.com/heliyon/pdf/S2405-8440(24)10831-6.pdf</w:t>
        </w:r>
      </w:hyperlink>
    </w:p>
    <w:p w14:paraId="1FD78301" w14:textId="77777777" w:rsidR="00F419DA" w:rsidRPr="00F80370" w:rsidRDefault="00F419DA" w:rsidP="00FD36A5">
      <w:pPr>
        <w:spacing w:after="240"/>
        <w:rPr>
          <w:rFonts w:ascii="Arial" w:hAnsi="Arial"/>
        </w:rPr>
      </w:pPr>
      <w:r w:rsidRPr="00F80370">
        <w:rPr>
          <w:rFonts w:ascii="Arial" w:hAnsi="Arial"/>
        </w:rPr>
        <w:t xml:space="preserve">Howe, L., Johnston, S. and Cote, C., 2023. Mining-related environmental disasters: A High Reliability Organisation (HRO) perspective. </w:t>
      </w:r>
      <w:r w:rsidRPr="00F80370">
        <w:rPr>
          <w:rFonts w:ascii="Arial" w:hAnsi="Arial"/>
          <w:i/>
          <w:iCs/>
        </w:rPr>
        <w:t>Journal of Cleaner Production</w:t>
      </w:r>
      <w:r w:rsidRPr="00F80370">
        <w:rPr>
          <w:rFonts w:ascii="Arial" w:hAnsi="Arial"/>
        </w:rPr>
        <w:t xml:space="preserve">, </w:t>
      </w:r>
      <w:r w:rsidRPr="00F80370">
        <w:rPr>
          <w:rFonts w:ascii="Arial" w:hAnsi="Arial"/>
          <w:i/>
          <w:iCs/>
        </w:rPr>
        <w:t>417</w:t>
      </w:r>
      <w:r w:rsidRPr="00F80370">
        <w:rPr>
          <w:rFonts w:ascii="Arial" w:hAnsi="Arial"/>
        </w:rPr>
        <w:t>, p.137965. https://www.sciencedirect.com/science/article/pii/S0959652623021236</w:t>
      </w:r>
    </w:p>
    <w:p w14:paraId="29C98871" w14:textId="77777777" w:rsidR="00F419DA" w:rsidRPr="00F80370" w:rsidRDefault="00F419DA" w:rsidP="00FD36A5">
      <w:pPr>
        <w:spacing w:after="240"/>
        <w:rPr>
          <w:rFonts w:ascii="Arial" w:hAnsi="Arial"/>
        </w:rPr>
      </w:pPr>
      <w:r w:rsidRPr="00F80370">
        <w:rPr>
          <w:rFonts w:ascii="Arial" w:hAnsi="Arial"/>
        </w:rPr>
        <w:t xml:space="preserve">Howes, M., 2023. National sustainability planning: Australian National Strategy for ecologically sustainable development. </w:t>
      </w:r>
      <w:r w:rsidRPr="00F80370">
        <w:rPr>
          <w:rFonts w:ascii="Arial" w:hAnsi="Arial"/>
          <w:i/>
          <w:iCs/>
        </w:rPr>
        <w:t>The Palgrave Handbook of Global Sustainability</w:t>
      </w:r>
      <w:r w:rsidRPr="00F80370">
        <w:rPr>
          <w:rFonts w:ascii="Arial" w:hAnsi="Arial"/>
        </w:rPr>
        <w:t xml:space="preserve">, pp.1319-1330. </w:t>
      </w:r>
      <w:hyperlink r:id="rId21" w:history="1">
        <w:r w:rsidRPr="00F80370">
          <w:rPr>
            <w:rStyle w:val="Hyperlink"/>
            <w:rFonts w:ascii="Arial" w:hAnsi="Arial"/>
            <w:color w:val="auto"/>
          </w:rPr>
          <w:t>https://research-repository.griffith.edu.au/bitstreams/a1b79385-3575-4056-a117-8db82820a678/download</w:t>
        </w:r>
      </w:hyperlink>
    </w:p>
    <w:p w14:paraId="3384310A" w14:textId="77777777" w:rsidR="00F419DA" w:rsidRPr="00F80370" w:rsidRDefault="00F419DA" w:rsidP="00FD36A5">
      <w:pPr>
        <w:spacing w:after="240"/>
        <w:rPr>
          <w:rFonts w:ascii="Arial" w:hAnsi="Arial"/>
        </w:rPr>
      </w:pPr>
      <w:r w:rsidRPr="00F80370">
        <w:rPr>
          <w:rFonts w:ascii="Arial" w:hAnsi="Arial"/>
        </w:rPr>
        <w:t xml:space="preserve">Idrees, H., Xu, J., Haider, S.A. and </w:t>
      </w:r>
      <w:proofErr w:type="spellStart"/>
      <w:r w:rsidRPr="00F80370">
        <w:rPr>
          <w:rFonts w:ascii="Arial" w:hAnsi="Arial"/>
        </w:rPr>
        <w:t>Tehseen</w:t>
      </w:r>
      <w:proofErr w:type="spellEnd"/>
      <w:r w:rsidRPr="00F80370">
        <w:rPr>
          <w:rFonts w:ascii="Arial" w:hAnsi="Arial"/>
        </w:rPr>
        <w:t xml:space="preserve">, S., 2023. A systematic review of knowledge management and new product development projects: Trends, issues, and challenges. </w:t>
      </w:r>
      <w:r w:rsidRPr="00F80370">
        <w:rPr>
          <w:rFonts w:ascii="Arial" w:hAnsi="Arial"/>
          <w:i/>
          <w:iCs/>
        </w:rPr>
        <w:t>Journal of Innovation &amp; Knowledge</w:t>
      </w:r>
      <w:r w:rsidRPr="00F80370">
        <w:rPr>
          <w:rFonts w:ascii="Arial" w:hAnsi="Arial"/>
        </w:rPr>
        <w:t xml:space="preserve">, </w:t>
      </w:r>
      <w:r w:rsidRPr="00F80370">
        <w:rPr>
          <w:rFonts w:ascii="Arial" w:hAnsi="Arial"/>
          <w:i/>
          <w:iCs/>
        </w:rPr>
        <w:t>8</w:t>
      </w:r>
      <w:r w:rsidRPr="00F80370">
        <w:rPr>
          <w:rFonts w:ascii="Arial" w:hAnsi="Arial"/>
        </w:rPr>
        <w:t xml:space="preserve">(2), p.100350. </w:t>
      </w:r>
      <w:hyperlink r:id="rId22" w:history="1">
        <w:r w:rsidRPr="00F80370">
          <w:rPr>
            <w:rStyle w:val="Hyperlink"/>
            <w:rFonts w:ascii="Arial" w:hAnsi="Arial"/>
            <w:color w:val="auto"/>
          </w:rPr>
          <w:t>https://www.sciencedirect.com/science/article/pii/S2444569X2300046X</w:t>
        </w:r>
      </w:hyperlink>
    </w:p>
    <w:p w14:paraId="715A2C3D" w14:textId="77777777" w:rsidR="00F419DA" w:rsidRPr="00F80370" w:rsidRDefault="00F419DA" w:rsidP="00FD36A5">
      <w:pPr>
        <w:spacing w:after="240"/>
        <w:rPr>
          <w:rFonts w:ascii="Arial" w:hAnsi="Arial"/>
        </w:rPr>
      </w:pPr>
      <w:proofErr w:type="spellStart"/>
      <w:r w:rsidRPr="00F80370">
        <w:rPr>
          <w:rFonts w:ascii="Arial" w:hAnsi="Arial"/>
        </w:rPr>
        <w:t>Igogo</w:t>
      </w:r>
      <w:proofErr w:type="spellEnd"/>
      <w:r w:rsidRPr="00F80370">
        <w:rPr>
          <w:rFonts w:ascii="Arial" w:hAnsi="Arial"/>
        </w:rPr>
        <w:t xml:space="preserve">, T., Awuah-Offei, K., Newman, A., Lowder, T. and Engel-Cox, J., 2021. Integrating renewable energy into mining operations: Opportunities, challenges, and enabling approaches. </w:t>
      </w:r>
      <w:r w:rsidRPr="00F80370">
        <w:rPr>
          <w:rFonts w:ascii="Arial" w:hAnsi="Arial"/>
          <w:i/>
          <w:iCs/>
        </w:rPr>
        <w:t>Applied Energy</w:t>
      </w:r>
      <w:r w:rsidRPr="00F80370">
        <w:rPr>
          <w:rFonts w:ascii="Arial" w:hAnsi="Arial"/>
        </w:rPr>
        <w:t xml:space="preserve">, </w:t>
      </w:r>
      <w:r w:rsidRPr="00F80370">
        <w:rPr>
          <w:rFonts w:ascii="Arial" w:hAnsi="Arial"/>
          <w:i/>
          <w:iCs/>
        </w:rPr>
        <w:t>300</w:t>
      </w:r>
      <w:r w:rsidRPr="00F80370">
        <w:rPr>
          <w:rFonts w:ascii="Arial" w:hAnsi="Arial"/>
        </w:rPr>
        <w:t xml:space="preserve">, p.117375. </w:t>
      </w:r>
      <w:hyperlink r:id="rId23" w:history="1">
        <w:r w:rsidRPr="00F80370">
          <w:rPr>
            <w:rStyle w:val="Hyperlink"/>
            <w:rFonts w:ascii="Arial" w:hAnsi="Arial"/>
            <w:color w:val="auto"/>
          </w:rPr>
          <w:t>https://www.sciencedirect.com/science/article/am/pii/S0306261921007790</w:t>
        </w:r>
      </w:hyperlink>
    </w:p>
    <w:p w14:paraId="2B6017AC" w14:textId="77777777" w:rsidR="00F419DA" w:rsidRPr="00F80370" w:rsidRDefault="00F419DA" w:rsidP="00FD36A5">
      <w:pPr>
        <w:spacing w:after="240"/>
        <w:rPr>
          <w:rFonts w:ascii="Arial" w:hAnsi="Arial"/>
        </w:rPr>
      </w:pPr>
      <w:r w:rsidRPr="00F80370">
        <w:rPr>
          <w:rFonts w:ascii="Arial" w:hAnsi="Arial"/>
        </w:rPr>
        <w:t xml:space="preserve">investegate.co.uk, 2026 [Online] Available at </w:t>
      </w:r>
      <w:hyperlink r:id="rId24" w:history="1">
        <w:r w:rsidRPr="00F80370">
          <w:rPr>
            <w:rStyle w:val="Hyperlink"/>
            <w:rFonts w:ascii="Arial" w:hAnsi="Arial"/>
            <w:color w:val="auto"/>
          </w:rPr>
          <w:t>https://www.investegate.co.uk/announcement/rns/bhp-group-limited-npv-di---bhp/bhp-fy2025-results-announcement/9062185</w:t>
        </w:r>
      </w:hyperlink>
      <w:r w:rsidRPr="00F80370">
        <w:rPr>
          <w:rFonts w:ascii="Arial" w:hAnsi="Arial"/>
        </w:rPr>
        <w:t xml:space="preserve"> [Accessed on June 6, 2026]</w:t>
      </w:r>
    </w:p>
    <w:p w14:paraId="2078F089" w14:textId="77777777" w:rsidR="00F419DA" w:rsidRPr="00F80370" w:rsidRDefault="00F419DA" w:rsidP="00FD36A5">
      <w:pPr>
        <w:spacing w:after="240"/>
        <w:rPr>
          <w:rFonts w:ascii="Arial" w:hAnsi="Arial"/>
        </w:rPr>
      </w:pPr>
      <w:r w:rsidRPr="00F80370">
        <w:rPr>
          <w:rFonts w:ascii="Arial" w:hAnsi="Arial"/>
        </w:rPr>
        <w:t xml:space="preserve">Ivanova, S., Vesnina, A., Fotina, N. and </w:t>
      </w:r>
      <w:proofErr w:type="spellStart"/>
      <w:r w:rsidRPr="00F80370">
        <w:rPr>
          <w:rFonts w:ascii="Arial" w:hAnsi="Arial"/>
        </w:rPr>
        <w:t>Prosekov</w:t>
      </w:r>
      <w:proofErr w:type="spellEnd"/>
      <w:r w:rsidRPr="00F80370">
        <w:rPr>
          <w:rFonts w:ascii="Arial" w:hAnsi="Arial"/>
        </w:rPr>
        <w:t xml:space="preserve">, A., 2022. An overview of carbon footprint of coal mining to curtail greenhouse gas emissions. </w:t>
      </w:r>
      <w:r w:rsidRPr="00F80370">
        <w:rPr>
          <w:rFonts w:ascii="Arial" w:hAnsi="Arial"/>
          <w:i/>
          <w:iCs/>
        </w:rPr>
        <w:t>Sustainability</w:t>
      </w:r>
      <w:r w:rsidRPr="00F80370">
        <w:rPr>
          <w:rFonts w:ascii="Arial" w:hAnsi="Arial"/>
        </w:rPr>
        <w:t xml:space="preserve">, </w:t>
      </w:r>
      <w:r w:rsidRPr="00F80370">
        <w:rPr>
          <w:rFonts w:ascii="Arial" w:hAnsi="Arial"/>
          <w:i/>
          <w:iCs/>
        </w:rPr>
        <w:t>14</w:t>
      </w:r>
      <w:r w:rsidRPr="00F80370">
        <w:rPr>
          <w:rFonts w:ascii="Arial" w:hAnsi="Arial"/>
        </w:rPr>
        <w:t xml:space="preserve">(22), p.15135. </w:t>
      </w:r>
      <w:hyperlink r:id="rId25" w:history="1">
        <w:r w:rsidRPr="00F80370">
          <w:rPr>
            <w:rStyle w:val="Hyperlink"/>
            <w:rFonts w:ascii="Arial" w:hAnsi="Arial"/>
            <w:color w:val="auto"/>
          </w:rPr>
          <w:t>https://www.mdpi.com/2071-1050/14/22/15135</w:t>
        </w:r>
      </w:hyperlink>
    </w:p>
    <w:p w14:paraId="5AB08372" w14:textId="77777777" w:rsidR="00F419DA" w:rsidRPr="00F80370" w:rsidRDefault="00F419DA" w:rsidP="00FD36A5">
      <w:pPr>
        <w:spacing w:after="240"/>
        <w:rPr>
          <w:rFonts w:ascii="Arial" w:hAnsi="Arial"/>
        </w:rPr>
      </w:pPr>
      <w:r w:rsidRPr="00F80370">
        <w:rPr>
          <w:rFonts w:ascii="Arial" w:hAnsi="Arial"/>
        </w:rPr>
        <w:t xml:space="preserve">Kayani, U.N., Nasim, I., Aysan, A.F., Bashir, F. and Iqbal, U., 2024. Emerging trends of carbon emissions and foreign direct investment: accounting for ecological footprints, renewable energy, globalization, and technological innovations in BRICS. </w:t>
      </w:r>
      <w:r w:rsidRPr="00F80370">
        <w:rPr>
          <w:rFonts w:ascii="Arial" w:hAnsi="Arial"/>
          <w:i/>
          <w:iCs/>
        </w:rPr>
        <w:t>Environmental Science and Pollution Research</w:t>
      </w:r>
      <w:r w:rsidRPr="00F80370">
        <w:rPr>
          <w:rFonts w:ascii="Arial" w:hAnsi="Arial"/>
        </w:rPr>
        <w:t xml:space="preserve">, </w:t>
      </w:r>
      <w:r w:rsidRPr="00F80370">
        <w:rPr>
          <w:rFonts w:ascii="Arial" w:hAnsi="Arial"/>
          <w:i/>
          <w:iCs/>
        </w:rPr>
        <w:t>31</w:t>
      </w:r>
      <w:r w:rsidRPr="00F80370">
        <w:rPr>
          <w:rFonts w:ascii="Arial" w:hAnsi="Arial"/>
        </w:rPr>
        <w:t xml:space="preserve">(29), pp.41586-41599. </w:t>
      </w:r>
      <w:hyperlink r:id="rId26" w:history="1">
        <w:r w:rsidRPr="00F80370">
          <w:rPr>
            <w:rStyle w:val="Hyperlink"/>
            <w:rFonts w:ascii="Arial" w:hAnsi="Arial"/>
            <w:color w:val="auto"/>
          </w:rPr>
          <w:t>https://link.springer.com/content/pdf/10.1007/s11356-023-31495-4.pdf</w:t>
        </w:r>
      </w:hyperlink>
    </w:p>
    <w:p w14:paraId="40AF97C9" w14:textId="77777777" w:rsidR="00F419DA" w:rsidRPr="00F80370" w:rsidRDefault="00F419DA" w:rsidP="00FD36A5">
      <w:pPr>
        <w:spacing w:after="240"/>
        <w:rPr>
          <w:rFonts w:ascii="Arial" w:hAnsi="Arial"/>
        </w:rPr>
      </w:pPr>
      <w:r w:rsidRPr="00F80370">
        <w:rPr>
          <w:rFonts w:ascii="Arial" w:hAnsi="Arial"/>
        </w:rPr>
        <w:t xml:space="preserve">Khalifa, M. and </w:t>
      </w:r>
      <w:proofErr w:type="spellStart"/>
      <w:r w:rsidRPr="00F80370">
        <w:rPr>
          <w:rFonts w:ascii="Arial" w:hAnsi="Arial"/>
        </w:rPr>
        <w:t>Albadawy</w:t>
      </w:r>
      <w:proofErr w:type="spellEnd"/>
      <w:r w:rsidRPr="00F80370">
        <w:rPr>
          <w:rFonts w:ascii="Arial" w:hAnsi="Arial"/>
        </w:rPr>
        <w:t xml:space="preserve">, M., 2024. Using artificial intelligence in academic writing and research: An essential productivity tool. </w:t>
      </w:r>
      <w:r w:rsidRPr="00F80370">
        <w:rPr>
          <w:rFonts w:ascii="Arial" w:hAnsi="Arial"/>
          <w:i/>
          <w:iCs/>
        </w:rPr>
        <w:t>Computer methods and programs in biomedicine update</w:t>
      </w:r>
      <w:r w:rsidRPr="00F80370">
        <w:rPr>
          <w:rFonts w:ascii="Arial" w:hAnsi="Arial"/>
        </w:rPr>
        <w:t xml:space="preserve">, </w:t>
      </w:r>
      <w:r w:rsidRPr="00F80370">
        <w:rPr>
          <w:rFonts w:ascii="Arial" w:hAnsi="Arial"/>
          <w:i/>
          <w:iCs/>
        </w:rPr>
        <w:t>5</w:t>
      </w:r>
      <w:r w:rsidRPr="00F80370">
        <w:rPr>
          <w:rFonts w:ascii="Arial" w:hAnsi="Arial"/>
        </w:rPr>
        <w:t xml:space="preserve">, p.100145. </w:t>
      </w:r>
      <w:hyperlink r:id="rId27" w:history="1">
        <w:r w:rsidRPr="00F80370">
          <w:rPr>
            <w:rStyle w:val="Hyperlink"/>
            <w:rFonts w:ascii="Arial" w:hAnsi="Arial"/>
            <w:color w:val="auto"/>
          </w:rPr>
          <w:t>https://www.sciencedirect.com/science/article/pii/S2666990024000120</w:t>
        </w:r>
      </w:hyperlink>
    </w:p>
    <w:p w14:paraId="2B5EDF06" w14:textId="77777777" w:rsidR="00F419DA" w:rsidRPr="00F80370" w:rsidRDefault="00F419DA" w:rsidP="00FD36A5">
      <w:pPr>
        <w:spacing w:after="240"/>
        <w:rPr>
          <w:rFonts w:ascii="Arial" w:hAnsi="Arial"/>
        </w:rPr>
      </w:pPr>
      <w:r w:rsidRPr="00F80370">
        <w:rPr>
          <w:rFonts w:ascii="Arial" w:hAnsi="Arial"/>
        </w:rPr>
        <w:t xml:space="preserve">Martin, N. and Rice, J., 2021. Power outages, climate events and renewable energy: Reviewing energy storage policy and regulatory options for Australia. </w:t>
      </w:r>
      <w:r w:rsidRPr="00F80370">
        <w:rPr>
          <w:rFonts w:ascii="Arial" w:hAnsi="Arial"/>
          <w:i/>
          <w:iCs/>
        </w:rPr>
        <w:t>Renewable and Sustainable Energy Reviews</w:t>
      </w:r>
      <w:r w:rsidRPr="00F80370">
        <w:rPr>
          <w:rFonts w:ascii="Arial" w:hAnsi="Arial"/>
        </w:rPr>
        <w:t xml:space="preserve">, </w:t>
      </w:r>
      <w:r w:rsidRPr="00F80370">
        <w:rPr>
          <w:rFonts w:ascii="Arial" w:hAnsi="Arial"/>
          <w:i/>
          <w:iCs/>
        </w:rPr>
        <w:t>137</w:t>
      </w:r>
      <w:r w:rsidRPr="00F80370">
        <w:rPr>
          <w:rFonts w:ascii="Arial" w:hAnsi="Arial"/>
        </w:rPr>
        <w:t xml:space="preserve">, p.110617. </w:t>
      </w:r>
      <w:hyperlink r:id="rId28" w:history="1">
        <w:r w:rsidRPr="00F80370">
          <w:rPr>
            <w:rStyle w:val="Hyperlink"/>
            <w:rFonts w:ascii="Arial" w:hAnsi="Arial"/>
            <w:color w:val="auto"/>
          </w:rPr>
          <w:t>https://www.sciencedirect.com/science/article/pii/S1364032120309011</w:t>
        </w:r>
      </w:hyperlink>
    </w:p>
    <w:p w14:paraId="719EBD52" w14:textId="77777777" w:rsidR="00F419DA" w:rsidRPr="00F80370" w:rsidRDefault="00F419DA" w:rsidP="00FD36A5">
      <w:pPr>
        <w:spacing w:after="240"/>
        <w:rPr>
          <w:rFonts w:ascii="Arial" w:hAnsi="Arial"/>
        </w:rPr>
      </w:pPr>
      <w:r w:rsidRPr="00F80370">
        <w:rPr>
          <w:rFonts w:ascii="Arial" w:hAnsi="Arial"/>
        </w:rPr>
        <w:t xml:space="preserve">McDonald, J., Brent, K., McCormack, P. and McGee, J., 2023. Greenhouse gas removal in Australian climate law: A positive role for negative emissions. </w:t>
      </w:r>
      <w:proofErr w:type="spellStart"/>
      <w:r w:rsidRPr="00F80370">
        <w:rPr>
          <w:rFonts w:ascii="Arial" w:hAnsi="Arial"/>
          <w:i/>
          <w:iCs/>
        </w:rPr>
        <w:t>TheUniversity</w:t>
      </w:r>
      <w:proofErr w:type="spellEnd"/>
      <w:r w:rsidRPr="00F80370">
        <w:rPr>
          <w:rFonts w:ascii="Arial" w:hAnsi="Arial"/>
          <w:i/>
          <w:iCs/>
        </w:rPr>
        <w:t xml:space="preserve"> of New South Wales Law Journal</w:t>
      </w:r>
      <w:r w:rsidRPr="00F80370">
        <w:rPr>
          <w:rFonts w:ascii="Arial" w:hAnsi="Arial"/>
        </w:rPr>
        <w:t xml:space="preserve">, </w:t>
      </w:r>
      <w:r w:rsidRPr="00F80370">
        <w:rPr>
          <w:rFonts w:ascii="Arial" w:hAnsi="Arial"/>
          <w:i/>
          <w:iCs/>
        </w:rPr>
        <w:t>46</w:t>
      </w:r>
      <w:r w:rsidRPr="00F80370">
        <w:rPr>
          <w:rFonts w:ascii="Arial" w:hAnsi="Arial"/>
        </w:rPr>
        <w:t xml:space="preserve">(1), pp.79-110. </w:t>
      </w:r>
      <w:hyperlink r:id="rId29" w:history="1">
        <w:r w:rsidRPr="00F80370">
          <w:rPr>
            <w:rStyle w:val="Hyperlink"/>
            <w:rFonts w:ascii="Arial" w:hAnsi="Arial"/>
            <w:color w:val="auto"/>
          </w:rPr>
          <w:t>https://www.unsw.edu.au/content/dam/pdfs/law/unsw-law-journal/2020-2029/2023/Issue-461-03-McDonald-et-al-1.pdf</w:t>
        </w:r>
      </w:hyperlink>
    </w:p>
    <w:p w14:paraId="71D1F250" w14:textId="77777777" w:rsidR="00F419DA" w:rsidRPr="00F80370" w:rsidRDefault="00F419DA" w:rsidP="00FD36A5">
      <w:pPr>
        <w:spacing w:after="240"/>
        <w:rPr>
          <w:rFonts w:ascii="Arial" w:hAnsi="Arial"/>
        </w:rPr>
      </w:pPr>
      <w:r w:rsidRPr="00F80370">
        <w:rPr>
          <w:rFonts w:ascii="Arial" w:hAnsi="Arial"/>
        </w:rPr>
        <w:t xml:space="preserve">Oliveros-Sepúlveda, D., </w:t>
      </w:r>
      <w:proofErr w:type="spellStart"/>
      <w:r w:rsidRPr="00F80370">
        <w:rPr>
          <w:rFonts w:ascii="Arial" w:hAnsi="Arial"/>
        </w:rPr>
        <w:t>Bascompta-Massanés</w:t>
      </w:r>
      <w:proofErr w:type="spellEnd"/>
      <w:r w:rsidRPr="00F80370">
        <w:rPr>
          <w:rFonts w:ascii="Arial" w:hAnsi="Arial"/>
        </w:rPr>
        <w:t xml:space="preserve">, M. and Franco-Sepúlveda, G., 2025. Environmental and closure costs in strategic mine planning, models, regulations, and policies. </w:t>
      </w:r>
      <w:r w:rsidRPr="00F80370">
        <w:rPr>
          <w:rFonts w:ascii="Arial" w:hAnsi="Arial"/>
          <w:i/>
          <w:iCs/>
        </w:rPr>
        <w:t>Resources</w:t>
      </w:r>
      <w:r w:rsidRPr="00F80370">
        <w:rPr>
          <w:rFonts w:ascii="Arial" w:hAnsi="Arial"/>
        </w:rPr>
        <w:t xml:space="preserve">, </w:t>
      </w:r>
      <w:r w:rsidRPr="00F80370">
        <w:rPr>
          <w:rFonts w:ascii="Arial" w:hAnsi="Arial"/>
          <w:i/>
          <w:iCs/>
        </w:rPr>
        <w:t>14</w:t>
      </w:r>
      <w:r w:rsidRPr="00F80370">
        <w:rPr>
          <w:rFonts w:ascii="Arial" w:hAnsi="Arial"/>
        </w:rPr>
        <w:t xml:space="preserve">(3), p.41. </w:t>
      </w:r>
      <w:hyperlink r:id="rId30" w:history="1">
        <w:r w:rsidRPr="00F80370">
          <w:rPr>
            <w:rStyle w:val="Hyperlink"/>
            <w:rFonts w:ascii="Arial" w:hAnsi="Arial"/>
            <w:color w:val="auto"/>
          </w:rPr>
          <w:t>https://www.mdpi.com/2079-9276/14/3/41</w:t>
        </w:r>
      </w:hyperlink>
    </w:p>
    <w:p w14:paraId="1E49ED1D" w14:textId="77777777" w:rsidR="00F419DA" w:rsidRPr="00F80370" w:rsidRDefault="00F419DA" w:rsidP="00FD36A5">
      <w:pPr>
        <w:spacing w:after="240"/>
        <w:rPr>
          <w:rFonts w:ascii="Arial" w:hAnsi="Arial"/>
        </w:rPr>
      </w:pPr>
      <w:proofErr w:type="spellStart"/>
      <w:r w:rsidRPr="00F80370">
        <w:rPr>
          <w:rFonts w:ascii="Arial" w:hAnsi="Arial"/>
        </w:rPr>
        <w:t>Razmjoo</w:t>
      </w:r>
      <w:proofErr w:type="spellEnd"/>
      <w:r w:rsidRPr="00F80370">
        <w:rPr>
          <w:rFonts w:ascii="Arial" w:hAnsi="Arial"/>
        </w:rPr>
        <w:t xml:space="preserve">, A., </w:t>
      </w:r>
      <w:proofErr w:type="spellStart"/>
      <w:r w:rsidRPr="00F80370">
        <w:rPr>
          <w:rFonts w:ascii="Arial" w:hAnsi="Arial"/>
        </w:rPr>
        <w:t>Gandomi</w:t>
      </w:r>
      <w:proofErr w:type="spellEnd"/>
      <w:r w:rsidRPr="00F80370">
        <w:rPr>
          <w:rFonts w:ascii="Arial" w:hAnsi="Arial"/>
        </w:rPr>
        <w:t xml:space="preserve">, A.H., </w:t>
      </w:r>
      <w:proofErr w:type="spellStart"/>
      <w:r w:rsidRPr="00F80370">
        <w:rPr>
          <w:rFonts w:ascii="Arial" w:hAnsi="Arial"/>
        </w:rPr>
        <w:t>Pazhoohesh</w:t>
      </w:r>
      <w:proofErr w:type="spellEnd"/>
      <w:r w:rsidRPr="00F80370">
        <w:rPr>
          <w:rFonts w:ascii="Arial" w:hAnsi="Arial"/>
        </w:rPr>
        <w:t xml:space="preserve">, M., Mirjalili, S. and Rezaei, M., 2022. The key role of clean energy and technology in smart cities development. </w:t>
      </w:r>
      <w:r w:rsidRPr="00F80370">
        <w:rPr>
          <w:rFonts w:ascii="Arial" w:hAnsi="Arial"/>
          <w:i/>
          <w:iCs/>
        </w:rPr>
        <w:t>Energy Strategy Reviews</w:t>
      </w:r>
      <w:r w:rsidRPr="00F80370">
        <w:rPr>
          <w:rFonts w:ascii="Arial" w:hAnsi="Arial"/>
        </w:rPr>
        <w:t xml:space="preserve">, </w:t>
      </w:r>
      <w:r w:rsidRPr="00F80370">
        <w:rPr>
          <w:rFonts w:ascii="Arial" w:hAnsi="Arial"/>
          <w:i/>
          <w:iCs/>
        </w:rPr>
        <w:t>44</w:t>
      </w:r>
      <w:r w:rsidRPr="00F80370">
        <w:rPr>
          <w:rFonts w:ascii="Arial" w:hAnsi="Arial"/>
        </w:rPr>
        <w:t xml:space="preserve">, p.100943. </w:t>
      </w:r>
      <w:hyperlink r:id="rId31" w:history="1">
        <w:r w:rsidRPr="00F80370">
          <w:rPr>
            <w:rStyle w:val="Hyperlink"/>
            <w:rFonts w:ascii="Arial" w:hAnsi="Arial"/>
            <w:color w:val="auto"/>
          </w:rPr>
          <w:t>https://www.sciencedirect.com/science/article/pii/S2211467X22001377</w:t>
        </w:r>
      </w:hyperlink>
    </w:p>
    <w:p w14:paraId="151A235E" w14:textId="77777777" w:rsidR="00F419DA" w:rsidRPr="00F80370" w:rsidRDefault="00F419DA" w:rsidP="00FD36A5">
      <w:pPr>
        <w:spacing w:after="240"/>
        <w:rPr>
          <w:rFonts w:ascii="Arial" w:hAnsi="Arial"/>
        </w:rPr>
      </w:pPr>
      <w:r w:rsidRPr="00F80370">
        <w:rPr>
          <w:rFonts w:ascii="Arial" w:hAnsi="Arial"/>
        </w:rPr>
        <w:t xml:space="preserve">riotinto.com, 2024 [Online] Available at </w:t>
      </w:r>
      <w:hyperlink r:id="rId32" w:history="1">
        <w:r w:rsidRPr="00F80370">
          <w:rPr>
            <w:rStyle w:val="Hyperlink"/>
            <w:rFonts w:ascii="Arial" w:hAnsi="Arial"/>
            <w:color w:val="auto"/>
          </w:rPr>
          <w:t>https://www.riotinto.com/en/news/releases/2024/rio-tinto-to-install-carbon-free-aluminium-smelting-cells-using-first-elysistm-technology-licence</w:t>
        </w:r>
      </w:hyperlink>
      <w:r w:rsidRPr="00F80370">
        <w:rPr>
          <w:rFonts w:ascii="Arial" w:hAnsi="Arial"/>
        </w:rPr>
        <w:t xml:space="preserve"> [Accessed on June 6, 2026]</w:t>
      </w:r>
    </w:p>
    <w:p w14:paraId="26CB789C" w14:textId="77777777" w:rsidR="00F419DA" w:rsidRPr="00F80370" w:rsidRDefault="00F419DA" w:rsidP="00FD36A5">
      <w:pPr>
        <w:spacing w:after="240"/>
        <w:rPr>
          <w:rFonts w:ascii="Arial" w:hAnsi="Arial"/>
        </w:rPr>
      </w:pPr>
      <w:r w:rsidRPr="00F80370">
        <w:rPr>
          <w:rFonts w:ascii="Arial" w:hAnsi="Arial"/>
        </w:rPr>
        <w:t xml:space="preserve">Sun, H., Zhang, X. and Luo, C., 2025. A Review of Carbon Pricing Mechanisms and Risk Management for Raw Materials in Low-Carbon Energy Systems. </w:t>
      </w:r>
      <w:r w:rsidRPr="00F80370">
        <w:rPr>
          <w:rFonts w:ascii="Arial" w:hAnsi="Arial"/>
          <w:i/>
          <w:iCs/>
        </w:rPr>
        <w:t>Energies</w:t>
      </w:r>
      <w:r w:rsidRPr="00F80370">
        <w:rPr>
          <w:rFonts w:ascii="Arial" w:hAnsi="Arial"/>
        </w:rPr>
        <w:t xml:space="preserve">, </w:t>
      </w:r>
      <w:r w:rsidRPr="00F80370">
        <w:rPr>
          <w:rFonts w:ascii="Arial" w:hAnsi="Arial"/>
          <w:i/>
          <w:iCs/>
        </w:rPr>
        <w:t>18</w:t>
      </w:r>
      <w:r w:rsidRPr="00F80370">
        <w:rPr>
          <w:rFonts w:ascii="Arial" w:hAnsi="Arial"/>
        </w:rPr>
        <w:t xml:space="preserve">(13), p.3401. </w:t>
      </w:r>
      <w:hyperlink r:id="rId33" w:history="1">
        <w:r w:rsidRPr="00F80370">
          <w:rPr>
            <w:rStyle w:val="Hyperlink"/>
            <w:rFonts w:ascii="Arial" w:hAnsi="Arial"/>
            <w:color w:val="auto"/>
          </w:rPr>
          <w:t>https://www.mdpi.com/1996-1073/18/13/3401</w:t>
        </w:r>
      </w:hyperlink>
    </w:p>
    <w:p w14:paraId="66DEB9A2" w14:textId="77777777" w:rsidR="00F419DA" w:rsidRPr="00F80370" w:rsidRDefault="00F419DA" w:rsidP="00FD36A5">
      <w:pPr>
        <w:spacing w:after="240"/>
        <w:rPr>
          <w:rFonts w:ascii="Arial" w:hAnsi="Arial"/>
        </w:rPr>
      </w:pPr>
      <w:r w:rsidRPr="00F80370">
        <w:rPr>
          <w:rFonts w:ascii="Arial" w:hAnsi="Arial"/>
        </w:rPr>
        <w:t xml:space="preserve">theguardian.com, 2026 [Online] Available at </w:t>
      </w:r>
      <w:hyperlink r:id="rId34" w:history="1">
        <w:r w:rsidRPr="00F80370">
          <w:rPr>
            <w:rStyle w:val="Hyperlink"/>
            <w:rFonts w:ascii="Arial" w:hAnsi="Arial"/>
            <w:color w:val="auto"/>
          </w:rPr>
          <w:t>https://www.theguardian.com/world/2026/may/26/bhp-files-australian-government-emissions</w:t>
        </w:r>
      </w:hyperlink>
      <w:r w:rsidRPr="00F80370">
        <w:rPr>
          <w:rFonts w:ascii="Arial" w:hAnsi="Arial"/>
        </w:rPr>
        <w:t xml:space="preserve"> [Accessed on June 6, 2026]</w:t>
      </w:r>
    </w:p>
    <w:p w14:paraId="09846834" w14:textId="77777777" w:rsidR="00F419DA" w:rsidRPr="00F80370" w:rsidRDefault="00F419DA" w:rsidP="00FD36A5">
      <w:pPr>
        <w:spacing w:after="240"/>
        <w:rPr>
          <w:rFonts w:ascii="Arial" w:hAnsi="Arial"/>
        </w:rPr>
      </w:pPr>
      <w:r w:rsidRPr="00F80370">
        <w:rPr>
          <w:rFonts w:ascii="Arial" w:hAnsi="Arial"/>
        </w:rPr>
        <w:t xml:space="preserve">Versteeg, G.F., Broek, S. and Picchioni, F., 2026. Fundamentals of CO2 Capture in Primary </w:t>
      </w:r>
      <w:proofErr w:type="spellStart"/>
      <w:r w:rsidRPr="00F80370">
        <w:rPr>
          <w:rFonts w:ascii="Arial" w:hAnsi="Arial"/>
        </w:rPr>
        <w:t>Aluminum</w:t>
      </w:r>
      <w:proofErr w:type="spellEnd"/>
      <w:r w:rsidRPr="00F80370">
        <w:rPr>
          <w:rFonts w:ascii="Arial" w:hAnsi="Arial"/>
        </w:rPr>
        <w:t xml:space="preserve"> Smelting. </w:t>
      </w:r>
      <w:r w:rsidRPr="00F80370">
        <w:rPr>
          <w:rFonts w:ascii="Arial" w:hAnsi="Arial"/>
          <w:i/>
          <w:iCs/>
        </w:rPr>
        <w:t>JOM</w:t>
      </w:r>
      <w:r w:rsidRPr="00F80370">
        <w:rPr>
          <w:rFonts w:ascii="Arial" w:hAnsi="Arial"/>
        </w:rPr>
        <w:t xml:space="preserve">, pp.1-21. </w:t>
      </w:r>
      <w:hyperlink r:id="rId35" w:history="1">
        <w:r w:rsidRPr="00F80370">
          <w:rPr>
            <w:rStyle w:val="Hyperlink"/>
            <w:rFonts w:ascii="Arial" w:hAnsi="Arial"/>
            <w:color w:val="auto"/>
          </w:rPr>
          <w:t>https://link.springer.com/article/10.1007/s11837-026-08343-0</w:t>
        </w:r>
      </w:hyperlink>
    </w:p>
    <w:p w14:paraId="379E3908" w14:textId="77777777" w:rsidR="00D86757" w:rsidRPr="00F80370" w:rsidRDefault="00F419DA" w:rsidP="00FD36A5">
      <w:pPr>
        <w:spacing w:after="240"/>
        <w:rPr>
          <w:rFonts w:ascii="Arial" w:hAnsi="Arial"/>
        </w:rPr>
      </w:pPr>
      <w:r w:rsidRPr="00F80370">
        <w:rPr>
          <w:rFonts w:ascii="Arial" w:hAnsi="Arial"/>
        </w:rPr>
        <w:t xml:space="preserve">Wright, C. and Nyberg, D., 2024. Corporations and climate change: An overview. </w:t>
      </w:r>
      <w:r w:rsidRPr="00F80370">
        <w:rPr>
          <w:rFonts w:ascii="Arial" w:hAnsi="Arial"/>
          <w:i/>
          <w:iCs/>
        </w:rPr>
        <w:t>Wiley Interdisciplinary Reviews: Climate Change</w:t>
      </w:r>
      <w:r w:rsidRPr="00F80370">
        <w:rPr>
          <w:rFonts w:ascii="Arial" w:hAnsi="Arial"/>
        </w:rPr>
        <w:t xml:space="preserve">, </w:t>
      </w:r>
      <w:r w:rsidRPr="00F80370">
        <w:rPr>
          <w:rFonts w:ascii="Arial" w:hAnsi="Arial"/>
          <w:i/>
          <w:iCs/>
        </w:rPr>
        <w:t>15</w:t>
      </w:r>
      <w:r w:rsidRPr="00F80370">
        <w:rPr>
          <w:rFonts w:ascii="Arial" w:hAnsi="Arial"/>
        </w:rPr>
        <w:t xml:space="preserve">(6), p.e919. </w:t>
      </w:r>
      <w:hyperlink r:id="rId36" w:history="1">
        <w:r w:rsidRPr="00F80370">
          <w:rPr>
            <w:rStyle w:val="Hyperlink"/>
            <w:rFonts w:ascii="Arial" w:hAnsi="Arial"/>
            <w:color w:val="auto"/>
          </w:rPr>
          <w:t>https://wires.onlinelibrary.wiley.com/doi/pdfdirect/10.1002/wcc.919</w:t>
        </w:r>
      </w:hyperlink>
    </w:p>
    <w:sectPr w:rsidR="00D86757" w:rsidRPr="00F80370" w:rsidSect="00FD36A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C36468"/>
    <w:multiLevelType w:val="hybridMultilevel"/>
    <w:tmpl w:val="1CBCB5B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EA82DB0"/>
    <w:multiLevelType w:val="hybridMultilevel"/>
    <w:tmpl w:val="76262C1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72728604">
    <w:abstractNumId w:val="0"/>
  </w:num>
  <w:num w:numId="2" w16cid:durableId="533470933">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3C2"/>
    <w:rsid w:val="00004B2E"/>
    <w:rsid w:val="00073FF1"/>
    <w:rsid w:val="00082A80"/>
    <w:rsid w:val="0008320B"/>
    <w:rsid w:val="000C540B"/>
    <w:rsid w:val="000E309E"/>
    <w:rsid w:val="001037C4"/>
    <w:rsid w:val="00106864"/>
    <w:rsid w:val="00116A61"/>
    <w:rsid w:val="0012318C"/>
    <w:rsid w:val="00124DC1"/>
    <w:rsid w:val="00125051"/>
    <w:rsid w:val="00134A9A"/>
    <w:rsid w:val="0015340C"/>
    <w:rsid w:val="001D0207"/>
    <w:rsid w:val="001E3496"/>
    <w:rsid w:val="001E61A4"/>
    <w:rsid w:val="00201A3D"/>
    <w:rsid w:val="002361E6"/>
    <w:rsid w:val="00257A4B"/>
    <w:rsid w:val="002814D5"/>
    <w:rsid w:val="00281C8E"/>
    <w:rsid w:val="00290383"/>
    <w:rsid w:val="0029064C"/>
    <w:rsid w:val="002A6E23"/>
    <w:rsid w:val="002C20B6"/>
    <w:rsid w:val="002C6BA2"/>
    <w:rsid w:val="002F02E5"/>
    <w:rsid w:val="0030457F"/>
    <w:rsid w:val="00364294"/>
    <w:rsid w:val="00376991"/>
    <w:rsid w:val="00381AEB"/>
    <w:rsid w:val="003A73CE"/>
    <w:rsid w:val="003C24AE"/>
    <w:rsid w:val="003E0C12"/>
    <w:rsid w:val="003E5F0B"/>
    <w:rsid w:val="00411815"/>
    <w:rsid w:val="00432B05"/>
    <w:rsid w:val="004343EF"/>
    <w:rsid w:val="00461527"/>
    <w:rsid w:val="004678EE"/>
    <w:rsid w:val="00467A37"/>
    <w:rsid w:val="004A554D"/>
    <w:rsid w:val="004B7C04"/>
    <w:rsid w:val="004C0E49"/>
    <w:rsid w:val="004C7646"/>
    <w:rsid w:val="004D0925"/>
    <w:rsid w:val="004F621C"/>
    <w:rsid w:val="005263FF"/>
    <w:rsid w:val="0053016C"/>
    <w:rsid w:val="0057743F"/>
    <w:rsid w:val="005B517E"/>
    <w:rsid w:val="005C31BF"/>
    <w:rsid w:val="005F405C"/>
    <w:rsid w:val="00605E96"/>
    <w:rsid w:val="00651377"/>
    <w:rsid w:val="006625D1"/>
    <w:rsid w:val="0066679D"/>
    <w:rsid w:val="00677C6C"/>
    <w:rsid w:val="006F1192"/>
    <w:rsid w:val="006F7C3F"/>
    <w:rsid w:val="0071507C"/>
    <w:rsid w:val="00740705"/>
    <w:rsid w:val="00774398"/>
    <w:rsid w:val="0079453D"/>
    <w:rsid w:val="007A05AC"/>
    <w:rsid w:val="007A715D"/>
    <w:rsid w:val="00835061"/>
    <w:rsid w:val="008371C5"/>
    <w:rsid w:val="008533D9"/>
    <w:rsid w:val="00862A17"/>
    <w:rsid w:val="008A6A8D"/>
    <w:rsid w:val="008B6B7B"/>
    <w:rsid w:val="008C562E"/>
    <w:rsid w:val="008E5F4A"/>
    <w:rsid w:val="00933041"/>
    <w:rsid w:val="0094285D"/>
    <w:rsid w:val="0094496B"/>
    <w:rsid w:val="00985319"/>
    <w:rsid w:val="009B6FBE"/>
    <w:rsid w:val="009D1799"/>
    <w:rsid w:val="00A34C3E"/>
    <w:rsid w:val="00A375A1"/>
    <w:rsid w:val="00A505EC"/>
    <w:rsid w:val="00A607B5"/>
    <w:rsid w:val="00A72D2C"/>
    <w:rsid w:val="00A7306A"/>
    <w:rsid w:val="00A87815"/>
    <w:rsid w:val="00A957A8"/>
    <w:rsid w:val="00AC44CF"/>
    <w:rsid w:val="00AD711C"/>
    <w:rsid w:val="00AF7D61"/>
    <w:rsid w:val="00B15CB1"/>
    <w:rsid w:val="00B41CA6"/>
    <w:rsid w:val="00B63AD0"/>
    <w:rsid w:val="00BA2923"/>
    <w:rsid w:val="00BB2B2E"/>
    <w:rsid w:val="00BC17A4"/>
    <w:rsid w:val="00C3185D"/>
    <w:rsid w:val="00C4037C"/>
    <w:rsid w:val="00C53A19"/>
    <w:rsid w:val="00C63B76"/>
    <w:rsid w:val="00C94F8B"/>
    <w:rsid w:val="00CA049C"/>
    <w:rsid w:val="00D25AF8"/>
    <w:rsid w:val="00D5363B"/>
    <w:rsid w:val="00D67FB8"/>
    <w:rsid w:val="00D86757"/>
    <w:rsid w:val="00DD0919"/>
    <w:rsid w:val="00DD6AAD"/>
    <w:rsid w:val="00E62E64"/>
    <w:rsid w:val="00E63821"/>
    <w:rsid w:val="00E901E4"/>
    <w:rsid w:val="00EB67DC"/>
    <w:rsid w:val="00EB6EAA"/>
    <w:rsid w:val="00ED3046"/>
    <w:rsid w:val="00ED4399"/>
    <w:rsid w:val="00EF1827"/>
    <w:rsid w:val="00EF4E53"/>
    <w:rsid w:val="00EF7ABB"/>
    <w:rsid w:val="00F30276"/>
    <w:rsid w:val="00F318B4"/>
    <w:rsid w:val="00F37619"/>
    <w:rsid w:val="00F419DA"/>
    <w:rsid w:val="00F44912"/>
    <w:rsid w:val="00F64A32"/>
    <w:rsid w:val="00F80370"/>
    <w:rsid w:val="00F823B8"/>
    <w:rsid w:val="00F84DBE"/>
    <w:rsid w:val="00FB12CB"/>
    <w:rsid w:val="00FB4D1F"/>
    <w:rsid w:val="00FD03C2"/>
    <w:rsid w:val="00FD36A5"/>
    <w:rsid w:val="00FE4E7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1CE81"/>
  <w15:docId w15:val="{13940959-7931-4F4C-90C9-2A6C66C7A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Arial"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E53"/>
    <w:pPr>
      <w:spacing w:after="0" w:line="360" w:lineRule="auto"/>
      <w:jc w:val="both"/>
    </w:pPr>
    <w:rPr>
      <w:rFonts w:ascii="Times New Roman" w:hAnsi="Times New Roman" w:cs="Arial"/>
      <w:sz w:val="24"/>
      <w:lang w:eastAsia="en-IN"/>
    </w:rPr>
  </w:style>
  <w:style w:type="paragraph" w:styleId="Heading1">
    <w:name w:val="heading 1"/>
    <w:basedOn w:val="Normal"/>
    <w:next w:val="Normal"/>
    <w:link w:val="Heading1Char"/>
    <w:uiPriority w:val="9"/>
    <w:qFormat/>
    <w:rsid w:val="00F64A32"/>
    <w:pPr>
      <w:keepNext/>
      <w:keepLines/>
      <w:spacing w:before="400" w:after="120"/>
      <w:outlineLvl w:val="0"/>
    </w:pPr>
    <w:rPr>
      <w:b/>
      <w:kern w:val="0"/>
      <w:sz w:val="28"/>
      <w:szCs w:val="40"/>
    </w:rPr>
  </w:style>
  <w:style w:type="paragraph" w:styleId="Heading2">
    <w:name w:val="heading 2"/>
    <w:basedOn w:val="Normal"/>
    <w:next w:val="Normal"/>
    <w:link w:val="Heading2Char"/>
    <w:uiPriority w:val="9"/>
    <w:unhideWhenUsed/>
    <w:qFormat/>
    <w:rsid w:val="00FB12CB"/>
    <w:pPr>
      <w:keepNext/>
      <w:keepLines/>
      <w:spacing w:before="360" w:after="120"/>
      <w:outlineLvl w:val="1"/>
    </w:pPr>
    <w:rPr>
      <w:b/>
      <w:kern w:val="0"/>
      <w:sz w:val="26"/>
      <w:szCs w:val="32"/>
    </w:rPr>
  </w:style>
  <w:style w:type="paragraph" w:styleId="Heading3">
    <w:name w:val="heading 3"/>
    <w:basedOn w:val="Normal"/>
    <w:next w:val="Normal"/>
    <w:link w:val="Heading3Char"/>
    <w:uiPriority w:val="9"/>
    <w:semiHidden/>
    <w:unhideWhenUsed/>
    <w:qFormat/>
    <w:rsid w:val="00FD03C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3C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D03C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D03C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D03C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D03C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D03C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A32"/>
    <w:rPr>
      <w:rFonts w:ascii="Times New Roman" w:hAnsi="Times New Roman" w:cs="Arial"/>
      <w:b/>
      <w:kern w:val="0"/>
      <w:sz w:val="28"/>
      <w:szCs w:val="40"/>
      <w:lang w:eastAsia="en-IN"/>
    </w:rPr>
  </w:style>
  <w:style w:type="character" w:customStyle="1" w:styleId="Heading2Char">
    <w:name w:val="Heading 2 Char"/>
    <w:basedOn w:val="DefaultParagraphFont"/>
    <w:link w:val="Heading2"/>
    <w:uiPriority w:val="9"/>
    <w:rsid w:val="00FB12CB"/>
    <w:rPr>
      <w:rFonts w:ascii="Times New Roman" w:hAnsi="Times New Roman" w:cs="Arial"/>
      <w:b/>
      <w:kern w:val="0"/>
      <w:sz w:val="26"/>
      <w:szCs w:val="32"/>
      <w:lang w:eastAsia="en-IN"/>
    </w:rPr>
  </w:style>
  <w:style w:type="character" w:customStyle="1" w:styleId="Heading3Char">
    <w:name w:val="Heading 3 Char"/>
    <w:basedOn w:val="DefaultParagraphFont"/>
    <w:link w:val="Heading3"/>
    <w:uiPriority w:val="9"/>
    <w:semiHidden/>
    <w:rsid w:val="00FD03C2"/>
    <w:rPr>
      <w:rFonts w:eastAsiaTheme="majorEastAsia" w:cstheme="majorBidi"/>
      <w:color w:val="0F4761" w:themeColor="accent1" w:themeShade="BF"/>
      <w:sz w:val="28"/>
      <w:szCs w:val="28"/>
      <w:lang w:eastAsia="en-IN"/>
    </w:rPr>
  </w:style>
  <w:style w:type="character" w:customStyle="1" w:styleId="Heading4Char">
    <w:name w:val="Heading 4 Char"/>
    <w:basedOn w:val="DefaultParagraphFont"/>
    <w:link w:val="Heading4"/>
    <w:uiPriority w:val="9"/>
    <w:semiHidden/>
    <w:rsid w:val="00FD03C2"/>
    <w:rPr>
      <w:rFonts w:eastAsiaTheme="majorEastAsia" w:cstheme="majorBidi"/>
      <w:i/>
      <w:iCs/>
      <w:color w:val="0F4761" w:themeColor="accent1" w:themeShade="BF"/>
      <w:sz w:val="24"/>
      <w:lang w:eastAsia="en-IN"/>
    </w:rPr>
  </w:style>
  <w:style w:type="character" w:customStyle="1" w:styleId="Heading5Char">
    <w:name w:val="Heading 5 Char"/>
    <w:basedOn w:val="DefaultParagraphFont"/>
    <w:link w:val="Heading5"/>
    <w:uiPriority w:val="9"/>
    <w:semiHidden/>
    <w:rsid w:val="00FD03C2"/>
    <w:rPr>
      <w:rFonts w:eastAsiaTheme="majorEastAsia" w:cstheme="majorBidi"/>
      <w:color w:val="0F4761" w:themeColor="accent1" w:themeShade="BF"/>
      <w:sz w:val="24"/>
      <w:lang w:eastAsia="en-IN"/>
    </w:rPr>
  </w:style>
  <w:style w:type="character" w:customStyle="1" w:styleId="Heading6Char">
    <w:name w:val="Heading 6 Char"/>
    <w:basedOn w:val="DefaultParagraphFont"/>
    <w:link w:val="Heading6"/>
    <w:uiPriority w:val="9"/>
    <w:semiHidden/>
    <w:rsid w:val="00FD03C2"/>
    <w:rPr>
      <w:rFonts w:eastAsiaTheme="majorEastAsia" w:cstheme="majorBidi"/>
      <w:i/>
      <w:iCs/>
      <w:color w:val="595959" w:themeColor="text1" w:themeTint="A6"/>
      <w:sz w:val="24"/>
      <w:lang w:eastAsia="en-IN"/>
    </w:rPr>
  </w:style>
  <w:style w:type="character" w:customStyle="1" w:styleId="Heading7Char">
    <w:name w:val="Heading 7 Char"/>
    <w:basedOn w:val="DefaultParagraphFont"/>
    <w:link w:val="Heading7"/>
    <w:uiPriority w:val="9"/>
    <w:semiHidden/>
    <w:rsid w:val="00FD03C2"/>
    <w:rPr>
      <w:rFonts w:eastAsiaTheme="majorEastAsia" w:cstheme="majorBidi"/>
      <w:color w:val="595959" w:themeColor="text1" w:themeTint="A6"/>
      <w:sz w:val="24"/>
      <w:lang w:eastAsia="en-IN"/>
    </w:rPr>
  </w:style>
  <w:style w:type="character" w:customStyle="1" w:styleId="Heading8Char">
    <w:name w:val="Heading 8 Char"/>
    <w:basedOn w:val="DefaultParagraphFont"/>
    <w:link w:val="Heading8"/>
    <w:uiPriority w:val="9"/>
    <w:semiHidden/>
    <w:rsid w:val="00FD03C2"/>
    <w:rPr>
      <w:rFonts w:eastAsiaTheme="majorEastAsia" w:cstheme="majorBidi"/>
      <w:i/>
      <w:iCs/>
      <w:color w:val="272727" w:themeColor="text1" w:themeTint="D8"/>
      <w:sz w:val="24"/>
      <w:lang w:eastAsia="en-IN"/>
    </w:rPr>
  </w:style>
  <w:style w:type="character" w:customStyle="1" w:styleId="Heading9Char">
    <w:name w:val="Heading 9 Char"/>
    <w:basedOn w:val="DefaultParagraphFont"/>
    <w:link w:val="Heading9"/>
    <w:uiPriority w:val="9"/>
    <w:semiHidden/>
    <w:rsid w:val="00FD03C2"/>
    <w:rPr>
      <w:rFonts w:eastAsiaTheme="majorEastAsia" w:cstheme="majorBidi"/>
      <w:color w:val="272727" w:themeColor="text1" w:themeTint="D8"/>
      <w:sz w:val="24"/>
      <w:lang w:eastAsia="en-IN"/>
    </w:rPr>
  </w:style>
  <w:style w:type="paragraph" w:styleId="Title">
    <w:name w:val="Title"/>
    <w:basedOn w:val="Normal"/>
    <w:next w:val="Normal"/>
    <w:link w:val="TitleChar"/>
    <w:uiPriority w:val="10"/>
    <w:qFormat/>
    <w:rsid w:val="00FD03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3C2"/>
    <w:rPr>
      <w:rFonts w:asciiTheme="majorHAnsi" w:eastAsiaTheme="majorEastAsia" w:hAnsiTheme="majorHAnsi" w:cstheme="majorBidi"/>
      <w:spacing w:val="-10"/>
      <w:kern w:val="28"/>
      <w:sz w:val="56"/>
      <w:szCs w:val="56"/>
      <w:lang w:eastAsia="en-IN"/>
    </w:rPr>
  </w:style>
  <w:style w:type="paragraph" w:styleId="Subtitle">
    <w:name w:val="Subtitle"/>
    <w:basedOn w:val="Normal"/>
    <w:next w:val="Normal"/>
    <w:link w:val="SubtitleChar"/>
    <w:uiPriority w:val="11"/>
    <w:qFormat/>
    <w:rsid w:val="00FD03C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3C2"/>
    <w:rPr>
      <w:rFonts w:eastAsiaTheme="majorEastAsia" w:cstheme="majorBidi"/>
      <w:color w:val="595959" w:themeColor="text1" w:themeTint="A6"/>
      <w:spacing w:val="15"/>
      <w:sz w:val="28"/>
      <w:szCs w:val="28"/>
      <w:lang w:eastAsia="en-IN"/>
    </w:rPr>
  </w:style>
  <w:style w:type="paragraph" w:styleId="Quote">
    <w:name w:val="Quote"/>
    <w:basedOn w:val="Normal"/>
    <w:next w:val="Normal"/>
    <w:link w:val="QuoteChar"/>
    <w:uiPriority w:val="29"/>
    <w:qFormat/>
    <w:rsid w:val="00FD03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03C2"/>
    <w:rPr>
      <w:rFonts w:ascii="Times New Roman" w:hAnsi="Times New Roman" w:cs="Arial"/>
      <w:i/>
      <w:iCs/>
      <w:color w:val="404040" w:themeColor="text1" w:themeTint="BF"/>
      <w:sz w:val="24"/>
      <w:lang w:eastAsia="en-IN"/>
    </w:rPr>
  </w:style>
  <w:style w:type="paragraph" w:styleId="ListParagraph">
    <w:name w:val="List Paragraph"/>
    <w:basedOn w:val="Normal"/>
    <w:uiPriority w:val="34"/>
    <w:qFormat/>
    <w:rsid w:val="00FD03C2"/>
    <w:pPr>
      <w:ind w:left="720"/>
      <w:contextualSpacing/>
    </w:pPr>
  </w:style>
  <w:style w:type="character" w:styleId="IntenseEmphasis">
    <w:name w:val="Intense Emphasis"/>
    <w:basedOn w:val="DefaultParagraphFont"/>
    <w:uiPriority w:val="21"/>
    <w:qFormat/>
    <w:rsid w:val="00FD03C2"/>
    <w:rPr>
      <w:i/>
      <w:iCs/>
      <w:color w:val="0F4761" w:themeColor="accent1" w:themeShade="BF"/>
    </w:rPr>
  </w:style>
  <w:style w:type="paragraph" w:styleId="IntenseQuote">
    <w:name w:val="Intense Quote"/>
    <w:basedOn w:val="Normal"/>
    <w:next w:val="Normal"/>
    <w:link w:val="IntenseQuoteChar"/>
    <w:uiPriority w:val="30"/>
    <w:qFormat/>
    <w:rsid w:val="00FD03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3C2"/>
    <w:rPr>
      <w:rFonts w:ascii="Times New Roman" w:hAnsi="Times New Roman" w:cs="Arial"/>
      <w:i/>
      <w:iCs/>
      <w:color w:val="0F4761" w:themeColor="accent1" w:themeShade="BF"/>
      <w:sz w:val="24"/>
      <w:lang w:eastAsia="en-IN"/>
    </w:rPr>
  </w:style>
  <w:style w:type="character" w:styleId="IntenseReference">
    <w:name w:val="Intense Reference"/>
    <w:basedOn w:val="DefaultParagraphFont"/>
    <w:uiPriority w:val="32"/>
    <w:qFormat/>
    <w:rsid w:val="00FD03C2"/>
    <w:rPr>
      <w:b/>
      <w:bCs/>
      <w:smallCaps/>
      <w:color w:val="0F4761" w:themeColor="accent1" w:themeShade="BF"/>
      <w:spacing w:val="5"/>
    </w:rPr>
  </w:style>
  <w:style w:type="character" w:styleId="Hyperlink">
    <w:name w:val="Hyperlink"/>
    <w:basedOn w:val="DefaultParagraphFont"/>
    <w:uiPriority w:val="99"/>
    <w:unhideWhenUsed/>
    <w:rsid w:val="00D86757"/>
    <w:rPr>
      <w:color w:val="467886" w:themeColor="hyperlink"/>
      <w:u w:val="single"/>
    </w:rPr>
  </w:style>
  <w:style w:type="character" w:customStyle="1" w:styleId="UnresolvedMention1">
    <w:name w:val="Unresolved Mention1"/>
    <w:basedOn w:val="DefaultParagraphFont"/>
    <w:uiPriority w:val="99"/>
    <w:semiHidden/>
    <w:unhideWhenUsed/>
    <w:rsid w:val="00D86757"/>
    <w:rPr>
      <w:color w:val="605E5C"/>
      <w:shd w:val="clear" w:color="auto" w:fill="E1DFDD"/>
    </w:rPr>
  </w:style>
  <w:style w:type="table" w:customStyle="1" w:styleId="GridTable4-Accent31">
    <w:name w:val="Grid Table 4 - Accent 31"/>
    <w:basedOn w:val="TableNormal"/>
    <w:uiPriority w:val="49"/>
    <w:rsid w:val="00467A3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customStyle="1" w:styleId="GridTable5Dark-Accent11">
    <w:name w:val="Grid Table 5 Dark - Accent 11"/>
    <w:basedOn w:val="TableNormal"/>
    <w:uiPriority w:val="50"/>
    <w:rsid w:val="00E62E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Heading">
    <w:name w:val="TOC Heading"/>
    <w:basedOn w:val="Heading1"/>
    <w:next w:val="Normal"/>
    <w:uiPriority w:val="39"/>
    <w:unhideWhenUsed/>
    <w:qFormat/>
    <w:rsid w:val="00082A80"/>
    <w:pPr>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eastAsia="en-US"/>
    </w:rPr>
  </w:style>
  <w:style w:type="paragraph" w:styleId="TOC1">
    <w:name w:val="toc 1"/>
    <w:basedOn w:val="Normal"/>
    <w:next w:val="Normal"/>
    <w:autoRedefine/>
    <w:uiPriority w:val="39"/>
    <w:unhideWhenUsed/>
    <w:rsid w:val="00082A80"/>
    <w:pPr>
      <w:spacing w:after="100"/>
    </w:pPr>
  </w:style>
  <w:style w:type="paragraph" w:styleId="TOC2">
    <w:name w:val="toc 2"/>
    <w:basedOn w:val="Normal"/>
    <w:next w:val="Normal"/>
    <w:autoRedefine/>
    <w:uiPriority w:val="39"/>
    <w:unhideWhenUsed/>
    <w:rsid w:val="00082A80"/>
    <w:pPr>
      <w:spacing w:after="100"/>
      <w:ind w:left="240"/>
    </w:pPr>
  </w:style>
  <w:style w:type="paragraph" w:styleId="BalloonText">
    <w:name w:val="Balloon Text"/>
    <w:basedOn w:val="Normal"/>
    <w:link w:val="BalloonTextChar"/>
    <w:uiPriority w:val="99"/>
    <w:semiHidden/>
    <w:unhideWhenUsed/>
    <w:rsid w:val="002F02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02E5"/>
    <w:rPr>
      <w:rFonts w:ascii="Tahoma" w:hAnsi="Tahoma" w:cs="Tahoma"/>
      <w:sz w:val="16"/>
      <w:szCs w:val="1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9630816/pdf/11356_2022_Article_23699.pdf" TargetMode="External"/><Relationship Id="rId18" Type="http://schemas.openxmlformats.org/officeDocument/2006/relationships/hyperlink" Target="https://www.nature.com/articles/s44159-021-00006-y.pdf" TargetMode="External"/><Relationship Id="rId26" Type="http://schemas.openxmlformats.org/officeDocument/2006/relationships/hyperlink" Target="https://link.springer.com/content/pdf/10.1007/s11356-023-31495-4.pdf" TargetMode="External"/><Relationship Id="rId21" Type="http://schemas.openxmlformats.org/officeDocument/2006/relationships/hyperlink" Target="https://research-repository.griffith.edu.au/bitstreams/a1b79385-3575-4056-a117-8db82820a678/download" TargetMode="External"/><Relationship Id="rId34" Type="http://schemas.openxmlformats.org/officeDocument/2006/relationships/hyperlink" Target="https://www.theguardian.com/world/2026/may/26/bhp-files-australian-government-emissions" TargetMode="External"/><Relationship Id="rId7" Type="http://schemas.openxmlformats.org/officeDocument/2006/relationships/diagramLayout" Target="diagrams/layout1.xml"/><Relationship Id="rId12" Type="http://schemas.openxmlformats.org/officeDocument/2006/relationships/hyperlink" Target="https://par.nsf.gov/servlets/purl/10435231" TargetMode="External"/><Relationship Id="rId17" Type="http://schemas.openxmlformats.org/officeDocument/2006/relationships/hyperlink" Target="https://www.econstor.eu/bitstream/10419/317609/1/1832940977.pdf" TargetMode="External"/><Relationship Id="rId25" Type="http://schemas.openxmlformats.org/officeDocument/2006/relationships/hyperlink" Target="https://www.mdpi.com/2071-1050/14/22/15135" TargetMode="External"/><Relationship Id="rId33" Type="http://schemas.openxmlformats.org/officeDocument/2006/relationships/hyperlink" Target="https://www.mdpi.com/1996-1073/18/13/3401"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075-163X/14/8/796" TargetMode="External"/><Relationship Id="rId20" Type="http://schemas.openxmlformats.org/officeDocument/2006/relationships/hyperlink" Target="https://www.cell.com/heliyon/pdf/S2405-8440(24)10831-6.pdf" TargetMode="External"/><Relationship Id="rId29" Type="http://schemas.openxmlformats.org/officeDocument/2006/relationships/hyperlink" Target="https://www.unsw.edu.au/content/dam/pdfs/law/unsw-law-journal/2020-2029/2023/Issue-461-03-McDonald-et-al-1.pdf"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s://sssjournal.com/files/sssjournal/e5935340-8b65-4cf6-a1c1-cf266026257d.pdf" TargetMode="External"/><Relationship Id="rId24" Type="http://schemas.openxmlformats.org/officeDocument/2006/relationships/hyperlink" Target="https://www.investegate.co.uk/announcement/rns/bhp-group-limited-npv-di---bhp/bhp-fy2025-results-announcement/9062185" TargetMode="External"/><Relationship Id="rId32" Type="http://schemas.openxmlformats.org/officeDocument/2006/relationships/hyperlink" Target="https://www.riotinto.com/en/news/releases/2024/rio-tinto-to-install-carbon-free-aluminium-smelting-cells-using-first-elysistm-technology-licenc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dpi.com/2071-1050/14/13/8163" TargetMode="External"/><Relationship Id="rId23" Type="http://schemas.openxmlformats.org/officeDocument/2006/relationships/hyperlink" Target="https://www.sciencedirect.com/science/article/am/pii/S0306261921007790" TargetMode="External"/><Relationship Id="rId28" Type="http://schemas.openxmlformats.org/officeDocument/2006/relationships/hyperlink" Target="https://www.sciencedirect.com/science/article/pii/S1364032120309011" TargetMode="External"/><Relationship Id="rId36" Type="http://schemas.openxmlformats.org/officeDocument/2006/relationships/hyperlink" Target="https://wires.onlinelibrary.wiley.com/doi/pdfdirect/10.1002/wcc.919" TargetMode="External"/><Relationship Id="rId10" Type="http://schemas.microsoft.com/office/2007/relationships/diagramDrawing" Target="diagrams/drawing1.xml"/><Relationship Id="rId19" Type="http://schemas.openxmlformats.org/officeDocument/2006/relationships/hyperlink" Target="https://www.fortescue.com/what-we-do/global-growth" TargetMode="External"/><Relationship Id="rId31" Type="http://schemas.openxmlformats.org/officeDocument/2006/relationships/hyperlink" Target="https://www.sciencedirect.com/science/article/pii/S2211467X22001377"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www.bhp.com/investor-hub/reports-and-presentations/annual-report" TargetMode="External"/><Relationship Id="rId22" Type="http://schemas.openxmlformats.org/officeDocument/2006/relationships/hyperlink" Target="https://www.sciencedirect.com/science/article/pii/S2444569X2300046X" TargetMode="External"/><Relationship Id="rId27" Type="http://schemas.openxmlformats.org/officeDocument/2006/relationships/hyperlink" Target="https://www.sciencedirect.com/science/article/pii/S2666990024000120" TargetMode="External"/><Relationship Id="rId30" Type="http://schemas.openxmlformats.org/officeDocument/2006/relationships/hyperlink" Target="https://www.mdpi.com/2079-9276/14/3/41" TargetMode="External"/><Relationship Id="rId35" Type="http://schemas.openxmlformats.org/officeDocument/2006/relationships/hyperlink" Target="https://link.springer.com/article/10.1007/s11837-026-08343-0" TargetMode="External"/><Relationship Id="rId8" Type="http://schemas.openxmlformats.org/officeDocument/2006/relationships/diagramQuickStyle" Target="diagrams/quickStyle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A04AF1-AB8C-48B5-98CB-2CB4046B9A64}"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695E6831-85EF-4B6D-833B-4D973C92D3DD}">
      <dgm:prSet phldrT="[Text]"/>
      <dgm:spPr/>
      <dgm:t>
        <a:bodyPr/>
        <a:lstStyle/>
        <a:p>
          <a:r>
            <a:rPr lang="en-IN" b="1"/>
            <a:t>Natural Environment</a:t>
          </a:r>
        </a:p>
      </dgm:t>
    </dgm:pt>
    <dgm:pt modelId="{0C134AD0-F001-4C35-89EC-404549B533C2}" type="parTrans" cxnId="{48039992-A8CE-45F4-96FC-6E9D2357C5FF}">
      <dgm:prSet/>
      <dgm:spPr/>
      <dgm:t>
        <a:bodyPr/>
        <a:lstStyle/>
        <a:p>
          <a:endParaRPr lang="en-IN"/>
        </a:p>
      </dgm:t>
    </dgm:pt>
    <dgm:pt modelId="{0F468E1E-4261-47C9-A9FF-5E9C145EB33A}" type="sibTrans" cxnId="{48039992-A8CE-45F4-96FC-6E9D2357C5FF}">
      <dgm:prSet/>
      <dgm:spPr/>
      <dgm:t>
        <a:bodyPr/>
        <a:lstStyle/>
        <a:p>
          <a:endParaRPr lang="en-IN"/>
        </a:p>
      </dgm:t>
    </dgm:pt>
    <dgm:pt modelId="{5E083474-E161-4365-B018-85A503E3F2ED}">
      <dgm:prSet/>
      <dgm:spPr/>
      <dgm:t>
        <a:bodyPr/>
        <a:lstStyle/>
        <a:p>
          <a:pPr>
            <a:buNone/>
          </a:pPr>
          <a:r>
            <a:rPr lang="en-IN" b="1"/>
            <a:t>Political and Regulatory Environment</a:t>
          </a:r>
          <a:endParaRPr lang="en-IN"/>
        </a:p>
      </dgm:t>
    </dgm:pt>
    <dgm:pt modelId="{C6BB24D5-E0BA-4A60-A7F0-E3EDD656315A}" type="parTrans" cxnId="{31073471-4D17-47F2-A6FF-A447944E91DE}">
      <dgm:prSet/>
      <dgm:spPr/>
      <dgm:t>
        <a:bodyPr/>
        <a:lstStyle/>
        <a:p>
          <a:endParaRPr lang="en-IN"/>
        </a:p>
      </dgm:t>
    </dgm:pt>
    <dgm:pt modelId="{83F4D428-DC5B-43A8-8AA1-EDCD871EE77B}" type="sibTrans" cxnId="{31073471-4D17-47F2-A6FF-A447944E91DE}">
      <dgm:prSet/>
      <dgm:spPr/>
      <dgm:t>
        <a:bodyPr/>
        <a:lstStyle/>
        <a:p>
          <a:endParaRPr lang="en-IN"/>
        </a:p>
      </dgm:t>
    </dgm:pt>
    <dgm:pt modelId="{BABD16F6-015C-4A96-8FDB-5B8B26681D37}" type="pres">
      <dgm:prSet presAssocID="{99A04AF1-AB8C-48B5-98CB-2CB4046B9A64}" presName="linear" presStyleCnt="0">
        <dgm:presLayoutVars>
          <dgm:dir/>
          <dgm:animLvl val="lvl"/>
          <dgm:resizeHandles val="exact"/>
        </dgm:presLayoutVars>
      </dgm:prSet>
      <dgm:spPr/>
    </dgm:pt>
    <dgm:pt modelId="{8C3BC2D0-6A3F-4E06-8092-7569FCDF9E96}" type="pres">
      <dgm:prSet presAssocID="{695E6831-85EF-4B6D-833B-4D973C92D3DD}" presName="parentLin" presStyleCnt="0"/>
      <dgm:spPr/>
    </dgm:pt>
    <dgm:pt modelId="{70DEC6B0-BDC2-4EB0-ACB6-F80A2A305E3A}" type="pres">
      <dgm:prSet presAssocID="{695E6831-85EF-4B6D-833B-4D973C92D3DD}" presName="parentLeftMargin" presStyleLbl="node1" presStyleIdx="0" presStyleCnt="2"/>
      <dgm:spPr/>
    </dgm:pt>
    <dgm:pt modelId="{4C981E79-470E-4E6B-A2DE-8BECA200D467}" type="pres">
      <dgm:prSet presAssocID="{695E6831-85EF-4B6D-833B-4D973C92D3DD}" presName="parentText" presStyleLbl="node1" presStyleIdx="0" presStyleCnt="2">
        <dgm:presLayoutVars>
          <dgm:chMax val="0"/>
          <dgm:bulletEnabled val="1"/>
        </dgm:presLayoutVars>
      </dgm:prSet>
      <dgm:spPr/>
    </dgm:pt>
    <dgm:pt modelId="{FB762562-0F95-46CA-8677-A7C7A00C5489}" type="pres">
      <dgm:prSet presAssocID="{695E6831-85EF-4B6D-833B-4D973C92D3DD}" presName="negativeSpace" presStyleCnt="0"/>
      <dgm:spPr/>
    </dgm:pt>
    <dgm:pt modelId="{8289D480-919F-4D5F-AB9E-0BF698D69530}" type="pres">
      <dgm:prSet presAssocID="{695E6831-85EF-4B6D-833B-4D973C92D3DD}" presName="childText" presStyleLbl="conFgAcc1" presStyleIdx="0" presStyleCnt="2">
        <dgm:presLayoutVars>
          <dgm:bulletEnabled val="1"/>
        </dgm:presLayoutVars>
      </dgm:prSet>
      <dgm:spPr/>
    </dgm:pt>
    <dgm:pt modelId="{904DF1A1-0F13-46C9-811F-E44C0FEAC6A7}" type="pres">
      <dgm:prSet presAssocID="{0F468E1E-4261-47C9-A9FF-5E9C145EB33A}" presName="spaceBetweenRectangles" presStyleCnt="0"/>
      <dgm:spPr/>
    </dgm:pt>
    <dgm:pt modelId="{743E1A53-A5F8-4BC7-893C-88154754D5A9}" type="pres">
      <dgm:prSet presAssocID="{5E083474-E161-4365-B018-85A503E3F2ED}" presName="parentLin" presStyleCnt="0"/>
      <dgm:spPr/>
    </dgm:pt>
    <dgm:pt modelId="{B8F2FA86-FF95-449D-9CB3-0B4D6BF69859}" type="pres">
      <dgm:prSet presAssocID="{5E083474-E161-4365-B018-85A503E3F2ED}" presName="parentLeftMargin" presStyleLbl="node1" presStyleIdx="0" presStyleCnt="2"/>
      <dgm:spPr/>
    </dgm:pt>
    <dgm:pt modelId="{12B1AFD9-A594-435F-8A5B-9CADAADC2EEA}" type="pres">
      <dgm:prSet presAssocID="{5E083474-E161-4365-B018-85A503E3F2ED}" presName="parentText" presStyleLbl="node1" presStyleIdx="1" presStyleCnt="2">
        <dgm:presLayoutVars>
          <dgm:chMax val="0"/>
          <dgm:bulletEnabled val="1"/>
        </dgm:presLayoutVars>
      </dgm:prSet>
      <dgm:spPr/>
    </dgm:pt>
    <dgm:pt modelId="{87001399-6165-493F-BD09-8ADF22CD34AC}" type="pres">
      <dgm:prSet presAssocID="{5E083474-E161-4365-B018-85A503E3F2ED}" presName="negativeSpace" presStyleCnt="0"/>
      <dgm:spPr/>
    </dgm:pt>
    <dgm:pt modelId="{218DE23F-9EE7-40C4-B9F5-5450108C701C}" type="pres">
      <dgm:prSet presAssocID="{5E083474-E161-4365-B018-85A503E3F2ED}" presName="childText" presStyleLbl="conFgAcc1" presStyleIdx="1" presStyleCnt="2">
        <dgm:presLayoutVars>
          <dgm:bulletEnabled val="1"/>
        </dgm:presLayoutVars>
      </dgm:prSet>
      <dgm:spPr/>
    </dgm:pt>
  </dgm:ptLst>
  <dgm:cxnLst>
    <dgm:cxn modelId="{453A5B38-1355-44F6-AC42-133F118D92A3}" type="presOf" srcId="{695E6831-85EF-4B6D-833B-4D973C92D3DD}" destId="{4C981E79-470E-4E6B-A2DE-8BECA200D467}" srcOrd="1" destOrd="0" presId="urn:microsoft.com/office/officeart/2005/8/layout/list1"/>
    <dgm:cxn modelId="{EFC0AE3C-9950-4D16-95F9-C71687883FDA}" type="presOf" srcId="{5E083474-E161-4365-B018-85A503E3F2ED}" destId="{B8F2FA86-FF95-449D-9CB3-0B4D6BF69859}" srcOrd="0" destOrd="0" presId="urn:microsoft.com/office/officeart/2005/8/layout/list1"/>
    <dgm:cxn modelId="{4CE4146A-D7CD-440F-BBD9-4014417B3132}" type="presOf" srcId="{99A04AF1-AB8C-48B5-98CB-2CB4046B9A64}" destId="{BABD16F6-015C-4A96-8FDB-5B8B26681D37}" srcOrd="0" destOrd="0" presId="urn:microsoft.com/office/officeart/2005/8/layout/list1"/>
    <dgm:cxn modelId="{31073471-4D17-47F2-A6FF-A447944E91DE}" srcId="{99A04AF1-AB8C-48B5-98CB-2CB4046B9A64}" destId="{5E083474-E161-4365-B018-85A503E3F2ED}" srcOrd="1" destOrd="0" parTransId="{C6BB24D5-E0BA-4A60-A7F0-E3EDD656315A}" sibTransId="{83F4D428-DC5B-43A8-8AA1-EDCD871EE77B}"/>
    <dgm:cxn modelId="{48039992-A8CE-45F4-96FC-6E9D2357C5FF}" srcId="{99A04AF1-AB8C-48B5-98CB-2CB4046B9A64}" destId="{695E6831-85EF-4B6D-833B-4D973C92D3DD}" srcOrd="0" destOrd="0" parTransId="{0C134AD0-F001-4C35-89EC-404549B533C2}" sibTransId="{0F468E1E-4261-47C9-A9FF-5E9C145EB33A}"/>
    <dgm:cxn modelId="{F5BDBFEA-61D8-4E01-A2B6-1F463B0B54BE}" type="presOf" srcId="{5E083474-E161-4365-B018-85A503E3F2ED}" destId="{12B1AFD9-A594-435F-8A5B-9CADAADC2EEA}" srcOrd="1" destOrd="0" presId="urn:microsoft.com/office/officeart/2005/8/layout/list1"/>
    <dgm:cxn modelId="{616236F5-CDAF-47A6-9037-6F01C9F20D5F}" type="presOf" srcId="{695E6831-85EF-4B6D-833B-4D973C92D3DD}" destId="{70DEC6B0-BDC2-4EB0-ACB6-F80A2A305E3A}" srcOrd="0" destOrd="0" presId="urn:microsoft.com/office/officeart/2005/8/layout/list1"/>
    <dgm:cxn modelId="{E1BB500D-4DEC-410D-BF8B-E7407A89ACDA}" type="presParOf" srcId="{BABD16F6-015C-4A96-8FDB-5B8B26681D37}" destId="{8C3BC2D0-6A3F-4E06-8092-7569FCDF9E96}" srcOrd="0" destOrd="0" presId="urn:microsoft.com/office/officeart/2005/8/layout/list1"/>
    <dgm:cxn modelId="{074381E3-951A-46A0-830D-8AF693C9E5AD}" type="presParOf" srcId="{8C3BC2D0-6A3F-4E06-8092-7569FCDF9E96}" destId="{70DEC6B0-BDC2-4EB0-ACB6-F80A2A305E3A}" srcOrd="0" destOrd="0" presId="urn:microsoft.com/office/officeart/2005/8/layout/list1"/>
    <dgm:cxn modelId="{A36FDB4B-BCD6-409A-A10F-FB0DE3DFA7B4}" type="presParOf" srcId="{8C3BC2D0-6A3F-4E06-8092-7569FCDF9E96}" destId="{4C981E79-470E-4E6B-A2DE-8BECA200D467}" srcOrd="1" destOrd="0" presId="urn:microsoft.com/office/officeart/2005/8/layout/list1"/>
    <dgm:cxn modelId="{E4378427-FD62-4907-8D82-10AEB3983D6E}" type="presParOf" srcId="{BABD16F6-015C-4A96-8FDB-5B8B26681D37}" destId="{FB762562-0F95-46CA-8677-A7C7A00C5489}" srcOrd="1" destOrd="0" presId="urn:microsoft.com/office/officeart/2005/8/layout/list1"/>
    <dgm:cxn modelId="{AFD8CEBE-D86A-4595-9C32-F6D5F0243467}" type="presParOf" srcId="{BABD16F6-015C-4A96-8FDB-5B8B26681D37}" destId="{8289D480-919F-4D5F-AB9E-0BF698D69530}" srcOrd="2" destOrd="0" presId="urn:microsoft.com/office/officeart/2005/8/layout/list1"/>
    <dgm:cxn modelId="{303015A5-F173-4CFB-A001-3AC22ABD6019}" type="presParOf" srcId="{BABD16F6-015C-4A96-8FDB-5B8B26681D37}" destId="{904DF1A1-0F13-46C9-811F-E44C0FEAC6A7}" srcOrd="3" destOrd="0" presId="urn:microsoft.com/office/officeart/2005/8/layout/list1"/>
    <dgm:cxn modelId="{CBCC1CFD-68C8-4816-BAFB-2AE4CD484B27}" type="presParOf" srcId="{BABD16F6-015C-4A96-8FDB-5B8B26681D37}" destId="{743E1A53-A5F8-4BC7-893C-88154754D5A9}" srcOrd="4" destOrd="0" presId="urn:microsoft.com/office/officeart/2005/8/layout/list1"/>
    <dgm:cxn modelId="{7854DCAE-6444-40CE-879E-2644809C3A8E}" type="presParOf" srcId="{743E1A53-A5F8-4BC7-893C-88154754D5A9}" destId="{B8F2FA86-FF95-449D-9CB3-0B4D6BF69859}" srcOrd="0" destOrd="0" presId="urn:microsoft.com/office/officeart/2005/8/layout/list1"/>
    <dgm:cxn modelId="{3CFF5416-8C84-405B-8005-2DBDF4F720D1}" type="presParOf" srcId="{743E1A53-A5F8-4BC7-893C-88154754D5A9}" destId="{12B1AFD9-A594-435F-8A5B-9CADAADC2EEA}" srcOrd="1" destOrd="0" presId="urn:microsoft.com/office/officeart/2005/8/layout/list1"/>
    <dgm:cxn modelId="{1934F804-4D15-469D-9580-8C63986D4DEC}" type="presParOf" srcId="{BABD16F6-015C-4A96-8FDB-5B8B26681D37}" destId="{87001399-6165-493F-BD09-8ADF22CD34AC}" srcOrd="5" destOrd="0" presId="urn:microsoft.com/office/officeart/2005/8/layout/list1"/>
    <dgm:cxn modelId="{66E4F7DF-D103-4C1C-8FF1-2D5F82E9E093}" type="presParOf" srcId="{BABD16F6-015C-4A96-8FDB-5B8B26681D37}" destId="{218DE23F-9EE7-40C4-B9F5-5450108C701C}" srcOrd="6" destOrd="0" presId="urn:microsoft.com/office/officeart/2005/8/layout/lis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89D480-919F-4D5F-AB9E-0BF698D69530}">
      <dsp:nvSpPr>
        <dsp:cNvPr id="0" name=""/>
        <dsp:cNvSpPr/>
      </dsp:nvSpPr>
      <dsp:spPr>
        <a:xfrm>
          <a:off x="0" y="473555"/>
          <a:ext cx="4148667"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981E79-470E-4E6B-A2DE-8BECA200D467}">
      <dsp:nvSpPr>
        <dsp:cNvPr id="0" name=""/>
        <dsp:cNvSpPr/>
      </dsp:nvSpPr>
      <dsp:spPr>
        <a:xfrm>
          <a:off x="207433" y="296435"/>
          <a:ext cx="2904066"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9767" tIns="0" rIns="109767" bIns="0" numCol="1" spcCol="1270" anchor="ctr" anchorCtr="0">
          <a:noAutofit/>
        </a:bodyPr>
        <a:lstStyle/>
        <a:p>
          <a:pPr marL="0" lvl="0" indent="0" algn="l" defTabSz="533400">
            <a:lnSpc>
              <a:spcPct val="90000"/>
            </a:lnSpc>
            <a:spcBef>
              <a:spcPct val="0"/>
            </a:spcBef>
            <a:spcAft>
              <a:spcPct val="35000"/>
            </a:spcAft>
            <a:buNone/>
          </a:pPr>
          <a:r>
            <a:rPr lang="en-IN" sz="1200" b="1" kern="1200"/>
            <a:t>Natural Environment</a:t>
          </a:r>
        </a:p>
      </dsp:txBody>
      <dsp:txXfrm>
        <a:off x="224726" y="313728"/>
        <a:ext cx="2869480" cy="319654"/>
      </dsp:txXfrm>
    </dsp:sp>
    <dsp:sp modelId="{218DE23F-9EE7-40C4-B9F5-5450108C701C}">
      <dsp:nvSpPr>
        <dsp:cNvPr id="0" name=""/>
        <dsp:cNvSpPr/>
      </dsp:nvSpPr>
      <dsp:spPr>
        <a:xfrm>
          <a:off x="0" y="1017875"/>
          <a:ext cx="4148667"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B1AFD9-A594-435F-8A5B-9CADAADC2EEA}">
      <dsp:nvSpPr>
        <dsp:cNvPr id="0" name=""/>
        <dsp:cNvSpPr/>
      </dsp:nvSpPr>
      <dsp:spPr>
        <a:xfrm>
          <a:off x="207433" y="840755"/>
          <a:ext cx="2904066"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9767" tIns="0" rIns="109767" bIns="0" numCol="1" spcCol="1270" anchor="ctr" anchorCtr="0">
          <a:noAutofit/>
        </a:bodyPr>
        <a:lstStyle/>
        <a:p>
          <a:pPr marL="0" lvl="0" indent="0" algn="l" defTabSz="533400">
            <a:lnSpc>
              <a:spcPct val="90000"/>
            </a:lnSpc>
            <a:spcBef>
              <a:spcPct val="0"/>
            </a:spcBef>
            <a:spcAft>
              <a:spcPct val="35000"/>
            </a:spcAft>
            <a:buNone/>
          </a:pPr>
          <a:r>
            <a:rPr lang="en-IN" sz="1200" b="1" kern="1200"/>
            <a:t>Political and Regulatory Environment</a:t>
          </a:r>
          <a:endParaRPr lang="en-IN" sz="1200" kern="1200"/>
        </a:p>
      </dsp:txBody>
      <dsp:txXfrm>
        <a:off x="224726" y="858048"/>
        <a:ext cx="2869480"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39017-109A-481E-B4FE-1B331D052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3942</Words>
  <Characters>24802</Characters>
  <Application>Microsoft Office Word</Application>
  <DocSecurity>0</DocSecurity>
  <Lines>563</Lines>
  <Paragraphs>273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28471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Shreman Mankad</dc:creator>
  <cp:keywords/>
  <dc:description/>
  <cp:lastModifiedBy>Shreman Bhushanbhai Mankad (2537843)</cp:lastModifiedBy>
  <cp:revision>5</cp:revision>
  <dcterms:created xsi:type="dcterms:W3CDTF">2026-06-24T13:30:00Z</dcterms:created>
  <dcterms:modified xsi:type="dcterms:W3CDTF">2026-06-24T15:40:00Z</dcterms:modified>
  <cp:category/>
</cp:coreProperties>
</file>