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8A7" w:rsidRDefault="00A81DE9" w:rsidP="00C038A7">
      <w:pPr>
        <w:spacing w:before="12"/>
        <w:jc w:val="both"/>
        <w:rPr>
          <w:rFonts w:ascii="Arial" w:hAnsi="Arial" w:cs="Arial"/>
          <w:b/>
        </w:rPr>
      </w:pPr>
      <w:r>
        <w:rPr>
          <w:rFonts w:ascii="Arial" w:hAnsi="Arial" w:cs="Arial"/>
          <w:b/>
        </w:rPr>
        <w:t>Answer 2</w:t>
      </w:r>
      <w:r w:rsidR="00C22276">
        <w:rPr>
          <w:rFonts w:ascii="Arial" w:hAnsi="Arial" w:cs="Arial"/>
          <w:b/>
        </w:rPr>
        <w:t>5</w:t>
      </w:r>
      <w:r w:rsidR="00C038A7">
        <w:rPr>
          <w:rFonts w:ascii="Arial" w:hAnsi="Arial" w:cs="Arial"/>
          <w:b/>
        </w:rPr>
        <w:t xml:space="preserve"> </w:t>
      </w:r>
      <w:r w:rsidR="00D324E2">
        <w:rPr>
          <w:rFonts w:ascii="Arial" w:hAnsi="Arial" w:cs="Arial"/>
          <w:b/>
        </w:rPr>
        <w:t>–</w:t>
      </w:r>
      <w:r w:rsidR="00C038A7">
        <w:rPr>
          <w:rFonts w:ascii="Arial" w:hAnsi="Arial" w:cs="Arial"/>
          <w:b/>
        </w:rPr>
        <w:t xml:space="preserve"> </w:t>
      </w:r>
      <w:r w:rsidR="00C22276">
        <w:rPr>
          <w:rFonts w:ascii="Arial" w:hAnsi="Arial" w:cs="Arial"/>
          <w:b/>
        </w:rPr>
        <w:t>Working capital, Liquidity, Cash forecasts &amp; Financing</w:t>
      </w:r>
    </w:p>
    <w:p w:rsidR="00C22276" w:rsidRPr="00916482" w:rsidRDefault="00C22276" w:rsidP="00C22276">
      <w:pPr>
        <w:spacing w:after="120" w:line="240" w:lineRule="auto"/>
        <w:ind w:left="-284"/>
        <w:jc w:val="both"/>
        <w:rPr>
          <w:rFonts w:cs="Arial"/>
          <w:b/>
        </w:rPr>
      </w:pPr>
      <w:r w:rsidRPr="00916482">
        <w:rPr>
          <w:rFonts w:cs="Arial"/>
          <w:b/>
        </w:rPr>
        <w:t xml:space="preserve"> (a)  Analysis of Working Capital</w:t>
      </w:r>
    </w:p>
    <w:p w:rsidR="00C22276" w:rsidRPr="00DC79BB" w:rsidRDefault="00C22276" w:rsidP="00C22276">
      <w:pPr>
        <w:jc w:val="both"/>
        <w:rPr>
          <w:rFonts w:cs="Arial"/>
        </w:rPr>
      </w:pPr>
      <w:r w:rsidRPr="00DC79BB">
        <w:rPr>
          <w:rFonts w:cs="Arial"/>
        </w:rPr>
        <w:t xml:space="preserve">The expansion of operations has resulted in more than a 50% increase in Sales; however, this has been at the expense of Gross Profit </w:t>
      </w:r>
      <w:proofErr w:type="gramStart"/>
      <w:r w:rsidRPr="00DC79BB">
        <w:rPr>
          <w:rFonts w:cs="Arial"/>
        </w:rPr>
        <w:t>margin which</w:t>
      </w:r>
      <w:proofErr w:type="gramEnd"/>
      <w:r w:rsidRPr="00DC79BB">
        <w:rPr>
          <w:rFonts w:cs="Arial"/>
        </w:rPr>
        <w:t xml:space="preserve"> has reduced from 27.5% to 21.9%.  This is a significant decrease in the period; however, it is likely that this is because of a strategic decision to sell a lower margin </w:t>
      </w:r>
      <w:proofErr w:type="gramStart"/>
      <w:r w:rsidRPr="00DC79BB">
        <w:rPr>
          <w:rFonts w:cs="Arial"/>
        </w:rPr>
        <w:t>product</w:t>
      </w:r>
      <w:proofErr w:type="gramEnd"/>
      <w:r w:rsidRPr="00DC79BB">
        <w:rPr>
          <w:rFonts w:cs="Arial"/>
        </w:rPr>
        <w:t xml:space="preserve"> as costs would not be expected to increase that dramatically in a 6-month period.  Alternatively, it could be the result of a strategic decision to sell the new product at a discount to boost the volume of sales. </w:t>
      </w:r>
    </w:p>
    <w:p w:rsidR="00C22276" w:rsidRPr="00DC79BB" w:rsidRDefault="00C22276" w:rsidP="00C22276">
      <w:pPr>
        <w:jc w:val="both"/>
        <w:rPr>
          <w:rFonts w:cs="Arial"/>
        </w:rPr>
      </w:pPr>
      <w:r w:rsidRPr="00DC79BB">
        <w:rPr>
          <w:rFonts w:cs="Arial"/>
        </w:rPr>
        <w:t xml:space="preserve">There has been a significant increase in Stock, increasing from 58 days to 92 days.  This is not surprising in a period of expansion and it </w:t>
      </w:r>
      <w:proofErr w:type="gramStart"/>
      <w:r w:rsidRPr="00DC79BB">
        <w:rPr>
          <w:rFonts w:cs="Arial"/>
        </w:rPr>
        <w:t>is most likely needed</w:t>
      </w:r>
      <w:proofErr w:type="gramEnd"/>
      <w:r w:rsidRPr="00DC79BB">
        <w:rPr>
          <w:rFonts w:cs="Arial"/>
        </w:rPr>
        <w:t xml:space="preserve"> to meet the increased demand.  More concerning is the position on Creditors and Debtors, as it appears that Alpha is overtrading with an increase in Debtor days from 72 to 101 days in the last six months.  It could be because of more favourable credit terms </w:t>
      </w:r>
      <w:proofErr w:type="gramStart"/>
      <w:r w:rsidRPr="00DC79BB">
        <w:rPr>
          <w:rFonts w:cs="Arial"/>
        </w:rPr>
        <w:t>being offered</w:t>
      </w:r>
      <w:proofErr w:type="gramEnd"/>
      <w:r w:rsidRPr="00DC79BB">
        <w:rPr>
          <w:rFonts w:cs="Arial"/>
        </w:rPr>
        <w:t xml:space="preserve"> to new customers, however since Debtor days have increased beyond Creditor days the result will be increased pressure on the company’s liquidity.  It could be the case that the credit control department has struggled to cope with the increased level of activity and </w:t>
      </w:r>
      <w:proofErr w:type="gramStart"/>
      <w:r w:rsidRPr="00DC79BB">
        <w:rPr>
          <w:rFonts w:cs="Arial"/>
        </w:rPr>
        <w:t>could be addressed</w:t>
      </w:r>
      <w:proofErr w:type="gramEnd"/>
      <w:r w:rsidRPr="00DC79BB">
        <w:rPr>
          <w:rFonts w:cs="Arial"/>
        </w:rPr>
        <w:t xml:space="preserve"> simply by dedicating additional resources to credit control. </w:t>
      </w:r>
    </w:p>
    <w:p w:rsidR="00C22276" w:rsidRPr="00DC79BB" w:rsidRDefault="00C22276" w:rsidP="00C22276">
      <w:pPr>
        <w:jc w:val="both"/>
        <w:rPr>
          <w:rFonts w:cs="Arial"/>
        </w:rPr>
      </w:pPr>
      <w:r w:rsidRPr="00DC79BB">
        <w:rPr>
          <w:rFonts w:cs="Arial"/>
        </w:rPr>
        <w:t xml:space="preserve">The current ratio has fallen from 2.4 to 2.0.  However, the quick ratio is more of a concern as it has decreased from 1.6 to 1.2 and this together with the entity having moved from a positive cash position to having short term borrowings, makes it clear that the expansion has caused problems with the management of working capital.  The company should ensure that an overdraft facility is in place until procedures </w:t>
      </w:r>
      <w:proofErr w:type="gramStart"/>
      <w:r w:rsidRPr="00DC79BB">
        <w:rPr>
          <w:rFonts w:cs="Arial"/>
        </w:rPr>
        <w:t>can be imposed</w:t>
      </w:r>
      <w:proofErr w:type="gramEnd"/>
      <w:r w:rsidRPr="00DC79BB">
        <w:rPr>
          <w:rFonts w:cs="Arial"/>
        </w:rPr>
        <w:t xml:space="preserve"> to improve the management of working capital.</w:t>
      </w:r>
    </w:p>
    <w:p w:rsidR="00C22276" w:rsidRPr="001A2D49" w:rsidRDefault="00C22276" w:rsidP="00C22276">
      <w:pPr>
        <w:spacing w:after="120" w:line="240" w:lineRule="auto"/>
        <w:ind w:left="-284"/>
        <w:jc w:val="both"/>
        <w:rPr>
          <w:rFonts w:cs="Arial"/>
          <w:b/>
        </w:rPr>
      </w:pPr>
      <w:r w:rsidRPr="001A2D49">
        <w:rPr>
          <w:rFonts w:cs="Arial"/>
          <w:b/>
        </w:rPr>
        <w:t>(b)  Cash flow forecast</w:t>
      </w:r>
    </w:p>
    <w:p w:rsidR="00C22276" w:rsidRDefault="00C22276" w:rsidP="00C22276">
      <w:pPr>
        <w:autoSpaceDE w:val="0"/>
        <w:autoSpaceDN w:val="0"/>
        <w:adjustRightInd w:val="0"/>
        <w:spacing w:after="0" w:line="360" w:lineRule="auto"/>
        <w:jc w:val="both"/>
        <w:rPr>
          <w:rFonts w:ascii="Arial" w:hAnsi="Arial" w:cs="Arial"/>
          <w:color w:val="0D0D0D" w:themeColor="text1" w:themeTint="F2"/>
          <w:sz w:val="18"/>
          <w:szCs w:val="18"/>
        </w:rPr>
      </w:pPr>
      <w:r w:rsidRPr="00DB0314">
        <w:rPr>
          <w:rFonts w:ascii="Arial" w:hAnsi="Arial" w:cs="Arial"/>
          <w:color w:val="0D0D0D" w:themeColor="text1" w:themeTint="F2"/>
          <w:sz w:val="18"/>
          <w:szCs w:val="18"/>
        </w:rPr>
        <w:t>(</w:t>
      </w:r>
      <w:r>
        <w:rPr>
          <w:rFonts w:ascii="Arial" w:hAnsi="Arial" w:cs="Arial"/>
          <w:color w:val="0D0D0D" w:themeColor="text1" w:themeTint="F2"/>
          <w:sz w:val="18"/>
          <w:szCs w:val="18"/>
        </w:rPr>
        <w:t>A</w:t>
      </w:r>
      <w:r w:rsidRPr="00DB0314">
        <w:rPr>
          <w:rFonts w:ascii="Arial" w:hAnsi="Arial" w:cs="Arial"/>
          <w:color w:val="0D0D0D" w:themeColor="text1" w:themeTint="F2"/>
          <w:sz w:val="18"/>
          <w:szCs w:val="18"/>
        </w:rPr>
        <w:t>ll amounts are x £1,000)</w:t>
      </w:r>
    </w:p>
    <w:p w:rsidR="00C22276" w:rsidRPr="00F63F62" w:rsidRDefault="00C22276" w:rsidP="00C22276">
      <w:pPr>
        <w:autoSpaceDE w:val="0"/>
        <w:autoSpaceDN w:val="0"/>
        <w:adjustRightInd w:val="0"/>
        <w:spacing w:after="0" w:line="240" w:lineRule="auto"/>
        <w:ind w:left="1440" w:firstLine="720"/>
        <w:rPr>
          <w:rFonts w:ascii="Arial" w:hAnsi="Arial" w:cs="Arial"/>
          <w:b/>
          <w:color w:val="0D0D0D" w:themeColor="text1" w:themeTint="F2"/>
          <w:sz w:val="20"/>
          <w:szCs w:val="20"/>
        </w:rPr>
      </w:pPr>
      <w:r>
        <w:rPr>
          <w:rFonts w:ascii="Arial" w:hAnsi="Arial" w:cs="Arial"/>
          <w:b/>
          <w:color w:val="0D0D0D" w:themeColor="text1" w:themeTint="F2"/>
          <w:sz w:val="20"/>
          <w:szCs w:val="20"/>
        </w:rPr>
        <w:t>J</w:t>
      </w:r>
      <w:r w:rsidRPr="00F63F62">
        <w:rPr>
          <w:rFonts w:ascii="Arial" w:hAnsi="Arial" w:cs="Arial"/>
          <w:b/>
          <w:color w:val="0D0D0D" w:themeColor="text1" w:themeTint="F2"/>
          <w:sz w:val="20"/>
          <w:szCs w:val="20"/>
        </w:rPr>
        <w:t>an</w:t>
      </w:r>
      <w:r>
        <w:rPr>
          <w:rFonts w:ascii="Arial" w:hAnsi="Arial" w:cs="Arial"/>
          <w:b/>
          <w:color w:val="0D0D0D" w:themeColor="text1" w:themeTint="F2"/>
          <w:sz w:val="20"/>
          <w:szCs w:val="20"/>
        </w:rPr>
        <w:tab/>
      </w:r>
      <w:r>
        <w:rPr>
          <w:rFonts w:ascii="Arial" w:hAnsi="Arial" w:cs="Arial"/>
          <w:b/>
          <w:color w:val="0D0D0D" w:themeColor="text1" w:themeTint="F2"/>
          <w:sz w:val="20"/>
          <w:szCs w:val="20"/>
        </w:rPr>
        <w:tab/>
      </w:r>
      <w:r w:rsidRPr="00F63F62">
        <w:rPr>
          <w:rFonts w:ascii="Arial" w:hAnsi="Arial" w:cs="Arial"/>
          <w:b/>
          <w:color w:val="0D0D0D" w:themeColor="text1" w:themeTint="F2"/>
          <w:sz w:val="20"/>
          <w:szCs w:val="20"/>
        </w:rPr>
        <w:t>Feb</w:t>
      </w:r>
      <w:r w:rsidRPr="00F63F62">
        <w:rPr>
          <w:rFonts w:ascii="Arial" w:hAnsi="Arial" w:cs="Arial"/>
          <w:b/>
          <w:color w:val="0D0D0D" w:themeColor="text1" w:themeTint="F2"/>
          <w:sz w:val="20"/>
          <w:szCs w:val="20"/>
        </w:rPr>
        <w:tab/>
      </w:r>
      <w:r>
        <w:rPr>
          <w:rFonts w:ascii="Arial" w:hAnsi="Arial" w:cs="Arial"/>
          <w:b/>
          <w:color w:val="0D0D0D" w:themeColor="text1" w:themeTint="F2"/>
          <w:sz w:val="20"/>
          <w:szCs w:val="20"/>
        </w:rPr>
        <w:tab/>
      </w:r>
      <w:r w:rsidRPr="00F63F62">
        <w:rPr>
          <w:rFonts w:ascii="Arial" w:hAnsi="Arial" w:cs="Arial"/>
          <w:b/>
          <w:color w:val="0D0D0D" w:themeColor="text1" w:themeTint="F2"/>
          <w:sz w:val="20"/>
          <w:szCs w:val="20"/>
        </w:rPr>
        <w:t>March</w:t>
      </w:r>
    </w:p>
    <w:p w:rsidR="00C22276" w:rsidRPr="002D4397" w:rsidRDefault="00C22276" w:rsidP="00C22276">
      <w:pPr>
        <w:autoSpaceDE w:val="0"/>
        <w:autoSpaceDN w:val="0"/>
        <w:adjustRightInd w:val="0"/>
        <w:spacing w:after="0" w:line="360" w:lineRule="auto"/>
        <w:rPr>
          <w:rFonts w:ascii="Arial" w:hAnsi="Arial" w:cs="Arial"/>
          <w:b/>
          <w:color w:val="0D0D0D" w:themeColor="text1" w:themeTint="F2"/>
          <w:sz w:val="20"/>
          <w:szCs w:val="20"/>
        </w:rPr>
      </w:pPr>
      <w:r>
        <w:rPr>
          <w:rFonts w:ascii="Arial" w:hAnsi="Arial" w:cs="Arial"/>
          <w:b/>
          <w:color w:val="0D0D0D" w:themeColor="text1" w:themeTint="F2"/>
          <w:sz w:val="20"/>
          <w:szCs w:val="20"/>
        </w:rPr>
        <w:tab/>
      </w:r>
      <w:r>
        <w:rPr>
          <w:rFonts w:ascii="Arial" w:hAnsi="Arial" w:cs="Arial"/>
          <w:b/>
          <w:color w:val="0D0D0D" w:themeColor="text1" w:themeTint="F2"/>
          <w:sz w:val="20"/>
          <w:szCs w:val="20"/>
        </w:rPr>
        <w:tab/>
      </w:r>
      <w:r>
        <w:rPr>
          <w:rFonts w:ascii="Arial" w:hAnsi="Arial" w:cs="Arial"/>
          <w:b/>
          <w:color w:val="0D0D0D" w:themeColor="text1" w:themeTint="F2"/>
          <w:sz w:val="20"/>
          <w:szCs w:val="20"/>
        </w:rPr>
        <w:tab/>
        <w:t>2017</w:t>
      </w:r>
      <w:r>
        <w:rPr>
          <w:rFonts w:ascii="Arial" w:hAnsi="Arial" w:cs="Arial"/>
          <w:b/>
          <w:color w:val="0D0D0D" w:themeColor="text1" w:themeTint="F2"/>
          <w:sz w:val="20"/>
          <w:szCs w:val="20"/>
        </w:rPr>
        <w:tab/>
      </w:r>
      <w:r>
        <w:rPr>
          <w:rFonts w:ascii="Arial" w:hAnsi="Arial" w:cs="Arial"/>
          <w:b/>
          <w:color w:val="0D0D0D" w:themeColor="text1" w:themeTint="F2"/>
          <w:sz w:val="20"/>
          <w:szCs w:val="20"/>
        </w:rPr>
        <w:tab/>
        <w:t>2017</w:t>
      </w:r>
      <w:r>
        <w:rPr>
          <w:rFonts w:ascii="Arial" w:hAnsi="Arial" w:cs="Arial"/>
          <w:b/>
          <w:color w:val="0D0D0D" w:themeColor="text1" w:themeTint="F2"/>
          <w:sz w:val="20"/>
          <w:szCs w:val="20"/>
        </w:rPr>
        <w:tab/>
      </w:r>
      <w:r>
        <w:rPr>
          <w:rFonts w:ascii="Arial" w:hAnsi="Arial" w:cs="Arial"/>
          <w:b/>
          <w:color w:val="0D0D0D" w:themeColor="text1" w:themeTint="F2"/>
          <w:sz w:val="20"/>
          <w:szCs w:val="20"/>
        </w:rPr>
        <w:tab/>
        <w:t>2017</w:t>
      </w:r>
    </w:p>
    <w:p w:rsidR="00C22276" w:rsidRPr="00292E7E" w:rsidRDefault="00C22276" w:rsidP="00C22276">
      <w:pPr>
        <w:autoSpaceDE w:val="0"/>
        <w:autoSpaceDN w:val="0"/>
        <w:adjustRightInd w:val="0"/>
        <w:spacing w:after="40"/>
        <w:jc w:val="both"/>
        <w:rPr>
          <w:rFonts w:ascii="Arial" w:hAnsi="Arial" w:cs="Arial"/>
          <w:color w:val="0D0D0D" w:themeColor="text1" w:themeTint="F2"/>
          <w:sz w:val="20"/>
          <w:szCs w:val="20"/>
          <w:u w:val="single"/>
        </w:rPr>
      </w:pPr>
      <w:r w:rsidRPr="00292E7E">
        <w:rPr>
          <w:rFonts w:ascii="Arial" w:hAnsi="Arial" w:cs="Arial"/>
          <w:color w:val="0D0D0D" w:themeColor="text1" w:themeTint="F2"/>
          <w:sz w:val="20"/>
          <w:szCs w:val="20"/>
          <w:u w:val="single"/>
        </w:rPr>
        <w:t>Receipts</w:t>
      </w:r>
      <w:r>
        <w:rPr>
          <w:rFonts w:ascii="Arial" w:hAnsi="Arial" w:cs="Arial"/>
          <w:color w:val="0D0D0D" w:themeColor="text1" w:themeTint="F2"/>
          <w:sz w:val="20"/>
          <w:szCs w:val="20"/>
          <w:u w:val="single"/>
        </w:rPr>
        <w:t xml:space="preserve"> </w:t>
      </w:r>
      <w:proofErr w:type="gramStart"/>
      <w:r>
        <w:rPr>
          <w:rFonts w:ascii="Arial" w:hAnsi="Arial" w:cs="Arial"/>
          <w:color w:val="0D0D0D" w:themeColor="text1" w:themeTint="F2"/>
          <w:sz w:val="20"/>
          <w:szCs w:val="20"/>
          <w:u w:val="single"/>
        </w:rPr>
        <w:t>from</w:t>
      </w:r>
      <w:proofErr w:type="gramEnd"/>
      <w:r>
        <w:rPr>
          <w:rFonts w:ascii="Arial" w:hAnsi="Arial" w:cs="Arial"/>
          <w:color w:val="0D0D0D" w:themeColor="text1" w:themeTint="F2"/>
          <w:sz w:val="20"/>
          <w:szCs w:val="20"/>
          <w:u w:val="single"/>
        </w:rPr>
        <w:t>:</w:t>
      </w:r>
    </w:p>
    <w:p w:rsidR="00C22276" w:rsidRPr="00292E7E" w:rsidRDefault="00C22276" w:rsidP="00C22276">
      <w:pPr>
        <w:autoSpaceDE w:val="0"/>
        <w:autoSpaceDN w:val="0"/>
        <w:adjustRightInd w:val="0"/>
        <w:spacing w:after="40"/>
        <w:jc w:val="both"/>
        <w:rPr>
          <w:rFonts w:ascii="Arial" w:hAnsi="Arial" w:cs="Arial"/>
          <w:color w:val="0D0D0D" w:themeColor="text1" w:themeTint="F2"/>
          <w:sz w:val="20"/>
          <w:szCs w:val="20"/>
        </w:rPr>
      </w:pPr>
      <w:r>
        <w:rPr>
          <w:rFonts w:ascii="Arial" w:hAnsi="Arial" w:cs="Arial"/>
          <w:color w:val="0D0D0D" w:themeColor="text1" w:themeTint="F2"/>
          <w:sz w:val="20"/>
          <w:szCs w:val="20"/>
        </w:rPr>
        <w:t xml:space="preserve">From </w:t>
      </w:r>
      <w:r w:rsidRPr="00292E7E">
        <w:rPr>
          <w:rFonts w:ascii="Arial" w:hAnsi="Arial" w:cs="Arial"/>
          <w:color w:val="0D0D0D" w:themeColor="text1" w:themeTint="F2"/>
          <w:sz w:val="20"/>
          <w:szCs w:val="20"/>
        </w:rPr>
        <w:t>Debtors</w:t>
      </w:r>
      <w:r w:rsidRPr="00292E7E">
        <w:rPr>
          <w:rFonts w:ascii="Arial" w:hAnsi="Arial" w:cs="Arial"/>
          <w:color w:val="0D0D0D" w:themeColor="text1" w:themeTint="F2"/>
          <w:sz w:val="20"/>
          <w:szCs w:val="20"/>
        </w:rPr>
        <w:tab/>
      </w:r>
      <w:r w:rsidRPr="00292E7E">
        <w:rPr>
          <w:rFonts w:ascii="Arial" w:hAnsi="Arial" w:cs="Arial"/>
          <w:color w:val="0D0D0D" w:themeColor="text1" w:themeTint="F2"/>
          <w:sz w:val="20"/>
          <w:szCs w:val="20"/>
        </w:rPr>
        <w:tab/>
        <w:t>1,585</w:t>
      </w:r>
      <w:r w:rsidRPr="00292E7E">
        <w:rPr>
          <w:rFonts w:ascii="Arial" w:hAnsi="Arial" w:cs="Arial"/>
          <w:color w:val="0D0D0D" w:themeColor="text1" w:themeTint="F2"/>
          <w:sz w:val="20"/>
          <w:szCs w:val="20"/>
        </w:rPr>
        <w:tab/>
      </w:r>
      <w:r>
        <w:rPr>
          <w:rFonts w:ascii="Arial" w:hAnsi="Arial" w:cs="Arial"/>
          <w:color w:val="0D0D0D" w:themeColor="text1" w:themeTint="F2"/>
          <w:sz w:val="20"/>
          <w:szCs w:val="20"/>
        </w:rPr>
        <w:tab/>
      </w:r>
      <w:r w:rsidRPr="00292E7E">
        <w:rPr>
          <w:rFonts w:ascii="Arial" w:hAnsi="Arial" w:cs="Arial"/>
          <w:color w:val="0D0D0D" w:themeColor="text1" w:themeTint="F2"/>
          <w:sz w:val="20"/>
          <w:szCs w:val="20"/>
        </w:rPr>
        <w:t xml:space="preserve">1,715 </w:t>
      </w:r>
      <w:r w:rsidRPr="00292E7E">
        <w:rPr>
          <w:rFonts w:ascii="Arial" w:hAnsi="Arial" w:cs="Arial"/>
          <w:color w:val="0D0D0D" w:themeColor="text1" w:themeTint="F2"/>
          <w:sz w:val="20"/>
          <w:szCs w:val="20"/>
        </w:rPr>
        <w:tab/>
      </w:r>
      <w:r>
        <w:rPr>
          <w:rFonts w:ascii="Arial" w:hAnsi="Arial" w:cs="Arial"/>
          <w:color w:val="0D0D0D" w:themeColor="text1" w:themeTint="F2"/>
          <w:sz w:val="20"/>
          <w:szCs w:val="20"/>
        </w:rPr>
        <w:tab/>
      </w:r>
      <w:r w:rsidRPr="00292E7E">
        <w:rPr>
          <w:rFonts w:ascii="Arial" w:hAnsi="Arial" w:cs="Arial"/>
          <w:color w:val="0D0D0D" w:themeColor="text1" w:themeTint="F2"/>
          <w:sz w:val="20"/>
          <w:szCs w:val="20"/>
        </w:rPr>
        <w:t>1,896</w:t>
      </w:r>
    </w:p>
    <w:p w:rsidR="00C22276" w:rsidRPr="0041207A" w:rsidRDefault="00C22276" w:rsidP="00C22276">
      <w:pPr>
        <w:autoSpaceDE w:val="0"/>
        <w:autoSpaceDN w:val="0"/>
        <w:adjustRightInd w:val="0"/>
        <w:spacing w:after="0" w:line="240" w:lineRule="auto"/>
        <w:jc w:val="both"/>
        <w:rPr>
          <w:rFonts w:ascii="Arial" w:hAnsi="Arial" w:cs="Arial"/>
          <w:color w:val="0D0D0D" w:themeColor="text1" w:themeTint="F2"/>
          <w:sz w:val="20"/>
          <w:szCs w:val="20"/>
        </w:rPr>
      </w:pPr>
      <w:r w:rsidRPr="0041207A">
        <w:rPr>
          <w:rFonts w:ascii="Arial" w:hAnsi="Arial" w:cs="Arial"/>
          <w:color w:val="0D0D0D" w:themeColor="text1" w:themeTint="F2"/>
          <w:sz w:val="20"/>
          <w:szCs w:val="20"/>
        </w:rPr>
        <w:t>Asset sales</w:t>
      </w:r>
      <w:r w:rsidRPr="0041207A">
        <w:rPr>
          <w:rFonts w:ascii="Arial" w:hAnsi="Arial" w:cs="Arial"/>
          <w:color w:val="0D0D0D" w:themeColor="text1" w:themeTint="F2"/>
          <w:sz w:val="20"/>
          <w:szCs w:val="20"/>
        </w:rPr>
        <w:tab/>
      </w:r>
      <w:r w:rsidRPr="0041207A">
        <w:rPr>
          <w:rFonts w:ascii="Arial" w:hAnsi="Arial" w:cs="Arial"/>
          <w:color w:val="0D0D0D" w:themeColor="text1" w:themeTint="F2"/>
          <w:sz w:val="20"/>
          <w:szCs w:val="20"/>
        </w:rPr>
        <w:tab/>
      </w:r>
      <w:r w:rsidRPr="0041207A">
        <w:rPr>
          <w:rFonts w:ascii="Arial" w:hAnsi="Arial" w:cs="Arial"/>
          <w:color w:val="0D0D0D" w:themeColor="text1" w:themeTint="F2"/>
          <w:sz w:val="20"/>
          <w:szCs w:val="20"/>
        </w:rPr>
        <w:tab/>
      </w:r>
      <w:r w:rsidRPr="0041207A">
        <w:rPr>
          <w:rFonts w:ascii="Arial" w:hAnsi="Arial" w:cs="Arial"/>
          <w:color w:val="0D0D0D" w:themeColor="text1" w:themeTint="F2"/>
          <w:sz w:val="20"/>
          <w:szCs w:val="20"/>
        </w:rPr>
        <w:tab/>
      </w:r>
      <w:r>
        <w:rPr>
          <w:rFonts w:ascii="Arial" w:hAnsi="Arial" w:cs="Arial"/>
          <w:color w:val="0D0D0D" w:themeColor="text1" w:themeTint="F2"/>
          <w:sz w:val="20"/>
          <w:szCs w:val="20"/>
        </w:rPr>
        <w:t>50</w:t>
      </w:r>
      <w:r>
        <w:rPr>
          <w:rFonts w:ascii="Arial" w:hAnsi="Arial" w:cs="Arial"/>
          <w:color w:val="0D0D0D" w:themeColor="text1" w:themeTint="F2"/>
          <w:sz w:val="20"/>
          <w:szCs w:val="20"/>
        </w:rPr>
        <w:tab/>
      </w:r>
      <w:r>
        <w:rPr>
          <w:rFonts w:ascii="Arial" w:hAnsi="Arial" w:cs="Arial"/>
          <w:color w:val="0D0D0D" w:themeColor="text1" w:themeTint="F2"/>
          <w:sz w:val="20"/>
          <w:szCs w:val="20"/>
        </w:rPr>
        <w:tab/>
      </w:r>
    </w:p>
    <w:p w:rsidR="00C22276" w:rsidRPr="00691820" w:rsidRDefault="00C22276" w:rsidP="00C22276">
      <w:pPr>
        <w:spacing w:after="0" w:line="240" w:lineRule="auto"/>
        <w:ind w:left="1440" w:firstLine="720"/>
        <w:jc w:val="both"/>
        <w:rPr>
          <w:rFonts w:ascii="Arial" w:hAnsi="Arial" w:cs="Arial"/>
          <w:color w:val="0D0D0D" w:themeColor="text1" w:themeTint="F2"/>
          <w:sz w:val="20"/>
          <w:szCs w:val="20"/>
        </w:rPr>
      </w:pPr>
      <w:r>
        <w:rPr>
          <w:rFonts w:ascii="Arial" w:hAnsi="Arial" w:cs="Arial"/>
          <w:color w:val="0D0D0D" w:themeColor="text1" w:themeTint="F2"/>
          <w:sz w:val="20"/>
          <w:szCs w:val="20"/>
        </w:rPr>
        <w:t>–––––––</w:t>
      </w:r>
      <w:r>
        <w:rPr>
          <w:rFonts w:ascii="Arial" w:hAnsi="Arial" w:cs="Arial"/>
          <w:color w:val="0D0D0D" w:themeColor="text1" w:themeTint="F2"/>
          <w:sz w:val="20"/>
          <w:szCs w:val="20"/>
        </w:rPr>
        <w:tab/>
        <w:t>–––––––</w:t>
      </w:r>
      <w:r>
        <w:rPr>
          <w:rFonts w:ascii="Arial" w:hAnsi="Arial" w:cs="Arial"/>
          <w:color w:val="0D0D0D" w:themeColor="text1" w:themeTint="F2"/>
          <w:sz w:val="20"/>
          <w:szCs w:val="20"/>
        </w:rPr>
        <w:tab/>
        <w:t>–––––––</w:t>
      </w:r>
    </w:p>
    <w:p w:rsidR="00C22276" w:rsidRPr="00292E7E" w:rsidRDefault="00C22276" w:rsidP="00C22276">
      <w:pPr>
        <w:autoSpaceDE w:val="0"/>
        <w:autoSpaceDN w:val="0"/>
        <w:adjustRightInd w:val="0"/>
        <w:spacing w:after="40"/>
        <w:jc w:val="both"/>
        <w:rPr>
          <w:rFonts w:ascii="Arial" w:hAnsi="Arial" w:cs="Arial"/>
          <w:b/>
          <w:color w:val="0D0D0D" w:themeColor="text1" w:themeTint="F2"/>
          <w:sz w:val="20"/>
          <w:szCs w:val="20"/>
        </w:rPr>
      </w:pPr>
      <w:r w:rsidRPr="00292E7E">
        <w:rPr>
          <w:rFonts w:ascii="Arial" w:hAnsi="Arial" w:cs="Arial"/>
          <w:b/>
          <w:color w:val="0D0D0D" w:themeColor="text1" w:themeTint="F2"/>
          <w:sz w:val="20"/>
          <w:szCs w:val="20"/>
        </w:rPr>
        <w:t>Total</w:t>
      </w:r>
      <w:r w:rsidRPr="00292E7E">
        <w:rPr>
          <w:rFonts w:ascii="Arial" w:hAnsi="Arial" w:cs="Arial"/>
          <w:b/>
          <w:color w:val="0D0D0D" w:themeColor="text1" w:themeTint="F2"/>
          <w:sz w:val="20"/>
          <w:szCs w:val="20"/>
        </w:rPr>
        <w:tab/>
      </w:r>
      <w:r w:rsidRPr="00292E7E">
        <w:rPr>
          <w:rFonts w:ascii="Arial" w:hAnsi="Arial" w:cs="Arial"/>
          <w:b/>
          <w:color w:val="0D0D0D" w:themeColor="text1" w:themeTint="F2"/>
          <w:sz w:val="20"/>
          <w:szCs w:val="20"/>
        </w:rPr>
        <w:tab/>
      </w:r>
      <w:r w:rsidRPr="00292E7E">
        <w:rPr>
          <w:rFonts w:ascii="Arial" w:hAnsi="Arial" w:cs="Arial"/>
          <w:b/>
          <w:color w:val="0D0D0D" w:themeColor="text1" w:themeTint="F2"/>
          <w:sz w:val="20"/>
          <w:szCs w:val="20"/>
        </w:rPr>
        <w:tab/>
      </w:r>
      <w:r>
        <w:rPr>
          <w:rFonts w:ascii="Arial" w:hAnsi="Arial" w:cs="Arial"/>
          <w:b/>
          <w:color w:val="0D0D0D" w:themeColor="text1" w:themeTint="F2"/>
          <w:sz w:val="20"/>
          <w:szCs w:val="20"/>
        </w:rPr>
        <w:t>1,585</w:t>
      </w:r>
      <w:r w:rsidRPr="00292E7E">
        <w:rPr>
          <w:rFonts w:ascii="Arial" w:hAnsi="Arial" w:cs="Arial"/>
          <w:b/>
          <w:color w:val="0D0D0D" w:themeColor="text1" w:themeTint="F2"/>
          <w:sz w:val="20"/>
          <w:szCs w:val="20"/>
        </w:rPr>
        <w:tab/>
      </w:r>
      <w:r w:rsidRPr="00292E7E">
        <w:rPr>
          <w:rFonts w:ascii="Arial" w:hAnsi="Arial" w:cs="Arial"/>
          <w:b/>
          <w:color w:val="0D0D0D" w:themeColor="text1" w:themeTint="F2"/>
          <w:sz w:val="20"/>
          <w:szCs w:val="20"/>
        </w:rPr>
        <w:tab/>
      </w:r>
      <w:r>
        <w:rPr>
          <w:rFonts w:ascii="Arial" w:hAnsi="Arial" w:cs="Arial"/>
          <w:b/>
          <w:color w:val="0D0D0D" w:themeColor="text1" w:themeTint="F2"/>
          <w:sz w:val="20"/>
          <w:szCs w:val="20"/>
        </w:rPr>
        <w:t>1,765</w:t>
      </w:r>
      <w:r>
        <w:rPr>
          <w:rFonts w:ascii="Arial" w:hAnsi="Arial" w:cs="Arial"/>
          <w:b/>
          <w:color w:val="0D0D0D" w:themeColor="text1" w:themeTint="F2"/>
          <w:sz w:val="20"/>
          <w:szCs w:val="20"/>
        </w:rPr>
        <w:tab/>
      </w:r>
      <w:r>
        <w:rPr>
          <w:rFonts w:ascii="Arial" w:hAnsi="Arial" w:cs="Arial"/>
          <w:b/>
          <w:color w:val="0D0D0D" w:themeColor="text1" w:themeTint="F2"/>
          <w:sz w:val="20"/>
          <w:szCs w:val="20"/>
        </w:rPr>
        <w:tab/>
        <w:t>1,896</w:t>
      </w:r>
    </w:p>
    <w:p w:rsidR="00C22276" w:rsidRPr="00292E7E" w:rsidRDefault="00C22276" w:rsidP="00C22276">
      <w:pPr>
        <w:autoSpaceDE w:val="0"/>
        <w:autoSpaceDN w:val="0"/>
        <w:adjustRightInd w:val="0"/>
        <w:spacing w:after="40"/>
        <w:jc w:val="both"/>
        <w:rPr>
          <w:rFonts w:ascii="Arial" w:hAnsi="Arial" w:cs="Arial"/>
          <w:color w:val="0D0D0D" w:themeColor="text1" w:themeTint="F2"/>
          <w:sz w:val="20"/>
          <w:szCs w:val="20"/>
        </w:rPr>
      </w:pPr>
    </w:p>
    <w:p w:rsidR="00C22276" w:rsidRPr="00292E7E" w:rsidRDefault="00C22276" w:rsidP="00C22276">
      <w:pPr>
        <w:autoSpaceDE w:val="0"/>
        <w:autoSpaceDN w:val="0"/>
        <w:adjustRightInd w:val="0"/>
        <w:spacing w:after="40"/>
        <w:jc w:val="both"/>
        <w:rPr>
          <w:rFonts w:ascii="Arial" w:hAnsi="Arial" w:cs="Arial"/>
          <w:color w:val="0D0D0D" w:themeColor="text1" w:themeTint="F2"/>
          <w:sz w:val="20"/>
          <w:szCs w:val="20"/>
          <w:u w:val="single"/>
        </w:rPr>
      </w:pPr>
      <w:r w:rsidRPr="00292E7E">
        <w:rPr>
          <w:rFonts w:ascii="Arial" w:hAnsi="Arial" w:cs="Arial"/>
          <w:color w:val="0D0D0D" w:themeColor="text1" w:themeTint="F2"/>
          <w:sz w:val="20"/>
          <w:szCs w:val="20"/>
          <w:u w:val="single"/>
        </w:rPr>
        <w:t>Payments</w:t>
      </w:r>
      <w:r>
        <w:rPr>
          <w:rFonts w:ascii="Arial" w:hAnsi="Arial" w:cs="Arial"/>
          <w:color w:val="0D0D0D" w:themeColor="text1" w:themeTint="F2"/>
          <w:sz w:val="20"/>
          <w:szCs w:val="20"/>
          <w:u w:val="single"/>
        </w:rPr>
        <w:t xml:space="preserve"> to:</w:t>
      </w:r>
    </w:p>
    <w:p w:rsidR="00C22276" w:rsidRPr="00292E7E" w:rsidRDefault="00C22276" w:rsidP="00C22276">
      <w:pPr>
        <w:autoSpaceDE w:val="0"/>
        <w:autoSpaceDN w:val="0"/>
        <w:adjustRightInd w:val="0"/>
        <w:spacing w:after="40"/>
        <w:jc w:val="both"/>
        <w:rPr>
          <w:rFonts w:ascii="Arial" w:hAnsi="Arial" w:cs="Arial"/>
          <w:color w:val="0D0D0D" w:themeColor="text1" w:themeTint="F2"/>
          <w:sz w:val="20"/>
          <w:szCs w:val="20"/>
        </w:rPr>
      </w:pPr>
      <w:r>
        <w:rPr>
          <w:rFonts w:ascii="Arial" w:hAnsi="Arial" w:cs="Arial"/>
          <w:color w:val="0D0D0D" w:themeColor="text1" w:themeTint="F2"/>
          <w:sz w:val="20"/>
          <w:szCs w:val="20"/>
        </w:rPr>
        <w:t xml:space="preserve">To </w:t>
      </w:r>
      <w:r w:rsidRPr="00292E7E">
        <w:rPr>
          <w:rFonts w:ascii="Arial" w:hAnsi="Arial" w:cs="Arial"/>
          <w:color w:val="0D0D0D" w:themeColor="text1" w:themeTint="F2"/>
          <w:sz w:val="20"/>
          <w:szCs w:val="20"/>
        </w:rPr>
        <w:t>Creditors</w:t>
      </w:r>
      <w:r w:rsidRPr="00292E7E">
        <w:rPr>
          <w:rFonts w:ascii="Arial" w:hAnsi="Arial" w:cs="Arial"/>
          <w:color w:val="0D0D0D" w:themeColor="text1" w:themeTint="F2"/>
          <w:sz w:val="20"/>
          <w:szCs w:val="20"/>
        </w:rPr>
        <w:tab/>
      </w:r>
      <w:r w:rsidRPr="00292E7E">
        <w:rPr>
          <w:rFonts w:ascii="Arial" w:hAnsi="Arial" w:cs="Arial"/>
          <w:color w:val="0D0D0D" w:themeColor="text1" w:themeTint="F2"/>
          <w:sz w:val="20"/>
          <w:szCs w:val="20"/>
        </w:rPr>
        <w:tab/>
        <w:t>910</w:t>
      </w:r>
      <w:r w:rsidRPr="00292E7E">
        <w:rPr>
          <w:rFonts w:ascii="Arial" w:hAnsi="Arial" w:cs="Arial"/>
          <w:color w:val="0D0D0D" w:themeColor="text1" w:themeTint="F2"/>
          <w:sz w:val="20"/>
          <w:szCs w:val="20"/>
        </w:rPr>
        <w:tab/>
      </w:r>
      <w:r>
        <w:rPr>
          <w:rFonts w:ascii="Arial" w:hAnsi="Arial" w:cs="Arial"/>
          <w:color w:val="0D0D0D" w:themeColor="text1" w:themeTint="F2"/>
          <w:sz w:val="20"/>
          <w:szCs w:val="20"/>
        </w:rPr>
        <w:tab/>
      </w:r>
      <w:r w:rsidRPr="00292E7E">
        <w:rPr>
          <w:rFonts w:ascii="Arial" w:hAnsi="Arial" w:cs="Arial"/>
          <w:color w:val="0D0D0D" w:themeColor="text1" w:themeTint="F2"/>
          <w:sz w:val="20"/>
          <w:szCs w:val="20"/>
        </w:rPr>
        <w:t>1,055</w:t>
      </w:r>
      <w:r w:rsidRPr="00292E7E">
        <w:rPr>
          <w:rFonts w:ascii="Arial" w:hAnsi="Arial" w:cs="Arial"/>
          <w:color w:val="0D0D0D" w:themeColor="text1" w:themeTint="F2"/>
          <w:sz w:val="20"/>
          <w:szCs w:val="20"/>
        </w:rPr>
        <w:tab/>
      </w:r>
      <w:r>
        <w:rPr>
          <w:rFonts w:ascii="Arial" w:hAnsi="Arial" w:cs="Arial"/>
          <w:color w:val="0D0D0D" w:themeColor="text1" w:themeTint="F2"/>
          <w:sz w:val="20"/>
          <w:szCs w:val="20"/>
        </w:rPr>
        <w:tab/>
      </w:r>
      <w:r w:rsidRPr="00292E7E">
        <w:rPr>
          <w:rFonts w:ascii="Arial" w:hAnsi="Arial" w:cs="Arial"/>
          <w:color w:val="0D0D0D" w:themeColor="text1" w:themeTint="F2"/>
          <w:sz w:val="20"/>
          <w:szCs w:val="20"/>
        </w:rPr>
        <w:t>1,190</w:t>
      </w:r>
    </w:p>
    <w:p w:rsidR="00C22276" w:rsidRPr="00292E7E" w:rsidRDefault="00C22276" w:rsidP="00C22276">
      <w:pPr>
        <w:autoSpaceDE w:val="0"/>
        <w:autoSpaceDN w:val="0"/>
        <w:adjustRightInd w:val="0"/>
        <w:spacing w:after="40"/>
        <w:jc w:val="both"/>
        <w:rPr>
          <w:rFonts w:ascii="Arial" w:hAnsi="Arial" w:cs="Arial"/>
          <w:color w:val="0D0D0D" w:themeColor="text1" w:themeTint="F2"/>
          <w:sz w:val="20"/>
          <w:szCs w:val="20"/>
        </w:rPr>
      </w:pPr>
      <w:r w:rsidRPr="00292E7E">
        <w:rPr>
          <w:rFonts w:ascii="Arial" w:hAnsi="Arial" w:cs="Arial"/>
          <w:color w:val="0D0D0D" w:themeColor="text1" w:themeTint="F2"/>
          <w:sz w:val="20"/>
          <w:szCs w:val="20"/>
        </w:rPr>
        <w:t>Operating expenses</w:t>
      </w:r>
      <w:r w:rsidRPr="00292E7E">
        <w:rPr>
          <w:rFonts w:ascii="Arial" w:hAnsi="Arial" w:cs="Arial"/>
          <w:color w:val="0D0D0D" w:themeColor="text1" w:themeTint="F2"/>
          <w:sz w:val="20"/>
          <w:szCs w:val="20"/>
        </w:rPr>
        <w:tab/>
        <w:t>2</w:t>
      </w:r>
      <w:r>
        <w:rPr>
          <w:rFonts w:ascii="Arial" w:hAnsi="Arial" w:cs="Arial"/>
          <w:color w:val="0D0D0D" w:themeColor="text1" w:themeTint="F2"/>
          <w:sz w:val="20"/>
          <w:szCs w:val="20"/>
        </w:rPr>
        <w:t>93</w:t>
      </w:r>
      <w:r w:rsidRPr="00292E7E">
        <w:rPr>
          <w:rFonts w:ascii="Arial" w:hAnsi="Arial" w:cs="Arial"/>
          <w:color w:val="0D0D0D" w:themeColor="text1" w:themeTint="F2"/>
          <w:sz w:val="20"/>
          <w:szCs w:val="20"/>
        </w:rPr>
        <w:t xml:space="preserve"> </w:t>
      </w:r>
      <w:r w:rsidRPr="00292E7E">
        <w:rPr>
          <w:rFonts w:ascii="Arial" w:hAnsi="Arial" w:cs="Arial"/>
          <w:color w:val="0D0D0D" w:themeColor="text1" w:themeTint="F2"/>
          <w:sz w:val="20"/>
          <w:szCs w:val="20"/>
        </w:rPr>
        <w:tab/>
      </w:r>
      <w:r>
        <w:rPr>
          <w:rFonts w:ascii="Arial" w:hAnsi="Arial" w:cs="Arial"/>
          <w:color w:val="0D0D0D" w:themeColor="text1" w:themeTint="F2"/>
          <w:sz w:val="20"/>
          <w:szCs w:val="20"/>
        </w:rPr>
        <w:tab/>
      </w:r>
      <w:r w:rsidRPr="00292E7E">
        <w:rPr>
          <w:rFonts w:ascii="Arial" w:hAnsi="Arial" w:cs="Arial"/>
          <w:color w:val="0D0D0D" w:themeColor="text1" w:themeTint="F2"/>
          <w:sz w:val="20"/>
          <w:szCs w:val="20"/>
        </w:rPr>
        <w:t xml:space="preserve">263 </w:t>
      </w:r>
      <w:r>
        <w:rPr>
          <w:rFonts w:ascii="Arial" w:hAnsi="Arial" w:cs="Arial"/>
          <w:color w:val="0D0D0D" w:themeColor="text1" w:themeTint="F2"/>
          <w:sz w:val="20"/>
          <w:szCs w:val="20"/>
        </w:rPr>
        <w:tab/>
      </w:r>
      <w:r w:rsidRPr="00292E7E">
        <w:rPr>
          <w:rFonts w:ascii="Arial" w:hAnsi="Arial" w:cs="Arial"/>
          <w:color w:val="0D0D0D" w:themeColor="text1" w:themeTint="F2"/>
          <w:sz w:val="20"/>
          <w:szCs w:val="20"/>
        </w:rPr>
        <w:tab/>
      </w:r>
      <w:r>
        <w:rPr>
          <w:rFonts w:ascii="Arial" w:hAnsi="Arial" w:cs="Arial"/>
          <w:color w:val="0D0D0D" w:themeColor="text1" w:themeTint="F2"/>
          <w:sz w:val="20"/>
          <w:szCs w:val="20"/>
        </w:rPr>
        <w:t>241</w:t>
      </w:r>
    </w:p>
    <w:p w:rsidR="00C22276" w:rsidRPr="00292E7E" w:rsidRDefault="00C22276" w:rsidP="00C22276">
      <w:pPr>
        <w:autoSpaceDE w:val="0"/>
        <w:autoSpaceDN w:val="0"/>
        <w:adjustRightInd w:val="0"/>
        <w:spacing w:after="40"/>
        <w:jc w:val="both"/>
        <w:rPr>
          <w:rFonts w:ascii="Arial" w:hAnsi="Arial" w:cs="Arial"/>
          <w:color w:val="0D0D0D" w:themeColor="text1" w:themeTint="F2"/>
          <w:sz w:val="20"/>
          <w:szCs w:val="20"/>
        </w:rPr>
      </w:pPr>
      <w:r w:rsidRPr="00292E7E">
        <w:rPr>
          <w:rFonts w:ascii="Arial" w:hAnsi="Arial" w:cs="Arial"/>
          <w:color w:val="0D0D0D" w:themeColor="text1" w:themeTint="F2"/>
          <w:sz w:val="20"/>
          <w:szCs w:val="20"/>
        </w:rPr>
        <w:t xml:space="preserve">Other expenses </w:t>
      </w:r>
      <w:r w:rsidRPr="00292E7E">
        <w:rPr>
          <w:rFonts w:ascii="Arial" w:hAnsi="Arial" w:cs="Arial"/>
          <w:color w:val="0D0D0D" w:themeColor="text1" w:themeTint="F2"/>
          <w:sz w:val="20"/>
          <w:szCs w:val="20"/>
        </w:rPr>
        <w:tab/>
      </w:r>
      <w:r>
        <w:rPr>
          <w:rFonts w:ascii="Arial" w:hAnsi="Arial" w:cs="Arial"/>
          <w:color w:val="0D0D0D" w:themeColor="text1" w:themeTint="F2"/>
          <w:sz w:val="20"/>
          <w:szCs w:val="20"/>
        </w:rPr>
        <w:t>336</w:t>
      </w:r>
      <w:r w:rsidRPr="00292E7E">
        <w:rPr>
          <w:rFonts w:ascii="Arial" w:hAnsi="Arial" w:cs="Arial"/>
          <w:color w:val="0D0D0D" w:themeColor="text1" w:themeTint="F2"/>
          <w:sz w:val="20"/>
          <w:szCs w:val="20"/>
        </w:rPr>
        <w:tab/>
      </w:r>
      <w:r>
        <w:rPr>
          <w:rFonts w:ascii="Arial" w:hAnsi="Arial" w:cs="Arial"/>
          <w:color w:val="0D0D0D" w:themeColor="text1" w:themeTint="F2"/>
          <w:sz w:val="20"/>
          <w:szCs w:val="20"/>
        </w:rPr>
        <w:tab/>
        <w:t>345</w:t>
      </w:r>
      <w:r>
        <w:rPr>
          <w:rFonts w:ascii="Arial" w:hAnsi="Arial" w:cs="Arial"/>
          <w:color w:val="0D0D0D" w:themeColor="text1" w:themeTint="F2"/>
          <w:sz w:val="20"/>
          <w:szCs w:val="20"/>
        </w:rPr>
        <w:tab/>
      </w:r>
      <w:r w:rsidRPr="00292E7E">
        <w:rPr>
          <w:rFonts w:ascii="Arial" w:hAnsi="Arial" w:cs="Arial"/>
          <w:color w:val="0D0D0D" w:themeColor="text1" w:themeTint="F2"/>
          <w:sz w:val="20"/>
          <w:szCs w:val="20"/>
        </w:rPr>
        <w:tab/>
        <w:t>3</w:t>
      </w:r>
      <w:r>
        <w:rPr>
          <w:rFonts w:ascii="Arial" w:hAnsi="Arial" w:cs="Arial"/>
          <w:color w:val="0D0D0D" w:themeColor="text1" w:themeTint="F2"/>
          <w:sz w:val="20"/>
          <w:szCs w:val="20"/>
        </w:rPr>
        <w:t>5</w:t>
      </w:r>
      <w:r w:rsidRPr="00292E7E">
        <w:rPr>
          <w:rFonts w:ascii="Arial" w:hAnsi="Arial" w:cs="Arial"/>
          <w:color w:val="0D0D0D" w:themeColor="text1" w:themeTint="F2"/>
          <w:sz w:val="20"/>
          <w:szCs w:val="20"/>
        </w:rPr>
        <w:t>9</w:t>
      </w:r>
    </w:p>
    <w:p w:rsidR="00C22276" w:rsidRPr="00292E7E" w:rsidRDefault="00C22276" w:rsidP="00C22276">
      <w:pPr>
        <w:autoSpaceDE w:val="0"/>
        <w:autoSpaceDN w:val="0"/>
        <w:adjustRightInd w:val="0"/>
        <w:spacing w:after="40"/>
        <w:jc w:val="both"/>
        <w:rPr>
          <w:rFonts w:ascii="Arial" w:hAnsi="Arial" w:cs="Arial"/>
          <w:color w:val="0D0D0D" w:themeColor="text1" w:themeTint="F2"/>
          <w:sz w:val="20"/>
          <w:szCs w:val="20"/>
        </w:rPr>
      </w:pPr>
      <w:r w:rsidRPr="00292E7E">
        <w:rPr>
          <w:rFonts w:ascii="Arial" w:hAnsi="Arial" w:cs="Arial"/>
          <w:color w:val="0D0D0D" w:themeColor="text1" w:themeTint="F2"/>
          <w:sz w:val="20"/>
          <w:szCs w:val="20"/>
        </w:rPr>
        <w:t>Asset purchases</w:t>
      </w:r>
      <w:r w:rsidRPr="00292E7E">
        <w:rPr>
          <w:rFonts w:ascii="Arial" w:hAnsi="Arial" w:cs="Arial"/>
          <w:color w:val="0D0D0D" w:themeColor="text1" w:themeTint="F2"/>
          <w:sz w:val="20"/>
          <w:szCs w:val="20"/>
        </w:rPr>
        <w:tab/>
      </w:r>
      <w:r w:rsidRPr="00292E7E">
        <w:rPr>
          <w:rFonts w:ascii="Arial" w:hAnsi="Arial" w:cs="Arial"/>
          <w:color w:val="0D0D0D" w:themeColor="text1" w:themeTint="F2"/>
          <w:sz w:val="20"/>
          <w:szCs w:val="20"/>
        </w:rPr>
        <w:tab/>
      </w:r>
      <w:r>
        <w:rPr>
          <w:rFonts w:ascii="Arial" w:hAnsi="Arial" w:cs="Arial"/>
          <w:color w:val="0D0D0D" w:themeColor="text1" w:themeTint="F2"/>
          <w:sz w:val="20"/>
          <w:szCs w:val="20"/>
        </w:rPr>
        <w:tab/>
      </w:r>
      <w:r>
        <w:rPr>
          <w:rFonts w:ascii="Arial" w:hAnsi="Arial" w:cs="Arial"/>
          <w:color w:val="0D0D0D" w:themeColor="text1" w:themeTint="F2"/>
          <w:sz w:val="20"/>
          <w:szCs w:val="20"/>
        </w:rPr>
        <w:tab/>
      </w:r>
      <w:r>
        <w:rPr>
          <w:rFonts w:ascii="Arial" w:hAnsi="Arial" w:cs="Arial"/>
          <w:color w:val="0D0D0D" w:themeColor="text1" w:themeTint="F2"/>
          <w:sz w:val="20"/>
          <w:szCs w:val="20"/>
        </w:rPr>
        <w:tab/>
        <w:t>400</w:t>
      </w:r>
    </w:p>
    <w:p w:rsidR="00C22276" w:rsidRPr="00292E7E" w:rsidRDefault="00C22276" w:rsidP="00C22276">
      <w:pPr>
        <w:autoSpaceDE w:val="0"/>
        <w:autoSpaceDN w:val="0"/>
        <w:adjustRightInd w:val="0"/>
        <w:spacing w:after="40"/>
        <w:jc w:val="both"/>
        <w:rPr>
          <w:rFonts w:ascii="Arial" w:hAnsi="Arial" w:cs="Arial"/>
          <w:color w:val="0D0D0D" w:themeColor="text1" w:themeTint="F2"/>
          <w:sz w:val="20"/>
          <w:szCs w:val="20"/>
        </w:rPr>
      </w:pPr>
      <w:r w:rsidRPr="00292E7E">
        <w:rPr>
          <w:rFonts w:ascii="Arial" w:hAnsi="Arial" w:cs="Arial"/>
          <w:color w:val="0D0D0D" w:themeColor="text1" w:themeTint="F2"/>
          <w:sz w:val="20"/>
          <w:szCs w:val="20"/>
        </w:rPr>
        <w:t>Dividend</w:t>
      </w:r>
      <w:r w:rsidRPr="00292E7E">
        <w:rPr>
          <w:rFonts w:ascii="Arial" w:hAnsi="Arial" w:cs="Arial"/>
          <w:color w:val="0D0D0D" w:themeColor="text1" w:themeTint="F2"/>
          <w:sz w:val="20"/>
          <w:szCs w:val="20"/>
        </w:rPr>
        <w:tab/>
      </w:r>
      <w:r w:rsidRPr="00292E7E">
        <w:rPr>
          <w:rFonts w:ascii="Arial" w:hAnsi="Arial" w:cs="Arial"/>
          <w:color w:val="0D0D0D" w:themeColor="text1" w:themeTint="F2"/>
          <w:sz w:val="20"/>
          <w:szCs w:val="20"/>
        </w:rPr>
        <w:tab/>
      </w:r>
      <w:r w:rsidRPr="00292E7E">
        <w:rPr>
          <w:rFonts w:ascii="Arial" w:hAnsi="Arial" w:cs="Arial"/>
          <w:color w:val="0D0D0D" w:themeColor="text1" w:themeTint="F2"/>
          <w:sz w:val="20"/>
          <w:szCs w:val="20"/>
        </w:rPr>
        <w:tab/>
      </w:r>
      <w:r>
        <w:rPr>
          <w:rFonts w:ascii="Arial" w:hAnsi="Arial" w:cs="Arial"/>
          <w:color w:val="0D0D0D" w:themeColor="text1" w:themeTint="F2"/>
          <w:sz w:val="20"/>
          <w:szCs w:val="20"/>
        </w:rPr>
        <w:tab/>
      </w:r>
      <w:r w:rsidRPr="00292E7E">
        <w:rPr>
          <w:rFonts w:ascii="Arial" w:hAnsi="Arial" w:cs="Arial"/>
          <w:color w:val="0D0D0D" w:themeColor="text1" w:themeTint="F2"/>
          <w:sz w:val="20"/>
          <w:szCs w:val="20"/>
        </w:rPr>
        <w:tab/>
      </w:r>
      <w:r>
        <w:rPr>
          <w:rFonts w:ascii="Arial" w:hAnsi="Arial" w:cs="Arial"/>
          <w:color w:val="0D0D0D" w:themeColor="text1" w:themeTint="F2"/>
          <w:sz w:val="20"/>
          <w:szCs w:val="20"/>
        </w:rPr>
        <w:tab/>
      </w:r>
      <w:r w:rsidRPr="00292E7E">
        <w:rPr>
          <w:rFonts w:ascii="Arial" w:hAnsi="Arial" w:cs="Arial"/>
          <w:color w:val="0D0D0D" w:themeColor="text1" w:themeTint="F2"/>
          <w:sz w:val="20"/>
          <w:szCs w:val="20"/>
        </w:rPr>
        <w:t>46</w:t>
      </w:r>
    </w:p>
    <w:p w:rsidR="00C22276" w:rsidRPr="00EC5765" w:rsidRDefault="00C22276" w:rsidP="00C22276">
      <w:pPr>
        <w:autoSpaceDE w:val="0"/>
        <w:autoSpaceDN w:val="0"/>
        <w:adjustRightInd w:val="0"/>
        <w:spacing w:after="0" w:line="240" w:lineRule="auto"/>
        <w:jc w:val="both"/>
        <w:rPr>
          <w:rFonts w:ascii="Arial" w:hAnsi="Arial" w:cs="Arial"/>
          <w:color w:val="0D0D0D" w:themeColor="text1" w:themeTint="F2"/>
          <w:sz w:val="20"/>
          <w:szCs w:val="20"/>
        </w:rPr>
      </w:pPr>
      <w:r w:rsidRPr="00EC5765">
        <w:rPr>
          <w:rFonts w:ascii="Arial" w:hAnsi="Arial" w:cs="Arial"/>
          <w:color w:val="0D0D0D" w:themeColor="text1" w:themeTint="F2"/>
          <w:sz w:val="20"/>
          <w:szCs w:val="20"/>
        </w:rPr>
        <w:t>Taxation</w:t>
      </w:r>
      <w:r w:rsidRPr="00EC5765">
        <w:rPr>
          <w:rFonts w:ascii="Arial" w:hAnsi="Arial" w:cs="Arial"/>
          <w:color w:val="0D0D0D" w:themeColor="text1" w:themeTint="F2"/>
          <w:sz w:val="20"/>
          <w:szCs w:val="20"/>
        </w:rPr>
        <w:tab/>
      </w:r>
      <w:r w:rsidRPr="00EC5765">
        <w:rPr>
          <w:rFonts w:ascii="Arial" w:hAnsi="Arial" w:cs="Arial"/>
          <w:color w:val="0D0D0D" w:themeColor="text1" w:themeTint="F2"/>
          <w:sz w:val="20"/>
          <w:szCs w:val="20"/>
        </w:rPr>
        <w:tab/>
      </w:r>
      <w:r w:rsidRPr="00EC5765">
        <w:rPr>
          <w:rFonts w:ascii="Arial" w:hAnsi="Arial" w:cs="Arial"/>
          <w:color w:val="0D0D0D" w:themeColor="text1" w:themeTint="F2"/>
          <w:sz w:val="20"/>
          <w:szCs w:val="20"/>
        </w:rPr>
        <w:tab/>
      </w:r>
      <w:r w:rsidRPr="00EC5765">
        <w:rPr>
          <w:rFonts w:ascii="Arial" w:hAnsi="Arial" w:cs="Arial"/>
          <w:color w:val="0D0D0D" w:themeColor="text1" w:themeTint="F2"/>
          <w:sz w:val="20"/>
          <w:szCs w:val="20"/>
        </w:rPr>
        <w:tab/>
      </w:r>
      <w:r w:rsidRPr="00EC5765">
        <w:rPr>
          <w:rFonts w:ascii="Arial" w:hAnsi="Arial" w:cs="Arial"/>
          <w:color w:val="0D0D0D" w:themeColor="text1" w:themeTint="F2"/>
          <w:sz w:val="20"/>
          <w:szCs w:val="20"/>
        </w:rPr>
        <w:tab/>
      </w:r>
      <w:r w:rsidRPr="00EC5765">
        <w:rPr>
          <w:rFonts w:ascii="Arial" w:hAnsi="Arial" w:cs="Arial"/>
          <w:color w:val="0D0D0D" w:themeColor="text1" w:themeTint="F2"/>
          <w:sz w:val="20"/>
          <w:szCs w:val="20"/>
        </w:rPr>
        <w:tab/>
        <w:t>25</w:t>
      </w:r>
    </w:p>
    <w:p w:rsidR="00C22276" w:rsidRPr="00691820" w:rsidRDefault="00C22276" w:rsidP="00C22276">
      <w:pPr>
        <w:spacing w:after="0" w:line="240" w:lineRule="auto"/>
        <w:ind w:left="1440" w:firstLine="720"/>
        <w:jc w:val="both"/>
        <w:rPr>
          <w:rFonts w:ascii="Arial" w:hAnsi="Arial" w:cs="Arial"/>
          <w:color w:val="0D0D0D" w:themeColor="text1" w:themeTint="F2"/>
          <w:sz w:val="20"/>
          <w:szCs w:val="20"/>
        </w:rPr>
      </w:pPr>
      <w:r>
        <w:rPr>
          <w:rFonts w:ascii="Arial" w:hAnsi="Arial" w:cs="Arial"/>
          <w:color w:val="0D0D0D" w:themeColor="text1" w:themeTint="F2"/>
          <w:sz w:val="20"/>
          <w:szCs w:val="20"/>
        </w:rPr>
        <w:t>–––––––</w:t>
      </w:r>
      <w:r>
        <w:rPr>
          <w:rFonts w:ascii="Arial" w:hAnsi="Arial" w:cs="Arial"/>
          <w:color w:val="0D0D0D" w:themeColor="text1" w:themeTint="F2"/>
          <w:sz w:val="20"/>
          <w:szCs w:val="20"/>
        </w:rPr>
        <w:tab/>
        <w:t>–––––––</w:t>
      </w:r>
      <w:r>
        <w:rPr>
          <w:rFonts w:ascii="Arial" w:hAnsi="Arial" w:cs="Arial"/>
          <w:color w:val="0D0D0D" w:themeColor="text1" w:themeTint="F2"/>
          <w:sz w:val="20"/>
          <w:szCs w:val="20"/>
        </w:rPr>
        <w:tab/>
        <w:t>–––––––</w:t>
      </w:r>
    </w:p>
    <w:p w:rsidR="00C22276" w:rsidRPr="00292E7E" w:rsidRDefault="00C22276" w:rsidP="00C22276">
      <w:pPr>
        <w:autoSpaceDE w:val="0"/>
        <w:autoSpaceDN w:val="0"/>
        <w:adjustRightInd w:val="0"/>
        <w:spacing w:after="40"/>
        <w:jc w:val="both"/>
        <w:rPr>
          <w:rFonts w:ascii="Arial" w:hAnsi="Arial" w:cs="Arial"/>
          <w:b/>
          <w:color w:val="0D0D0D" w:themeColor="text1" w:themeTint="F2"/>
          <w:sz w:val="20"/>
          <w:szCs w:val="20"/>
        </w:rPr>
      </w:pPr>
      <w:r w:rsidRPr="00292E7E">
        <w:rPr>
          <w:rFonts w:ascii="Arial" w:hAnsi="Arial" w:cs="Arial"/>
          <w:b/>
          <w:color w:val="0D0D0D" w:themeColor="text1" w:themeTint="F2"/>
          <w:sz w:val="20"/>
          <w:szCs w:val="20"/>
        </w:rPr>
        <w:t>Total</w:t>
      </w:r>
      <w:r w:rsidRPr="00292E7E">
        <w:rPr>
          <w:rFonts w:ascii="Arial" w:hAnsi="Arial" w:cs="Arial"/>
          <w:b/>
          <w:color w:val="0D0D0D" w:themeColor="text1" w:themeTint="F2"/>
          <w:sz w:val="20"/>
          <w:szCs w:val="20"/>
        </w:rPr>
        <w:tab/>
      </w:r>
      <w:r w:rsidRPr="00292E7E">
        <w:rPr>
          <w:rFonts w:ascii="Arial" w:hAnsi="Arial" w:cs="Arial"/>
          <w:b/>
          <w:color w:val="0D0D0D" w:themeColor="text1" w:themeTint="F2"/>
          <w:sz w:val="20"/>
          <w:szCs w:val="20"/>
        </w:rPr>
        <w:tab/>
      </w:r>
      <w:r w:rsidRPr="00292E7E">
        <w:rPr>
          <w:rFonts w:ascii="Arial" w:hAnsi="Arial" w:cs="Arial"/>
          <w:b/>
          <w:color w:val="0D0D0D" w:themeColor="text1" w:themeTint="F2"/>
          <w:sz w:val="20"/>
          <w:szCs w:val="20"/>
        </w:rPr>
        <w:tab/>
      </w:r>
      <w:r>
        <w:rPr>
          <w:rFonts w:ascii="Arial" w:hAnsi="Arial" w:cs="Arial"/>
          <w:b/>
          <w:color w:val="0D0D0D" w:themeColor="text1" w:themeTint="F2"/>
          <w:sz w:val="20"/>
          <w:szCs w:val="20"/>
        </w:rPr>
        <w:t>1,539</w:t>
      </w:r>
      <w:r w:rsidRPr="00292E7E">
        <w:rPr>
          <w:rFonts w:ascii="Arial" w:hAnsi="Arial" w:cs="Arial"/>
          <w:b/>
          <w:color w:val="0D0D0D" w:themeColor="text1" w:themeTint="F2"/>
          <w:sz w:val="20"/>
          <w:szCs w:val="20"/>
        </w:rPr>
        <w:tab/>
      </w:r>
      <w:r w:rsidRPr="00292E7E">
        <w:rPr>
          <w:rFonts w:ascii="Arial" w:hAnsi="Arial" w:cs="Arial"/>
          <w:b/>
          <w:color w:val="0D0D0D" w:themeColor="text1" w:themeTint="F2"/>
          <w:sz w:val="20"/>
          <w:szCs w:val="20"/>
        </w:rPr>
        <w:tab/>
      </w:r>
      <w:r>
        <w:rPr>
          <w:rFonts w:ascii="Arial" w:hAnsi="Arial" w:cs="Arial"/>
          <w:b/>
          <w:color w:val="0D0D0D" w:themeColor="text1" w:themeTint="F2"/>
          <w:sz w:val="20"/>
          <w:szCs w:val="20"/>
        </w:rPr>
        <w:t>1,663</w:t>
      </w:r>
      <w:r>
        <w:rPr>
          <w:rFonts w:ascii="Arial" w:hAnsi="Arial" w:cs="Arial"/>
          <w:b/>
          <w:color w:val="0D0D0D" w:themeColor="text1" w:themeTint="F2"/>
          <w:sz w:val="20"/>
          <w:szCs w:val="20"/>
        </w:rPr>
        <w:tab/>
      </w:r>
      <w:r>
        <w:rPr>
          <w:rFonts w:ascii="Arial" w:hAnsi="Arial" w:cs="Arial"/>
          <w:b/>
          <w:color w:val="0D0D0D" w:themeColor="text1" w:themeTint="F2"/>
          <w:sz w:val="20"/>
          <w:szCs w:val="20"/>
        </w:rPr>
        <w:tab/>
        <w:t>2,261</w:t>
      </w:r>
    </w:p>
    <w:p w:rsidR="00C22276" w:rsidRPr="00292E7E" w:rsidRDefault="00C22276" w:rsidP="00C22276">
      <w:pPr>
        <w:autoSpaceDE w:val="0"/>
        <w:autoSpaceDN w:val="0"/>
        <w:adjustRightInd w:val="0"/>
        <w:spacing w:after="40"/>
        <w:jc w:val="both"/>
        <w:rPr>
          <w:rFonts w:ascii="Arial" w:hAnsi="Arial" w:cs="Arial"/>
          <w:color w:val="0D0D0D" w:themeColor="text1" w:themeTint="F2"/>
          <w:sz w:val="20"/>
          <w:szCs w:val="20"/>
        </w:rPr>
      </w:pPr>
    </w:p>
    <w:p w:rsidR="00C22276" w:rsidRPr="00292E7E" w:rsidRDefault="00C22276" w:rsidP="00C22276">
      <w:pPr>
        <w:autoSpaceDE w:val="0"/>
        <w:autoSpaceDN w:val="0"/>
        <w:adjustRightInd w:val="0"/>
        <w:spacing w:after="40"/>
        <w:jc w:val="both"/>
        <w:rPr>
          <w:rFonts w:ascii="Arial" w:hAnsi="Arial" w:cs="Arial"/>
          <w:color w:val="0D0D0D" w:themeColor="text1" w:themeTint="F2"/>
          <w:sz w:val="20"/>
          <w:szCs w:val="20"/>
        </w:rPr>
      </w:pPr>
      <w:r w:rsidRPr="00292E7E">
        <w:rPr>
          <w:rFonts w:ascii="Arial" w:hAnsi="Arial" w:cs="Arial"/>
          <w:color w:val="0D0D0D" w:themeColor="text1" w:themeTint="F2"/>
          <w:sz w:val="20"/>
          <w:szCs w:val="20"/>
        </w:rPr>
        <w:t xml:space="preserve">Receipts </w:t>
      </w:r>
      <w:r>
        <w:rPr>
          <w:rFonts w:ascii="Arial" w:hAnsi="Arial" w:cs="Arial"/>
          <w:color w:val="0D0D0D" w:themeColor="text1" w:themeTint="F2"/>
          <w:sz w:val="20"/>
          <w:szCs w:val="20"/>
        </w:rPr>
        <w:t>-</w:t>
      </w:r>
      <w:r w:rsidRPr="00292E7E">
        <w:rPr>
          <w:rFonts w:ascii="Arial" w:hAnsi="Arial" w:cs="Arial"/>
          <w:color w:val="0D0D0D" w:themeColor="text1" w:themeTint="F2"/>
          <w:sz w:val="20"/>
          <w:szCs w:val="20"/>
        </w:rPr>
        <w:t xml:space="preserve"> payments</w:t>
      </w:r>
      <w:r w:rsidRPr="00292E7E">
        <w:rPr>
          <w:rFonts w:ascii="Arial" w:hAnsi="Arial" w:cs="Arial"/>
          <w:color w:val="0D0D0D" w:themeColor="text1" w:themeTint="F2"/>
          <w:sz w:val="20"/>
          <w:szCs w:val="20"/>
        </w:rPr>
        <w:tab/>
      </w:r>
      <w:r>
        <w:rPr>
          <w:rFonts w:ascii="Arial" w:hAnsi="Arial" w:cs="Arial"/>
          <w:color w:val="0D0D0D" w:themeColor="text1" w:themeTint="F2"/>
          <w:sz w:val="20"/>
          <w:szCs w:val="20"/>
        </w:rPr>
        <w:t>46</w:t>
      </w:r>
      <w:r w:rsidRPr="00292E7E">
        <w:rPr>
          <w:rFonts w:ascii="Arial" w:hAnsi="Arial" w:cs="Arial"/>
          <w:color w:val="0D0D0D" w:themeColor="text1" w:themeTint="F2"/>
          <w:sz w:val="20"/>
          <w:szCs w:val="20"/>
        </w:rPr>
        <w:tab/>
      </w:r>
      <w:r w:rsidRPr="00292E7E">
        <w:rPr>
          <w:rFonts w:ascii="Arial" w:hAnsi="Arial" w:cs="Arial"/>
          <w:color w:val="0D0D0D" w:themeColor="text1" w:themeTint="F2"/>
          <w:sz w:val="20"/>
          <w:szCs w:val="20"/>
        </w:rPr>
        <w:tab/>
      </w:r>
      <w:r>
        <w:rPr>
          <w:rFonts w:ascii="Arial" w:hAnsi="Arial" w:cs="Arial"/>
          <w:color w:val="0D0D0D" w:themeColor="text1" w:themeTint="F2"/>
          <w:sz w:val="20"/>
          <w:szCs w:val="20"/>
        </w:rPr>
        <w:t>102</w:t>
      </w:r>
      <w:r>
        <w:rPr>
          <w:rFonts w:ascii="Arial" w:hAnsi="Arial" w:cs="Arial"/>
          <w:color w:val="0D0D0D" w:themeColor="text1" w:themeTint="F2"/>
          <w:sz w:val="20"/>
          <w:szCs w:val="20"/>
        </w:rPr>
        <w:tab/>
      </w:r>
      <w:r>
        <w:rPr>
          <w:rFonts w:ascii="Arial" w:hAnsi="Arial" w:cs="Arial"/>
          <w:color w:val="0D0D0D" w:themeColor="text1" w:themeTint="F2"/>
          <w:sz w:val="20"/>
          <w:szCs w:val="20"/>
        </w:rPr>
        <w:tab/>
        <w:t>-365</w:t>
      </w:r>
    </w:p>
    <w:p w:rsidR="00C22276" w:rsidRPr="00292E7E" w:rsidRDefault="00C22276" w:rsidP="00C22276">
      <w:pPr>
        <w:autoSpaceDE w:val="0"/>
        <w:autoSpaceDN w:val="0"/>
        <w:adjustRightInd w:val="0"/>
        <w:spacing w:after="40"/>
        <w:jc w:val="both"/>
        <w:rPr>
          <w:rFonts w:ascii="Arial" w:hAnsi="Arial" w:cs="Arial"/>
          <w:color w:val="0D0D0D" w:themeColor="text1" w:themeTint="F2"/>
          <w:sz w:val="20"/>
          <w:szCs w:val="20"/>
        </w:rPr>
      </w:pPr>
      <w:r w:rsidRPr="00292E7E">
        <w:rPr>
          <w:rFonts w:ascii="Arial" w:hAnsi="Arial" w:cs="Arial"/>
          <w:color w:val="0D0D0D" w:themeColor="text1" w:themeTint="F2"/>
          <w:sz w:val="20"/>
          <w:szCs w:val="20"/>
        </w:rPr>
        <w:t>Op</w:t>
      </w:r>
      <w:r>
        <w:rPr>
          <w:rFonts w:ascii="Arial" w:hAnsi="Arial" w:cs="Arial"/>
          <w:color w:val="0D0D0D" w:themeColor="text1" w:themeTint="F2"/>
          <w:sz w:val="20"/>
          <w:szCs w:val="20"/>
        </w:rPr>
        <w:t>.</w:t>
      </w:r>
      <w:r w:rsidRPr="00292E7E">
        <w:rPr>
          <w:rFonts w:ascii="Arial" w:hAnsi="Arial" w:cs="Arial"/>
          <w:color w:val="0D0D0D" w:themeColor="text1" w:themeTint="F2"/>
          <w:sz w:val="20"/>
          <w:szCs w:val="20"/>
        </w:rPr>
        <w:t xml:space="preserve"> bank balance</w:t>
      </w:r>
      <w:r w:rsidRPr="00292E7E">
        <w:rPr>
          <w:rFonts w:ascii="Arial" w:hAnsi="Arial" w:cs="Arial"/>
          <w:color w:val="0D0D0D" w:themeColor="text1" w:themeTint="F2"/>
          <w:sz w:val="20"/>
          <w:szCs w:val="20"/>
        </w:rPr>
        <w:tab/>
        <w:t>-</w:t>
      </w:r>
      <w:r>
        <w:rPr>
          <w:rFonts w:ascii="Arial" w:hAnsi="Arial" w:cs="Arial"/>
          <w:color w:val="0D0D0D" w:themeColor="text1" w:themeTint="F2"/>
          <w:sz w:val="20"/>
          <w:szCs w:val="20"/>
        </w:rPr>
        <w:t>5</w:t>
      </w:r>
      <w:r w:rsidRPr="00292E7E">
        <w:rPr>
          <w:rFonts w:ascii="Arial" w:hAnsi="Arial" w:cs="Arial"/>
          <w:color w:val="0D0D0D" w:themeColor="text1" w:themeTint="F2"/>
          <w:sz w:val="20"/>
          <w:szCs w:val="20"/>
        </w:rPr>
        <w:t>1</w:t>
      </w:r>
      <w:r>
        <w:rPr>
          <w:rFonts w:ascii="Arial" w:hAnsi="Arial" w:cs="Arial"/>
          <w:color w:val="0D0D0D" w:themeColor="text1" w:themeTint="F2"/>
          <w:sz w:val="20"/>
          <w:szCs w:val="20"/>
        </w:rPr>
        <w:tab/>
      </w:r>
      <w:r>
        <w:rPr>
          <w:rFonts w:ascii="Arial" w:hAnsi="Arial" w:cs="Arial"/>
          <w:color w:val="0D0D0D" w:themeColor="text1" w:themeTint="F2"/>
          <w:sz w:val="20"/>
          <w:szCs w:val="20"/>
        </w:rPr>
        <w:tab/>
        <w:t>-5</w:t>
      </w:r>
      <w:r>
        <w:rPr>
          <w:rFonts w:ascii="Arial" w:hAnsi="Arial" w:cs="Arial"/>
          <w:color w:val="0D0D0D" w:themeColor="text1" w:themeTint="F2"/>
          <w:sz w:val="20"/>
          <w:szCs w:val="20"/>
        </w:rPr>
        <w:tab/>
      </w:r>
      <w:r>
        <w:rPr>
          <w:rFonts w:ascii="Arial" w:hAnsi="Arial" w:cs="Arial"/>
          <w:color w:val="0D0D0D" w:themeColor="text1" w:themeTint="F2"/>
          <w:sz w:val="20"/>
          <w:szCs w:val="20"/>
        </w:rPr>
        <w:tab/>
        <w:t>97</w:t>
      </w:r>
    </w:p>
    <w:p w:rsidR="00C22276" w:rsidRPr="00C15AFD" w:rsidRDefault="00C22276" w:rsidP="00C22276">
      <w:pPr>
        <w:autoSpaceDE w:val="0"/>
        <w:autoSpaceDN w:val="0"/>
        <w:adjustRightInd w:val="0"/>
        <w:spacing w:after="40" w:line="480" w:lineRule="auto"/>
        <w:jc w:val="both"/>
        <w:rPr>
          <w:rFonts w:ascii="Arial" w:hAnsi="Arial" w:cs="Arial"/>
          <w:b/>
          <w:color w:val="0D0D0D" w:themeColor="text1" w:themeTint="F2"/>
          <w:sz w:val="20"/>
          <w:szCs w:val="20"/>
        </w:rPr>
      </w:pPr>
      <w:r w:rsidRPr="00C15AFD">
        <w:rPr>
          <w:rFonts w:ascii="Arial" w:hAnsi="Arial" w:cs="Arial"/>
          <w:b/>
          <w:color w:val="0D0D0D" w:themeColor="text1" w:themeTint="F2"/>
          <w:sz w:val="20"/>
          <w:szCs w:val="20"/>
        </w:rPr>
        <w:t>Cl. bank balance</w:t>
      </w:r>
      <w:r w:rsidRPr="00C15AFD">
        <w:rPr>
          <w:rFonts w:ascii="Arial" w:hAnsi="Arial" w:cs="Arial"/>
          <w:b/>
          <w:color w:val="0D0D0D" w:themeColor="text1" w:themeTint="F2"/>
          <w:sz w:val="20"/>
          <w:szCs w:val="20"/>
        </w:rPr>
        <w:tab/>
        <w:t>-5</w:t>
      </w:r>
      <w:r w:rsidRPr="00C15AFD">
        <w:rPr>
          <w:rFonts w:ascii="Arial" w:hAnsi="Arial" w:cs="Arial"/>
          <w:b/>
          <w:color w:val="0D0D0D" w:themeColor="text1" w:themeTint="F2"/>
          <w:sz w:val="20"/>
          <w:szCs w:val="20"/>
        </w:rPr>
        <w:tab/>
      </w:r>
      <w:r w:rsidRPr="00C15AFD">
        <w:rPr>
          <w:rFonts w:ascii="Arial" w:hAnsi="Arial" w:cs="Arial"/>
          <w:b/>
          <w:color w:val="0D0D0D" w:themeColor="text1" w:themeTint="F2"/>
          <w:sz w:val="20"/>
          <w:szCs w:val="20"/>
        </w:rPr>
        <w:tab/>
        <w:t>97</w:t>
      </w:r>
      <w:r w:rsidRPr="00C15AFD">
        <w:rPr>
          <w:rFonts w:ascii="Arial" w:hAnsi="Arial" w:cs="Arial"/>
          <w:b/>
          <w:color w:val="0D0D0D" w:themeColor="text1" w:themeTint="F2"/>
          <w:sz w:val="20"/>
          <w:szCs w:val="20"/>
        </w:rPr>
        <w:tab/>
      </w:r>
      <w:r w:rsidRPr="00C15AFD">
        <w:rPr>
          <w:rFonts w:ascii="Arial" w:hAnsi="Arial" w:cs="Arial"/>
          <w:b/>
          <w:color w:val="0D0D0D" w:themeColor="text1" w:themeTint="F2"/>
          <w:sz w:val="20"/>
          <w:szCs w:val="20"/>
        </w:rPr>
        <w:tab/>
        <w:t>-268</w:t>
      </w:r>
    </w:p>
    <w:p w:rsidR="00C22276" w:rsidRPr="00191B3E" w:rsidRDefault="00C22276" w:rsidP="00C22276">
      <w:pPr>
        <w:jc w:val="both"/>
        <w:rPr>
          <w:rFonts w:cs="Arial"/>
        </w:rPr>
      </w:pPr>
      <w:r w:rsidRPr="00191B3E">
        <w:rPr>
          <w:rFonts w:cs="Arial"/>
        </w:rPr>
        <w:lastRenderedPageBreak/>
        <w:t xml:space="preserve">The forecast overdraft at 31 January </w:t>
      </w:r>
      <w:proofErr w:type="gramStart"/>
      <w:r w:rsidRPr="00191B3E">
        <w:rPr>
          <w:rFonts w:cs="Arial"/>
        </w:rPr>
        <w:t>should be negotiated</w:t>
      </w:r>
      <w:proofErr w:type="gramEnd"/>
      <w:r w:rsidRPr="00191B3E">
        <w:rPr>
          <w:rFonts w:cs="Arial"/>
        </w:rPr>
        <w:t xml:space="preserve"> with the bank in advance to secure favourable terms, as it appears that the bank account will be back in a positive at the end of February.</w:t>
      </w:r>
    </w:p>
    <w:p w:rsidR="00C22276" w:rsidRPr="00191B3E" w:rsidRDefault="00C22276" w:rsidP="00C22276">
      <w:pPr>
        <w:jc w:val="both"/>
        <w:rPr>
          <w:rFonts w:cs="Arial"/>
        </w:rPr>
      </w:pPr>
      <w:r w:rsidRPr="00191B3E">
        <w:rPr>
          <w:rFonts w:cs="Arial"/>
        </w:rPr>
        <w:t xml:space="preserve">The cash situation </w:t>
      </w:r>
      <w:proofErr w:type="gramStart"/>
      <w:r w:rsidRPr="00191B3E">
        <w:rPr>
          <w:rFonts w:cs="Arial"/>
        </w:rPr>
        <w:t>is forecast</w:t>
      </w:r>
      <w:proofErr w:type="gramEnd"/>
      <w:r w:rsidRPr="00191B3E">
        <w:rPr>
          <w:rFonts w:cs="Arial"/>
        </w:rPr>
        <w:t xml:space="preserve"> to be in a significant deficit of £268k at the end of March.  This comes about because the asset purchase, the dividend and the taxation payment </w:t>
      </w:r>
      <w:proofErr w:type="gramStart"/>
      <w:r w:rsidRPr="00191B3E">
        <w:rPr>
          <w:rFonts w:cs="Arial"/>
        </w:rPr>
        <w:t>are both scheduled</w:t>
      </w:r>
      <w:proofErr w:type="gramEnd"/>
      <w:r w:rsidRPr="00191B3E">
        <w:rPr>
          <w:rFonts w:cs="Arial"/>
        </w:rPr>
        <w:t xml:space="preserve"> to take place during that month. </w:t>
      </w:r>
    </w:p>
    <w:p w:rsidR="00C22276" w:rsidRPr="00191B3E" w:rsidRDefault="00C22276" w:rsidP="00C22276">
      <w:pPr>
        <w:jc w:val="both"/>
        <w:rPr>
          <w:rFonts w:cs="Arial"/>
        </w:rPr>
      </w:pPr>
      <w:r w:rsidRPr="00191B3E">
        <w:rPr>
          <w:rFonts w:cs="Arial"/>
        </w:rPr>
        <w:t>The company should act immediately to improve the forecast cash position in March by:</w:t>
      </w:r>
    </w:p>
    <w:p w:rsidR="00C22276" w:rsidRPr="00191B3E" w:rsidRDefault="00C22276" w:rsidP="00C22276">
      <w:pPr>
        <w:pStyle w:val="ListParagraph"/>
        <w:numPr>
          <w:ilvl w:val="0"/>
          <w:numId w:val="8"/>
        </w:numPr>
        <w:jc w:val="both"/>
        <w:rPr>
          <w:rFonts w:cs="Arial"/>
        </w:rPr>
      </w:pPr>
      <w:r w:rsidRPr="00191B3E">
        <w:rPr>
          <w:rFonts w:cs="Arial"/>
        </w:rPr>
        <w:t>negotiation with suppliers to secure ongoing longer terms of payment;</w:t>
      </w:r>
    </w:p>
    <w:p w:rsidR="00C22276" w:rsidRPr="00191B3E" w:rsidRDefault="00C22276" w:rsidP="00C22276">
      <w:pPr>
        <w:pStyle w:val="ListParagraph"/>
        <w:numPr>
          <w:ilvl w:val="0"/>
          <w:numId w:val="8"/>
        </w:numPr>
        <w:jc w:val="both"/>
        <w:rPr>
          <w:rFonts w:cs="Arial"/>
        </w:rPr>
      </w:pPr>
      <w:r w:rsidRPr="00191B3E">
        <w:rPr>
          <w:rFonts w:cs="Arial"/>
        </w:rPr>
        <w:t>collecting monies from customers quicker and negotiating shorter terms (they may agree to this to continue receiving supplies, if they believe Alpha could not survive without such an agreement);</w:t>
      </w:r>
    </w:p>
    <w:p w:rsidR="00C22276" w:rsidRPr="00191B3E" w:rsidRDefault="00C22276" w:rsidP="00C22276">
      <w:pPr>
        <w:pStyle w:val="ListParagraph"/>
        <w:numPr>
          <w:ilvl w:val="0"/>
          <w:numId w:val="8"/>
        </w:numPr>
        <w:jc w:val="both"/>
        <w:rPr>
          <w:rFonts w:cs="Arial"/>
        </w:rPr>
      </w:pPr>
      <w:r w:rsidRPr="00191B3E">
        <w:rPr>
          <w:rFonts w:cs="Arial"/>
        </w:rPr>
        <w:t>review all costs to see if efficiencies can be made;</w:t>
      </w:r>
    </w:p>
    <w:p w:rsidR="00C22276" w:rsidRPr="00191B3E" w:rsidRDefault="00C22276" w:rsidP="00C22276">
      <w:pPr>
        <w:pStyle w:val="ListParagraph"/>
        <w:numPr>
          <w:ilvl w:val="0"/>
          <w:numId w:val="8"/>
        </w:numPr>
        <w:jc w:val="both"/>
        <w:rPr>
          <w:rFonts w:cs="Arial"/>
        </w:rPr>
      </w:pPr>
      <w:r w:rsidRPr="00191B3E">
        <w:rPr>
          <w:rFonts w:cs="Arial"/>
        </w:rPr>
        <w:t>reduce dividend payments which are under the control of the directors;</w:t>
      </w:r>
    </w:p>
    <w:p w:rsidR="00C22276" w:rsidRPr="00191B3E" w:rsidRDefault="00C22276" w:rsidP="00C22276">
      <w:pPr>
        <w:pStyle w:val="ListParagraph"/>
        <w:numPr>
          <w:ilvl w:val="0"/>
          <w:numId w:val="8"/>
        </w:numPr>
        <w:jc w:val="both"/>
        <w:rPr>
          <w:rFonts w:cs="Arial"/>
        </w:rPr>
      </w:pPr>
      <w:r w:rsidRPr="00191B3E">
        <w:rPr>
          <w:rFonts w:cs="Arial"/>
        </w:rPr>
        <w:t>negotiating with HMRC to delay the tax instalment;</w:t>
      </w:r>
    </w:p>
    <w:p w:rsidR="00C22276" w:rsidRPr="00191B3E" w:rsidRDefault="00C22276" w:rsidP="00C22276">
      <w:pPr>
        <w:pStyle w:val="ListParagraph"/>
        <w:numPr>
          <w:ilvl w:val="0"/>
          <w:numId w:val="8"/>
        </w:numPr>
        <w:jc w:val="both"/>
        <w:rPr>
          <w:rFonts w:cs="Arial"/>
        </w:rPr>
      </w:pPr>
      <w:r w:rsidRPr="00191B3E">
        <w:rPr>
          <w:rFonts w:cs="Arial"/>
        </w:rPr>
        <w:t>Negotiate with the supplier of the asset purchase to delay some of the payment.</w:t>
      </w:r>
    </w:p>
    <w:p w:rsidR="00C22276" w:rsidRPr="00191B3E" w:rsidRDefault="00C22276" w:rsidP="00C22276">
      <w:pPr>
        <w:pStyle w:val="ListParagraph"/>
        <w:numPr>
          <w:ilvl w:val="0"/>
          <w:numId w:val="10"/>
        </w:numPr>
        <w:jc w:val="both"/>
        <w:rPr>
          <w:rFonts w:cs="Arial"/>
        </w:rPr>
      </w:pPr>
      <w:r w:rsidRPr="00191B3E">
        <w:rPr>
          <w:rFonts w:cs="Arial"/>
        </w:rPr>
        <w:t xml:space="preserve">Restructure the company’s </w:t>
      </w:r>
      <w:proofErr w:type="gramStart"/>
      <w:r w:rsidRPr="00191B3E">
        <w:rPr>
          <w:rFonts w:cs="Arial"/>
        </w:rPr>
        <w:t>long term</w:t>
      </w:r>
      <w:proofErr w:type="gramEnd"/>
      <w:r w:rsidRPr="00191B3E">
        <w:rPr>
          <w:rFonts w:cs="Arial"/>
        </w:rPr>
        <w:t xml:space="preserve"> finance.</w:t>
      </w:r>
    </w:p>
    <w:p w:rsidR="00C22276" w:rsidRPr="001A2D49" w:rsidRDefault="00C22276" w:rsidP="00C22276">
      <w:pPr>
        <w:spacing w:after="120" w:line="240" w:lineRule="auto"/>
        <w:ind w:left="-284"/>
        <w:jc w:val="both"/>
        <w:rPr>
          <w:rFonts w:cs="Arial"/>
          <w:b/>
        </w:rPr>
      </w:pPr>
      <w:r w:rsidRPr="001A2D49">
        <w:rPr>
          <w:rFonts w:cs="Arial"/>
          <w:b/>
        </w:rPr>
        <w:t>(c)  Advantages of debt funding:</w:t>
      </w:r>
    </w:p>
    <w:p w:rsidR="00C22276" w:rsidRPr="00DC79BB" w:rsidRDefault="00C22276" w:rsidP="00C22276">
      <w:pPr>
        <w:pStyle w:val="ListParagraph"/>
        <w:numPr>
          <w:ilvl w:val="0"/>
          <w:numId w:val="8"/>
        </w:numPr>
        <w:jc w:val="both"/>
        <w:rPr>
          <w:rFonts w:cs="Arial"/>
        </w:rPr>
      </w:pPr>
      <w:r w:rsidRPr="00DC79BB">
        <w:rPr>
          <w:rFonts w:cs="Arial"/>
        </w:rPr>
        <w:t>Easier to source for relatively small amounts;</w:t>
      </w:r>
    </w:p>
    <w:p w:rsidR="00C22276" w:rsidRPr="00DC79BB" w:rsidRDefault="00C22276" w:rsidP="00C22276">
      <w:pPr>
        <w:pStyle w:val="ListParagraph"/>
        <w:numPr>
          <w:ilvl w:val="0"/>
          <w:numId w:val="8"/>
        </w:numPr>
        <w:jc w:val="both"/>
        <w:rPr>
          <w:rFonts w:cs="Arial"/>
        </w:rPr>
      </w:pPr>
      <w:r w:rsidRPr="00DC79BB">
        <w:rPr>
          <w:rFonts w:cs="Arial"/>
        </w:rPr>
        <w:t>Cheaper to source;</w:t>
      </w:r>
    </w:p>
    <w:p w:rsidR="00C22276" w:rsidRPr="00DC79BB" w:rsidRDefault="00C22276" w:rsidP="00C22276">
      <w:pPr>
        <w:pStyle w:val="ListParagraph"/>
        <w:numPr>
          <w:ilvl w:val="0"/>
          <w:numId w:val="8"/>
        </w:numPr>
        <w:jc w:val="both"/>
        <w:rPr>
          <w:rFonts w:cs="Arial"/>
        </w:rPr>
      </w:pPr>
      <w:r w:rsidRPr="00DC79BB">
        <w:rPr>
          <w:rFonts w:cs="Arial"/>
        </w:rPr>
        <w:t>Retain greater control over the business;</w:t>
      </w:r>
    </w:p>
    <w:p w:rsidR="00C22276" w:rsidRPr="00DC79BB" w:rsidRDefault="00C22276" w:rsidP="00C22276">
      <w:pPr>
        <w:pStyle w:val="ListParagraph"/>
        <w:numPr>
          <w:ilvl w:val="0"/>
          <w:numId w:val="8"/>
        </w:numPr>
        <w:jc w:val="both"/>
        <w:rPr>
          <w:rFonts w:cs="Arial"/>
        </w:rPr>
      </w:pPr>
      <w:r w:rsidRPr="00DC79BB">
        <w:rPr>
          <w:rFonts w:cs="Arial"/>
        </w:rPr>
        <w:t>Can secure on business assets hence reducing the cost further;</w:t>
      </w:r>
    </w:p>
    <w:p w:rsidR="00C22276" w:rsidRPr="00DC79BB" w:rsidRDefault="00C22276" w:rsidP="00C22276">
      <w:pPr>
        <w:pStyle w:val="ListParagraph"/>
        <w:numPr>
          <w:ilvl w:val="0"/>
          <w:numId w:val="8"/>
        </w:numPr>
        <w:jc w:val="both"/>
        <w:rPr>
          <w:rFonts w:cs="Arial"/>
        </w:rPr>
      </w:pPr>
      <w:r w:rsidRPr="00DC79BB">
        <w:rPr>
          <w:rFonts w:cs="Arial"/>
        </w:rPr>
        <w:t>Can reduce risk by fixing the borrowing interest rate.</w:t>
      </w:r>
    </w:p>
    <w:p w:rsidR="00C22276" w:rsidRPr="00AA52F2" w:rsidRDefault="00C22276" w:rsidP="00C22276">
      <w:pPr>
        <w:spacing w:line="240" w:lineRule="auto"/>
        <w:jc w:val="both"/>
        <w:rPr>
          <w:rFonts w:ascii="Arial" w:hAnsi="Arial" w:cs="Arial"/>
          <w:b/>
          <w:color w:val="0D0D0D" w:themeColor="text1" w:themeTint="F2"/>
          <w:sz w:val="20"/>
          <w:szCs w:val="20"/>
        </w:rPr>
      </w:pPr>
      <w:r w:rsidRPr="00AA52F2">
        <w:rPr>
          <w:rFonts w:ascii="Arial" w:hAnsi="Arial" w:cs="Arial"/>
          <w:b/>
          <w:color w:val="0D0D0D" w:themeColor="text1" w:themeTint="F2"/>
          <w:sz w:val="20"/>
          <w:szCs w:val="20"/>
        </w:rPr>
        <w:t>Advantages of equity funding:</w:t>
      </w:r>
    </w:p>
    <w:p w:rsidR="00C22276" w:rsidRPr="00DC79BB" w:rsidRDefault="00C22276" w:rsidP="00C22276">
      <w:pPr>
        <w:pStyle w:val="ListParagraph"/>
        <w:numPr>
          <w:ilvl w:val="0"/>
          <w:numId w:val="8"/>
        </w:numPr>
        <w:jc w:val="both"/>
        <w:rPr>
          <w:rFonts w:cs="Arial"/>
        </w:rPr>
      </w:pPr>
      <w:r w:rsidRPr="00DC79BB">
        <w:rPr>
          <w:rFonts w:cs="Arial"/>
        </w:rPr>
        <w:t>If future profits are uncertain, less risk to pay dividends than have obligations to pay loan interest;</w:t>
      </w:r>
    </w:p>
    <w:p w:rsidR="00C22276" w:rsidRPr="00DC79BB" w:rsidRDefault="00C22276" w:rsidP="00C22276">
      <w:pPr>
        <w:pStyle w:val="ListParagraph"/>
        <w:numPr>
          <w:ilvl w:val="0"/>
          <w:numId w:val="8"/>
        </w:numPr>
        <w:jc w:val="both"/>
        <w:rPr>
          <w:rFonts w:cs="Arial"/>
        </w:rPr>
      </w:pPr>
      <w:r w:rsidRPr="00DC79BB">
        <w:rPr>
          <w:rFonts w:cs="Arial"/>
        </w:rPr>
        <w:t>Investors tend to invest for the long term and may not require short term dividend payments;</w:t>
      </w:r>
    </w:p>
    <w:p w:rsidR="00C22276" w:rsidRPr="00DC79BB" w:rsidRDefault="00C22276" w:rsidP="00C22276">
      <w:pPr>
        <w:pStyle w:val="ListParagraph"/>
        <w:numPr>
          <w:ilvl w:val="0"/>
          <w:numId w:val="8"/>
        </w:numPr>
        <w:jc w:val="both"/>
        <w:rPr>
          <w:rFonts w:cs="Arial"/>
        </w:rPr>
      </w:pPr>
      <w:r w:rsidRPr="00DC79BB">
        <w:rPr>
          <w:rFonts w:cs="Arial"/>
        </w:rPr>
        <w:t xml:space="preserve">Investors likely to be seeking </w:t>
      </w:r>
      <w:proofErr w:type="gramStart"/>
      <w:r w:rsidRPr="00DC79BB">
        <w:rPr>
          <w:rFonts w:cs="Arial"/>
        </w:rPr>
        <w:t>long term</w:t>
      </w:r>
      <w:proofErr w:type="gramEnd"/>
      <w:r w:rsidRPr="00DC79BB">
        <w:rPr>
          <w:rFonts w:cs="Arial"/>
        </w:rPr>
        <w:t xml:space="preserve"> capital gain in the value of their shareholdings.</w:t>
      </w:r>
    </w:p>
    <w:p w:rsidR="00C22276" w:rsidRPr="008A0968" w:rsidRDefault="00C22276" w:rsidP="00C22276">
      <w:pPr>
        <w:jc w:val="both"/>
        <w:rPr>
          <w:rFonts w:ascii="Arial" w:hAnsi="Arial" w:cs="Arial"/>
          <w:b/>
          <w:bCs/>
          <w:sz w:val="20"/>
          <w:szCs w:val="20"/>
        </w:rPr>
      </w:pPr>
      <w:r w:rsidRPr="008A0968">
        <w:rPr>
          <w:rFonts w:ascii="Arial" w:hAnsi="Arial" w:cs="Arial"/>
          <w:b/>
          <w:bCs/>
          <w:sz w:val="20"/>
          <w:szCs w:val="20"/>
        </w:rPr>
        <w:t>Funding options include the following</w:t>
      </w:r>
      <w:r>
        <w:rPr>
          <w:rFonts w:ascii="Arial" w:hAnsi="Arial" w:cs="Arial"/>
          <w:b/>
          <w:bCs/>
          <w:sz w:val="20"/>
          <w:szCs w:val="20"/>
        </w:rPr>
        <w:t>:</w:t>
      </w:r>
    </w:p>
    <w:p w:rsidR="00C22276" w:rsidRPr="00DC79BB" w:rsidRDefault="00C22276" w:rsidP="00C22276">
      <w:pPr>
        <w:pStyle w:val="ListParagraph"/>
        <w:numPr>
          <w:ilvl w:val="0"/>
          <w:numId w:val="9"/>
        </w:numPr>
        <w:jc w:val="both"/>
        <w:rPr>
          <w:rFonts w:cs="Arial"/>
        </w:rPr>
      </w:pPr>
      <w:r w:rsidRPr="00DC79BB">
        <w:rPr>
          <w:rFonts w:cs="Arial"/>
        </w:rPr>
        <w:t>Equity- the company could consider raising more equity capital by an issue of shares to new investors or a rights issue to its current shareholders.</w:t>
      </w:r>
    </w:p>
    <w:p w:rsidR="00C22276" w:rsidRPr="00DC79BB" w:rsidRDefault="00C22276" w:rsidP="00C22276">
      <w:pPr>
        <w:pStyle w:val="ListParagraph"/>
        <w:numPr>
          <w:ilvl w:val="0"/>
          <w:numId w:val="9"/>
        </w:numPr>
        <w:jc w:val="both"/>
        <w:rPr>
          <w:rFonts w:cs="Arial"/>
        </w:rPr>
      </w:pPr>
      <w:r w:rsidRPr="00DC79BB">
        <w:rPr>
          <w:rFonts w:cs="Arial"/>
        </w:rPr>
        <w:t>Debt- the company could consider issuing bonds.</w:t>
      </w:r>
    </w:p>
    <w:p w:rsidR="00C22276" w:rsidRPr="00DC79BB" w:rsidRDefault="00C22276" w:rsidP="00C22276">
      <w:pPr>
        <w:pStyle w:val="ListParagraph"/>
        <w:numPr>
          <w:ilvl w:val="0"/>
          <w:numId w:val="9"/>
        </w:numPr>
        <w:jc w:val="both"/>
        <w:rPr>
          <w:rFonts w:cs="Arial"/>
        </w:rPr>
      </w:pPr>
      <w:r w:rsidRPr="00DC79BB">
        <w:rPr>
          <w:rFonts w:cs="Arial"/>
        </w:rPr>
        <w:t>Mortgage- the company could consider raising an additional mortgage on its existing property.</w:t>
      </w:r>
    </w:p>
    <w:p w:rsidR="00C22276" w:rsidRPr="00DC79BB" w:rsidRDefault="00C22276" w:rsidP="00C22276">
      <w:pPr>
        <w:pStyle w:val="ListParagraph"/>
        <w:numPr>
          <w:ilvl w:val="0"/>
          <w:numId w:val="9"/>
        </w:numPr>
        <w:jc w:val="both"/>
        <w:rPr>
          <w:rFonts w:cs="Arial"/>
        </w:rPr>
      </w:pPr>
      <w:r w:rsidRPr="00DC79BB">
        <w:rPr>
          <w:rFonts w:cs="Arial"/>
        </w:rPr>
        <w:t>Invoice discounting / factoring- the company could enter into an agreement with a finance company to discount or factor its trade debtors, thus releasing a significant proportion of working capital tied up in its customers.</w:t>
      </w:r>
    </w:p>
    <w:p w:rsidR="00C22276" w:rsidRPr="00DC79BB" w:rsidRDefault="00C22276" w:rsidP="00C22276">
      <w:pPr>
        <w:pStyle w:val="ListParagraph"/>
        <w:numPr>
          <w:ilvl w:val="0"/>
          <w:numId w:val="9"/>
        </w:numPr>
        <w:jc w:val="both"/>
        <w:rPr>
          <w:rFonts w:cs="Arial"/>
        </w:rPr>
      </w:pPr>
      <w:r w:rsidRPr="00DC79BB">
        <w:rPr>
          <w:rFonts w:cs="Arial"/>
        </w:rPr>
        <w:t xml:space="preserve">Finance Lease- some of the new funding </w:t>
      </w:r>
      <w:proofErr w:type="gramStart"/>
      <w:r w:rsidRPr="00DC79BB">
        <w:rPr>
          <w:rFonts w:cs="Arial"/>
        </w:rPr>
        <w:t>could be acquired</w:t>
      </w:r>
      <w:proofErr w:type="gramEnd"/>
      <w:r w:rsidRPr="00DC79BB">
        <w:rPr>
          <w:rFonts w:cs="Arial"/>
        </w:rPr>
        <w:t xml:space="preserve"> using a form of finance leasing.  This would have the benefit that lease payments would be tax deductible and the cost of the asset </w:t>
      </w:r>
      <w:proofErr w:type="gramStart"/>
      <w:r w:rsidRPr="00DC79BB">
        <w:rPr>
          <w:rFonts w:cs="Arial"/>
        </w:rPr>
        <w:t>would be spread</w:t>
      </w:r>
      <w:proofErr w:type="gramEnd"/>
      <w:r w:rsidRPr="00DC79BB">
        <w:rPr>
          <w:rFonts w:cs="Arial"/>
        </w:rPr>
        <w:t xml:space="preserve"> evenly over their useful life.  The company would have certainty over the payments it </w:t>
      </w:r>
      <w:proofErr w:type="gramStart"/>
      <w:r w:rsidRPr="00DC79BB">
        <w:rPr>
          <w:rFonts w:cs="Arial"/>
        </w:rPr>
        <w:t>is expected</w:t>
      </w:r>
      <w:proofErr w:type="gramEnd"/>
      <w:r w:rsidRPr="00DC79BB">
        <w:rPr>
          <w:rFonts w:cs="Arial"/>
        </w:rPr>
        <w:t xml:space="preserve"> to make.  The company could also consider a sale and leaseback agreement on some of its current assets.</w:t>
      </w:r>
    </w:p>
    <w:p w:rsidR="00C22276" w:rsidRPr="00DC79BB" w:rsidRDefault="00C22276" w:rsidP="00F96A30">
      <w:pPr>
        <w:pStyle w:val="ListParagraph"/>
        <w:jc w:val="both"/>
        <w:rPr>
          <w:rFonts w:cs="Arial"/>
        </w:rPr>
      </w:pPr>
    </w:p>
    <w:p w:rsidR="00C22276" w:rsidRPr="00DC79BB" w:rsidRDefault="00C22276" w:rsidP="00C22276">
      <w:pPr>
        <w:pStyle w:val="ListParagraph"/>
        <w:numPr>
          <w:ilvl w:val="0"/>
          <w:numId w:val="9"/>
        </w:numPr>
        <w:jc w:val="both"/>
        <w:rPr>
          <w:rFonts w:cs="Arial"/>
        </w:rPr>
      </w:pPr>
      <w:r w:rsidRPr="00DC79BB">
        <w:rPr>
          <w:rFonts w:cs="Arial"/>
        </w:rPr>
        <w:t xml:space="preserve">Venture capital- the company may be of sufficient size and growth </w:t>
      </w:r>
      <w:proofErr w:type="gramStart"/>
      <w:r w:rsidRPr="00DC79BB">
        <w:rPr>
          <w:rFonts w:cs="Arial"/>
        </w:rPr>
        <w:t>potential which</w:t>
      </w:r>
      <w:proofErr w:type="gramEnd"/>
      <w:r w:rsidRPr="00DC79BB">
        <w:rPr>
          <w:rFonts w:cs="Arial"/>
        </w:rPr>
        <w:t xml:space="preserve"> should make it suitable for development funding from a venture capital organisation.  However, the investor is likely to require a shareholding in the company and a seat on the board in return for its investment, the directors would have to be prepared for a dilution in their control of the company.</w:t>
      </w:r>
    </w:p>
    <w:p w:rsidR="00C22276" w:rsidRDefault="00C22276" w:rsidP="00C22276">
      <w:pPr>
        <w:spacing w:line="240" w:lineRule="auto"/>
        <w:jc w:val="both"/>
        <w:rPr>
          <w:rFonts w:ascii="Arial" w:hAnsi="Arial" w:cs="Arial"/>
          <w:b/>
          <w:color w:val="0D0D0D" w:themeColor="text1" w:themeTint="F2"/>
          <w:sz w:val="20"/>
          <w:szCs w:val="20"/>
        </w:rPr>
      </w:pPr>
      <w:bookmarkStart w:id="0" w:name="_GoBack"/>
      <w:bookmarkEnd w:id="0"/>
      <w:r w:rsidRPr="00CE1DBA">
        <w:rPr>
          <w:rFonts w:ascii="Arial" w:hAnsi="Arial" w:cs="Arial"/>
          <w:b/>
          <w:color w:val="0D0D0D" w:themeColor="text1" w:themeTint="F2"/>
          <w:sz w:val="20"/>
          <w:szCs w:val="20"/>
        </w:rPr>
        <w:t>Factors to consider</w:t>
      </w:r>
      <w:r>
        <w:rPr>
          <w:rFonts w:ascii="Arial" w:hAnsi="Arial" w:cs="Arial"/>
          <w:b/>
          <w:color w:val="0D0D0D" w:themeColor="text1" w:themeTint="F2"/>
          <w:sz w:val="20"/>
          <w:szCs w:val="20"/>
        </w:rPr>
        <w:t>:</w:t>
      </w:r>
    </w:p>
    <w:p w:rsidR="00C22276" w:rsidRPr="00DC79BB" w:rsidRDefault="00C22276" w:rsidP="00C22276">
      <w:pPr>
        <w:pStyle w:val="ListParagraph"/>
        <w:numPr>
          <w:ilvl w:val="0"/>
          <w:numId w:val="9"/>
        </w:numPr>
        <w:jc w:val="both"/>
        <w:rPr>
          <w:rFonts w:cs="Arial"/>
        </w:rPr>
      </w:pPr>
      <w:r w:rsidRPr="00DC79BB">
        <w:rPr>
          <w:rFonts w:cs="Arial"/>
        </w:rPr>
        <w:t xml:space="preserve">Risk. If a business borrows, there is a risk that at the maturity date of the loan the business will not have the funds to repay the amount owing and will be unable to find a suitable form of replacement borrowing. With short-term borrowings, the maturity dates will arrive more quickly and the type of risk outlined will occur at </w:t>
      </w:r>
      <w:proofErr w:type="gramStart"/>
      <w:r w:rsidRPr="00DC79BB">
        <w:rPr>
          <w:rFonts w:cs="Arial"/>
        </w:rPr>
        <w:t>more frequent intervals</w:t>
      </w:r>
      <w:proofErr w:type="gramEnd"/>
      <w:r w:rsidRPr="00DC79BB">
        <w:rPr>
          <w:rFonts w:cs="Arial"/>
        </w:rPr>
        <w:t>.</w:t>
      </w:r>
    </w:p>
    <w:p w:rsidR="00C22276" w:rsidRPr="00DC79BB" w:rsidRDefault="00C22276" w:rsidP="00C22276">
      <w:pPr>
        <w:pStyle w:val="ListParagraph"/>
        <w:numPr>
          <w:ilvl w:val="0"/>
          <w:numId w:val="9"/>
        </w:numPr>
        <w:jc w:val="both"/>
        <w:rPr>
          <w:rFonts w:cs="Arial"/>
        </w:rPr>
      </w:pPr>
      <w:r w:rsidRPr="00DC79BB">
        <w:rPr>
          <w:rFonts w:cs="Arial"/>
        </w:rPr>
        <w:t xml:space="preserve">Matching. A business may wish to match the life of an asset with the maturity date of the borrowing.  In other words, </w:t>
      </w:r>
      <w:proofErr w:type="gramStart"/>
      <w:r w:rsidRPr="00DC79BB">
        <w:rPr>
          <w:rFonts w:cs="Arial"/>
        </w:rPr>
        <w:t>long term</w:t>
      </w:r>
      <w:proofErr w:type="gramEnd"/>
      <w:r w:rsidRPr="00DC79BB">
        <w:rPr>
          <w:rFonts w:cs="Arial"/>
        </w:rPr>
        <w:t xml:space="preserve"> assets will be purchased with long term borrowed funds.  </w:t>
      </w:r>
      <w:proofErr w:type="gramStart"/>
      <w:r w:rsidRPr="00DC79BB">
        <w:rPr>
          <w:rFonts w:cs="Arial"/>
        </w:rPr>
        <w:t>A certain level of current assets, which form part of the long-term asset base of the business, may also be funded by long-term borrowing</w:t>
      </w:r>
      <w:proofErr w:type="gramEnd"/>
      <w:r w:rsidRPr="00DC79BB">
        <w:rPr>
          <w:rFonts w:cs="Arial"/>
        </w:rPr>
        <w:t xml:space="preserve">.  Those current assets that fluctuate owing to seasonality and so on will be funded by </w:t>
      </w:r>
      <w:proofErr w:type="gramStart"/>
      <w:r w:rsidRPr="00DC79BB">
        <w:rPr>
          <w:rFonts w:cs="Arial"/>
        </w:rPr>
        <w:t>short term</w:t>
      </w:r>
      <w:proofErr w:type="gramEnd"/>
      <w:r w:rsidRPr="00DC79BB">
        <w:rPr>
          <w:rFonts w:cs="Arial"/>
        </w:rPr>
        <w:t xml:space="preserve"> borrowing.  This approach to funding assets will help reduce risks for the business.</w:t>
      </w:r>
    </w:p>
    <w:p w:rsidR="00C22276" w:rsidRPr="00DC79BB" w:rsidRDefault="00C22276" w:rsidP="00C22276">
      <w:pPr>
        <w:pStyle w:val="ListParagraph"/>
        <w:numPr>
          <w:ilvl w:val="0"/>
          <w:numId w:val="9"/>
        </w:numPr>
        <w:jc w:val="both"/>
        <w:rPr>
          <w:rFonts w:cs="Arial"/>
        </w:rPr>
      </w:pPr>
      <w:r w:rsidRPr="00DC79BB">
        <w:rPr>
          <w:rFonts w:cs="Arial"/>
        </w:rPr>
        <w:t xml:space="preserve">Cost. Interest rates for long term borrowings may be higher than for short term ones as investors may seek extra compensation for having their funds locked up for a long period.  However, issue costs may be higher for </w:t>
      </w:r>
      <w:proofErr w:type="gramStart"/>
      <w:r w:rsidRPr="00DC79BB">
        <w:rPr>
          <w:rFonts w:cs="Arial"/>
        </w:rPr>
        <w:t>short term</w:t>
      </w:r>
      <w:proofErr w:type="gramEnd"/>
      <w:r w:rsidRPr="00DC79BB">
        <w:rPr>
          <w:rFonts w:cs="Arial"/>
        </w:rPr>
        <w:t xml:space="preserve"> borrowings and there will be a need to refund at more frequent intervals.</w:t>
      </w:r>
    </w:p>
    <w:p w:rsidR="00C22276" w:rsidRPr="00DC79BB" w:rsidRDefault="00C22276" w:rsidP="00C22276">
      <w:pPr>
        <w:pStyle w:val="ListParagraph"/>
        <w:numPr>
          <w:ilvl w:val="0"/>
          <w:numId w:val="9"/>
        </w:numPr>
        <w:jc w:val="both"/>
        <w:rPr>
          <w:rFonts w:cs="Arial"/>
        </w:rPr>
      </w:pPr>
      <w:r w:rsidRPr="00DC79BB">
        <w:rPr>
          <w:rFonts w:cs="Arial"/>
        </w:rPr>
        <w:t xml:space="preserve">Flexibility. </w:t>
      </w:r>
      <w:proofErr w:type="gramStart"/>
      <w:r w:rsidRPr="00DC79BB">
        <w:rPr>
          <w:rFonts w:cs="Arial"/>
        </w:rPr>
        <w:t>Short term</w:t>
      </w:r>
      <w:proofErr w:type="gramEnd"/>
      <w:r w:rsidRPr="00DC79BB">
        <w:rPr>
          <w:rFonts w:cs="Arial"/>
        </w:rPr>
        <w:t xml:space="preserve"> borrowings may be more flexible.  It may be difficult to repay long term ones before a maturity period.</w:t>
      </w:r>
    </w:p>
    <w:p w:rsidR="00C22276" w:rsidRDefault="00C22276" w:rsidP="00A81DE9">
      <w:pPr>
        <w:spacing w:after="120" w:line="240" w:lineRule="auto"/>
        <w:ind w:left="-284"/>
        <w:jc w:val="both"/>
        <w:rPr>
          <w:rFonts w:cs="Arial"/>
          <w:b/>
        </w:rPr>
      </w:pPr>
    </w:p>
    <w:sectPr w:rsidR="00C22276" w:rsidSect="005B4073">
      <w:footerReference w:type="default" r:id="rId7"/>
      <w:pgSz w:w="11906" w:h="16838"/>
      <w:pgMar w:top="1276" w:right="1133"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812" w:rsidRDefault="00CE6812">
      <w:pPr>
        <w:spacing w:after="0" w:line="240" w:lineRule="auto"/>
      </w:pPr>
      <w:r>
        <w:separator/>
      </w:r>
    </w:p>
  </w:endnote>
  <w:endnote w:type="continuationSeparator" w:id="0">
    <w:p w:rsidR="00CE6812" w:rsidRDefault="00CE6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0478542"/>
      <w:docPartObj>
        <w:docPartGallery w:val="Page Numbers (Bottom of Page)"/>
        <w:docPartUnique/>
      </w:docPartObj>
    </w:sdtPr>
    <w:sdtEndPr>
      <w:rPr>
        <w:noProof/>
      </w:rPr>
    </w:sdtEndPr>
    <w:sdtContent>
      <w:p w:rsidR="00327384" w:rsidRDefault="00C038A7">
        <w:pPr>
          <w:pStyle w:val="Footer"/>
          <w:jc w:val="right"/>
        </w:pPr>
        <w:r>
          <w:fldChar w:fldCharType="begin"/>
        </w:r>
        <w:r>
          <w:instrText xml:space="preserve"> PAGE   \* MERGEFORMAT </w:instrText>
        </w:r>
        <w:r>
          <w:fldChar w:fldCharType="separate"/>
        </w:r>
        <w:r w:rsidR="00F96A30">
          <w:rPr>
            <w:noProof/>
          </w:rPr>
          <w:t>2</w:t>
        </w:r>
        <w:r>
          <w:rPr>
            <w:noProof/>
          </w:rPr>
          <w:fldChar w:fldCharType="end"/>
        </w:r>
      </w:p>
    </w:sdtContent>
  </w:sdt>
  <w:p w:rsidR="00327384" w:rsidRDefault="00F96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812" w:rsidRDefault="00CE6812">
      <w:pPr>
        <w:spacing w:after="0" w:line="240" w:lineRule="auto"/>
      </w:pPr>
      <w:r>
        <w:separator/>
      </w:r>
    </w:p>
  </w:footnote>
  <w:footnote w:type="continuationSeparator" w:id="0">
    <w:p w:rsidR="00CE6812" w:rsidRDefault="00CE68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0AAC"/>
    <w:multiLevelType w:val="hybridMultilevel"/>
    <w:tmpl w:val="2CDA0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4745E"/>
    <w:multiLevelType w:val="hybridMultilevel"/>
    <w:tmpl w:val="2B50097A"/>
    <w:lvl w:ilvl="0" w:tplc="04487C76">
      <w:start w:val="1"/>
      <w:numFmt w:val="bullet"/>
      <w:lvlText w:val="•"/>
      <w:lvlJc w:val="left"/>
      <w:pPr>
        <w:tabs>
          <w:tab w:val="num" w:pos="720"/>
        </w:tabs>
        <w:ind w:left="720" w:hanging="360"/>
      </w:pPr>
      <w:rPr>
        <w:rFonts w:ascii="Arial" w:hAnsi="Arial" w:hint="default"/>
      </w:rPr>
    </w:lvl>
    <w:lvl w:ilvl="1" w:tplc="316C61BC" w:tentative="1">
      <w:start w:val="1"/>
      <w:numFmt w:val="bullet"/>
      <w:lvlText w:val="•"/>
      <w:lvlJc w:val="left"/>
      <w:pPr>
        <w:tabs>
          <w:tab w:val="num" w:pos="1440"/>
        </w:tabs>
        <w:ind w:left="1440" w:hanging="360"/>
      </w:pPr>
      <w:rPr>
        <w:rFonts w:ascii="Arial" w:hAnsi="Arial" w:hint="default"/>
      </w:rPr>
    </w:lvl>
    <w:lvl w:ilvl="2" w:tplc="C9985C76" w:tentative="1">
      <w:start w:val="1"/>
      <w:numFmt w:val="bullet"/>
      <w:lvlText w:val="•"/>
      <w:lvlJc w:val="left"/>
      <w:pPr>
        <w:tabs>
          <w:tab w:val="num" w:pos="2160"/>
        </w:tabs>
        <w:ind w:left="2160" w:hanging="360"/>
      </w:pPr>
      <w:rPr>
        <w:rFonts w:ascii="Arial" w:hAnsi="Arial" w:hint="default"/>
      </w:rPr>
    </w:lvl>
    <w:lvl w:ilvl="3" w:tplc="894EE01A" w:tentative="1">
      <w:start w:val="1"/>
      <w:numFmt w:val="bullet"/>
      <w:lvlText w:val="•"/>
      <w:lvlJc w:val="left"/>
      <w:pPr>
        <w:tabs>
          <w:tab w:val="num" w:pos="2880"/>
        </w:tabs>
        <w:ind w:left="2880" w:hanging="360"/>
      </w:pPr>
      <w:rPr>
        <w:rFonts w:ascii="Arial" w:hAnsi="Arial" w:hint="default"/>
      </w:rPr>
    </w:lvl>
    <w:lvl w:ilvl="4" w:tplc="DD6C02DA" w:tentative="1">
      <w:start w:val="1"/>
      <w:numFmt w:val="bullet"/>
      <w:lvlText w:val="•"/>
      <w:lvlJc w:val="left"/>
      <w:pPr>
        <w:tabs>
          <w:tab w:val="num" w:pos="3600"/>
        </w:tabs>
        <w:ind w:left="3600" w:hanging="360"/>
      </w:pPr>
      <w:rPr>
        <w:rFonts w:ascii="Arial" w:hAnsi="Arial" w:hint="default"/>
      </w:rPr>
    </w:lvl>
    <w:lvl w:ilvl="5" w:tplc="AA12E15E" w:tentative="1">
      <w:start w:val="1"/>
      <w:numFmt w:val="bullet"/>
      <w:lvlText w:val="•"/>
      <w:lvlJc w:val="left"/>
      <w:pPr>
        <w:tabs>
          <w:tab w:val="num" w:pos="4320"/>
        </w:tabs>
        <w:ind w:left="4320" w:hanging="360"/>
      </w:pPr>
      <w:rPr>
        <w:rFonts w:ascii="Arial" w:hAnsi="Arial" w:hint="default"/>
      </w:rPr>
    </w:lvl>
    <w:lvl w:ilvl="6" w:tplc="6B065A18" w:tentative="1">
      <w:start w:val="1"/>
      <w:numFmt w:val="bullet"/>
      <w:lvlText w:val="•"/>
      <w:lvlJc w:val="left"/>
      <w:pPr>
        <w:tabs>
          <w:tab w:val="num" w:pos="5040"/>
        </w:tabs>
        <w:ind w:left="5040" w:hanging="360"/>
      </w:pPr>
      <w:rPr>
        <w:rFonts w:ascii="Arial" w:hAnsi="Arial" w:hint="default"/>
      </w:rPr>
    </w:lvl>
    <w:lvl w:ilvl="7" w:tplc="CF56CC40" w:tentative="1">
      <w:start w:val="1"/>
      <w:numFmt w:val="bullet"/>
      <w:lvlText w:val="•"/>
      <w:lvlJc w:val="left"/>
      <w:pPr>
        <w:tabs>
          <w:tab w:val="num" w:pos="5760"/>
        </w:tabs>
        <w:ind w:left="5760" w:hanging="360"/>
      </w:pPr>
      <w:rPr>
        <w:rFonts w:ascii="Arial" w:hAnsi="Arial" w:hint="default"/>
      </w:rPr>
    </w:lvl>
    <w:lvl w:ilvl="8" w:tplc="64ACA47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9800008"/>
    <w:multiLevelType w:val="hybridMultilevel"/>
    <w:tmpl w:val="E2045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449FC"/>
    <w:multiLevelType w:val="hybridMultilevel"/>
    <w:tmpl w:val="3BEA0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9430C8"/>
    <w:multiLevelType w:val="hybridMultilevel"/>
    <w:tmpl w:val="4D98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3718D5"/>
    <w:multiLevelType w:val="hybridMultilevel"/>
    <w:tmpl w:val="D39C8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E63E92"/>
    <w:multiLevelType w:val="hybridMultilevel"/>
    <w:tmpl w:val="74B4B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982E1F"/>
    <w:multiLevelType w:val="hybridMultilevel"/>
    <w:tmpl w:val="178EF47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541EB5"/>
    <w:multiLevelType w:val="hybridMultilevel"/>
    <w:tmpl w:val="2578B56C"/>
    <w:lvl w:ilvl="0" w:tplc="A412AF72">
      <w:start w:val="1"/>
      <w:numFmt w:val="lowerLetter"/>
      <w:lvlText w:val="(%1)"/>
      <w:lvlJc w:val="left"/>
      <w:pPr>
        <w:ind w:left="121" w:hanging="360"/>
      </w:pPr>
      <w:rPr>
        <w:rFonts w:hint="default"/>
      </w:rPr>
    </w:lvl>
    <w:lvl w:ilvl="1" w:tplc="08090019" w:tentative="1">
      <w:start w:val="1"/>
      <w:numFmt w:val="lowerLetter"/>
      <w:lvlText w:val="%2."/>
      <w:lvlJc w:val="left"/>
      <w:pPr>
        <w:ind w:left="841" w:hanging="360"/>
      </w:pPr>
    </w:lvl>
    <w:lvl w:ilvl="2" w:tplc="0809001B" w:tentative="1">
      <w:start w:val="1"/>
      <w:numFmt w:val="lowerRoman"/>
      <w:lvlText w:val="%3."/>
      <w:lvlJc w:val="right"/>
      <w:pPr>
        <w:ind w:left="1561" w:hanging="180"/>
      </w:pPr>
    </w:lvl>
    <w:lvl w:ilvl="3" w:tplc="0809000F" w:tentative="1">
      <w:start w:val="1"/>
      <w:numFmt w:val="decimal"/>
      <w:lvlText w:val="%4."/>
      <w:lvlJc w:val="left"/>
      <w:pPr>
        <w:ind w:left="2281" w:hanging="360"/>
      </w:pPr>
    </w:lvl>
    <w:lvl w:ilvl="4" w:tplc="08090019" w:tentative="1">
      <w:start w:val="1"/>
      <w:numFmt w:val="lowerLetter"/>
      <w:lvlText w:val="%5."/>
      <w:lvlJc w:val="left"/>
      <w:pPr>
        <w:ind w:left="3001" w:hanging="360"/>
      </w:pPr>
    </w:lvl>
    <w:lvl w:ilvl="5" w:tplc="0809001B" w:tentative="1">
      <w:start w:val="1"/>
      <w:numFmt w:val="lowerRoman"/>
      <w:lvlText w:val="%6."/>
      <w:lvlJc w:val="right"/>
      <w:pPr>
        <w:ind w:left="3721" w:hanging="180"/>
      </w:pPr>
    </w:lvl>
    <w:lvl w:ilvl="6" w:tplc="0809000F" w:tentative="1">
      <w:start w:val="1"/>
      <w:numFmt w:val="decimal"/>
      <w:lvlText w:val="%7."/>
      <w:lvlJc w:val="left"/>
      <w:pPr>
        <w:ind w:left="4441" w:hanging="360"/>
      </w:pPr>
    </w:lvl>
    <w:lvl w:ilvl="7" w:tplc="08090019" w:tentative="1">
      <w:start w:val="1"/>
      <w:numFmt w:val="lowerLetter"/>
      <w:lvlText w:val="%8."/>
      <w:lvlJc w:val="left"/>
      <w:pPr>
        <w:ind w:left="5161" w:hanging="360"/>
      </w:pPr>
    </w:lvl>
    <w:lvl w:ilvl="8" w:tplc="0809001B" w:tentative="1">
      <w:start w:val="1"/>
      <w:numFmt w:val="lowerRoman"/>
      <w:lvlText w:val="%9."/>
      <w:lvlJc w:val="right"/>
      <w:pPr>
        <w:ind w:left="5881" w:hanging="180"/>
      </w:pPr>
    </w:lvl>
  </w:abstractNum>
  <w:abstractNum w:abstractNumId="9" w15:restartNumberingAfterBreak="0">
    <w:nsid w:val="7AC474AC"/>
    <w:multiLevelType w:val="hybridMultilevel"/>
    <w:tmpl w:val="765C1016"/>
    <w:lvl w:ilvl="0" w:tplc="FC90C78E">
      <w:start w:val="1"/>
      <w:numFmt w:val="bullet"/>
      <w:lvlText w:val="•"/>
      <w:lvlJc w:val="left"/>
      <w:pPr>
        <w:tabs>
          <w:tab w:val="num" w:pos="720"/>
        </w:tabs>
        <w:ind w:left="720" w:hanging="360"/>
      </w:pPr>
      <w:rPr>
        <w:rFonts w:ascii="Arial" w:hAnsi="Arial" w:hint="default"/>
      </w:rPr>
    </w:lvl>
    <w:lvl w:ilvl="1" w:tplc="32D231F8">
      <w:start w:val="2339"/>
      <w:numFmt w:val="bullet"/>
      <w:lvlText w:val="–"/>
      <w:lvlJc w:val="left"/>
      <w:pPr>
        <w:tabs>
          <w:tab w:val="num" w:pos="1440"/>
        </w:tabs>
        <w:ind w:left="1440" w:hanging="360"/>
      </w:pPr>
      <w:rPr>
        <w:rFonts w:ascii="Arial" w:hAnsi="Arial" w:hint="default"/>
      </w:rPr>
    </w:lvl>
    <w:lvl w:ilvl="2" w:tplc="3CA4D908" w:tentative="1">
      <w:start w:val="1"/>
      <w:numFmt w:val="bullet"/>
      <w:lvlText w:val="•"/>
      <w:lvlJc w:val="left"/>
      <w:pPr>
        <w:tabs>
          <w:tab w:val="num" w:pos="2160"/>
        </w:tabs>
        <w:ind w:left="2160" w:hanging="360"/>
      </w:pPr>
      <w:rPr>
        <w:rFonts w:ascii="Arial" w:hAnsi="Arial" w:hint="default"/>
      </w:rPr>
    </w:lvl>
    <w:lvl w:ilvl="3" w:tplc="C8783EC4" w:tentative="1">
      <w:start w:val="1"/>
      <w:numFmt w:val="bullet"/>
      <w:lvlText w:val="•"/>
      <w:lvlJc w:val="left"/>
      <w:pPr>
        <w:tabs>
          <w:tab w:val="num" w:pos="2880"/>
        </w:tabs>
        <w:ind w:left="2880" w:hanging="360"/>
      </w:pPr>
      <w:rPr>
        <w:rFonts w:ascii="Arial" w:hAnsi="Arial" w:hint="default"/>
      </w:rPr>
    </w:lvl>
    <w:lvl w:ilvl="4" w:tplc="305CCAA4" w:tentative="1">
      <w:start w:val="1"/>
      <w:numFmt w:val="bullet"/>
      <w:lvlText w:val="•"/>
      <w:lvlJc w:val="left"/>
      <w:pPr>
        <w:tabs>
          <w:tab w:val="num" w:pos="3600"/>
        </w:tabs>
        <w:ind w:left="3600" w:hanging="360"/>
      </w:pPr>
      <w:rPr>
        <w:rFonts w:ascii="Arial" w:hAnsi="Arial" w:hint="default"/>
      </w:rPr>
    </w:lvl>
    <w:lvl w:ilvl="5" w:tplc="6F3E11BC" w:tentative="1">
      <w:start w:val="1"/>
      <w:numFmt w:val="bullet"/>
      <w:lvlText w:val="•"/>
      <w:lvlJc w:val="left"/>
      <w:pPr>
        <w:tabs>
          <w:tab w:val="num" w:pos="4320"/>
        </w:tabs>
        <w:ind w:left="4320" w:hanging="360"/>
      </w:pPr>
      <w:rPr>
        <w:rFonts w:ascii="Arial" w:hAnsi="Arial" w:hint="default"/>
      </w:rPr>
    </w:lvl>
    <w:lvl w:ilvl="6" w:tplc="B0A0694E" w:tentative="1">
      <w:start w:val="1"/>
      <w:numFmt w:val="bullet"/>
      <w:lvlText w:val="•"/>
      <w:lvlJc w:val="left"/>
      <w:pPr>
        <w:tabs>
          <w:tab w:val="num" w:pos="5040"/>
        </w:tabs>
        <w:ind w:left="5040" w:hanging="360"/>
      </w:pPr>
      <w:rPr>
        <w:rFonts w:ascii="Arial" w:hAnsi="Arial" w:hint="default"/>
      </w:rPr>
    </w:lvl>
    <w:lvl w:ilvl="7" w:tplc="400C8CCE" w:tentative="1">
      <w:start w:val="1"/>
      <w:numFmt w:val="bullet"/>
      <w:lvlText w:val="•"/>
      <w:lvlJc w:val="left"/>
      <w:pPr>
        <w:tabs>
          <w:tab w:val="num" w:pos="5760"/>
        </w:tabs>
        <w:ind w:left="5760" w:hanging="360"/>
      </w:pPr>
      <w:rPr>
        <w:rFonts w:ascii="Arial" w:hAnsi="Arial" w:hint="default"/>
      </w:rPr>
    </w:lvl>
    <w:lvl w:ilvl="8" w:tplc="4DFC4E9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9"/>
  </w:num>
  <w:num w:numId="3">
    <w:abstractNumId w:val="7"/>
  </w:num>
  <w:num w:numId="4">
    <w:abstractNumId w:val="5"/>
  </w:num>
  <w:num w:numId="5">
    <w:abstractNumId w:val="8"/>
  </w:num>
  <w:num w:numId="6">
    <w:abstractNumId w:val="4"/>
  </w:num>
  <w:num w:numId="7">
    <w:abstractNumId w:val="0"/>
  </w:num>
  <w:num w:numId="8">
    <w:abstractNumId w:val="2"/>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8A7"/>
    <w:rsid w:val="005646E2"/>
    <w:rsid w:val="009152BE"/>
    <w:rsid w:val="00A124F9"/>
    <w:rsid w:val="00A81DE9"/>
    <w:rsid w:val="00C038A7"/>
    <w:rsid w:val="00C13884"/>
    <w:rsid w:val="00C22276"/>
    <w:rsid w:val="00CE6812"/>
    <w:rsid w:val="00CF6B3C"/>
    <w:rsid w:val="00D324E2"/>
    <w:rsid w:val="00EB0973"/>
    <w:rsid w:val="00F9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21BD7"/>
  <w15:docId w15:val="{9A70FC6E-2FEC-4DE9-9E66-B73A9564A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8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8A7"/>
    <w:pPr>
      <w:ind w:left="720"/>
      <w:contextualSpacing/>
    </w:pPr>
  </w:style>
  <w:style w:type="paragraph" w:styleId="Footer">
    <w:name w:val="footer"/>
    <w:basedOn w:val="Normal"/>
    <w:link w:val="FooterChar"/>
    <w:uiPriority w:val="99"/>
    <w:unhideWhenUsed/>
    <w:rsid w:val="00C03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8A7"/>
  </w:style>
  <w:style w:type="table" w:styleId="TableGrid">
    <w:name w:val="Table Grid"/>
    <w:basedOn w:val="TableNormal"/>
    <w:uiPriority w:val="59"/>
    <w:rsid w:val="00D32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1005</Words>
  <Characters>5731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Richard Dunstan</cp:lastModifiedBy>
  <cp:revision>3</cp:revision>
  <dcterms:created xsi:type="dcterms:W3CDTF">2019-11-19T13:49:00Z</dcterms:created>
  <dcterms:modified xsi:type="dcterms:W3CDTF">2019-11-21T14:01:00Z</dcterms:modified>
</cp:coreProperties>
</file>