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1BC2D" w14:textId="66C13714" w:rsidR="00127EBE" w:rsidRDefault="004261D9" w:rsidP="00CA57E0">
      <w:pPr>
        <w:jc w:val="center"/>
        <w:rPr>
          <w:rFonts w:ascii="Bookman Old Style" w:hAnsi="Bookman Old Style"/>
          <w:sz w:val="40"/>
          <w:szCs w:val="40"/>
        </w:rPr>
      </w:pPr>
      <w:r w:rsidRPr="004261D9">
        <w:rPr>
          <w:rFonts w:ascii="Bookman Old Style" w:hAnsi="Bookman Old Style"/>
          <w:sz w:val="40"/>
          <w:szCs w:val="40"/>
        </w:rPr>
        <w:t xml:space="preserve">What does the study of archaeological remains tell us about ancient burial practices and/or beliefs in an afterlife? </w:t>
      </w:r>
    </w:p>
    <w:p w14:paraId="22F738C4" w14:textId="180E80DF" w:rsidR="00F13F10" w:rsidRDefault="00F13F10" w:rsidP="00CA57E0">
      <w:pPr>
        <w:jc w:val="center"/>
        <w:rPr>
          <w:rFonts w:ascii="Bookman Old Style" w:hAnsi="Bookman Old Style"/>
        </w:rPr>
      </w:pPr>
      <w:r>
        <w:rPr>
          <w:rFonts w:ascii="Bookman Old Style" w:hAnsi="Bookman Old Style"/>
        </w:rPr>
        <w:t>Ania d’Abdank Kunicki</w:t>
      </w:r>
    </w:p>
    <w:p w14:paraId="6E618E9C" w14:textId="77777777" w:rsidR="00F13F10" w:rsidRPr="00F13F10" w:rsidRDefault="00F13F10" w:rsidP="00CA57E0">
      <w:pPr>
        <w:jc w:val="center"/>
        <w:rPr>
          <w:rFonts w:ascii="Bookman Old Style" w:hAnsi="Bookman Old Style"/>
        </w:rPr>
      </w:pPr>
    </w:p>
    <w:p w14:paraId="7E53554B" w14:textId="70150025" w:rsidR="00F13F10" w:rsidRDefault="004261D9" w:rsidP="00D42E10">
      <w:pPr>
        <w:ind w:firstLine="720"/>
        <w:rPr>
          <w:rFonts w:ascii="Bookman Old Style" w:hAnsi="Bookman Old Style"/>
          <w:sz w:val="24"/>
          <w:szCs w:val="24"/>
        </w:rPr>
      </w:pPr>
      <w:r>
        <w:rPr>
          <w:rFonts w:ascii="Bookman Old Style" w:hAnsi="Bookman Old Style"/>
          <w:sz w:val="24"/>
          <w:szCs w:val="24"/>
        </w:rPr>
        <w:t xml:space="preserve">Archaeological remains found within tombs and burial </w:t>
      </w:r>
      <w:r w:rsidR="00B41FF2">
        <w:rPr>
          <w:rFonts w:ascii="Bookman Old Style" w:hAnsi="Bookman Old Style"/>
          <w:sz w:val="24"/>
          <w:szCs w:val="24"/>
        </w:rPr>
        <w:t>sights</w:t>
      </w:r>
      <w:r>
        <w:rPr>
          <w:rFonts w:ascii="Bookman Old Style" w:hAnsi="Bookman Old Style"/>
          <w:sz w:val="24"/>
          <w:szCs w:val="24"/>
        </w:rPr>
        <w:t xml:space="preserve"> can tell us a lot about the past, particularly peoples beliefs/attitudes surrounding death and the concept of an afterlife. </w:t>
      </w:r>
      <w:r w:rsidR="00A67317">
        <w:rPr>
          <w:rFonts w:ascii="Bookman Old Style" w:hAnsi="Bookman Old Style"/>
          <w:sz w:val="24"/>
          <w:szCs w:val="24"/>
        </w:rPr>
        <w:t xml:space="preserve">Within this essay I will be specifically looking at what the </w:t>
      </w:r>
      <w:r w:rsidR="008A6ED1">
        <w:rPr>
          <w:rFonts w:ascii="Bookman Old Style" w:hAnsi="Bookman Old Style"/>
          <w:sz w:val="24"/>
          <w:szCs w:val="24"/>
        </w:rPr>
        <w:t xml:space="preserve">“skull cults” that emerged in the Neolithic period can tell us about what some of the earliest humans thought about death. The Neolithic period is the first time that we can see any sort of ritual surrounding death and the dead. These “skull cults” in particular have shown that there must have been a particular ritual surrounding the head of the deceased. These rituals also seemed to expand across the Levant region showing it was not just </w:t>
      </w:r>
      <w:r w:rsidR="00B61C41">
        <w:rPr>
          <w:rFonts w:ascii="Bookman Old Style" w:hAnsi="Bookman Old Style"/>
          <w:sz w:val="24"/>
          <w:szCs w:val="24"/>
        </w:rPr>
        <w:t xml:space="preserve">confined to a specific group or tribe and was a widespread “trend”. </w:t>
      </w:r>
      <w:r w:rsidR="00304D82">
        <w:rPr>
          <w:rFonts w:ascii="Bookman Old Style" w:hAnsi="Bookman Old Style"/>
          <w:sz w:val="24"/>
          <w:szCs w:val="24"/>
        </w:rPr>
        <w:t>This essay will look into the different areas where the evidence of these “skull cults” have been found and also the different rituals associated with each burial site</w:t>
      </w:r>
      <w:r w:rsidR="002170DF">
        <w:rPr>
          <w:rFonts w:ascii="Bookman Old Style" w:hAnsi="Bookman Old Style"/>
          <w:sz w:val="24"/>
          <w:szCs w:val="24"/>
        </w:rPr>
        <w:t xml:space="preserve"> as well as what the plastered skulls actually are and what they seem to represent.</w:t>
      </w:r>
      <w:r w:rsidR="00D42E10">
        <w:rPr>
          <w:rFonts w:ascii="Bookman Old Style" w:hAnsi="Bookman Old Style"/>
          <w:sz w:val="24"/>
          <w:szCs w:val="24"/>
        </w:rPr>
        <w:t xml:space="preserve"> </w:t>
      </w:r>
      <w:r w:rsidR="00F13F10">
        <w:rPr>
          <w:rFonts w:ascii="Bookman Old Style" w:hAnsi="Bookman Old Style"/>
          <w:sz w:val="24"/>
          <w:szCs w:val="24"/>
        </w:rPr>
        <w:t>The skulls</w:t>
      </w:r>
      <w:r w:rsidR="00D42E10">
        <w:rPr>
          <w:rFonts w:ascii="Bookman Old Style" w:hAnsi="Bookman Old Style"/>
          <w:sz w:val="24"/>
          <w:szCs w:val="24"/>
        </w:rPr>
        <w:t xml:space="preserve"> in question</w:t>
      </w:r>
      <w:r w:rsidR="00F13F10">
        <w:rPr>
          <w:rFonts w:ascii="Bookman Old Style" w:hAnsi="Bookman Old Style"/>
          <w:sz w:val="24"/>
          <w:szCs w:val="24"/>
        </w:rPr>
        <w:t xml:space="preserve"> were found in burial pits across the Levant region which encompasses modern day Syria, Lebanon, Jordan</w:t>
      </w:r>
      <w:r w:rsidR="00D42E10">
        <w:rPr>
          <w:rFonts w:ascii="Bookman Old Style" w:hAnsi="Bookman Old Style"/>
          <w:sz w:val="24"/>
          <w:szCs w:val="24"/>
        </w:rPr>
        <w:t>, Israel, and Palestine, the area we would now refer to as the Middle East.</w:t>
      </w:r>
      <w:r w:rsidR="00B40B7F">
        <w:rPr>
          <w:rFonts w:ascii="Bookman Old Style" w:hAnsi="Bookman Old Style"/>
          <w:sz w:val="24"/>
          <w:szCs w:val="24"/>
        </w:rPr>
        <w:t xml:space="preserve"> The biggest site they uncovered being Göbekli Tepe, which is thought to be the world’s oldest holy place and ritual site.</w:t>
      </w:r>
      <w:r w:rsidR="00E7244A">
        <w:rPr>
          <w:rFonts w:ascii="Bookman Old Style" w:hAnsi="Bookman Old Style"/>
          <w:sz w:val="24"/>
          <w:szCs w:val="24"/>
        </w:rPr>
        <w:t xml:space="preserve"> That site in particular is of interest since there is no evidence of anyone ever living there and only of passing activity meaning it was most likely used for religious or social gatherings only rather than residency.</w:t>
      </w:r>
    </w:p>
    <w:p w14:paraId="578D028C" w14:textId="5E2C0F2D" w:rsidR="00F13F10" w:rsidRDefault="00F13F10" w:rsidP="00F13F10">
      <w:pPr>
        <w:ind w:firstLine="720"/>
        <w:rPr>
          <w:rFonts w:ascii="Bookman Old Style" w:hAnsi="Bookman Old Style"/>
          <w:sz w:val="24"/>
          <w:szCs w:val="24"/>
        </w:rPr>
      </w:pPr>
      <w:r w:rsidRPr="00F13F10">
        <w:rPr>
          <w:rFonts w:ascii="Bookman Old Style" w:hAnsi="Bookman Old Style"/>
          <w:sz w:val="24"/>
          <w:szCs w:val="24"/>
        </w:rPr>
        <w:t xml:space="preserve">There is no way of truly knowing if humans in the Neolithic period had an understanding of an afterlife, but these burials point to it being possible. At the very least it shows an understanding of tradition and rituals. It also shows that they were not living a nomadic lifestyle as there is evidence of the bodies being buried underneath abandoned houses before the skulls were removed. Humans would have also had to have a sense of knowing how long it took for decomposition to take place which would take several years, so they must have had a way to keep track of how many years had passed and been able to remember where the burial was so that they knew when it was time for them to remove the skulls from the bodies so that they could plaster them. There also does not seem to be a differentiation between men, women, and children when it comes these skulls as they appear to all be buried together regardless of </w:t>
      </w:r>
      <w:r w:rsidRPr="00F13F10">
        <w:rPr>
          <w:rFonts w:ascii="Bookman Old Style" w:hAnsi="Bookman Old Style"/>
          <w:sz w:val="24"/>
          <w:szCs w:val="24"/>
        </w:rPr>
        <w:lastRenderedPageBreak/>
        <w:t>gender or age.</w:t>
      </w:r>
      <w:r w:rsidR="00782DD8">
        <w:rPr>
          <w:rStyle w:val="FootnoteReference"/>
          <w:rFonts w:ascii="Bookman Old Style" w:hAnsi="Bookman Old Style"/>
          <w:sz w:val="24"/>
          <w:szCs w:val="24"/>
        </w:rPr>
        <w:footnoteReference w:id="1"/>
      </w:r>
      <w:r w:rsidRPr="00F13F10">
        <w:rPr>
          <w:rFonts w:ascii="Bookman Old Style" w:hAnsi="Bookman Old Style"/>
          <w:sz w:val="24"/>
          <w:szCs w:val="24"/>
        </w:rPr>
        <w:t xml:space="preserve"> That shows that its possible early humans did not see a difference in men and women and treated them mostly as equals, but these burials could also be of families as there have been similar patterns painted on skulls that suggest that certain ones could have been relatives while they were alive.</w:t>
      </w:r>
      <w:r w:rsidR="00F35030">
        <w:rPr>
          <w:rFonts w:ascii="Bookman Old Style" w:hAnsi="Bookman Old Style"/>
          <w:sz w:val="24"/>
          <w:szCs w:val="24"/>
        </w:rPr>
        <w:t xml:space="preserve"> It is likely that male and female burials were viewed equally.</w:t>
      </w:r>
      <w:r w:rsidRPr="00F13F10">
        <w:rPr>
          <w:rFonts w:ascii="Bookman Old Style" w:hAnsi="Bookman Old Style"/>
          <w:sz w:val="24"/>
          <w:szCs w:val="24"/>
        </w:rPr>
        <w:t xml:space="preserve"> If there is the chance that these are families buried together then that could indicate that there was a level of organization with these burials and that they had planned to be buried together as a family.</w:t>
      </w:r>
      <w:r w:rsidR="008A7DF7">
        <w:rPr>
          <w:rFonts w:ascii="Bookman Old Style" w:hAnsi="Bookman Old Style"/>
          <w:sz w:val="24"/>
          <w:szCs w:val="24"/>
        </w:rPr>
        <w:t xml:space="preserve"> Originally when these burials had first been discovered the belief was that it was a form of worship for ancestor males only, until young adult female skulls were discovered, disproving this theory and showing that it was also done to young people as well as the elderly.</w:t>
      </w:r>
      <w:r w:rsidR="008A7DF7">
        <w:rPr>
          <w:rStyle w:val="FootnoteReference"/>
          <w:rFonts w:ascii="Bookman Old Style" w:hAnsi="Bookman Old Style"/>
          <w:sz w:val="24"/>
          <w:szCs w:val="24"/>
        </w:rPr>
        <w:footnoteReference w:id="2"/>
      </w:r>
      <w:r w:rsidRPr="00F13F10">
        <w:rPr>
          <w:rFonts w:ascii="Bookman Old Style" w:hAnsi="Bookman Old Style"/>
          <w:sz w:val="24"/>
          <w:szCs w:val="24"/>
        </w:rPr>
        <w:t xml:space="preserve"> These burials could be associated with ancestor worship as there is evidence of wear on the skulls showing use between when it was taken from its original burial and when it was buried again.</w:t>
      </w:r>
      <w:r>
        <w:rPr>
          <w:rStyle w:val="FootnoteReference"/>
          <w:rFonts w:ascii="Bookman Old Style" w:hAnsi="Bookman Old Style"/>
          <w:sz w:val="24"/>
          <w:szCs w:val="24"/>
        </w:rPr>
        <w:footnoteReference w:id="3"/>
      </w:r>
      <w:r w:rsidRPr="00F13F10">
        <w:rPr>
          <w:rFonts w:ascii="Bookman Old Style" w:hAnsi="Bookman Old Style"/>
          <w:sz w:val="24"/>
          <w:szCs w:val="24"/>
        </w:rPr>
        <w:t xml:space="preserve"> Associating them with ancestor worship could be the start of some form of organized religion within human civilization. It definitely shows a tradition or ritual surrounding the head specifically, indicating that they could have considered the head sacred to a person and used these skulls in other traditions.</w:t>
      </w:r>
      <w:r w:rsidR="000D608C">
        <w:rPr>
          <w:rFonts w:ascii="Bookman Old Style" w:hAnsi="Bookman Old Style"/>
          <w:sz w:val="24"/>
          <w:szCs w:val="24"/>
        </w:rPr>
        <w:t xml:space="preserve"> The general consensus seems to be that they were used in some form of ancestor worship</w:t>
      </w:r>
      <w:r w:rsidR="00246B3C">
        <w:rPr>
          <w:rFonts w:ascii="Bookman Old Style" w:hAnsi="Bookman Old Style"/>
          <w:sz w:val="24"/>
          <w:szCs w:val="24"/>
        </w:rPr>
        <w:t xml:space="preserve"> as there have been other artifacts found in sites like these that also point to ancestor worship.</w:t>
      </w:r>
      <w:r w:rsidR="00246B3C">
        <w:rPr>
          <w:rStyle w:val="FootnoteReference"/>
          <w:rFonts w:ascii="Bookman Old Style" w:hAnsi="Bookman Old Style"/>
          <w:sz w:val="24"/>
          <w:szCs w:val="24"/>
        </w:rPr>
        <w:footnoteReference w:id="4"/>
      </w:r>
      <w:r w:rsidR="00B40B7F">
        <w:rPr>
          <w:rFonts w:ascii="Bookman Old Style" w:hAnsi="Bookman Old Style"/>
          <w:sz w:val="24"/>
          <w:szCs w:val="24"/>
        </w:rPr>
        <w:t xml:space="preserve"> The head being chosen specifically for this rather than any other body part points to the head being particularly sacred as there have also been masks found that point to more ancestor worship that may be used to represent the deceased.</w:t>
      </w:r>
      <w:r w:rsidR="00F35030">
        <w:rPr>
          <w:rFonts w:ascii="Bookman Old Style" w:hAnsi="Bookman Old Style"/>
          <w:sz w:val="24"/>
          <w:szCs w:val="24"/>
        </w:rPr>
        <w:t xml:space="preserve"> </w:t>
      </w:r>
      <w:r w:rsidR="00E7244A">
        <w:rPr>
          <w:rFonts w:ascii="Bookman Old Style" w:hAnsi="Bookman Old Style"/>
          <w:sz w:val="24"/>
          <w:szCs w:val="24"/>
        </w:rPr>
        <w:t>There is wear on the skulls and the plaster to show they were used after plastering them before being buried, possibly used for rituals after a certain amount of time after death of the individual and then being permanently laid to rest by their community.</w:t>
      </w:r>
      <w:r w:rsidR="00B40B7F">
        <w:rPr>
          <w:rFonts w:ascii="Bookman Old Style" w:hAnsi="Bookman Old Style"/>
          <w:sz w:val="24"/>
          <w:szCs w:val="24"/>
        </w:rPr>
        <w:t xml:space="preserve"> </w:t>
      </w:r>
    </w:p>
    <w:p w14:paraId="530217D3" w14:textId="37C5E5CB" w:rsidR="00F13F10" w:rsidRDefault="00F13F10" w:rsidP="00F13F10">
      <w:pPr>
        <w:ind w:firstLine="720"/>
        <w:rPr>
          <w:rFonts w:ascii="Bookman Old Style" w:hAnsi="Bookman Old Style"/>
          <w:sz w:val="24"/>
          <w:szCs w:val="24"/>
        </w:rPr>
      </w:pPr>
      <w:r w:rsidRPr="00F13F10">
        <w:rPr>
          <w:rFonts w:ascii="Bookman Old Style" w:hAnsi="Bookman Old Style"/>
          <w:sz w:val="24"/>
          <w:szCs w:val="24"/>
        </w:rPr>
        <w:t xml:space="preserve">The skulls themselves are not just skulls that have been removed from the bodies of the deceased and then buried separately, and there was actually a long process that required several steps and quite a lot of skill in order to complete. The skulls in question were buried with the rest of the bodies initially but were then separated after decomposition had happened and the flesh had fallen off so that they could be plastered using a variety of materials. A layer of lime, mud, or gypsum was used to plaster the face which gave a more “fleshed” </w:t>
      </w:r>
      <w:r w:rsidRPr="00F13F10">
        <w:rPr>
          <w:rFonts w:ascii="Bookman Old Style" w:hAnsi="Bookman Old Style"/>
          <w:sz w:val="24"/>
          <w:szCs w:val="24"/>
        </w:rPr>
        <w:lastRenderedPageBreak/>
        <w:t>appearance.</w:t>
      </w:r>
      <w:r>
        <w:rPr>
          <w:rStyle w:val="FootnoteReference"/>
          <w:rFonts w:ascii="Bookman Old Style" w:hAnsi="Bookman Old Style"/>
          <w:sz w:val="24"/>
          <w:szCs w:val="24"/>
        </w:rPr>
        <w:footnoteReference w:id="5"/>
      </w:r>
      <w:r w:rsidRPr="00F13F10">
        <w:rPr>
          <w:rFonts w:ascii="Bookman Old Style" w:hAnsi="Bookman Old Style"/>
          <w:sz w:val="24"/>
          <w:szCs w:val="24"/>
        </w:rPr>
        <w:t xml:space="preserve"> Seashells were often used as eyes, or they would be drawn out using black “eyeliner” and a straight black line would represent a closed eye. There is also the fact that many of them cant actually be considered skulls as many have the mandible missing, a skull missing its mandible would just be referred to as a cranium. This is likely because of the difficulty of getting the mandible to stay in place without the connecting tissue since it was essential that all the tissue be removed so that the plaster would adhere to the skulls properly. The plastering of the crania would have required significant skill and would most likely have been done by artisans specifically trained in this craft, those who knew the process of making the plaster, drying, preparing the pigments for painting, and knowing the process of drying the pigments. The selection of the head was deliberate and has been seen in multiple Neolithic sites where these skull burials have been found, however there were slight differences depending on where the skulls were found which could show a difference in tradition depending on the settlement and what their own personal traditions were.</w:t>
      </w:r>
      <w:r w:rsidR="00B40B7F">
        <w:rPr>
          <w:rFonts w:ascii="Bookman Old Style" w:hAnsi="Bookman Old Style"/>
          <w:sz w:val="24"/>
          <w:szCs w:val="24"/>
        </w:rPr>
        <w:t xml:space="preserve"> </w:t>
      </w:r>
      <w:r w:rsidR="00D3422D">
        <w:rPr>
          <w:rFonts w:ascii="Bookman Old Style" w:hAnsi="Bookman Old Style"/>
          <w:sz w:val="24"/>
          <w:szCs w:val="24"/>
        </w:rPr>
        <w:t xml:space="preserve">There was obvious care taken with these skulls and clearly they held importance for those who plastered them, and the plastering may have been a specific job, almost like a trade or an art form for these humans. The plastering and painting would not have just been done by anyone, likely the artisans or artists of these settlements. They took great care to make sure they lasted and clearly it worked as they survived thousands of years until modern humans uncovered them. </w:t>
      </w:r>
    </w:p>
    <w:p w14:paraId="22FCF024" w14:textId="5035C5A5" w:rsidR="009074BB" w:rsidRDefault="009074BB" w:rsidP="00F13F10">
      <w:pPr>
        <w:ind w:firstLine="720"/>
        <w:rPr>
          <w:rFonts w:ascii="Bookman Old Style" w:hAnsi="Bookman Old Style"/>
          <w:sz w:val="24"/>
          <w:szCs w:val="24"/>
        </w:rPr>
      </w:pPr>
      <w:r>
        <w:rPr>
          <w:rFonts w:ascii="Bookman Old Style" w:hAnsi="Bookman Old Style"/>
          <w:sz w:val="24"/>
          <w:szCs w:val="24"/>
        </w:rPr>
        <w:t xml:space="preserve">This all demonstrates an understanding between humans in the Neolithic period that death and dying has significance. They may not have believed in an afterlife necessarily, but they quite possibly believed that their deceased loved ones and ancestors had some power and importance. They possibly believed in an afterlife and that their ancestors were watching over them and that plastering their skulls was almost a sort of offering and showing their importance to them as a group or maybe as individuals. </w:t>
      </w:r>
      <w:r w:rsidR="003B116C">
        <w:rPr>
          <w:rFonts w:ascii="Bookman Old Style" w:hAnsi="Bookman Old Style"/>
          <w:sz w:val="24"/>
          <w:szCs w:val="24"/>
        </w:rPr>
        <w:t xml:space="preserve">The paintings on some of the skulls may have represented and individual with particular importance. Since this practice spread across the Levant shows that it was not an isolated event and that many different settlements of humans believed in this worship of their ancestors. There were also different materials used in different areas which was most likely due to availability of resources. It also expanded across a few thousand years with skulls being recovered from at least </w:t>
      </w:r>
      <w:r w:rsidR="00D3422D">
        <w:rPr>
          <w:rFonts w:ascii="Bookman Old Style" w:hAnsi="Bookman Old Style"/>
          <w:sz w:val="24"/>
          <w:szCs w:val="24"/>
        </w:rPr>
        <w:t>two thousand</w:t>
      </w:r>
      <w:r w:rsidR="003B116C">
        <w:rPr>
          <w:rFonts w:ascii="Bookman Old Style" w:hAnsi="Bookman Old Style"/>
          <w:sz w:val="24"/>
          <w:szCs w:val="24"/>
        </w:rPr>
        <w:t xml:space="preserve"> years after others recovered at different sites.</w:t>
      </w:r>
      <w:r w:rsidR="00B402D9">
        <w:rPr>
          <w:rStyle w:val="FootnoteReference"/>
          <w:rFonts w:ascii="Bookman Old Style" w:hAnsi="Bookman Old Style"/>
          <w:sz w:val="24"/>
          <w:szCs w:val="24"/>
        </w:rPr>
        <w:footnoteReference w:id="6"/>
      </w:r>
      <w:r w:rsidR="00D3422D">
        <w:rPr>
          <w:rFonts w:ascii="Bookman Old Style" w:hAnsi="Bookman Old Style"/>
          <w:sz w:val="24"/>
          <w:szCs w:val="24"/>
        </w:rPr>
        <w:t xml:space="preserve"> There is also </w:t>
      </w:r>
      <w:r w:rsidR="00D3422D">
        <w:rPr>
          <w:rFonts w:ascii="Bookman Old Style" w:hAnsi="Bookman Old Style"/>
          <w:sz w:val="24"/>
          <w:szCs w:val="24"/>
        </w:rPr>
        <w:lastRenderedPageBreak/>
        <w:t xml:space="preserve">the assumption that these skulls are those of their enemies and were used as a symbol of perseverance when defeating them and that’s why their skulls were kept all together. Maybe they displayed their slain enemies as a show of strength to others as way of repelling others who may try to attack them. It could also be those who were attacked and passed away as a result and this was their way to honour them specifically, as victims of violence and battle. </w:t>
      </w:r>
      <w:r w:rsidR="003A25A0">
        <w:rPr>
          <w:rFonts w:ascii="Bookman Old Style" w:hAnsi="Bookman Old Style"/>
          <w:sz w:val="24"/>
          <w:szCs w:val="24"/>
        </w:rPr>
        <w:t xml:space="preserve">In reality there will never be a definitive answer as to what the true nature of these types of burials is since there was no written history surrounding these supposed skull cults. </w:t>
      </w:r>
      <w:r w:rsidR="009839D0">
        <w:rPr>
          <w:rFonts w:ascii="Bookman Old Style" w:hAnsi="Bookman Old Style"/>
          <w:sz w:val="24"/>
          <w:szCs w:val="24"/>
        </w:rPr>
        <w:t xml:space="preserve">It is left up to the interpretation of historians and archaeologists as to what they believe they were used for using their prior knowledge and other artifacts found around these sites. </w:t>
      </w:r>
    </w:p>
    <w:p w14:paraId="3FC4D9A7" w14:textId="2EFFDDEB" w:rsidR="00041711" w:rsidRDefault="00041711" w:rsidP="00F13F10">
      <w:pPr>
        <w:ind w:firstLine="720"/>
        <w:rPr>
          <w:rFonts w:ascii="Bookman Old Style" w:hAnsi="Bookman Old Style"/>
          <w:sz w:val="24"/>
          <w:szCs w:val="24"/>
        </w:rPr>
      </w:pPr>
      <w:r>
        <w:rPr>
          <w:rFonts w:ascii="Bookman Old Style" w:hAnsi="Bookman Old Style"/>
          <w:sz w:val="24"/>
          <w:szCs w:val="24"/>
        </w:rPr>
        <w:t xml:space="preserve">What these skull cults show about the earliest humans is vital as most of our information and research on them is conducted on their burial sites and practices as they have no written history. There is no way of truly knowing if they worshipped a god, multiple gods, or their ancestors. Researchers have to share their own thoughts and what conclusions they have come to using the information they have been given. </w:t>
      </w:r>
      <w:r w:rsidR="00275040">
        <w:rPr>
          <w:rFonts w:ascii="Bookman Old Style" w:hAnsi="Bookman Old Style"/>
          <w:sz w:val="24"/>
          <w:szCs w:val="24"/>
        </w:rPr>
        <w:t>The locations show it wasn’t hugely widespread and was kept mostly confined to the Ancient Near East and did not ex</w:t>
      </w:r>
      <w:r w:rsidR="00C71528">
        <w:rPr>
          <w:rFonts w:ascii="Bookman Old Style" w:hAnsi="Bookman Old Style"/>
          <w:sz w:val="24"/>
          <w:szCs w:val="24"/>
        </w:rPr>
        <w:t>p</w:t>
      </w:r>
      <w:r w:rsidR="00275040">
        <w:rPr>
          <w:rFonts w:ascii="Bookman Old Style" w:hAnsi="Bookman Old Style"/>
          <w:sz w:val="24"/>
          <w:szCs w:val="24"/>
        </w:rPr>
        <w:t xml:space="preserve">and into Europe or the West. </w:t>
      </w:r>
      <w:r w:rsidR="00C71528">
        <w:rPr>
          <w:rFonts w:ascii="Bookman Old Style" w:hAnsi="Bookman Old Style"/>
          <w:sz w:val="24"/>
          <w:szCs w:val="24"/>
        </w:rPr>
        <w:t xml:space="preserve">Why this is cant be explained just by the artifacts found. It is shown that in these period, humans didn’t seem to differentiate much when it came to burying men, women, and children and seemed to treat all burials the same. </w:t>
      </w:r>
      <w:r w:rsidR="00214072">
        <w:rPr>
          <w:rFonts w:ascii="Bookman Old Style" w:hAnsi="Bookman Old Style"/>
          <w:sz w:val="24"/>
          <w:szCs w:val="24"/>
        </w:rPr>
        <w:t xml:space="preserve">It deepens our understanding of how human evolved and developed their cultures. Even before they developed widespread language usage and writing they had rituals and traditions to follow surrounding significant events, such as death. </w:t>
      </w:r>
      <w:r w:rsidR="00E7244A">
        <w:rPr>
          <w:rFonts w:ascii="Bookman Old Style" w:hAnsi="Bookman Old Style"/>
          <w:sz w:val="24"/>
          <w:szCs w:val="24"/>
        </w:rPr>
        <w:t xml:space="preserve">Humans have long been coming up with different rituals surrounding death and they have always viewed it as a significant event. From these rituals surrounding death came the foundations for religion and tradition that have permeated humans existed for thousands of years. Even the earliest humans had rituals and traditions surrounding death and dying and body preparation, as humans still do today. </w:t>
      </w:r>
    </w:p>
    <w:p w14:paraId="4E4C9938" w14:textId="047824B1" w:rsidR="00E7244A" w:rsidRDefault="00E7244A" w:rsidP="00F13F10">
      <w:pPr>
        <w:ind w:firstLine="720"/>
        <w:rPr>
          <w:rFonts w:ascii="Bookman Old Style" w:hAnsi="Bookman Old Style"/>
          <w:sz w:val="24"/>
          <w:szCs w:val="24"/>
        </w:rPr>
      </w:pPr>
    </w:p>
    <w:p w14:paraId="10244F81" w14:textId="77777777" w:rsidR="00E7244A" w:rsidRDefault="00E7244A">
      <w:pPr>
        <w:rPr>
          <w:rFonts w:ascii="Bookman Old Style" w:hAnsi="Bookman Old Style"/>
          <w:sz w:val="24"/>
          <w:szCs w:val="24"/>
        </w:rPr>
      </w:pPr>
      <w:r>
        <w:rPr>
          <w:rFonts w:ascii="Bookman Old Style" w:hAnsi="Bookman Old Style"/>
          <w:sz w:val="24"/>
          <w:szCs w:val="24"/>
        </w:rPr>
        <w:br w:type="page"/>
      </w:r>
    </w:p>
    <w:p w14:paraId="48A531E6" w14:textId="18800137" w:rsidR="00E7244A" w:rsidRDefault="00E7244A" w:rsidP="00E7244A">
      <w:pPr>
        <w:rPr>
          <w:rFonts w:ascii="Bookman Old Style" w:hAnsi="Bookman Old Style"/>
          <w:sz w:val="28"/>
          <w:szCs w:val="28"/>
          <w:u w:val="single"/>
        </w:rPr>
      </w:pPr>
      <w:r>
        <w:rPr>
          <w:rFonts w:ascii="Bookman Old Style" w:hAnsi="Bookman Old Style"/>
          <w:sz w:val="28"/>
          <w:szCs w:val="28"/>
          <w:u w:val="single"/>
        </w:rPr>
        <w:lastRenderedPageBreak/>
        <w:t>Bibliography</w:t>
      </w:r>
    </w:p>
    <w:p w14:paraId="58801012" w14:textId="77777777" w:rsidR="00FC4AEA" w:rsidRDefault="00E7244A" w:rsidP="00FC4AEA">
      <w:pPr>
        <w:rPr>
          <w:rFonts w:ascii="Bookman Old Style" w:hAnsi="Bookman Old Style"/>
          <w:sz w:val="24"/>
          <w:szCs w:val="24"/>
        </w:rPr>
      </w:pPr>
      <w:r w:rsidRPr="00E7244A">
        <w:rPr>
          <w:rFonts w:ascii="Bookman Old Style" w:hAnsi="Bookman Old Style"/>
          <w:sz w:val="24"/>
          <w:szCs w:val="24"/>
        </w:rPr>
        <w:t xml:space="preserve">Michelle Bonogofsky. “Including Women and Children: Neolithic Modeled </w:t>
      </w:r>
    </w:p>
    <w:p w14:paraId="0033AAB6" w14:textId="40D57897" w:rsidR="00E7244A" w:rsidRPr="00E7244A" w:rsidRDefault="00E7244A" w:rsidP="00FC4AEA">
      <w:pPr>
        <w:ind w:left="720"/>
        <w:rPr>
          <w:rFonts w:ascii="Bookman Old Style" w:hAnsi="Bookman Old Style"/>
          <w:sz w:val="24"/>
          <w:szCs w:val="24"/>
        </w:rPr>
      </w:pPr>
      <w:r w:rsidRPr="00E7244A">
        <w:rPr>
          <w:rFonts w:ascii="Bookman Old Style" w:hAnsi="Bookman Old Style"/>
          <w:sz w:val="24"/>
          <w:szCs w:val="24"/>
        </w:rPr>
        <w:t xml:space="preserve">Skulls from Jordan, Israel, </w:t>
      </w:r>
      <w:proofErr w:type="gramStart"/>
      <w:r w:rsidRPr="00E7244A">
        <w:rPr>
          <w:rFonts w:ascii="Bookman Old Style" w:hAnsi="Bookman Old Style"/>
          <w:sz w:val="24"/>
          <w:szCs w:val="24"/>
        </w:rPr>
        <w:t>Syria</w:t>
      </w:r>
      <w:proofErr w:type="gramEnd"/>
      <w:r w:rsidRPr="00E7244A">
        <w:rPr>
          <w:rFonts w:ascii="Bookman Old Style" w:hAnsi="Bookman Old Style"/>
          <w:sz w:val="24"/>
          <w:szCs w:val="24"/>
        </w:rPr>
        <w:t xml:space="preserve"> and Turkey.” </w:t>
      </w:r>
      <w:r w:rsidRPr="00E7244A">
        <w:rPr>
          <w:rFonts w:ascii="Bookman Old Style" w:hAnsi="Bookman Old Style"/>
          <w:i/>
          <w:iCs/>
          <w:sz w:val="24"/>
          <w:szCs w:val="24"/>
        </w:rPr>
        <w:t>Near Eastern Archaeology</w:t>
      </w:r>
      <w:r w:rsidRPr="00E7244A">
        <w:rPr>
          <w:rFonts w:ascii="Bookman Old Style" w:hAnsi="Bookman Old Style"/>
          <w:sz w:val="24"/>
          <w:szCs w:val="24"/>
        </w:rPr>
        <w:t xml:space="preserve"> 67, no. 2 (2004): 118–19. https://doi.org/10.2307/4132367.</w:t>
      </w:r>
    </w:p>
    <w:p w14:paraId="395E2A76" w14:textId="77777777" w:rsidR="00FC4AEA" w:rsidRDefault="00FC4AEA" w:rsidP="00E7244A">
      <w:pPr>
        <w:rPr>
          <w:rFonts w:ascii="Bookman Old Style" w:hAnsi="Bookman Old Style"/>
          <w:sz w:val="24"/>
          <w:szCs w:val="24"/>
        </w:rPr>
      </w:pPr>
    </w:p>
    <w:p w14:paraId="5FABBE1A" w14:textId="77777777" w:rsidR="00FC4AEA" w:rsidRDefault="00E7244A" w:rsidP="00E7244A">
      <w:pPr>
        <w:rPr>
          <w:rFonts w:ascii="Bookman Old Style" w:hAnsi="Bookman Old Style"/>
          <w:sz w:val="24"/>
          <w:szCs w:val="24"/>
        </w:rPr>
      </w:pPr>
      <w:r w:rsidRPr="00E7244A">
        <w:rPr>
          <w:rFonts w:ascii="Bookman Old Style" w:hAnsi="Bookman Old Style"/>
          <w:sz w:val="24"/>
          <w:szCs w:val="24"/>
        </w:rPr>
        <w:t xml:space="preserve">Michelle Bonogofsky. “Neolithic Plastered Skulls and Railroading </w:t>
      </w:r>
    </w:p>
    <w:p w14:paraId="5928BF7D" w14:textId="6C8FB1FA" w:rsidR="00E7244A" w:rsidRPr="00E7244A" w:rsidRDefault="00E7244A" w:rsidP="00FC4AEA">
      <w:pPr>
        <w:ind w:left="720"/>
        <w:rPr>
          <w:rFonts w:ascii="Bookman Old Style" w:hAnsi="Bookman Old Style"/>
          <w:sz w:val="24"/>
          <w:szCs w:val="24"/>
        </w:rPr>
      </w:pPr>
      <w:r w:rsidRPr="00E7244A">
        <w:rPr>
          <w:rFonts w:ascii="Bookman Old Style" w:hAnsi="Bookman Old Style"/>
          <w:sz w:val="24"/>
          <w:szCs w:val="24"/>
        </w:rPr>
        <w:t xml:space="preserve">Epistemologies.” </w:t>
      </w:r>
      <w:r w:rsidRPr="00E7244A">
        <w:rPr>
          <w:rFonts w:ascii="Bookman Old Style" w:hAnsi="Bookman Old Style"/>
          <w:i/>
          <w:iCs/>
          <w:sz w:val="24"/>
          <w:szCs w:val="24"/>
        </w:rPr>
        <w:t>Bulletin of the American Schools of Oriental Research</w:t>
      </w:r>
      <w:r w:rsidRPr="00E7244A">
        <w:rPr>
          <w:rFonts w:ascii="Bookman Old Style" w:hAnsi="Bookman Old Style"/>
          <w:sz w:val="24"/>
          <w:szCs w:val="24"/>
        </w:rPr>
        <w:t>, no. 331 (2003): 1–10. https://doi.org/10.2307/1357755.</w:t>
      </w:r>
    </w:p>
    <w:p w14:paraId="1A29363A" w14:textId="77777777" w:rsidR="00FC4AEA" w:rsidRDefault="00FC4AEA" w:rsidP="00E7244A">
      <w:pPr>
        <w:rPr>
          <w:rFonts w:ascii="Bookman Old Style" w:hAnsi="Bookman Old Style"/>
          <w:sz w:val="24"/>
          <w:szCs w:val="24"/>
        </w:rPr>
      </w:pPr>
    </w:p>
    <w:p w14:paraId="5F8B4B72" w14:textId="77777777" w:rsidR="00FC4AEA" w:rsidRDefault="00E7244A" w:rsidP="00E7244A">
      <w:pPr>
        <w:rPr>
          <w:rFonts w:ascii="Bookman Old Style" w:hAnsi="Bookman Old Style"/>
          <w:sz w:val="24"/>
          <w:szCs w:val="24"/>
        </w:rPr>
      </w:pPr>
      <w:r w:rsidRPr="00E7244A">
        <w:rPr>
          <w:rFonts w:ascii="Bookman Old Style" w:hAnsi="Bookman Old Style"/>
          <w:sz w:val="24"/>
          <w:szCs w:val="24"/>
        </w:rPr>
        <w:t xml:space="preserve">Torrey, E. Fuller. “ANCESTORS AND AGRICULTURE: A Spiritual Self.” In </w:t>
      </w:r>
    </w:p>
    <w:p w14:paraId="3E049FEB" w14:textId="3A11FFB3" w:rsidR="00E7244A" w:rsidRPr="00E7244A" w:rsidRDefault="00E7244A" w:rsidP="00FC4AEA">
      <w:pPr>
        <w:ind w:left="720"/>
        <w:rPr>
          <w:rFonts w:ascii="Bookman Old Style" w:hAnsi="Bookman Old Style"/>
          <w:sz w:val="24"/>
          <w:szCs w:val="24"/>
        </w:rPr>
      </w:pPr>
      <w:r w:rsidRPr="00E7244A">
        <w:rPr>
          <w:rFonts w:ascii="Bookman Old Style" w:hAnsi="Bookman Old Style"/>
          <w:i/>
          <w:iCs/>
          <w:sz w:val="24"/>
          <w:szCs w:val="24"/>
        </w:rPr>
        <w:t>Evolving Brains, Emerging Gods: Early Humans and the Origins of Religion</w:t>
      </w:r>
      <w:r w:rsidRPr="00E7244A">
        <w:rPr>
          <w:rFonts w:ascii="Bookman Old Style" w:hAnsi="Bookman Old Style"/>
          <w:sz w:val="24"/>
          <w:szCs w:val="24"/>
        </w:rPr>
        <w:t xml:space="preserve">, 133–64. Columbia University Press, 2017. http://www.jstor.org/stable/10.7312/torr18336.11. </w:t>
      </w:r>
    </w:p>
    <w:p w14:paraId="0C5B720C" w14:textId="77777777" w:rsidR="00E7244A" w:rsidRDefault="00E7244A" w:rsidP="00E7244A">
      <w:pPr>
        <w:rPr>
          <w:rFonts w:ascii="Bookman Old Style" w:hAnsi="Bookman Old Style"/>
          <w:sz w:val="24"/>
          <w:szCs w:val="24"/>
        </w:rPr>
      </w:pPr>
    </w:p>
    <w:p w14:paraId="1F7874F0" w14:textId="77777777" w:rsidR="00FC4AEA" w:rsidRDefault="00FC4AEA" w:rsidP="00FC4AEA">
      <w:pPr>
        <w:rPr>
          <w:rFonts w:ascii="Bookman Old Style" w:hAnsi="Bookman Old Style"/>
          <w:sz w:val="24"/>
          <w:szCs w:val="24"/>
        </w:rPr>
      </w:pPr>
      <w:r w:rsidRPr="00FC4AEA">
        <w:rPr>
          <w:rFonts w:ascii="Bookman Old Style" w:hAnsi="Bookman Old Style"/>
          <w:sz w:val="24"/>
          <w:szCs w:val="24"/>
        </w:rPr>
        <w:t xml:space="preserve">Karina Croucher. 2012. ‘The Materiality of “Ancestors”: Plastered Skulls, </w:t>
      </w:r>
    </w:p>
    <w:p w14:paraId="4D5FE816" w14:textId="679FBAE3" w:rsidR="00FC4AEA" w:rsidRPr="00FC4AEA" w:rsidRDefault="00FC4AEA" w:rsidP="00FC4AEA">
      <w:pPr>
        <w:ind w:left="720"/>
        <w:rPr>
          <w:rFonts w:ascii="Bookman Old Style" w:hAnsi="Bookman Old Style"/>
          <w:sz w:val="24"/>
          <w:szCs w:val="24"/>
          <w:lang w:val="en-US"/>
        </w:rPr>
      </w:pPr>
      <w:r w:rsidRPr="00FC4AEA">
        <w:rPr>
          <w:rFonts w:ascii="Bookman Old Style" w:hAnsi="Bookman Old Style"/>
          <w:sz w:val="24"/>
          <w:szCs w:val="24"/>
        </w:rPr>
        <w:t xml:space="preserve">Statues, and “Stone Gods”’, in </w:t>
      </w:r>
      <w:r w:rsidRPr="00FC4AEA">
        <w:rPr>
          <w:rFonts w:ascii="Bookman Old Style" w:hAnsi="Bookman Old Style"/>
          <w:i/>
          <w:iCs/>
          <w:sz w:val="24"/>
          <w:szCs w:val="24"/>
        </w:rPr>
        <w:t>Death and Dying in the Neolithic Near East</w:t>
      </w:r>
      <w:r w:rsidRPr="00FC4AEA">
        <w:rPr>
          <w:rFonts w:ascii="Bookman Old Style" w:hAnsi="Bookman Old Style"/>
          <w:sz w:val="24"/>
          <w:szCs w:val="24"/>
        </w:rPr>
        <w:t xml:space="preserve"> (OUP Oxford), pp. 93–154 &lt;https://doi.org/10.1093/acprof:osobl/9780199693955.003.0004&gt;</w:t>
      </w:r>
    </w:p>
    <w:p w14:paraId="28E82199" w14:textId="77777777" w:rsidR="00FC4AEA" w:rsidRDefault="00FC4AEA" w:rsidP="00FC4AEA">
      <w:pPr>
        <w:rPr>
          <w:rFonts w:ascii="Bookman Old Style" w:hAnsi="Bookman Old Style"/>
          <w:sz w:val="24"/>
          <w:szCs w:val="24"/>
          <w:vertAlign w:val="superscript"/>
        </w:rPr>
      </w:pPr>
    </w:p>
    <w:p w14:paraId="63F1D8A8" w14:textId="77777777" w:rsidR="00FC4AEA" w:rsidRDefault="00FC4AEA" w:rsidP="00FC4AEA">
      <w:pPr>
        <w:rPr>
          <w:rFonts w:ascii="Bookman Old Style" w:hAnsi="Bookman Old Style"/>
          <w:sz w:val="24"/>
          <w:szCs w:val="24"/>
        </w:rPr>
      </w:pPr>
      <w:r w:rsidRPr="00FC4AEA">
        <w:rPr>
          <w:rFonts w:ascii="Bookman Old Style" w:hAnsi="Bookman Old Style"/>
          <w:sz w:val="24"/>
          <w:szCs w:val="24"/>
        </w:rPr>
        <w:t xml:space="preserve">———. 2017. ‘Keeping the Dead Close: Grief and Bereavement in the Treatment </w:t>
      </w:r>
    </w:p>
    <w:p w14:paraId="73576FED" w14:textId="6C5DC23F" w:rsidR="00FC4AEA" w:rsidRPr="00FC4AEA" w:rsidRDefault="00FC4AEA" w:rsidP="00FC4AEA">
      <w:pPr>
        <w:ind w:left="720"/>
        <w:rPr>
          <w:rFonts w:ascii="Bookman Old Style" w:hAnsi="Bookman Old Style"/>
          <w:sz w:val="24"/>
          <w:szCs w:val="24"/>
        </w:rPr>
      </w:pPr>
      <w:r w:rsidRPr="00FC4AEA">
        <w:rPr>
          <w:rFonts w:ascii="Bookman Old Style" w:hAnsi="Bookman Old Style"/>
          <w:sz w:val="24"/>
          <w:szCs w:val="24"/>
        </w:rPr>
        <w:t xml:space="preserve">of Skulls from the Neolithic Middle East’, </w:t>
      </w:r>
      <w:r w:rsidRPr="00FC4AEA">
        <w:rPr>
          <w:rFonts w:ascii="Bookman Old Style" w:hAnsi="Bookman Old Style"/>
          <w:i/>
          <w:iCs/>
          <w:sz w:val="24"/>
          <w:szCs w:val="24"/>
        </w:rPr>
        <w:t>Mortality</w:t>
      </w:r>
      <w:r w:rsidRPr="00FC4AEA">
        <w:rPr>
          <w:rFonts w:ascii="Bookman Old Style" w:hAnsi="Bookman Old Style"/>
          <w:sz w:val="24"/>
          <w:szCs w:val="24"/>
        </w:rPr>
        <w:t>, 23.2: 103–20 &lt;https://doi.org/10.1080/13576275.2017.1319347&gt;</w:t>
      </w:r>
    </w:p>
    <w:p w14:paraId="7C6DD26D" w14:textId="77777777" w:rsidR="00FC4AEA" w:rsidRDefault="00FC4AEA" w:rsidP="00FC4AEA">
      <w:pPr>
        <w:rPr>
          <w:rFonts w:ascii="Bookman Old Style" w:hAnsi="Bookman Old Style"/>
          <w:sz w:val="24"/>
          <w:szCs w:val="24"/>
        </w:rPr>
      </w:pPr>
    </w:p>
    <w:p w14:paraId="57A5A655" w14:textId="77777777" w:rsidR="00FC4AEA" w:rsidRDefault="00FC4AEA" w:rsidP="00FC4AEA">
      <w:pPr>
        <w:rPr>
          <w:rFonts w:ascii="Bookman Old Style" w:hAnsi="Bookman Old Style"/>
          <w:sz w:val="24"/>
          <w:szCs w:val="24"/>
        </w:rPr>
      </w:pPr>
      <w:r w:rsidRPr="00FC4AEA">
        <w:rPr>
          <w:rFonts w:ascii="Bookman Old Style" w:hAnsi="Bookman Old Style"/>
          <w:sz w:val="24"/>
          <w:szCs w:val="24"/>
        </w:rPr>
        <w:t xml:space="preserve">Bonogofsky, Michelle. “Neolithic Plastered Skulls and Railroading </w:t>
      </w:r>
    </w:p>
    <w:p w14:paraId="52521ECC" w14:textId="6E71D17E" w:rsidR="00FC4AEA" w:rsidRDefault="00FC4AEA" w:rsidP="00FC4AEA">
      <w:pPr>
        <w:ind w:left="720"/>
        <w:rPr>
          <w:rFonts w:ascii="Bookman Old Style" w:hAnsi="Bookman Old Style"/>
          <w:sz w:val="24"/>
          <w:szCs w:val="24"/>
        </w:rPr>
      </w:pPr>
      <w:r w:rsidRPr="00FC4AEA">
        <w:rPr>
          <w:rFonts w:ascii="Bookman Old Style" w:hAnsi="Bookman Old Style"/>
          <w:sz w:val="24"/>
          <w:szCs w:val="24"/>
        </w:rPr>
        <w:t xml:space="preserve">Epistemologies.” </w:t>
      </w:r>
      <w:r w:rsidRPr="00FC4AEA">
        <w:rPr>
          <w:rFonts w:ascii="Bookman Old Style" w:hAnsi="Bookman Old Style"/>
          <w:i/>
          <w:iCs/>
          <w:sz w:val="24"/>
          <w:szCs w:val="24"/>
        </w:rPr>
        <w:t>Bulletin of the American Schools of Oriental Research</w:t>
      </w:r>
      <w:r w:rsidRPr="00FC4AEA">
        <w:rPr>
          <w:rFonts w:ascii="Bookman Old Style" w:hAnsi="Bookman Old Style"/>
          <w:sz w:val="24"/>
          <w:szCs w:val="24"/>
        </w:rPr>
        <w:t xml:space="preserve">, no. 331 (2003): 1–10. </w:t>
      </w:r>
      <w:hyperlink r:id="rId8" w:history="1">
        <w:r w:rsidRPr="00FC4AEA">
          <w:rPr>
            <w:rStyle w:val="Hyperlink"/>
            <w:rFonts w:ascii="Bookman Old Style" w:hAnsi="Bookman Old Style"/>
            <w:sz w:val="24"/>
            <w:szCs w:val="24"/>
          </w:rPr>
          <w:t>https://doi.org/10.2307/1357755</w:t>
        </w:r>
      </w:hyperlink>
      <w:r w:rsidRPr="00FC4AEA">
        <w:rPr>
          <w:rFonts w:ascii="Bookman Old Style" w:hAnsi="Bookman Old Style"/>
          <w:sz w:val="24"/>
          <w:szCs w:val="24"/>
        </w:rPr>
        <w:t>.</w:t>
      </w:r>
    </w:p>
    <w:p w14:paraId="61867C49" w14:textId="77777777" w:rsidR="00FC4AEA" w:rsidRDefault="00FC4AEA" w:rsidP="00FC4AEA">
      <w:pPr>
        <w:rPr>
          <w:rFonts w:ascii="Bookman Old Style" w:hAnsi="Bookman Old Style"/>
          <w:sz w:val="24"/>
          <w:szCs w:val="24"/>
        </w:rPr>
      </w:pPr>
    </w:p>
    <w:p w14:paraId="20CF27AE" w14:textId="77777777" w:rsidR="00FC4AEA" w:rsidRDefault="00FC4AEA" w:rsidP="00FC4AEA">
      <w:pPr>
        <w:rPr>
          <w:rFonts w:ascii="Bookman Old Style" w:hAnsi="Bookman Old Style"/>
          <w:sz w:val="24"/>
          <w:szCs w:val="24"/>
        </w:rPr>
      </w:pPr>
      <w:r w:rsidRPr="00FC4AEA">
        <w:rPr>
          <w:rFonts w:ascii="Bookman Old Style" w:hAnsi="Bookman Old Style"/>
          <w:sz w:val="24"/>
          <w:szCs w:val="24"/>
        </w:rPr>
        <w:t xml:space="preserve">Ali Metin </w:t>
      </w:r>
      <w:proofErr w:type="spellStart"/>
      <w:r w:rsidRPr="00FC4AEA">
        <w:rPr>
          <w:rFonts w:ascii="Bookman Old Style" w:hAnsi="Bookman Old Style"/>
          <w:sz w:val="24"/>
          <w:szCs w:val="24"/>
        </w:rPr>
        <w:t>Büyükkarakaya</w:t>
      </w:r>
      <w:proofErr w:type="spellEnd"/>
      <w:r w:rsidRPr="00FC4AEA">
        <w:rPr>
          <w:rFonts w:ascii="Bookman Old Style" w:hAnsi="Bookman Old Style"/>
          <w:sz w:val="24"/>
          <w:szCs w:val="24"/>
        </w:rPr>
        <w:t xml:space="preserve">, Fabio Cavalli, Yasin Gökhan Çakan, Halit S Canol, </w:t>
      </w:r>
    </w:p>
    <w:p w14:paraId="711E3C8B" w14:textId="3D66837D" w:rsidR="00FC4AEA" w:rsidRPr="00FC4AEA" w:rsidRDefault="00FC4AEA" w:rsidP="00FC4AEA">
      <w:pPr>
        <w:ind w:left="720"/>
        <w:rPr>
          <w:rFonts w:ascii="Bookman Old Style" w:hAnsi="Bookman Old Style"/>
          <w:sz w:val="24"/>
          <w:szCs w:val="24"/>
        </w:rPr>
      </w:pPr>
      <w:r w:rsidRPr="00FC4AEA">
        <w:rPr>
          <w:rFonts w:ascii="Bookman Old Style" w:hAnsi="Bookman Old Style"/>
          <w:sz w:val="24"/>
          <w:szCs w:val="24"/>
        </w:rPr>
        <w:t xml:space="preserve">Burak Falay, and others. 2024. ‘Multi-Dimensional Analyses of the Plastered Skulls from Neolithic </w:t>
      </w:r>
      <w:proofErr w:type="spellStart"/>
      <w:r w:rsidRPr="00FC4AEA">
        <w:rPr>
          <w:rFonts w:ascii="Bookman Old Style" w:hAnsi="Bookman Old Style"/>
          <w:sz w:val="24"/>
          <w:szCs w:val="24"/>
        </w:rPr>
        <w:t>Tepecik-Çiftlik</w:t>
      </w:r>
      <w:proofErr w:type="spellEnd"/>
      <w:r w:rsidRPr="00FC4AEA">
        <w:rPr>
          <w:rFonts w:ascii="Bookman Old Style" w:hAnsi="Bookman Old Style"/>
          <w:sz w:val="24"/>
          <w:szCs w:val="24"/>
        </w:rPr>
        <w:t xml:space="preserve">, Central Anatolia (Türkiye)’, </w:t>
      </w:r>
      <w:r w:rsidRPr="00FC4AEA">
        <w:rPr>
          <w:rFonts w:ascii="Bookman Old Style" w:hAnsi="Bookman Old Style"/>
          <w:i/>
          <w:iCs/>
          <w:sz w:val="24"/>
          <w:szCs w:val="24"/>
        </w:rPr>
        <w:t>Journal of Archaeological Science: Reports</w:t>
      </w:r>
      <w:r w:rsidRPr="00FC4AEA">
        <w:rPr>
          <w:rFonts w:ascii="Bookman Old Style" w:hAnsi="Bookman Old Style"/>
          <w:sz w:val="24"/>
          <w:szCs w:val="24"/>
        </w:rPr>
        <w:t>, 53 (Elsevier BV): 104388–88 &lt;https://doi.org/10.1016/j.jasrep.2024.104388&gt;</w:t>
      </w:r>
    </w:p>
    <w:p w14:paraId="09224FCC" w14:textId="77777777" w:rsidR="00FC4AEA" w:rsidRDefault="00FC4AEA" w:rsidP="00FC4AEA">
      <w:pPr>
        <w:rPr>
          <w:rFonts w:ascii="Bookman Old Style" w:hAnsi="Bookman Old Style"/>
          <w:sz w:val="24"/>
          <w:szCs w:val="24"/>
        </w:rPr>
      </w:pPr>
      <w:r w:rsidRPr="00FC4AEA">
        <w:rPr>
          <w:rFonts w:ascii="Bookman Old Style" w:hAnsi="Bookman Old Style"/>
          <w:sz w:val="24"/>
          <w:szCs w:val="24"/>
        </w:rPr>
        <w:lastRenderedPageBreak/>
        <w:t xml:space="preserve">Fletcher, Alexandra, Jessica Pearson, and Janet Ambers. 2008. ‘The </w:t>
      </w:r>
    </w:p>
    <w:p w14:paraId="30058547" w14:textId="46320CD0" w:rsidR="00FC4AEA" w:rsidRPr="00FC4AEA" w:rsidRDefault="00FC4AEA" w:rsidP="00FC4AEA">
      <w:pPr>
        <w:ind w:left="720"/>
        <w:rPr>
          <w:rFonts w:ascii="Bookman Old Style" w:hAnsi="Bookman Old Style"/>
          <w:sz w:val="24"/>
          <w:szCs w:val="24"/>
        </w:rPr>
      </w:pPr>
      <w:r w:rsidRPr="00FC4AEA">
        <w:rPr>
          <w:rFonts w:ascii="Bookman Old Style" w:hAnsi="Bookman Old Style"/>
          <w:sz w:val="24"/>
          <w:szCs w:val="24"/>
        </w:rPr>
        <w:t xml:space="preserve">Manipulation of Social and Physical Identity in the Pre-Pottery Neolithic’, </w:t>
      </w:r>
      <w:r w:rsidRPr="00FC4AEA">
        <w:rPr>
          <w:rFonts w:ascii="Bookman Old Style" w:hAnsi="Bookman Old Style"/>
          <w:i/>
          <w:iCs/>
          <w:sz w:val="24"/>
          <w:szCs w:val="24"/>
        </w:rPr>
        <w:t>Cambridge Archaeological Journal</w:t>
      </w:r>
      <w:r w:rsidRPr="00FC4AEA">
        <w:rPr>
          <w:rFonts w:ascii="Bookman Old Style" w:hAnsi="Bookman Old Style"/>
          <w:sz w:val="24"/>
          <w:szCs w:val="24"/>
        </w:rPr>
        <w:t>, 18.3: 309–25 &lt;https://doi.org/10.1017/s0959774308000383&gt;</w:t>
      </w:r>
    </w:p>
    <w:p w14:paraId="5F0BA8FC" w14:textId="77777777" w:rsidR="00FC4AEA" w:rsidRPr="00FC4AEA" w:rsidRDefault="00FC4AEA" w:rsidP="00FC4AEA">
      <w:pPr>
        <w:rPr>
          <w:rFonts w:ascii="Bookman Old Style" w:hAnsi="Bookman Old Style"/>
          <w:sz w:val="24"/>
          <w:szCs w:val="24"/>
        </w:rPr>
      </w:pPr>
    </w:p>
    <w:p w14:paraId="4AD83BB3" w14:textId="77777777" w:rsidR="00FC4AEA" w:rsidRPr="00FC4AEA" w:rsidRDefault="00FC4AEA" w:rsidP="00FC4AEA">
      <w:pPr>
        <w:rPr>
          <w:rFonts w:ascii="Bookman Old Style" w:hAnsi="Bookman Old Style"/>
          <w:sz w:val="24"/>
          <w:szCs w:val="24"/>
        </w:rPr>
      </w:pPr>
    </w:p>
    <w:p w14:paraId="73DB55D4" w14:textId="77777777" w:rsidR="00FC4AEA" w:rsidRPr="00E7244A" w:rsidRDefault="00FC4AEA" w:rsidP="00E7244A">
      <w:pPr>
        <w:rPr>
          <w:rFonts w:ascii="Bookman Old Style" w:hAnsi="Bookman Old Style"/>
          <w:sz w:val="24"/>
          <w:szCs w:val="24"/>
        </w:rPr>
      </w:pPr>
    </w:p>
    <w:sectPr w:rsidR="00FC4AEA" w:rsidRPr="00E7244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5F328" w14:textId="77777777" w:rsidR="00313ECF" w:rsidRDefault="00313ECF" w:rsidP="00647C31">
      <w:pPr>
        <w:spacing w:after="0" w:line="240" w:lineRule="auto"/>
      </w:pPr>
      <w:r>
        <w:separator/>
      </w:r>
    </w:p>
  </w:endnote>
  <w:endnote w:type="continuationSeparator" w:id="0">
    <w:p w14:paraId="7E4C7698" w14:textId="77777777" w:rsidR="00313ECF" w:rsidRDefault="00313ECF" w:rsidP="00647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BA191" w14:textId="77777777" w:rsidR="00313ECF" w:rsidRDefault="00313ECF" w:rsidP="00647C31">
      <w:pPr>
        <w:spacing w:after="0" w:line="240" w:lineRule="auto"/>
      </w:pPr>
      <w:r>
        <w:separator/>
      </w:r>
    </w:p>
  </w:footnote>
  <w:footnote w:type="continuationSeparator" w:id="0">
    <w:p w14:paraId="0F83B0D8" w14:textId="77777777" w:rsidR="00313ECF" w:rsidRDefault="00313ECF" w:rsidP="00647C31">
      <w:pPr>
        <w:spacing w:after="0" w:line="240" w:lineRule="auto"/>
      </w:pPr>
      <w:r>
        <w:continuationSeparator/>
      </w:r>
    </w:p>
  </w:footnote>
  <w:footnote w:id="1">
    <w:p w14:paraId="15B525F4" w14:textId="76E7A773" w:rsidR="00782DD8" w:rsidRPr="00782DD8" w:rsidRDefault="00782DD8">
      <w:pPr>
        <w:pStyle w:val="FootnoteText"/>
      </w:pPr>
      <w:bookmarkStart w:id="0" w:name="_Hlk161225093"/>
      <w:r>
        <w:rPr>
          <w:rStyle w:val="FootnoteReference"/>
        </w:rPr>
        <w:footnoteRef/>
      </w:r>
      <w:r>
        <w:t xml:space="preserve"> Michelle Bonogofsky</w:t>
      </w:r>
      <w:r w:rsidRPr="00782DD8">
        <w:t xml:space="preserve">. “Including Women and Children: Neolithic Modeled Skulls from Jordan, Israel, Syria and Turkey.” </w:t>
      </w:r>
      <w:r w:rsidRPr="00782DD8">
        <w:rPr>
          <w:i/>
          <w:iCs/>
        </w:rPr>
        <w:t>Near Eastern Archaeology</w:t>
      </w:r>
      <w:r w:rsidRPr="00782DD8">
        <w:t xml:space="preserve"> 67, no. 2 (2004): 118–19. https://doi.org/10.2307/4132367.</w:t>
      </w:r>
    </w:p>
  </w:footnote>
  <w:footnote w:id="2">
    <w:p w14:paraId="3FED8FB8" w14:textId="31A098C4" w:rsidR="008A7DF7" w:rsidRPr="008A7DF7" w:rsidRDefault="008A7DF7">
      <w:pPr>
        <w:pStyle w:val="FootnoteText"/>
      </w:pPr>
      <w:r>
        <w:rPr>
          <w:rStyle w:val="FootnoteReference"/>
        </w:rPr>
        <w:footnoteRef/>
      </w:r>
      <w:r>
        <w:t xml:space="preserve"> Michelle </w:t>
      </w:r>
      <w:r w:rsidRPr="008A7DF7">
        <w:t xml:space="preserve">Bonogofsky. “Neolithic Plastered Skulls and Railroading Epistemologies.” </w:t>
      </w:r>
      <w:r w:rsidRPr="008A7DF7">
        <w:rPr>
          <w:i/>
          <w:iCs/>
        </w:rPr>
        <w:t>Bulletin of the American Schools of Oriental Research</w:t>
      </w:r>
      <w:r w:rsidRPr="008A7DF7">
        <w:t>, no. 331 (2003): 1–10. https://doi.org/10.2307/1357755.</w:t>
      </w:r>
    </w:p>
  </w:footnote>
  <w:footnote w:id="3">
    <w:p w14:paraId="1A5572C2" w14:textId="34F2CD9A" w:rsidR="00F13F10" w:rsidRPr="00F13F10" w:rsidRDefault="00F13F10">
      <w:pPr>
        <w:pStyle w:val="FootnoteText"/>
        <w:rPr>
          <w:lang w:val="en-US"/>
        </w:rPr>
      </w:pPr>
      <w:r>
        <w:rPr>
          <w:rStyle w:val="FootnoteReference"/>
        </w:rPr>
        <w:footnoteRef/>
      </w:r>
      <w:r>
        <w:t xml:space="preserve"> </w:t>
      </w:r>
      <w:r w:rsidRPr="00F13F10">
        <w:t xml:space="preserve">  Croucher, </w:t>
      </w:r>
      <w:r w:rsidRPr="00F13F10">
        <w:rPr>
          <w:i/>
          <w:iCs/>
        </w:rPr>
        <w:t>Death and Dying in the Neolithic Near East</w:t>
      </w:r>
      <w:r w:rsidRPr="00F13F10">
        <w:t>.</w:t>
      </w:r>
    </w:p>
  </w:footnote>
  <w:footnote w:id="4">
    <w:p w14:paraId="5032CB54" w14:textId="026FFF5D" w:rsidR="00246B3C" w:rsidRPr="00246B3C" w:rsidRDefault="00246B3C">
      <w:pPr>
        <w:pStyle w:val="FootnoteText"/>
      </w:pPr>
      <w:r>
        <w:rPr>
          <w:rStyle w:val="FootnoteReference"/>
        </w:rPr>
        <w:footnoteRef/>
      </w:r>
      <w:r w:rsidRPr="00246B3C">
        <w:t>T</w:t>
      </w:r>
      <w:r>
        <w:t>orrey, E. Fuller</w:t>
      </w:r>
      <w:r w:rsidRPr="00246B3C">
        <w:t xml:space="preserve">. “ANCESTORS AND AGRICULTURE: A Spiritual Self.” In </w:t>
      </w:r>
      <w:r w:rsidRPr="00246B3C">
        <w:rPr>
          <w:i/>
          <w:iCs/>
        </w:rPr>
        <w:t>Evolving Brains, Emerging Gods: Early Humans and the Origins of Religion</w:t>
      </w:r>
      <w:r w:rsidRPr="00246B3C">
        <w:t>, 133–64. Columbia University Press, 2017. http://www.jstor.org/stable/10.7312/torr18336.11.</w:t>
      </w:r>
      <w:r>
        <w:t xml:space="preserve"> </w:t>
      </w:r>
    </w:p>
    <w:bookmarkStart w:id="1" w:name="_Hlk161225186"/>
    <w:bookmarkStart w:id="2" w:name="_Hlk161225187"/>
  </w:footnote>
  <w:footnote w:id="5">
    <w:p w14:paraId="7D4E94F6" w14:textId="38A31FE3" w:rsidR="00F13F10" w:rsidRPr="00F13F10" w:rsidRDefault="00F13F10">
      <w:pPr>
        <w:pStyle w:val="FootnoteText"/>
        <w:rPr>
          <w:lang w:val="en-US"/>
        </w:rPr>
      </w:pPr>
      <w:bookmarkStart w:id="3" w:name="_Hlk161225186"/>
      <w:bookmarkStart w:id="4" w:name="_Hlk161225187"/>
      <w:r>
        <w:rPr>
          <w:rStyle w:val="FootnoteReference"/>
        </w:rPr>
        <w:footnoteRef/>
      </w:r>
      <w:r>
        <w:t xml:space="preserve"> </w:t>
      </w:r>
      <w:r w:rsidRPr="00393980">
        <w:t>Karina</w:t>
      </w:r>
      <w:r>
        <w:t xml:space="preserve"> Croucher</w:t>
      </w:r>
      <w:r w:rsidRPr="00393980">
        <w:t xml:space="preserve">. 2012. ‘The Materiality of “Ancestors”: Plastered Skulls, Statues, and “Stone Gods”’, in </w:t>
      </w:r>
      <w:r w:rsidRPr="005F53A6">
        <w:rPr>
          <w:i/>
          <w:iCs/>
        </w:rPr>
        <w:t xml:space="preserve">Death and Dying in the Neolithic </w:t>
      </w:r>
      <w:r>
        <w:rPr>
          <w:i/>
          <w:iCs/>
        </w:rPr>
        <w:t>N</w:t>
      </w:r>
      <w:r w:rsidRPr="005F53A6">
        <w:rPr>
          <w:i/>
          <w:iCs/>
        </w:rPr>
        <w:t>ear East</w:t>
      </w:r>
      <w:r w:rsidRPr="00393980">
        <w:t xml:space="preserve"> (OUP Oxford), pp. 93–154 &lt;https://doi.org/10.1093/acprof:osobl/9780199693955.003.0004&gt;</w:t>
      </w:r>
    </w:p>
  </w:footnote>
  <w:footnote w:id="6">
    <w:p w14:paraId="496018D9" w14:textId="77777777" w:rsidR="00D3422D" w:rsidRPr="00D3422D" w:rsidRDefault="00B402D9" w:rsidP="00D3422D">
      <w:pPr>
        <w:pStyle w:val="FootnoteText"/>
      </w:pPr>
      <w:r>
        <w:rPr>
          <w:rStyle w:val="FootnoteReference"/>
        </w:rPr>
        <w:footnoteRef/>
      </w:r>
      <w:r>
        <w:t xml:space="preserve"> </w:t>
      </w:r>
      <w:r w:rsidR="00D3422D" w:rsidRPr="00D3422D">
        <w:t xml:space="preserve">———. 2017. ‘Keeping the Dead Close: Grief and Bereavement in the Treatment of Skulls from the Neolithic Middle East’, </w:t>
      </w:r>
      <w:r w:rsidR="00D3422D" w:rsidRPr="00D3422D">
        <w:rPr>
          <w:i/>
          <w:iCs/>
        </w:rPr>
        <w:t>Mortality</w:t>
      </w:r>
      <w:r w:rsidR="00D3422D" w:rsidRPr="00D3422D">
        <w:t>, 23.2: 103–20 &lt;https://doi.org/10.1080/13576275.2017.1319347&gt;</w:t>
      </w:r>
    </w:p>
    <w:p w14:paraId="79E24164" w14:textId="06A62835" w:rsidR="00B402D9" w:rsidRPr="00D3422D" w:rsidRDefault="00B402D9">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A322EA"/>
    <w:multiLevelType w:val="hybridMultilevel"/>
    <w:tmpl w:val="5EB4782A"/>
    <w:lvl w:ilvl="0" w:tplc="10090003">
      <w:start w:val="1"/>
      <w:numFmt w:val="bullet"/>
      <w:lvlText w:val="o"/>
      <w:lvlJc w:val="left"/>
      <w:pPr>
        <w:ind w:left="720" w:hanging="360"/>
      </w:pPr>
      <w:rPr>
        <w:rFonts w:ascii="Courier New" w:hAnsi="Courier New" w:cs="Courier New"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7DB02997"/>
    <w:multiLevelType w:val="hybridMultilevel"/>
    <w:tmpl w:val="9A762632"/>
    <w:lvl w:ilvl="0" w:tplc="10090003">
      <w:start w:val="1"/>
      <w:numFmt w:val="bullet"/>
      <w:lvlText w:val="o"/>
      <w:lvlJc w:val="left"/>
      <w:pPr>
        <w:ind w:left="720" w:hanging="360"/>
      </w:pPr>
      <w:rPr>
        <w:rFonts w:ascii="Courier New" w:hAnsi="Courier New" w:cs="Courier New"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16cid:durableId="994720827">
    <w:abstractNumId w:val="0"/>
  </w:num>
  <w:num w:numId="2" w16cid:durableId="108746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7E0"/>
    <w:rsid w:val="00002309"/>
    <w:rsid w:val="00017C95"/>
    <w:rsid w:val="00041711"/>
    <w:rsid w:val="00054CAC"/>
    <w:rsid w:val="000A32DD"/>
    <w:rsid w:val="000C7CE5"/>
    <w:rsid w:val="000D608C"/>
    <w:rsid w:val="00127EBE"/>
    <w:rsid w:val="001A452C"/>
    <w:rsid w:val="001D07BF"/>
    <w:rsid w:val="00214072"/>
    <w:rsid w:val="002170DF"/>
    <w:rsid w:val="00237642"/>
    <w:rsid w:val="00246B3C"/>
    <w:rsid w:val="00256B7A"/>
    <w:rsid w:val="00275040"/>
    <w:rsid w:val="00304D82"/>
    <w:rsid w:val="00313ECF"/>
    <w:rsid w:val="003A25A0"/>
    <w:rsid w:val="003B116C"/>
    <w:rsid w:val="004261D9"/>
    <w:rsid w:val="00443F6D"/>
    <w:rsid w:val="004711CB"/>
    <w:rsid w:val="00494F08"/>
    <w:rsid w:val="00510983"/>
    <w:rsid w:val="00517274"/>
    <w:rsid w:val="0059310D"/>
    <w:rsid w:val="005B5D42"/>
    <w:rsid w:val="00647C31"/>
    <w:rsid w:val="006A7EC8"/>
    <w:rsid w:val="006E4CFA"/>
    <w:rsid w:val="00730367"/>
    <w:rsid w:val="00782DD8"/>
    <w:rsid w:val="00795610"/>
    <w:rsid w:val="008A6ED1"/>
    <w:rsid w:val="008A7DF7"/>
    <w:rsid w:val="009074BB"/>
    <w:rsid w:val="009839D0"/>
    <w:rsid w:val="00A67317"/>
    <w:rsid w:val="00B402D9"/>
    <w:rsid w:val="00B40B7F"/>
    <w:rsid w:val="00B41FF2"/>
    <w:rsid w:val="00B61C41"/>
    <w:rsid w:val="00C71528"/>
    <w:rsid w:val="00C72903"/>
    <w:rsid w:val="00CA57E0"/>
    <w:rsid w:val="00D0408A"/>
    <w:rsid w:val="00D3422D"/>
    <w:rsid w:val="00D42E10"/>
    <w:rsid w:val="00E1583D"/>
    <w:rsid w:val="00E7244A"/>
    <w:rsid w:val="00F13F10"/>
    <w:rsid w:val="00F35030"/>
    <w:rsid w:val="00F43ED3"/>
    <w:rsid w:val="00F45CD4"/>
    <w:rsid w:val="00F833AE"/>
    <w:rsid w:val="00FC4AEA"/>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264790"/>
  <w15:chartTrackingRefBased/>
  <w15:docId w15:val="{3F302A4F-DF20-4F3D-A1E1-9F65AA545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57E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A57E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A57E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A57E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A57E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A57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57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57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57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57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A57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A57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A57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A57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A57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57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57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57E0"/>
    <w:rPr>
      <w:rFonts w:eastAsiaTheme="majorEastAsia" w:cstheme="majorBidi"/>
      <w:color w:val="272727" w:themeColor="text1" w:themeTint="D8"/>
    </w:rPr>
  </w:style>
  <w:style w:type="paragraph" w:styleId="Title">
    <w:name w:val="Title"/>
    <w:basedOn w:val="Normal"/>
    <w:next w:val="Normal"/>
    <w:link w:val="TitleChar"/>
    <w:uiPriority w:val="10"/>
    <w:qFormat/>
    <w:rsid w:val="00CA57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7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57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57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57E0"/>
    <w:pPr>
      <w:spacing w:before="160"/>
      <w:jc w:val="center"/>
    </w:pPr>
    <w:rPr>
      <w:i/>
      <w:iCs/>
      <w:color w:val="404040" w:themeColor="text1" w:themeTint="BF"/>
    </w:rPr>
  </w:style>
  <w:style w:type="character" w:customStyle="1" w:styleId="QuoteChar">
    <w:name w:val="Quote Char"/>
    <w:basedOn w:val="DefaultParagraphFont"/>
    <w:link w:val="Quote"/>
    <w:uiPriority w:val="29"/>
    <w:rsid w:val="00CA57E0"/>
    <w:rPr>
      <w:i/>
      <w:iCs/>
      <w:color w:val="404040" w:themeColor="text1" w:themeTint="BF"/>
    </w:rPr>
  </w:style>
  <w:style w:type="paragraph" w:styleId="ListParagraph">
    <w:name w:val="List Paragraph"/>
    <w:basedOn w:val="Normal"/>
    <w:uiPriority w:val="34"/>
    <w:qFormat/>
    <w:rsid w:val="00CA57E0"/>
    <w:pPr>
      <w:ind w:left="720"/>
      <w:contextualSpacing/>
    </w:pPr>
  </w:style>
  <w:style w:type="character" w:styleId="IntenseEmphasis">
    <w:name w:val="Intense Emphasis"/>
    <w:basedOn w:val="DefaultParagraphFont"/>
    <w:uiPriority w:val="21"/>
    <w:qFormat/>
    <w:rsid w:val="00CA57E0"/>
    <w:rPr>
      <w:i/>
      <w:iCs/>
      <w:color w:val="2F5496" w:themeColor="accent1" w:themeShade="BF"/>
    </w:rPr>
  </w:style>
  <w:style w:type="paragraph" w:styleId="IntenseQuote">
    <w:name w:val="Intense Quote"/>
    <w:basedOn w:val="Normal"/>
    <w:next w:val="Normal"/>
    <w:link w:val="IntenseQuoteChar"/>
    <w:uiPriority w:val="30"/>
    <w:qFormat/>
    <w:rsid w:val="00CA57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A57E0"/>
    <w:rPr>
      <w:i/>
      <w:iCs/>
      <w:color w:val="2F5496" w:themeColor="accent1" w:themeShade="BF"/>
    </w:rPr>
  </w:style>
  <w:style w:type="character" w:styleId="IntenseReference">
    <w:name w:val="Intense Reference"/>
    <w:basedOn w:val="DefaultParagraphFont"/>
    <w:uiPriority w:val="32"/>
    <w:qFormat/>
    <w:rsid w:val="00CA57E0"/>
    <w:rPr>
      <w:b/>
      <w:bCs/>
      <w:smallCaps/>
      <w:color w:val="2F5496" w:themeColor="accent1" w:themeShade="BF"/>
      <w:spacing w:val="5"/>
    </w:rPr>
  </w:style>
  <w:style w:type="paragraph" w:styleId="FootnoteText">
    <w:name w:val="footnote text"/>
    <w:basedOn w:val="Normal"/>
    <w:link w:val="FootnoteTextChar"/>
    <w:uiPriority w:val="99"/>
    <w:semiHidden/>
    <w:unhideWhenUsed/>
    <w:rsid w:val="00647C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7C31"/>
    <w:rPr>
      <w:sz w:val="20"/>
      <w:szCs w:val="20"/>
    </w:rPr>
  </w:style>
  <w:style w:type="character" w:styleId="FootnoteReference">
    <w:name w:val="footnote reference"/>
    <w:basedOn w:val="DefaultParagraphFont"/>
    <w:uiPriority w:val="99"/>
    <w:semiHidden/>
    <w:unhideWhenUsed/>
    <w:rsid w:val="00647C31"/>
    <w:rPr>
      <w:vertAlign w:val="superscript"/>
    </w:rPr>
  </w:style>
  <w:style w:type="paragraph" w:styleId="NormalWeb">
    <w:name w:val="Normal (Web)"/>
    <w:basedOn w:val="Normal"/>
    <w:uiPriority w:val="99"/>
    <w:semiHidden/>
    <w:unhideWhenUsed/>
    <w:rsid w:val="00D3422D"/>
    <w:rPr>
      <w:rFonts w:ascii="Times New Roman" w:hAnsi="Times New Roman" w:cs="Times New Roman"/>
      <w:sz w:val="24"/>
      <w:szCs w:val="24"/>
    </w:rPr>
  </w:style>
  <w:style w:type="character" w:styleId="Hyperlink">
    <w:name w:val="Hyperlink"/>
    <w:basedOn w:val="DefaultParagraphFont"/>
    <w:uiPriority w:val="99"/>
    <w:unhideWhenUsed/>
    <w:rsid w:val="00FC4AEA"/>
    <w:rPr>
      <w:color w:val="0563C1" w:themeColor="hyperlink"/>
      <w:u w:val="single"/>
    </w:rPr>
  </w:style>
  <w:style w:type="character" w:styleId="UnresolvedMention">
    <w:name w:val="Unresolved Mention"/>
    <w:basedOn w:val="DefaultParagraphFont"/>
    <w:uiPriority w:val="99"/>
    <w:semiHidden/>
    <w:unhideWhenUsed/>
    <w:rsid w:val="00FC4A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80817">
      <w:bodyDiv w:val="1"/>
      <w:marLeft w:val="0"/>
      <w:marRight w:val="0"/>
      <w:marTop w:val="0"/>
      <w:marBottom w:val="0"/>
      <w:divBdr>
        <w:top w:val="none" w:sz="0" w:space="0" w:color="auto"/>
        <w:left w:val="none" w:sz="0" w:space="0" w:color="auto"/>
        <w:bottom w:val="none" w:sz="0" w:space="0" w:color="auto"/>
        <w:right w:val="none" w:sz="0" w:space="0" w:color="auto"/>
      </w:divBdr>
      <w:divsChild>
        <w:div w:id="472647187">
          <w:marLeft w:val="0"/>
          <w:marRight w:val="0"/>
          <w:marTop w:val="0"/>
          <w:marBottom w:val="0"/>
          <w:divBdr>
            <w:top w:val="none" w:sz="0" w:space="0" w:color="auto"/>
            <w:left w:val="none" w:sz="0" w:space="0" w:color="auto"/>
            <w:bottom w:val="none" w:sz="0" w:space="0" w:color="auto"/>
            <w:right w:val="none" w:sz="0" w:space="0" w:color="auto"/>
          </w:divBdr>
          <w:divsChild>
            <w:div w:id="128380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983554">
      <w:bodyDiv w:val="1"/>
      <w:marLeft w:val="0"/>
      <w:marRight w:val="0"/>
      <w:marTop w:val="0"/>
      <w:marBottom w:val="0"/>
      <w:divBdr>
        <w:top w:val="none" w:sz="0" w:space="0" w:color="auto"/>
        <w:left w:val="none" w:sz="0" w:space="0" w:color="auto"/>
        <w:bottom w:val="none" w:sz="0" w:space="0" w:color="auto"/>
        <w:right w:val="none" w:sz="0" w:space="0" w:color="auto"/>
      </w:divBdr>
      <w:divsChild>
        <w:div w:id="1517186940">
          <w:marLeft w:val="-720"/>
          <w:marRight w:val="0"/>
          <w:marTop w:val="0"/>
          <w:marBottom w:val="0"/>
          <w:divBdr>
            <w:top w:val="none" w:sz="0" w:space="0" w:color="auto"/>
            <w:left w:val="none" w:sz="0" w:space="0" w:color="auto"/>
            <w:bottom w:val="none" w:sz="0" w:space="0" w:color="auto"/>
            <w:right w:val="none" w:sz="0" w:space="0" w:color="auto"/>
          </w:divBdr>
        </w:div>
      </w:divsChild>
    </w:div>
    <w:div w:id="599030587">
      <w:bodyDiv w:val="1"/>
      <w:marLeft w:val="0"/>
      <w:marRight w:val="0"/>
      <w:marTop w:val="0"/>
      <w:marBottom w:val="0"/>
      <w:divBdr>
        <w:top w:val="none" w:sz="0" w:space="0" w:color="auto"/>
        <w:left w:val="none" w:sz="0" w:space="0" w:color="auto"/>
        <w:bottom w:val="none" w:sz="0" w:space="0" w:color="auto"/>
        <w:right w:val="none" w:sz="0" w:space="0" w:color="auto"/>
      </w:divBdr>
      <w:divsChild>
        <w:div w:id="1957516275">
          <w:marLeft w:val="0"/>
          <w:marRight w:val="0"/>
          <w:marTop w:val="0"/>
          <w:marBottom w:val="0"/>
          <w:divBdr>
            <w:top w:val="none" w:sz="0" w:space="0" w:color="auto"/>
            <w:left w:val="none" w:sz="0" w:space="0" w:color="auto"/>
            <w:bottom w:val="none" w:sz="0" w:space="0" w:color="auto"/>
            <w:right w:val="none" w:sz="0" w:space="0" w:color="auto"/>
          </w:divBdr>
          <w:divsChild>
            <w:div w:id="66605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741528">
      <w:bodyDiv w:val="1"/>
      <w:marLeft w:val="0"/>
      <w:marRight w:val="0"/>
      <w:marTop w:val="0"/>
      <w:marBottom w:val="0"/>
      <w:divBdr>
        <w:top w:val="none" w:sz="0" w:space="0" w:color="auto"/>
        <w:left w:val="none" w:sz="0" w:space="0" w:color="auto"/>
        <w:bottom w:val="none" w:sz="0" w:space="0" w:color="auto"/>
        <w:right w:val="none" w:sz="0" w:space="0" w:color="auto"/>
      </w:divBdr>
      <w:divsChild>
        <w:div w:id="595017287">
          <w:marLeft w:val="0"/>
          <w:marRight w:val="0"/>
          <w:marTop w:val="0"/>
          <w:marBottom w:val="0"/>
          <w:divBdr>
            <w:top w:val="none" w:sz="0" w:space="0" w:color="auto"/>
            <w:left w:val="none" w:sz="0" w:space="0" w:color="auto"/>
            <w:bottom w:val="none" w:sz="0" w:space="0" w:color="auto"/>
            <w:right w:val="none" w:sz="0" w:space="0" w:color="auto"/>
          </w:divBdr>
          <w:divsChild>
            <w:div w:id="81795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544369">
      <w:bodyDiv w:val="1"/>
      <w:marLeft w:val="0"/>
      <w:marRight w:val="0"/>
      <w:marTop w:val="0"/>
      <w:marBottom w:val="0"/>
      <w:divBdr>
        <w:top w:val="none" w:sz="0" w:space="0" w:color="auto"/>
        <w:left w:val="none" w:sz="0" w:space="0" w:color="auto"/>
        <w:bottom w:val="none" w:sz="0" w:space="0" w:color="auto"/>
        <w:right w:val="none" w:sz="0" w:space="0" w:color="auto"/>
      </w:divBdr>
      <w:divsChild>
        <w:div w:id="51739037">
          <w:marLeft w:val="0"/>
          <w:marRight w:val="0"/>
          <w:marTop w:val="0"/>
          <w:marBottom w:val="0"/>
          <w:divBdr>
            <w:top w:val="none" w:sz="0" w:space="0" w:color="auto"/>
            <w:left w:val="none" w:sz="0" w:space="0" w:color="auto"/>
            <w:bottom w:val="none" w:sz="0" w:space="0" w:color="auto"/>
            <w:right w:val="none" w:sz="0" w:space="0" w:color="auto"/>
          </w:divBdr>
          <w:divsChild>
            <w:div w:id="145872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132303">
      <w:bodyDiv w:val="1"/>
      <w:marLeft w:val="0"/>
      <w:marRight w:val="0"/>
      <w:marTop w:val="0"/>
      <w:marBottom w:val="0"/>
      <w:divBdr>
        <w:top w:val="none" w:sz="0" w:space="0" w:color="auto"/>
        <w:left w:val="none" w:sz="0" w:space="0" w:color="auto"/>
        <w:bottom w:val="none" w:sz="0" w:space="0" w:color="auto"/>
        <w:right w:val="none" w:sz="0" w:space="0" w:color="auto"/>
      </w:divBdr>
      <w:divsChild>
        <w:div w:id="196846936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135775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E905E990-D6E0-48B7-9F32-E1C4B2FDC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483</TotalTime>
  <Pages>6</Pages>
  <Words>1799</Words>
  <Characters>10257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Kunicki</dc:creator>
  <cp:keywords/>
  <dc:description/>
  <cp:lastModifiedBy>Ania Kunicki</cp:lastModifiedBy>
  <cp:revision>28</cp:revision>
  <dcterms:created xsi:type="dcterms:W3CDTF">2024-03-06T14:24:00Z</dcterms:created>
  <dcterms:modified xsi:type="dcterms:W3CDTF">2024-03-13T17:31:00Z</dcterms:modified>
</cp:coreProperties>
</file>