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988938189"/>
        <w:docPartObj>
          <w:docPartGallery w:val="Cover Pages"/>
          <w:docPartUnique/>
        </w:docPartObj>
      </w:sdtPr>
      <w:sdtEndPr>
        <w:rPr>
          <w:noProof/>
        </w:rPr>
      </w:sdtEndPr>
      <w:sdtContent>
        <w:p w14:paraId="43AD36A4" w14:textId="77777777" w:rsidR="00120492" w:rsidRPr="009F76D7" w:rsidRDefault="00120492" w:rsidP="00120492">
          <w:pPr>
            <w:pStyle w:val="NoSpacing"/>
            <w:tabs>
              <w:tab w:val="left" w:pos="6204"/>
            </w:tabs>
            <w:rPr>
              <w:rFonts w:ascii="Arial" w:hAnsi="Arial" w:cs="Arial"/>
            </w:rPr>
          </w:pPr>
          <w:r>
            <w:rPr>
              <w:noProof/>
            </w:rPr>
            <w:drawing>
              <wp:inline distT="0" distB="0" distL="0" distR="0" wp14:anchorId="4A2968CE" wp14:editId="086D437B">
                <wp:extent cx="3399596" cy="2049145"/>
                <wp:effectExtent l="76200" t="76200" r="67945" b="998855"/>
                <wp:docPr id="1049984410"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984410" name="Picture 1" descr="A logo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10944" cy="2236814"/>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Pr>
              <w:noProof/>
            </w:rPr>
            <mc:AlternateContent>
              <mc:Choice Requires="wpg">
                <w:drawing>
                  <wp:anchor distT="0" distB="0" distL="114300" distR="114300" simplePos="0" relativeHeight="251659264" behindDoc="1" locked="0" layoutInCell="1" allowOverlap="1" wp14:anchorId="5AC5E87A" wp14:editId="7574741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7D73BE" w14:textId="77777777" w:rsidR="00120492" w:rsidRDefault="00120492" w:rsidP="00120492">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C5E87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007D73BE" w14:textId="77777777" w:rsidR="00120492" w:rsidRDefault="00120492" w:rsidP="00120492">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97C75F" wp14:editId="4CC82F9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7BD49" w14:textId="77777777" w:rsidR="00120492" w:rsidRDefault="00120492" w:rsidP="0012049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97C75F" id="_x0000_t202" coordsize="21600,21600" o:spt="202" path="m,l,21600r21600,l21600,xe">
                    <v:stroke joinstyle="miter"/>
                    <v:path gradientshapeok="t" o:connecttype="rect"/>
                  </v:shapetype>
                  <v:shape id="Text Box 28"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117BD49" w14:textId="77777777" w:rsidR="00120492" w:rsidRDefault="00120492" w:rsidP="00120492">
                          <w:pPr>
                            <w:pStyle w:val="NoSpacing"/>
                            <w:rPr>
                              <w:color w:val="595959" w:themeColor="text1" w:themeTint="A6"/>
                              <w:sz w:val="20"/>
                              <w:szCs w:val="20"/>
                            </w:rPr>
                          </w:pPr>
                        </w:p>
                      </w:txbxContent>
                    </v:textbox>
                    <w10:wrap anchorx="page" anchory="page"/>
                  </v:shape>
                </w:pict>
              </mc:Fallback>
            </mc:AlternateContent>
          </w:r>
          <w:r>
            <w:tab/>
          </w:r>
        </w:p>
        <w:p w14:paraId="6716075E" w14:textId="77777777" w:rsidR="00120492" w:rsidRPr="00575BAE" w:rsidRDefault="00120492" w:rsidP="00120492">
          <w:pPr>
            <w:spacing w:line="360" w:lineRule="auto"/>
            <w:jc w:val="center"/>
            <w:rPr>
              <w:rFonts w:ascii="Arial" w:hAnsi="Arial" w:cs="Arial"/>
              <w:sz w:val="44"/>
              <w:szCs w:val="44"/>
            </w:rPr>
          </w:pPr>
          <w:r w:rsidRPr="00575BAE">
            <w:rPr>
              <w:rFonts w:ascii="Arial" w:hAnsi="Arial" w:cs="Arial"/>
              <w:sz w:val="44"/>
              <w:szCs w:val="44"/>
            </w:rPr>
            <w:t>Module: Health Wellbeing and Sustainable Development</w:t>
          </w:r>
        </w:p>
        <w:p w14:paraId="5325A087" w14:textId="77777777" w:rsidR="00120492" w:rsidRPr="00575BAE" w:rsidRDefault="00120492" w:rsidP="00120492">
          <w:pPr>
            <w:spacing w:line="360" w:lineRule="auto"/>
            <w:jc w:val="center"/>
            <w:rPr>
              <w:rFonts w:ascii="Arial" w:hAnsi="Arial" w:cs="Arial"/>
              <w:sz w:val="44"/>
              <w:szCs w:val="44"/>
            </w:rPr>
          </w:pPr>
          <w:r w:rsidRPr="00575BAE">
            <w:rPr>
              <w:rFonts w:ascii="Arial" w:hAnsi="Arial" w:cs="Arial"/>
              <w:sz w:val="44"/>
              <w:szCs w:val="44"/>
            </w:rPr>
            <w:t>Code: (BMHP6030 – LON)</w:t>
          </w:r>
        </w:p>
        <w:p w14:paraId="658C2CCA" w14:textId="77777777" w:rsidR="00120492" w:rsidRPr="00575BAE" w:rsidRDefault="00120492" w:rsidP="00120492">
          <w:pPr>
            <w:spacing w:line="360" w:lineRule="auto"/>
            <w:jc w:val="center"/>
            <w:rPr>
              <w:rFonts w:ascii="Arial" w:hAnsi="Arial" w:cs="Arial"/>
              <w:sz w:val="44"/>
              <w:szCs w:val="44"/>
            </w:rPr>
          </w:pPr>
          <w:r w:rsidRPr="00575BAE">
            <w:rPr>
              <w:rFonts w:ascii="Arial" w:hAnsi="Arial" w:cs="Arial"/>
              <w:sz w:val="44"/>
              <w:szCs w:val="44"/>
            </w:rPr>
            <w:t>Name: Sharon McDermott</w:t>
          </w:r>
        </w:p>
        <w:p w14:paraId="4D9F21BD" w14:textId="77777777" w:rsidR="00120492" w:rsidRPr="00575BAE" w:rsidRDefault="00120492" w:rsidP="00120492">
          <w:pPr>
            <w:spacing w:line="360" w:lineRule="auto"/>
            <w:jc w:val="center"/>
            <w:rPr>
              <w:rFonts w:ascii="Arial" w:hAnsi="Arial" w:cs="Arial"/>
              <w:sz w:val="44"/>
              <w:szCs w:val="44"/>
            </w:rPr>
          </w:pPr>
          <w:r w:rsidRPr="00575BAE">
            <w:rPr>
              <w:rFonts w:ascii="Arial" w:hAnsi="Arial" w:cs="Arial"/>
              <w:sz w:val="44"/>
              <w:szCs w:val="44"/>
            </w:rPr>
            <w:t>Student DI: 2243145</w:t>
          </w:r>
        </w:p>
        <w:p w14:paraId="6CDE4020" w14:textId="77777777" w:rsidR="00120492" w:rsidRPr="00DB29C4" w:rsidRDefault="00120492" w:rsidP="00120492">
          <w:pPr>
            <w:spacing w:after="0" w:line="360" w:lineRule="auto"/>
            <w:jc w:val="center"/>
            <w:rPr>
              <w:rFonts w:ascii="Arial" w:hAnsi="Arial" w:cs="Arial"/>
              <w:sz w:val="44"/>
              <w:szCs w:val="44"/>
            </w:rPr>
          </w:pPr>
          <w:r w:rsidRPr="00575BAE">
            <w:rPr>
              <w:rFonts w:ascii="Arial" w:hAnsi="Arial" w:cs="Arial"/>
              <w:sz w:val="44"/>
              <w:szCs w:val="44"/>
            </w:rPr>
            <w:t xml:space="preserve">Lecturer Name: Dr </w:t>
          </w:r>
          <w:proofErr w:type="spellStart"/>
          <w:r w:rsidRPr="00575BAE">
            <w:rPr>
              <w:rFonts w:ascii="Arial" w:hAnsi="Arial" w:cs="Arial"/>
              <w:sz w:val="44"/>
              <w:szCs w:val="44"/>
            </w:rPr>
            <w:t>Itse</w:t>
          </w:r>
          <w:proofErr w:type="spellEnd"/>
          <w:r w:rsidRPr="00575BAE">
            <w:rPr>
              <w:rFonts w:ascii="Arial" w:hAnsi="Arial" w:cs="Arial"/>
              <w:sz w:val="44"/>
              <w:szCs w:val="44"/>
            </w:rPr>
            <w:t xml:space="preserve"> Olaoye</w:t>
          </w:r>
          <w:r>
            <w:rPr>
              <w:noProof/>
            </w:rPr>
            <w:br w:type="page"/>
          </w:r>
        </w:p>
      </w:sdtContent>
    </w:sdt>
    <w:sdt>
      <w:sdtPr>
        <w:rPr>
          <w:rFonts w:asciiTheme="minorHAnsi" w:eastAsiaTheme="minorHAnsi" w:hAnsiTheme="minorHAnsi" w:cs="Arial"/>
          <w:b w:val="0"/>
          <w:bCs w:val="0"/>
          <w:color w:val="auto"/>
          <w:kern w:val="2"/>
          <w:sz w:val="24"/>
          <w:szCs w:val="24"/>
          <w:lang w:val="en-GB"/>
          <w14:ligatures w14:val="standardContextual"/>
        </w:rPr>
        <w:id w:val="179086570"/>
        <w:docPartObj>
          <w:docPartGallery w:val="Table of Contents"/>
          <w:docPartUnique/>
        </w:docPartObj>
      </w:sdtPr>
      <w:sdtEndPr>
        <w:rPr>
          <w:noProof/>
        </w:rPr>
      </w:sdtEndPr>
      <w:sdtContent>
        <w:p w14:paraId="254EFE1E" w14:textId="77777777" w:rsidR="00120492" w:rsidRDefault="00120492" w:rsidP="00120492">
          <w:pPr>
            <w:pStyle w:val="TOCHeading"/>
            <w:rPr>
              <w:rFonts w:cs="Arial"/>
            </w:rPr>
          </w:pPr>
          <w:r w:rsidRPr="00FD5655">
            <w:rPr>
              <w:rFonts w:cs="Arial"/>
            </w:rPr>
            <w:t>Table of Contents</w:t>
          </w:r>
        </w:p>
        <w:p w14:paraId="62778D5A" w14:textId="77777777" w:rsidR="00120492" w:rsidRDefault="00120492" w:rsidP="00120492">
          <w:pPr>
            <w:rPr>
              <w:lang w:val="en-US"/>
            </w:rPr>
          </w:pPr>
        </w:p>
        <w:p w14:paraId="1F76A857" w14:textId="77777777" w:rsidR="00120492" w:rsidRPr="00FD5655" w:rsidRDefault="00120492" w:rsidP="00120492">
          <w:pPr>
            <w:rPr>
              <w:lang w:val="en-US"/>
            </w:rPr>
          </w:pPr>
        </w:p>
        <w:p w14:paraId="2624C1A3"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r w:rsidRPr="00FD5655">
            <w:rPr>
              <w:rFonts w:ascii="Arial" w:hAnsi="Arial" w:cs="Arial"/>
              <w:b w:val="0"/>
              <w:bCs w:val="0"/>
            </w:rPr>
            <w:fldChar w:fldCharType="begin"/>
          </w:r>
          <w:r w:rsidRPr="00FD5655">
            <w:rPr>
              <w:rFonts w:ascii="Arial" w:hAnsi="Arial" w:cs="Arial"/>
              <w:b w:val="0"/>
              <w:bCs w:val="0"/>
            </w:rPr>
            <w:instrText xml:space="preserve"> TOC \o "1-3" \h \z \u </w:instrText>
          </w:r>
          <w:r w:rsidRPr="00FD5655">
            <w:rPr>
              <w:rFonts w:ascii="Arial" w:hAnsi="Arial" w:cs="Arial"/>
              <w:b w:val="0"/>
              <w:bCs w:val="0"/>
            </w:rPr>
            <w:fldChar w:fldCharType="separate"/>
          </w:r>
          <w:hyperlink w:anchor="_Toc226727766" w:history="1">
            <w:r w:rsidRPr="00FD5655">
              <w:rPr>
                <w:rStyle w:val="Hyperlink"/>
                <w:rFonts w:ascii="Arial" w:hAnsi="Arial" w:cs="Arial"/>
                <w:b w:val="0"/>
                <w:bCs w:val="0"/>
                <w:i w:val="0"/>
                <w:iCs w:val="0"/>
                <w:noProof/>
                <w:sz w:val="22"/>
                <w:szCs w:val="22"/>
              </w:rPr>
              <w:t>1. Introduction</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_Toc226727766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2</w:t>
            </w:r>
            <w:r w:rsidRPr="00FD5655">
              <w:rPr>
                <w:rFonts w:ascii="Arial" w:hAnsi="Arial" w:cs="Arial"/>
                <w:b w:val="0"/>
                <w:bCs w:val="0"/>
                <w:i w:val="0"/>
                <w:iCs w:val="0"/>
                <w:noProof/>
                <w:webHidden/>
                <w:sz w:val="22"/>
                <w:szCs w:val="22"/>
              </w:rPr>
              <w:fldChar w:fldCharType="end"/>
            </w:r>
          </w:hyperlink>
        </w:p>
        <w:p w14:paraId="6B254E3F"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67" w:history="1">
            <w:r w:rsidRPr="00FD5655">
              <w:rPr>
                <w:rStyle w:val="Hyperlink"/>
                <w:rFonts w:ascii="Arial" w:hAnsi="Arial" w:cs="Arial"/>
                <w:b w:val="0"/>
                <w:bCs w:val="0"/>
                <w:i w:val="0"/>
                <w:iCs w:val="0"/>
                <w:noProof/>
                <w:sz w:val="22"/>
                <w:szCs w:val="22"/>
              </w:rPr>
              <w:t>2. Sustainable Development Goal 3: Good Health and Wellbeing</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_Toc226727767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2</w:t>
            </w:r>
            <w:r w:rsidRPr="00FD5655">
              <w:rPr>
                <w:rFonts w:ascii="Arial" w:hAnsi="Arial" w:cs="Arial"/>
                <w:b w:val="0"/>
                <w:bCs w:val="0"/>
                <w:i w:val="0"/>
                <w:iCs w:val="0"/>
                <w:noProof/>
                <w:webHidden/>
                <w:sz w:val="22"/>
                <w:szCs w:val="22"/>
              </w:rPr>
              <w:fldChar w:fldCharType="end"/>
            </w:r>
          </w:hyperlink>
        </w:p>
        <w:p w14:paraId="1137C465"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68" w:history="1">
            <w:r w:rsidRPr="00FD5655">
              <w:rPr>
                <w:rStyle w:val="Hyperlink"/>
                <w:rFonts w:ascii="Arial" w:hAnsi="Arial" w:cs="Arial"/>
                <w:b w:val="0"/>
                <w:bCs w:val="0"/>
                <w:i w:val="0"/>
                <w:iCs w:val="0"/>
                <w:noProof/>
                <w:sz w:val="22"/>
                <w:szCs w:val="22"/>
              </w:rPr>
              <w:t>3. Sustainable Development Goal 4: Quality Education</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_Toc226727768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4</w:t>
            </w:r>
            <w:r w:rsidRPr="00FD5655">
              <w:rPr>
                <w:rFonts w:ascii="Arial" w:hAnsi="Arial" w:cs="Arial"/>
                <w:b w:val="0"/>
                <w:bCs w:val="0"/>
                <w:i w:val="0"/>
                <w:iCs w:val="0"/>
                <w:noProof/>
                <w:webHidden/>
                <w:sz w:val="22"/>
                <w:szCs w:val="22"/>
              </w:rPr>
              <w:fldChar w:fldCharType="end"/>
            </w:r>
          </w:hyperlink>
        </w:p>
        <w:p w14:paraId="237613C3"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69" w:history="1">
            <w:r w:rsidRPr="00FD5655">
              <w:rPr>
                <w:rStyle w:val="Hyperlink"/>
                <w:rFonts w:ascii="Arial" w:hAnsi="Arial" w:cs="Arial"/>
                <w:b w:val="0"/>
                <w:bCs w:val="0"/>
                <w:i w:val="0"/>
                <w:iCs w:val="0"/>
                <w:noProof/>
                <w:sz w:val="22"/>
                <w:szCs w:val="22"/>
              </w:rPr>
              <w:t>4. National Wellbeing Initiatives</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_Toc226727769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5</w:t>
            </w:r>
            <w:r w:rsidRPr="00FD5655">
              <w:rPr>
                <w:rFonts w:ascii="Arial" w:hAnsi="Arial" w:cs="Arial"/>
                <w:b w:val="0"/>
                <w:bCs w:val="0"/>
                <w:i w:val="0"/>
                <w:iCs w:val="0"/>
                <w:noProof/>
                <w:webHidden/>
                <w:sz w:val="22"/>
                <w:szCs w:val="22"/>
              </w:rPr>
              <w:fldChar w:fldCharType="end"/>
            </w:r>
          </w:hyperlink>
        </w:p>
        <w:p w14:paraId="03E0D4BE" w14:textId="77777777" w:rsidR="00120492" w:rsidRPr="00FD5655" w:rsidRDefault="00120492" w:rsidP="00120492">
          <w:pPr>
            <w:pStyle w:val="TOC2"/>
            <w:tabs>
              <w:tab w:val="right" w:leader="dot" w:pos="9016"/>
            </w:tabs>
            <w:rPr>
              <w:rFonts w:ascii="Arial" w:hAnsi="Arial" w:cs="Arial"/>
              <w:b w:val="0"/>
              <w:bCs w:val="0"/>
              <w:noProof/>
            </w:rPr>
          </w:pPr>
          <w:hyperlink w:anchor="_Toc226727770" w:history="1">
            <w:r w:rsidRPr="00FD5655">
              <w:rPr>
                <w:rStyle w:val="Hyperlink"/>
                <w:rFonts w:ascii="Arial" w:hAnsi="Arial" w:cs="Arial"/>
                <w:b w:val="0"/>
                <w:bCs w:val="0"/>
                <w:noProof/>
              </w:rPr>
              <w:t>Fit for the Future: 10 Year Health Plan for England (2025)</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_Toc226727770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5</w:t>
            </w:r>
            <w:r w:rsidRPr="00FD5655">
              <w:rPr>
                <w:rFonts w:ascii="Arial" w:hAnsi="Arial" w:cs="Arial"/>
                <w:b w:val="0"/>
                <w:bCs w:val="0"/>
                <w:noProof/>
                <w:webHidden/>
              </w:rPr>
              <w:fldChar w:fldCharType="end"/>
            </w:r>
          </w:hyperlink>
        </w:p>
        <w:p w14:paraId="634E39A3" w14:textId="77777777" w:rsidR="00120492" w:rsidRPr="00FD5655" w:rsidRDefault="00120492" w:rsidP="00120492">
          <w:pPr>
            <w:pStyle w:val="TOC2"/>
            <w:tabs>
              <w:tab w:val="right" w:leader="dot" w:pos="9016"/>
            </w:tabs>
            <w:rPr>
              <w:rFonts w:ascii="Arial" w:hAnsi="Arial" w:cs="Arial"/>
              <w:b w:val="0"/>
              <w:bCs w:val="0"/>
              <w:noProof/>
            </w:rPr>
          </w:pPr>
          <w:hyperlink w:anchor="_Toc226727771" w:history="1">
            <w:r w:rsidRPr="00FD5655">
              <w:rPr>
                <w:rStyle w:val="Hyperlink"/>
                <w:rFonts w:ascii="Arial" w:hAnsi="Arial" w:cs="Arial"/>
                <w:b w:val="0"/>
                <w:bCs w:val="0"/>
                <w:noProof/>
              </w:rPr>
              <w:t>Better Health Campaign</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_Toc226727771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6</w:t>
            </w:r>
            <w:r w:rsidRPr="00FD5655">
              <w:rPr>
                <w:rFonts w:ascii="Arial" w:hAnsi="Arial" w:cs="Arial"/>
                <w:b w:val="0"/>
                <w:bCs w:val="0"/>
                <w:noProof/>
                <w:webHidden/>
              </w:rPr>
              <w:fldChar w:fldCharType="end"/>
            </w:r>
          </w:hyperlink>
        </w:p>
        <w:p w14:paraId="4B062065" w14:textId="77777777" w:rsidR="00120492" w:rsidRPr="00FD5655" w:rsidRDefault="00120492" w:rsidP="00120492">
          <w:pPr>
            <w:pStyle w:val="TOC2"/>
            <w:tabs>
              <w:tab w:val="right" w:leader="dot" w:pos="9016"/>
            </w:tabs>
            <w:rPr>
              <w:rFonts w:ascii="Arial" w:hAnsi="Arial" w:cs="Arial"/>
              <w:b w:val="0"/>
              <w:bCs w:val="0"/>
              <w:noProof/>
            </w:rPr>
          </w:pPr>
          <w:hyperlink w:anchor="_Toc226727772" w:history="1">
            <w:r w:rsidRPr="00FD5655">
              <w:rPr>
                <w:rStyle w:val="Hyperlink"/>
                <w:rFonts w:ascii="Arial" w:hAnsi="Arial" w:cs="Arial"/>
                <w:b w:val="0"/>
                <w:bCs w:val="0"/>
                <w:noProof/>
              </w:rPr>
              <w:t>Recommendations</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_Toc226727772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6</w:t>
            </w:r>
            <w:r w:rsidRPr="00FD5655">
              <w:rPr>
                <w:rFonts w:ascii="Arial" w:hAnsi="Arial" w:cs="Arial"/>
                <w:b w:val="0"/>
                <w:bCs w:val="0"/>
                <w:noProof/>
                <w:webHidden/>
              </w:rPr>
              <w:fldChar w:fldCharType="end"/>
            </w:r>
          </w:hyperlink>
        </w:p>
        <w:p w14:paraId="45159809"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73" w:history="1">
            <w:r w:rsidRPr="00FD5655">
              <w:rPr>
                <w:rStyle w:val="Hyperlink"/>
                <w:rFonts w:ascii="Arial" w:hAnsi="Arial" w:cs="Arial"/>
                <w:b w:val="0"/>
                <w:bCs w:val="0"/>
                <w:i w:val="0"/>
                <w:iCs w:val="0"/>
                <w:noProof/>
                <w:sz w:val="22"/>
                <w:szCs w:val="22"/>
              </w:rPr>
              <w:t>5. Local Wellbeing Initiatives: Tower Hamlets</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_Toc226727773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7</w:t>
            </w:r>
            <w:r w:rsidRPr="00FD5655">
              <w:rPr>
                <w:rFonts w:ascii="Arial" w:hAnsi="Arial" w:cs="Arial"/>
                <w:b w:val="0"/>
                <w:bCs w:val="0"/>
                <w:i w:val="0"/>
                <w:iCs w:val="0"/>
                <w:noProof/>
                <w:webHidden/>
                <w:sz w:val="22"/>
                <w:szCs w:val="22"/>
              </w:rPr>
              <w:fldChar w:fldCharType="end"/>
            </w:r>
          </w:hyperlink>
        </w:p>
        <w:p w14:paraId="687666D6" w14:textId="77777777" w:rsidR="00120492" w:rsidRPr="00FD5655" w:rsidRDefault="00120492" w:rsidP="00120492">
          <w:pPr>
            <w:pStyle w:val="TOC2"/>
            <w:tabs>
              <w:tab w:val="right" w:leader="dot" w:pos="9016"/>
            </w:tabs>
            <w:rPr>
              <w:rFonts w:ascii="Arial" w:hAnsi="Arial" w:cs="Arial"/>
              <w:b w:val="0"/>
              <w:bCs w:val="0"/>
              <w:noProof/>
            </w:rPr>
          </w:pPr>
          <w:hyperlink w:anchor="_Toc226727774" w:history="1">
            <w:r w:rsidRPr="00FD5655">
              <w:rPr>
                <w:rStyle w:val="Hyperlink"/>
                <w:rFonts w:ascii="Arial" w:hAnsi="Arial" w:cs="Arial"/>
                <w:b w:val="0"/>
                <w:bCs w:val="0"/>
                <w:noProof/>
              </w:rPr>
              <w:t>The Communities Keeping Well</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_Toc226727774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7</w:t>
            </w:r>
            <w:r w:rsidRPr="00FD5655">
              <w:rPr>
                <w:rFonts w:ascii="Arial" w:hAnsi="Arial" w:cs="Arial"/>
                <w:b w:val="0"/>
                <w:bCs w:val="0"/>
                <w:noProof/>
                <w:webHidden/>
              </w:rPr>
              <w:fldChar w:fldCharType="end"/>
            </w:r>
          </w:hyperlink>
        </w:p>
        <w:p w14:paraId="21540A38" w14:textId="77777777" w:rsidR="00120492" w:rsidRPr="00FD5655" w:rsidRDefault="00120492" w:rsidP="00120492">
          <w:pPr>
            <w:pStyle w:val="TOC2"/>
            <w:tabs>
              <w:tab w:val="right" w:leader="dot" w:pos="9016"/>
            </w:tabs>
            <w:rPr>
              <w:rFonts w:ascii="Arial" w:hAnsi="Arial" w:cs="Arial"/>
              <w:b w:val="0"/>
              <w:bCs w:val="0"/>
              <w:noProof/>
            </w:rPr>
          </w:pPr>
          <w:hyperlink w:anchor="_Toc226727775" w:history="1">
            <w:r w:rsidRPr="00FD5655">
              <w:rPr>
                <w:rStyle w:val="Hyperlink"/>
                <w:rFonts w:ascii="Arial" w:hAnsi="Arial" w:cs="Arial"/>
                <w:b w:val="0"/>
                <w:bCs w:val="0"/>
                <w:noProof/>
              </w:rPr>
              <w:t>The Early Help Strategy 2025–2028</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_Toc226727775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7</w:t>
            </w:r>
            <w:r w:rsidRPr="00FD5655">
              <w:rPr>
                <w:rFonts w:ascii="Arial" w:hAnsi="Arial" w:cs="Arial"/>
                <w:b w:val="0"/>
                <w:bCs w:val="0"/>
                <w:noProof/>
                <w:webHidden/>
              </w:rPr>
              <w:fldChar w:fldCharType="end"/>
            </w:r>
          </w:hyperlink>
        </w:p>
        <w:p w14:paraId="3018BE17" w14:textId="77777777" w:rsidR="00120492" w:rsidRPr="00FD5655" w:rsidRDefault="00120492" w:rsidP="00120492">
          <w:pPr>
            <w:pStyle w:val="TOC2"/>
            <w:tabs>
              <w:tab w:val="right" w:leader="dot" w:pos="9016"/>
            </w:tabs>
            <w:rPr>
              <w:rFonts w:ascii="Arial" w:hAnsi="Arial" w:cs="Arial"/>
              <w:b w:val="0"/>
              <w:bCs w:val="0"/>
              <w:noProof/>
            </w:rPr>
          </w:pPr>
          <w:hyperlink w:anchor="_Toc226727776" w:history="1">
            <w:r w:rsidRPr="00FD5655">
              <w:rPr>
                <w:rStyle w:val="Hyperlink"/>
                <w:rFonts w:ascii="Arial" w:hAnsi="Arial" w:cs="Arial"/>
                <w:b w:val="0"/>
                <w:bCs w:val="0"/>
                <w:noProof/>
              </w:rPr>
              <w:t>Recommendations</w:t>
            </w:r>
            <w:r w:rsidRPr="00FD5655">
              <w:rPr>
                <w:rFonts w:ascii="Arial" w:hAnsi="Arial" w:cs="Arial"/>
                <w:b w:val="0"/>
                <w:bCs w:val="0"/>
                <w:noProof/>
                <w:webHidden/>
              </w:rPr>
              <w:tab/>
            </w:r>
            <w:r w:rsidRPr="00FD5655">
              <w:rPr>
                <w:rFonts w:ascii="Arial" w:hAnsi="Arial" w:cs="Arial"/>
                <w:b w:val="0"/>
                <w:bCs w:val="0"/>
                <w:noProof/>
                <w:webHidden/>
              </w:rPr>
              <w:fldChar w:fldCharType="begin"/>
            </w:r>
            <w:r w:rsidRPr="00FD5655">
              <w:rPr>
                <w:rFonts w:ascii="Arial" w:hAnsi="Arial" w:cs="Arial"/>
                <w:b w:val="0"/>
                <w:bCs w:val="0"/>
                <w:noProof/>
                <w:webHidden/>
              </w:rPr>
              <w:instrText xml:space="preserve"> PAGEREF _Toc226727776 \h </w:instrText>
            </w:r>
            <w:r w:rsidRPr="00FD5655">
              <w:rPr>
                <w:rFonts w:ascii="Arial" w:hAnsi="Arial" w:cs="Arial"/>
                <w:b w:val="0"/>
                <w:bCs w:val="0"/>
                <w:noProof/>
                <w:webHidden/>
              </w:rPr>
            </w:r>
            <w:r w:rsidRPr="00FD5655">
              <w:rPr>
                <w:rFonts w:ascii="Arial" w:hAnsi="Arial" w:cs="Arial"/>
                <w:b w:val="0"/>
                <w:bCs w:val="0"/>
                <w:noProof/>
                <w:webHidden/>
              </w:rPr>
              <w:fldChar w:fldCharType="separate"/>
            </w:r>
            <w:r w:rsidRPr="00FD5655">
              <w:rPr>
                <w:rFonts w:ascii="Arial" w:hAnsi="Arial" w:cs="Arial"/>
                <w:b w:val="0"/>
                <w:bCs w:val="0"/>
                <w:noProof/>
                <w:webHidden/>
              </w:rPr>
              <w:t>7</w:t>
            </w:r>
            <w:r w:rsidRPr="00FD5655">
              <w:rPr>
                <w:rFonts w:ascii="Arial" w:hAnsi="Arial" w:cs="Arial"/>
                <w:b w:val="0"/>
                <w:bCs w:val="0"/>
                <w:noProof/>
                <w:webHidden/>
              </w:rPr>
              <w:fldChar w:fldCharType="end"/>
            </w:r>
          </w:hyperlink>
        </w:p>
        <w:p w14:paraId="40415797"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77" w:history="1">
            <w:r w:rsidRPr="00FD5655">
              <w:rPr>
                <w:rStyle w:val="Hyperlink"/>
                <w:rFonts w:ascii="Arial" w:hAnsi="Arial" w:cs="Arial"/>
                <w:b w:val="0"/>
                <w:bCs w:val="0"/>
                <w:i w:val="0"/>
                <w:iCs w:val="0"/>
                <w:noProof/>
                <w:sz w:val="22"/>
                <w:szCs w:val="22"/>
              </w:rPr>
              <w:t>6. Conclusion</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_Toc226727777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8</w:t>
            </w:r>
            <w:r w:rsidRPr="00FD5655">
              <w:rPr>
                <w:rFonts w:ascii="Arial" w:hAnsi="Arial" w:cs="Arial"/>
                <w:b w:val="0"/>
                <w:bCs w:val="0"/>
                <w:i w:val="0"/>
                <w:iCs w:val="0"/>
                <w:noProof/>
                <w:webHidden/>
                <w:sz w:val="22"/>
                <w:szCs w:val="22"/>
              </w:rPr>
              <w:fldChar w:fldCharType="end"/>
            </w:r>
          </w:hyperlink>
        </w:p>
        <w:p w14:paraId="25CA1087" w14:textId="77777777" w:rsidR="00120492" w:rsidRPr="00FD5655" w:rsidRDefault="00120492" w:rsidP="00120492">
          <w:pPr>
            <w:pStyle w:val="TOC1"/>
            <w:tabs>
              <w:tab w:val="right" w:leader="dot" w:pos="9016"/>
            </w:tabs>
            <w:rPr>
              <w:rFonts w:ascii="Arial" w:hAnsi="Arial" w:cs="Arial"/>
              <w:b w:val="0"/>
              <w:bCs w:val="0"/>
              <w:i w:val="0"/>
              <w:iCs w:val="0"/>
              <w:noProof/>
              <w:sz w:val="22"/>
              <w:szCs w:val="22"/>
            </w:rPr>
          </w:pPr>
          <w:hyperlink w:anchor="_Toc226727778" w:history="1">
            <w:r w:rsidRPr="00FD5655">
              <w:rPr>
                <w:rStyle w:val="Hyperlink"/>
                <w:rFonts w:ascii="Arial" w:hAnsi="Arial" w:cs="Arial"/>
                <w:b w:val="0"/>
                <w:bCs w:val="0"/>
                <w:i w:val="0"/>
                <w:iCs w:val="0"/>
                <w:noProof/>
                <w:sz w:val="22"/>
                <w:szCs w:val="22"/>
              </w:rPr>
              <w:t>References</w:t>
            </w:r>
            <w:r w:rsidRPr="00FD5655">
              <w:rPr>
                <w:rFonts w:ascii="Arial" w:hAnsi="Arial" w:cs="Arial"/>
                <w:b w:val="0"/>
                <w:bCs w:val="0"/>
                <w:i w:val="0"/>
                <w:iCs w:val="0"/>
                <w:noProof/>
                <w:webHidden/>
                <w:sz w:val="22"/>
                <w:szCs w:val="22"/>
              </w:rPr>
              <w:tab/>
            </w:r>
            <w:r w:rsidRPr="00FD5655">
              <w:rPr>
                <w:rFonts w:ascii="Arial" w:hAnsi="Arial" w:cs="Arial"/>
                <w:b w:val="0"/>
                <w:bCs w:val="0"/>
                <w:i w:val="0"/>
                <w:iCs w:val="0"/>
                <w:noProof/>
                <w:webHidden/>
                <w:sz w:val="22"/>
                <w:szCs w:val="22"/>
              </w:rPr>
              <w:fldChar w:fldCharType="begin"/>
            </w:r>
            <w:r w:rsidRPr="00FD5655">
              <w:rPr>
                <w:rFonts w:ascii="Arial" w:hAnsi="Arial" w:cs="Arial"/>
                <w:b w:val="0"/>
                <w:bCs w:val="0"/>
                <w:i w:val="0"/>
                <w:iCs w:val="0"/>
                <w:noProof/>
                <w:webHidden/>
                <w:sz w:val="22"/>
                <w:szCs w:val="22"/>
              </w:rPr>
              <w:instrText xml:space="preserve"> PAGEREF _Toc226727778 \h </w:instrText>
            </w:r>
            <w:r w:rsidRPr="00FD5655">
              <w:rPr>
                <w:rFonts w:ascii="Arial" w:hAnsi="Arial" w:cs="Arial"/>
                <w:b w:val="0"/>
                <w:bCs w:val="0"/>
                <w:i w:val="0"/>
                <w:iCs w:val="0"/>
                <w:noProof/>
                <w:webHidden/>
                <w:sz w:val="22"/>
                <w:szCs w:val="22"/>
              </w:rPr>
            </w:r>
            <w:r w:rsidRPr="00FD5655">
              <w:rPr>
                <w:rFonts w:ascii="Arial" w:hAnsi="Arial" w:cs="Arial"/>
                <w:b w:val="0"/>
                <w:bCs w:val="0"/>
                <w:i w:val="0"/>
                <w:iCs w:val="0"/>
                <w:noProof/>
                <w:webHidden/>
                <w:sz w:val="22"/>
                <w:szCs w:val="22"/>
              </w:rPr>
              <w:fldChar w:fldCharType="separate"/>
            </w:r>
            <w:r w:rsidRPr="00FD5655">
              <w:rPr>
                <w:rFonts w:ascii="Arial" w:hAnsi="Arial" w:cs="Arial"/>
                <w:b w:val="0"/>
                <w:bCs w:val="0"/>
                <w:i w:val="0"/>
                <w:iCs w:val="0"/>
                <w:noProof/>
                <w:webHidden/>
                <w:sz w:val="22"/>
                <w:szCs w:val="22"/>
              </w:rPr>
              <w:t>9</w:t>
            </w:r>
            <w:r w:rsidRPr="00FD5655">
              <w:rPr>
                <w:rFonts w:ascii="Arial" w:hAnsi="Arial" w:cs="Arial"/>
                <w:b w:val="0"/>
                <w:bCs w:val="0"/>
                <w:i w:val="0"/>
                <w:iCs w:val="0"/>
                <w:noProof/>
                <w:webHidden/>
                <w:sz w:val="22"/>
                <w:szCs w:val="22"/>
              </w:rPr>
              <w:fldChar w:fldCharType="end"/>
            </w:r>
          </w:hyperlink>
        </w:p>
        <w:p w14:paraId="53E8C842" w14:textId="77777777" w:rsidR="00120492" w:rsidRPr="00FD5655" w:rsidRDefault="00120492" w:rsidP="00120492">
          <w:pPr>
            <w:rPr>
              <w:rFonts w:ascii="Arial" w:hAnsi="Arial" w:cs="Arial"/>
            </w:rPr>
          </w:pPr>
          <w:r w:rsidRPr="00FD5655">
            <w:rPr>
              <w:rFonts w:ascii="Arial" w:hAnsi="Arial" w:cs="Arial"/>
              <w:noProof/>
            </w:rPr>
            <w:fldChar w:fldCharType="end"/>
          </w:r>
        </w:p>
      </w:sdtContent>
    </w:sdt>
    <w:p w14:paraId="2457752E" w14:textId="77777777" w:rsidR="00120492" w:rsidRDefault="00120492" w:rsidP="00120492">
      <w:pPr>
        <w:rPr>
          <w:rFonts w:ascii="Arial" w:hAnsi="Arial" w:cs="Arial"/>
        </w:rPr>
      </w:pPr>
    </w:p>
    <w:p w14:paraId="4A371A16" w14:textId="77777777" w:rsidR="00120492" w:rsidRDefault="00120492" w:rsidP="00120492">
      <w:pPr>
        <w:rPr>
          <w:rFonts w:ascii="Arial" w:hAnsi="Arial" w:cs="Arial"/>
        </w:rPr>
      </w:pPr>
    </w:p>
    <w:p w14:paraId="3EF0968F" w14:textId="77777777" w:rsidR="00120492" w:rsidRDefault="00120492" w:rsidP="00120492">
      <w:pPr>
        <w:rPr>
          <w:rFonts w:ascii="Arial" w:hAnsi="Arial" w:cs="Arial"/>
        </w:rPr>
      </w:pPr>
    </w:p>
    <w:p w14:paraId="2ECCBA40" w14:textId="77777777" w:rsidR="00120492" w:rsidRDefault="00120492" w:rsidP="00120492">
      <w:pPr>
        <w:rPr>
          <w:rFonts w:ascii="Arial" w:hAnsi="Arial" w:cs="Arial"/>
        </w:rPr>
      </w:pPr>
    </w:p>
    <w:p w14:paraId="7F11FBF8" w14:textId="77777777" w:rsidR="00120492" w:rsidRDefault="00120492" w:rsidP="00120492">
      <w:pPr>
        <w:rPr>
          <w:rFonts w:ascii="Arial" w:hAnsi="Arial" w:cs="Arial"/>
        </w:rPr>
      </w:pPr>
    </w:p>
    <w:p w14:paraId="6FFC4750" w14:textId="77777777" w:rsidR="00120492" w:rsidRDefault="00120492" w:rsidP="00120492">
      <w:pPr>
        <w:spacing w:line="360" w:lineRule="auto"/>
        <w:rPr>
          <w:rFonts w:ascii="Arial" w:hAnsi="Arial" w:cs="Arial"/>
          <w:sz w:val="22"/>
          <w:szCs w:val="22"/>
        </w:rPr>
      </w:pPr>
    </w:p>
    <w:p w14:paraId="1C15C075" w14:textId="77777777" w:rsidR="00120492" w:rsidRDefault="00120492" w:rsidP="00120492">
      <w:pPr>
        <w:spacing w:line="360" w:lineRule="auto"/>
        <w:rPr>
          <w:rFonts w:ascii="Arial" w:hAnsi="Arial" w:cs="Arial"/>
          <w:sz w:val="22"/>
          <w:szCs w:val="22"/>
        </w:rPr>
      </w:pPr>
    </w:p>
    <w:p w14:paraId="583465AD" w14:textId="77777777" w:rsidR="00120492" w:rsidRDefault="00120492" w:rsidP="00120492">
      <w:pPr>
        <w:spacing w:line="360" w:lineRule="auto"/>
        <w:rPr>
          <w:rFonts w:ascii="Arial" w:hAnsi="Arial" w:cs="Arial"/>
          <w:sz w:val="22"/>
          <w:szCs w:val="22"/>
        </w:rPr>
      </w:pPr>
    </w:p>
    <w:p w14:paraId="17665CBB" w14:textId="77777777" w:rsidR="00120492" w:rsidRDefault="00120492" w:rsidP="00120492">
      <w:pPr>
        <w:spacing w:line="360" w:lineRule="auto"/>
        <w:rPr>
          <w:rFonts w:ascii="Arial" w:hAnsi="Arial" w:cs="Arial"/>
          <w:sz w:val="22"/>
          <w:szCs w:val="22"/>
        </w:rPr>
      </w:pPr>
    </w:p>
    <w:p w14:paraId="269B1C2A" w14:textId="77777777" w:rsidR="00120492" w:rsidRDefault="00120492" w:rsidP="00120492">
      <w:pPr>
        <w:spacing w:line="360" w:lineRule="auto"/>
        <w:rPr>
          <w:rFonts w:ascii="Arial" w:hAnsi="Arial" w:cs="Arial"/>
          <w:sz w:val="22"/>
          <w:szCs w:val="22"/>
        </w:rPr>
      </w:pPr>
    </w:p>
    <w:p w14:paraId="6C4271F6" w14:textId="77777777" w:rsidR="00120492" w:rsidRPr="00CF05A7" w:rsidRDefault="00120492" w:rsidP="00120492">
      <w:pPr>
        <w:spacing w:line="360" w:lineRule="auto"/>
        <w:rPr>
          <w:rFonts w:ascii="Arial" w:hAnsi="Arial" w:cs="Arial"/>
          <w:sz w:val="22"/>
          <w:szCs w:val="22"/>
        </w:rPr>
      </w:pPr>
    </w:p>
    <w:p w14:paraId="3C48A965" w14:textId="77777777" w:rsidR="00120492" w:rsidRPr="00246FBE" w:rsidRDefault="00120492" w:rsidP="00120492">
      <w:pPr>
        <w:pStyle w:val="Heading1"/>
        <w:rPr>
          <w:rFonts w:cs="Arial"/>
          <w:szCs w:val="28"/>
        </w:rPr>
      </w:pPr>
      <w:bookmarkStart w:id="0" w:name="_Toc226727766"/>
      <w:r w:rsidRPr="00246FBE">
        <w:rPr>
          <w:rFonts w:cs="Arial"/>
          <w:b/>
          <w:szCs w:val="28"/>
        </w:rPr>
        <w:lastRenderedPageBreak/>
        <w:t>1. Introduction</w:t>
      </w:r>
      <w:bookmarkEnd w:id="0"/>
      <w:r w:rsidRPr="00246FBE">
        <w:rPr>
          <w:rFonts w:cs="Arial"/>
          <w:szCs w:val="28"/>
        </w:rPr>
        <w:t xml:space="preserve"> </w:t>
      </w:r>
    </w:p>
    <w:p w14:paraId="4A975FBB" w14:textId="77777777"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Sustainable development is an important approach used to improve health and wellbeing while also addressing social and environmental challenges. The United Nations introduced the Sustainable Development Goals (SDGs) in 2015 to provide a global framework for improving quality of life and reducing inequalities (United Nations, 2015). Among these goals, health and education are key areas that influence people’s overall wellbeing. </w:t>
      </w:r>
    </w:p>
    <w:p w14:paraId="2C40732F" w14:textId="77777777"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This report examines Sustainable Development Goal 3 (Good Health and Wellbeing) (United Nations, 2025a) and Sustainable Development Goal 4 (Quality Education) (United Nations, 2025b). It explores how these goals impact health and wellbeing at global, national and local levels. The report also evaluates national initiatives such as ‘Fit for the Future: 10-Year Health Plan for England’ (NHS England, 2025) and the ‘Better Health Campaign’ (</w:t>
      </w:r>
      <w:r w:rsidRPr="00246FBE">
        <w:rPr>
          <w:color w:val="000000" w:themeColor="text1"/>
        </w:rPr>
        <w:t xml:space="preserve">Public Health England, 2020) </w:t>
      </w:r>
      <w:r w:rsidRPr="00246FBE">
        <w:rPr>
          <w:rFonts w:ascii="Arial" w:hAnsi="Arial" w:cs="Arial"/>
          <w:color w:val="000000" w:themeColor="text1"/>
          <w:sz w:val="22"/>
          <w:szCs w:val="22"/>
        </w:rPr>
        <w:t xml:space="preserve">as well as local initiatives including Communities Keeping Well and the Early Help Strategy (2025–2028) in </w:t>
      </w:r>
      <w:proofErr w:type="gramStart"/>
      <w:r w:rsidRPr="00246FBE">
        <w:rPr>
          <w:rFonts w:ascii="Arial" w:hAnsi="Arial" w:cs="Arial"/>
          <w:color w:val="000000" w:themeColor="text1"/>
          <w:sz w:val="22"/>
          <w:szCs w:val="22"/>
        </w:rPr>
        <w:t>Tower Hamlets, and</w:t>
      </w:r>
      <w:proofErr w:type="gramEnd"/>
      <w:r w:rsidRPr="00246FBE">
        <w:rPr>
          <w:rFonts w:ascii="Arial" w:hAnsi="Arial" w:cs="Arial"/>
          <w:color w:val="000000" w:themeColor="text1"/>
          <w:sz w:val="22"/>
          <w:szCs w:val="22"/>
        </w:rPr>
        <w:t xml:space="preserve"> provides recommendations for improvement.</w:t>
      </w:r>
    </w:p>
    <w:p w14:paraId="3F8F9B48" w14:textId="77777777" w:rsidR="00120492" w:rsidRPr="00246FBE" w:rsidRDefault="00120492" w:rsidP="00120492">
      <w:pPr>
        <w:pStyle w:val="Heading1"/>
        <w:rPr>
          <w:rFonts w:cs="Arial"/>
          <w:szCs w:val="28"/>
        </w:rPr>
      </w:pPr>
      <w:bookmarkStart w:id="1" w:name="_Toc226727767"/>
      <w:r w:rsidRPr="00246FBE">
        <w:rPr>
          <w:rFonts w:cs="Arial"/>
          <w:b/>
          <w:szCs w:val="28"/>
        </w:rPr>
        <w:t>2. Sustainable Development Goal 3: Good Health and Wellbeing</w:t>
      </w:r>
      <w:bookmarkEnd w:id="1"/>
    </w:p>
    <w:p w14:paraId="0344DE65" w14:textId="77777777"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Sustainable Development Goal 3 (SDG 3) aims to ‘ensure healthy lives and promote wellbeing for all at all ages’ (United Nations, 2015). It includes a wide range of targets, such as reducing maternal and infant mortality, tackling communicable and non-communicable diseases, improving mental health, and achieving universal health coverage (UHC). This reflects a broad understanding of health, which includes physical, mental and social wellbeing rather than simply the absence of disease.  A key aspect of SDG 3 is universal health coverage, which ensures that individuals can access essential healthcare services without financial hardship (World Health Organization, 2025). In the UK, this is reflected in the National Health Service (NHS), which provides healthcare based on need rather than ability to pay. This approach plays an important role in reducing health inequalities and improving access to care, particularly for disadvantaged groups.</w:t>
      </w:r>
    </w:p>
    <w:p w14:paraId="1FFADA29" w14:textId="6C2B1E51"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Another important focus of SDG 3 is prevention and early intervention. Public health initiatives such as vaccination programmes, cancer screening and health promotion campaigns aim to reduce the risk of disease and improve long-term outcomes. For example, smoking cessation campaigns and obesity reduction strategies have contributed to reducing some risk factors linked to chronic illnesses (NHS England, 2025). This preventative approach reflects a shift towards population health, which considers wider social and environmental influences on health. SDG 3 has had a positive impact on health and wellbeing. Improved access to healthcare and preventative strategies have contributed to </w:t>
      </w:r>
      <w:r w:rsidRPr="00246FBE">
        <w:rPr>
          <w:rFonts w:ascii="Arial" w:hAnsi="Arial" w:cs="Arial"/>
          <w:color w:val="000000" w:themeColor="text1"/>
          <w:sz w:val="22"/>
          <w:szCs w:val="22"/>
        </w:rPr>
        <w:lastRenderedPageBreak/>
        <w:t>increased life expectancy and reduced levels of illness. The inclusion of mental health within SDG 3 is particularly significant, as it recognises the importance of psychological wellbeing in overall health and quality of life (</w:t>
      </w:r>
      <w:r w:rsidRPr="00246FBE">
        <w:rPr>
          <w:color w:val="000000" w:themeColor="text1"/>
        </w:rPr>
        <w:t>Votruba and Thornicroft, 2016</w:t>
      </w:r>
      <w:r w:rsidRPr="00246FBE">
        <w:rPr>
          <w:rFonts w:ascii="Arial" w:hAnsi="Arial" w:cs="Arial"/>
          <w:color w:val="000000" w:themeColor="text1"/>
          <w:sz w:val="22"/>
          <w:szCs w:val="22"/>
        </w:rPr>
        <w:t xml:space="preserve">). However, there are ongoing challenges in achieving SDG 3. Health inequalities remain a major issue, particularly in relation to social determinants such as income, education, housing and employment (Institute of Health Equity, 2020). </w:t>
      </w:r>
      <w:bookmarkStart w:id="2" w:name="OLE_LINK5"/>
      <w:bookmarkStart w:id="3" w:name="OLE_LINK6"/>
      <w:r w:rsidRPr="00246FBE">
        <w:rPr>
          <w:rFonts w:ascii="Arial" w:hAnsi="Arial" w:cs="Arial"/>
          <w:color w:val="000000" w:themeColor="text1"/>
          <w:sz w:val="22"/>
          <w:szCs w:val="22"/>
        </w:rPr>
        <w:t xml:space="preserve">In England, people living in more deprived areas tend to have worse health outcomes than those in wealthier areas. This shows that healthcare services alone are not sufficient to improve health results without addressing broader social factors (UK Health Security Agency, 2025). </w:t>
      </w:r>
      <w:bookmarkEnd w:id="2"/>
      <w:bookmarkEnd w:id="3"/>
    </w:p>
    <w:p w14:paraId="759021D1" w14:textId="77777777"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In addition, healthcare systems face increasing pressure due to factors such as an ageing population, workforce shortages and limited funding. The COVID-19 pandemic further exposed weaknesses in health systems and highlighted the need for more resilient and integrated approaches to public health (Filip et al., 2022). Furthermore, while SDG 3 encourages healthy behaviours, there is a risk that too much emphasis is placed on individual responsibility. This may neglect the structural factors that affect people’s ability to make healthy choices, such as poverty or access to services. Overall, SDG 3 plays a vital role in improving health and wellbeing. However, its success depends on addressing wider social inequalities, strengthening healthcare systems and adopting a more holistic approach to health.</w:t>
      </w:r>
    </w:p>
    <w:p w14:paraId="356E39B3" w14:textId="77777777" w:rsidR="00120492" w:rsidRPr="00246FBE" w:rsidRDefault="00120492" w:rsidP="00120492">
      <w:pPr>
        <w:pStyle w:val="Heading1"/>
        <w:rPr>
          <w:rFonts w:cs="Arial"/>
          <w:szCs w:val="28"/>
        </w:rPr>
      </w:pPr>
      <w:bookmarkStart w:id="4" w:name="_Toc226727768"/>
      <w:r w:rsidRPr="00246FBE">
        <w:rPr>
          <w:rFonts w:cs="Arial"/>
          <w:b/>
          <w:bCs/>
          <w:szCs w:val="28"/>
        </w:rPr>
        <w:t>3. Sustainable Development Goal 4: Quality Education</w:t>
      </w:r>
      <w:bookmarkEnd w:id="4"/>
      <w:r w:rsidRPr="00246FBE">
        <w:rPr>
          <w:rFonts w:cs="Arial"/>
          <w:szCs w:val="28"/>
        </w:rPr>
        <w:t xml:space="preserve"> </w:t>
      </w:r>
    </w:p>
    <w:p w14:paraId="4D69BAAB" w14:textId="77777777" w:rsidR="00C16615"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Sustainable Development Goal 4 (SDG 4) aims to ‘ensure inclusive and equitable quality education and promote lifelong learning opportunities for all’ (United Nations, 2015). Education is widely recognised as a key social determinant of health, as it influences a range of outcomes including employment, income, health literacy and overall wellbeing (The Lancet Public Health, 2020). A central aspect of SDG 4 is equitable access to education, ensuring that individuals from all backgrounds can participate in and benefit from it. This includes addressing barriers faced by disadvantaged groups, such as those from low-income households, people with disabilities and minority communities (</w:t>
      </w:r>
      <w:r w:rsidRPr="00246FBE">
        <w:rPr>
          <w:color w:val="000000" w:themeColor="text1"/>
        </w:rPr>
        <w:t>Rahma et al., 2025</w:t>
      </w:r>
      <w:r w:rsidRPr="00246FBE">
        <w:rPr>
          <w:rFonts w:ascii="Arial" w:hAnsi="Arial" w:cs="Arial"/>
          <w:color w:val="000000" w:themeColor="text1"/>
          <w:sz w:val="22"/>
          <w:szCs w:val="22"/>
        </w:rPr>
        <w:t>). Another important element is the quality of education, which focuses not only on access but also on meaningful learning outcomes, such as critical thinking, problem-solving and life skills (</w:t>
      </w:r>
      <w:r w:rsidRPr="00246FBE">
        <w:rPr>
          <w:color w:val="000000" w:themeColor="text1"/>
        </w:rPr>
        <w:t>Wei et al., 2026</w:t>
      </w:r>
      <w:r w:rsidRPr="00246FBE">
        <w:rPr>
          <w:rFonts w:ascii="Arial" w:hAnsi="Arial" w:cs="Arial"/>
          <w:color w:val="000000" w:themeColor="text1"/>
          <w:sz w:val="22"/>
          <w:szCs w:val="22"/>
        </w:rPr>
        <w:t xml:space="preserve">). Education has a significant impact on health and wellbeing. Higher levels of education are associated with healthier behaviours, including lower smoking rates, improved diet and increased physical activity (Davies, 2019). Education also improves health literacy, enabling individuals to understand health information, access healthcare services and make </w:t>
      </w:r>
      <w:r w:rsidRPr="00246FBE">
        <w:rPr>
          <w:rFonts w:ascii="Arial" w:hAnsi="Arial" w:cs="Arial"/>
          <w:color w:val="000000" w:themeColor="text1"/>
          <w:sz w:val="22"/>
          <w:szCs w:val="22"/>
        </w:rPr>
        <w:lastRenderedPageBreak/>
        <w:t>informed decisions about their wellbeing (Belcastro and Ramsaroop</w:t>
      </w:r>
      <w:r w:rsidRPr="00246FBE">
        <w:rPr>
          <w:rFonts w:ascii="Cambria Math" w:hAnsi="Cambria Math" w:cs="Cambria Math"/>
          <w:color w:val="000000" w:themeColor="text1"/>
          <w:sz w:val="22"/>
          <w:szCs w:val="22"/>
        </w:rPr>
        <w:t>‐</w:t>
      </w:r>
      <w:r w:rsidRPr="00246FBE">
        <w:rPr>
          <w:rFonts w:ascii="Arial" w:hAnsi="Arial" w:cs="Arial"/>
          <w:color w:val="000000" w:themeColor="text1"/>
          <w:sz w:val="22"/>
          <w:szCs w:val="22"/>
        </w:rPr>
        <w:t>Hansen, 2017). In addition, education is closely linked to employment and income. Individuals with higher levels of education are more likely to gain stable employment, which can reduce financial stress and improve living conditions (Bae and Kim, 2023). Furthermore, education promotes social inclusion and empowerment, both of which are important for mental wellbeing (Calcutt, 2025). However, there are still challenges in achieving SDG 4. Educational inequalities continue to exist, particularly in disadvantaged communities where access to resources and support may be limited (</w:t>
      </w:r>
      <w:r w:rsidRPr="00246FBE">
        <w:rPr>
          <w:color w:val="000000" w:themeColor="text1"/>
        </w:rPr>
        <w:t>Porter, 2024)</w:t>
      </w:r>
      <w:r w:rsidRPr="00246FBE">
        <w:rPr>
          <w:rFonts w:ascii="Arial" w:hAnsi="Arial" w:cs="Arial"/>
          <w:color w:val="000000" w:themeColor="text1"/>
          <w:sz w:val="22"/>
          <w:szCs w:val="22"/>
        </w:rPr>
        <w:t xml:space="preserve">. </w:t>
      </w:r>
    </w:p>
    <w:p w14:paraId="35D39DED" w14:textId="574D595A"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The COVID-19 pandemic further highlighted these inequalities through the digital divide, as many students lacked access to technology and reliable internet, which negatively affected their learning. It is also important to recognise that education alone cannot fully address health inequalities. Wider social and economic factors, such as poverty and housing conditions, continue to influence health outcomes. Therefore, while SDG 4 plays an important role in improving health and wellbeing, its impact is limited without broader structural changes (Kim, 2022). </w:t>
      </w:r>
      <w:r w:rsidR="00C16615">
        <w:rPr>
          <w:rFonts w:ascii="Arial" w:hAnsi="Arial" w:cs="Arial"/>
          <w:color w:val="000000" w:themeColor="text1"/>
          <w:sz w:val="22"/>
          <w:szCs w:val="22"/>
        </w:rPr>
        <w:t xml:space="preserve"> </w:t>
      </w:r>
      <w:r w:rsidRPr="00246FBE">
        <w:rPr>
          <w:rFonts w:ascii="Arial" w:hAnsi="Arial" w:cs="Arial"/>
          <w:color w:val="000000" w:themeColor="text1"/>
          <w:sz w:val="22"/>
          <w:szCs w:val="22"/>
        </w:rPr>
        <w:t>Overall, SDG 4 plays a crucial role in shaping health and wellbeing by addressing key social determinants. Its effectiveness depends on ensuring inclusive, equitable and high-quality education systems that support both academic success and overall wellbeing.</w:t>
      </w:r>
    </w:p>
    <w:p w14:paraId="125E5F26" w14:textId="77777777" w:rsidR="00120492" w:rsidRPr="00246FBE" w:rsidRDefault="00120492" w:rsidP="00246FBE">
      <w:pPr>
        <w:pStyle w:val="Heading1"/>
        <w:rPr>
          <w:b/>
          <w:bCs/>
        </w:rPr>
      </w:pPr>
      <w:bookmarkStart w:id="5" w:name="_Toc226727769"/>
      <w:r w:rsidRPr="00246FBE">
        <w:rPr>
          <w:b/>
          <w:bCs/>
        </w:rPr>
        <w:t>4. National Wellbeing Initiatives</w:t>
      </w:r>
      <w:bookmarkEnd w:id="5"/>
      <w:r w:rsidRPr="00246FBE">
        <w:rPr>
          <w:b/>
          <w:bCs/>
        </w:rPr>
        <w:t xml:space="preserve"> </w:t>
      </w:r>
    </w:p>
    <w:p w14:paraId="4974E44F" w14:textId="77777777" w:rsidR="00120492" w:rsidRPr="00246FBE" w:rsidRDefault="00120492" w:rsidP="00120492">
      <w:pPr>
        <w:pStyle w:val="Heading2"/>
        <w:rPr>
          <w:rFonts w:cs="Arial"/>
          <w:szCs w:val="24"/>
        </w:rPr>
      </w:pPr>
      <w:bookmarkStart w:id="6" w:name="_Toc226727770"/>
      <w:r w:rsidRPr="00246FBE">
        <w:rPr>
          <w:rFonts w:cs="Arial"/>
          <w:szCs w:val="24"/>
        </w:rPr>
        <w:t>Fit for the Future: 10 Year Health Plan for England (2025)</w:t>
      </w:r>
      <w:bookmarkEnd w:id="6"/>
    </w:p>
    <w:p w14:paraId="33402933" w14:textId="559836CF" w:rsidR="00120492" w:rsidRPr="00246FBE" w:rsidRDefault="00120492" w:rsidP="00A34AAA">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A key national initiative is the UK government’s Fit for the Future: 10 Year Health Plan for England (2025), which represents a strategic shift towards a more preventative and integrated healthcare system. The plan is structured around three central transformations: delivering care closer to communities, accelerating digital innovation, and prioritising prevention (Department of Health and Social Care, 2025).</w:t>
      </w:r>
      <w:r w:rsidR="00A34AAA">
        <w:rPr>
          <w:rFonts w:ascii="Arial" w:hAnsi="Arial" w:cs="Arial"/>
          <w:color w:val="000000" w:themeColor="text1"/>
          <w:sz w:val="22"/>
          <w:szCs w:val="22"/>
        </w:rPr>
        <w:t xml:space="preserve"> </w:t>
      </w:r>
      <w:r w:rsidRPr="00246FBE">
        <w:rPr>
          <w:rFonts w:ascii="Arial" w:hAnsi="Arial" w:cs="Arial"/>
          <w:color w:val="000000" w:themeColor="text1"/>
          <w:sz w:val="22"/>
          <w:szCs w:val="22"/>
        </w:rPr>
        <w:t xml:space="preserve">The emphasis on community-based care aims to improve accessibility and reduce pressure on hospital services. By shifting care into local settings, the plan seeks to provide more personalised and coordinated services, particularly for individuals with long-term conditions (Reed et al., 2025). The focus on digital transformation, including the use of data and technology, has the potential to enhance efficiency, improve patient outcomes and support integrated care delivery. The prioritisation of preventative healthcare aligns with SDG 3 by addressing health issues before they escalate. This approach recognises the importance of tackling risk factors such as poor diet, physical inactivity and smoking (Ferrando et al., 2025). However, the effectiveness of this strategy depends on addressing wider social determinants of health. Despite its strengths, the plan faces several challenges. Workforce shortages, funding </w:t>
      </w:r>
      <w:r w:rsidRPr="00246FBE">
        <w:rPr>
          <w:rFonts w:ascii="Arial" w:hAnsi="Arial" w:cs="Arial"/>
          <w:color w:val="000000" w:themeColor="text1"/>
          <w:sz w:val="22"/>
          <w:szCs w:val="22"/>
        </w:rPr>
        <w:lastRenderedPageBreak/>
        <w:t>constraints and regional inequalities may limit its implementation. While the plan acknowledges the importance of social determinants, there is limited detail on how structural inequalities will be addressed in practice (</w:t>
      </w:r>
      <w:r w:rsidR="00246FBE">
        <w:rPr>
          <w:rFonts w:ascii="Arial" w:hAnsi="Arial" w:cs="Arial"/>
          <w:color w:val="000000" w:themeColor="text1"/>
          <w:sz w:val="22"/>
          <w:szCs w:val="22"/>
        </w:rPr>
        <w:t>Arnold et al., 2025</w:t>
      </w:r>
      <w:r w:rsidRPr="00246FBE">
        <w:rPr>
          <w:rFonts w:ascii="Arial" w:hAnsi="Arial" w:cs="Arial"/>
          <w:color w:val="000000" w:themeColor="text1"/>
          <w:sz w:val="22"/>
          <w:szCs w:val="22"/>
        </w:rPr>
        <w:t>).</w:t>
      </w:r>
    </w:p>
    <w:p w14:paraId="3F796A43" w14:textId="77777777" w:rsidR="00120492" w:rsidRPr="00246FBE" w:rsidRDefault="00120492" w:rsidP="00246FBE">
      <w:pPr>
        <w:pStyle w:val="Heading2"/>
      </w:pPr>
      <w:bookmarkStart w:id="7" w:name="_Toc226727771"/>
      <w:r w:rsidRPr="00246FBE">
        <w:t>Better Health Campaign</w:t>
      </w:r>
      <w:bookmarkEnd w:id="7"/>
    </w:p>
    <w:p w14:paraId="2FEE52EC" w14:textId="4D2B7FCB"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A second initiative is the Better Health Campaign, which promotes healthier lifestyles through public health messaging (GOV.UK, 2022). While effective in raising awareness, it has been criticised for focusing on individual behaviour change rather than addressing structural factors such as poverty and food environments.</w:t>
      </w:r>
      <w:r w:rsidR="00246FBE">
        <w:rPr>
          <w:rFonts w:ascii="Arial" w:hAnsi="Arial" w:cs="Arial"/>
          <w:color w:val="000000" w:themeColor="text1"/>
          <w:sz w:val="22"/>
          <w:szCs w:val="22"/>
        </w:rPr>
        <w:t xml:space="preserve"> </w:t>
      </w:r>
      <w:r w:rsidR="00246FBE" w:rsidRPr="00246FBE">
        <w:rPr>
          <w:rFonts w:ascii="Arial" w:hAnsi="Arial" w:cs="Arial"/>
          <w:color w:val="000000" w:themeColor="text1"/>
          <w:sz w:val="22"/>
          <w:szCs w:val="22"/>
        </w:rPr>
        <w:t>This limits its effectiveness, as individuals may not have equal access to the resources needed to make healthier choices</w:t>
      </w:r>
      <w:r w:rsidR="00246FBE">
        <w:rPr>
          <w:rFonts w:ascii="Arial" w:hAnsi="Arial" w:cs="Arial"/>
          <w:color w:val="000000" w:themeColor="text1"/>
          <w:sz w:val="22"/>
          <w:szCs w:val="22"/>
        </w:rPr>
        <w:t xml:space="preserve"> (</w:t>
      </w:r>
      <w:r w:rsidR="00246FBE" w:rsidRPr="00246FBE">
        <w:rPr>
          <w:rFonts w:ascii="Arial" w:hAnsi="Arial" w:cs="Arial"/>
          <w:color w:val="000000" w:themeColor="text1"/>
          <w:sz w:val="22"/>
          <w:szCs w:val="22"/>
        </w:rPr>
        <w:t>Tyler and Campbell</w:t>
      </w:r>
      <w:r w:rsidR="00246FBE">
        <w:rPr>
          <w:rFonts w:ascii="Arial" w:hAnsi="Arial" w:cs="Arial"/>
          <w:color w:val="000000" w:themeColor="text1"/>
          <w:sz w:val="22"/>
          <w:szCs w:val="22"/>
        </w:rPr>
        <w:t xml:space="preserve">, 2024). </w:t>
      </w:r>
      <w:r w:rsidR="00246FBE" w:rsidRPr="00246FBE">
        <w:rPr>
          <w:rFonts w:ascii="Arial" w:hAnsi="Arial" w:cs="Arial"/>
          <w:color w:val="000000" w:themeColor="text1"/>
          <w:sz w:val="22"/>
          <w:szCs w:val="22"/>
        </w:rPr>
        <w:t>In addition, the campaign has indirect links to SDG 4 (Quality Education), as improving health literacy and awareness relies on individuals having the knowledge and understanding to make informed decisions about their health. However, without addressing inequalities in education and access to information, the impact of such campaigns may remain uneven across different population groups.</w:t>
      </w:r>
      <w:r w:rsidR="00246FBE">
        <w:rPr>
          <w:rFonts w:ascii="Arial" w:hAnsi="Arial" w:cs="Arial"/>
          <w:color w:val="000000" w:themeColor="text1"/>
          <w:sz w:val="22"/>
          <w:szCs w:val="22"/>
        </w:rPr>
        <w:t xml:space="preserve"> </w:t>
      </w:r>
    </w:p>
    <w:p w14:paraId="64F0059E" w14:textId="77777777" w:rsidR="00120492" w:rsidRPr="00246FBE" w:rsidRDefault="00120492" w:rsidP="00246FBE">
      <w:pPr>
        <w:pStyle w:val="Heading2"/>
      </w:pPr>
      <w:bookmarkStart w:id="8" w:name="_Toc226727772"/>
      <w:r w:rsidRPr="00246FBE">
        <w:t>Recommendations</w:t>
      </w:r>
      <w:bookmarkEnd w:id="8"/>
    </w:p>
    <w:p w14:paraId="67146F17" w14:textId="5D416698"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To improve the effectiveness of national wellbeing initiatives, it is important to increase investment in the healthcare workforce and infrastructure to ensure long-term sustainability and high-quality services. In addition, stronger collaboration between health, education and social care services is needed to provide more coordinated, holistic support for individuals and communities</w:t>
      </w:r>
      <w:r w:rsidR="00246FBE">
        <w:rPr>
          <w:rFonts w:ascii="Arial" w:hAnsi="Arial" w:cs="Arial"/>
          <w:color w:val="000000" w:themeColor="text1"/>
          <w:sz w:val="22"/>
          <w:szCs w:val="22"/>
        </w:rPr>
        <w:t xml:space="preserve"> (NHS England, 2025)</w:t>
      </w:r>
      <w:r w:rsidRPr="00246FBE">
        <w:rPr>
          <w:rFonts w:ascii="Arial" w:hAnsi="Arial" w:cs="Arial"/>
          <w:color w:val="000000" w:themeColor="text1"/>
          <w:sz w:val="22"/>
          <w:szCs w:val="22"/>
        </w:rPr>
        <w:t>. Finally, greater emphasis should be placed on addressing wider social determinants of health, such as poverty, housing and living conditions, alongside behavioural interventions</w:t>
      </w:r>
      <w:r w:rsidR="00246FBE">
        <w:rPr>
          <w:rFonts w:ascii="Arial" w:hAnsi="Arial" w:cs="Arial"/>
          <w:color w:val="000000" w:themeColor="text1"/>
          <w:sz w:val="22"/>
          <w:szCs w:val="22"/>
        </w:rPr>
        <w:t xml:space="preserve"> (</w:t>
      </w:r>
      <w:r w:rsidR="00246FBE" w:rsidRPr="00FD5655">
        <w:rPr>
          <w:rFonts w:ascii="Arial" w:hAnsi="Arial" w:cs="Arial"/>
          <w:sz w:val="22"/>
          <w:szCs w:val="22"/>
        </w:rPr>
        <w:t>Institute of Health Equity</w:t>
      </w:r>
      <w:r w:rsidR="00246FBE">
        <w:rPr>
          <w:rFonts w:ascii="Arial" w:hAnsi="Arial" w:cs="Arial"/>
          <w:sz w:val="22"/>
          <w:szCs w:val="22"/>
        </w:rPr>
        <w:t xml:space="preserve">, </w:t>
      </w:r>
      <w:r w:rsidR="00246FBE" w:rsidRPr="00FD5655">
        <w:rPr>
          <w:rFonts w:ascii="Arial" w:hAnsi="Arial" w:cs="Arial"/>
          <w:sz w:val="22"/>
          <w:szCs w:val="22"/>
        </w:rPr>
        <w:t>2020)</w:t>
      </w:r>
      <w:r w:rsidRPr="00246FBE">
        <w:rPr>
          <w:rFonts w:ascii="Arial" w:hAnsi="Arial" w:cs="Arial"/>
          <w:color w:val="000000" w:themeColor="text1"/>
          <w:sz w:val="22"/>
          <w:szCs w:val="22"/>
        </w:rPr>
        <w:t>. This would support a more comprehensive approach to improving health outcomes and reducing inequalities.</w:t>
      </w:r>
    </w:p>
    <w:p w14:paraId="15F6A664" w14:textId="77777777" w:rsidR="00120492" w:rsidRPr="00246FBE" w:rsidRDefault="00120492" w:rsidP="00120492">
      <w:pPr>
        <w:pStyle w:val="Heading1"/>
      </w:pPr>
      <w:bookmarkStart w:id="9" w:name="_Toc226727773"/>
      <w:r w:rsidRPr="00246FBE">
        <w:rPr>
          <w:b/>
        </w:rPr>
        <w:t>5. Local Wellbeing Initiatives: Tower Hamlets</w:t>
      </w:r>
      <w:bookmarkEnd w:id="9"/>
      <w:r w:rsidRPr="00246FBE">
        <w:t xml:space="preserve"> </w:t>
      </w:r>
    </w:p>
    <w:p w14:paraId="325A066C" w14:textId="2B47D6CA"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At the local level, Tower Hamlets provides a strong example of integrated wellbeing initiatives aimed at addressing health inequalities</w:t>
      </w:r>
      <w:r w:rsidR="00246FBE">
        <w:rPr>
          <w:rFonts w:ascii="Arial" w:hAnsi="Arial" w:cs="Arial"/>
          <w:color w:val="000000" w:themeColor="text1"/>
          <w:sz w:val="22"/>
          <w:szCs w:val="22"/>
        </w:rPr>
        <w:t xml:space="preserve"> in line with SDG3.</w:t>
      </w:r>
    </w:p>
    <w:p w14:paraId="42B52AA3" w14:textId="77777777" w:rsidR="00120492" w:rsidRPr="00246FBE" w:rsidRDefault="00120492" w:rsidP="00120492">
      <w:pPr>
        <w:pStyle w:val="Heading2"/>
      </w:pPr>
      <w:bookmarkStart w:id="10" w:name="_Toc226727774"/>
      <w:r w:rsidRPr="00246FBE">
        <w:t>The Communities Keeping Well</w:t>
      </w:r>
      <w:bookmarkEnd w:id="10"/>
      <w:r w:rsidRPr="00246FBE">
        <w:t xml:space="preserve"> </w:t>
      </w:r>
    </w:p>
    <w:p w14:paraId="3B317B0B" w14:textId="1B96C65B"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The Communities Keeping Well programme focuses on improving mental health and wellbeing through community-based support, including social prescribing and peer-led activities (Tower Hamlets Together, 2024). This initiative aligns with SDG 3 by promoting preventative and holistic approaches to health, particularly in addressing social isolation and mental health. </w:t>
      </w:r>
      <w:r w:rsidR="00A34AAA" w:rsidRPr="00A34AAA">
        <w:rPr>
          <w:rFonts w:ascii="Arial" w:hAnsi="Arial" w:cs="Arial"/>
          <w:color w:val="000000" w:themeColor="text1"/>
          <w:sz w:val="22"/>
          <w:szCs w:val="22"/>
        </w:rPr>
        <w:t xml:space="preserve">For example, individuals experiencing loneliness or mild anxiety may be referred by healthcare professionals to community activities such as group exercise </w:t>
      </w:r>
      <w:r w:rsidR="00A34AAA" w:rsidRPr="00A34AAA">
        <w:rPr>
          <w:rFonts w:ascii="Arial" w:hAnsi="Arial" w:cs="Arial"/>
          <w:color w:val="000000" w:themeColor="text1"/>
          <w:sz w:val="22"/>
          <w:szCs w:val="22"/>
        </w:rPr>
        <w:lastRenderedPageBreak/>
        <w:t>sessions, art workshops or local support groups, which help build social connections and improve wellbeing.</w:t>
      </w:r>
      <w:r w:rsidR="00A34AAA">
        <w:rPr>
          <w:rFonts w:ascii="Arial" w:hAnsi="Arial" w:cs="Arial"/>
          <w:color w:val="000000" w:themeColor="text1"/>
          <w:sz w:val="22"/>
          <w:szCs w:val="22"/>
        </w:rPr>
        <w:t xml:space="preserve"> </w:t>
      </w:r>
      <w:r w:rsidRPr="00246FBE">
        <w:rPr>
          <w:rFonts w:ascii="Arial" w:hAnsi="Arial" w:cs="Arial"/>
          <w:color w:val="000000" w:themeColor="text1"/>
          <w:sz w:val="22"/>
          <w:szCs w:val="22"/>
        </w:rPr>
        <w:t>Its strength lies in its culturally responsive and community-led approach, which enhances accessibility in a diverse borough. However, its effectiveness may be limited by funding constraints and variability in service provision.</w:t>
      </w:r>
    </w:p>
    <w:p w14:paraId="744A27F0" w14:textId="77777777" w:rsidR="00120492" w:rsidRPr="00246FBE" w:rsidRDefault="00120492" w:rsidP="00120492">
      <w:pPr>
        <w:pStyle w:val="Heading2"/>
      </w:pPr>
      <w:bookmarkStart w:id="11" w:name="_Toc226727775"/>
      <w:r w:rsidRPr="00246FBE">
        <w:t>The Early Help Strategy 2025–2028</w:t>
      </w:r>
      <w:bookmarkEnd w:id="11"/>
      <w:r w:rsidRPr="00246FBE">
        <w:t xml:space="preserve"> </w:t>
      </w:r>
    </w:p>
    <w:p w14:paraId="5BEB2550" w14:textId="3CE8807E"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The Early Help Strategy 2025–2028 focuses on early intervention for children and families, with a particular emphasis on the first 1001 days of life, recognising the importance of early childhood development (Tower Hamlets Council, 2025). The strategy includes integrated Family Hubs that provide a range of services, such as mental health support, parenting programmes and housing advice. </w:t>
      </w:r>
      <w:r w:rsidR="00A34AAA" w:rsidRPr="00A34AAA">
        <w:rPr>
          <w:rFonts w:ascii="Arial" w:hAnsi="Arial" w:cs="Arial"/>
          <w:color w:val="000000" w:themeColor="text1"/>
          <w:sz w:val="22"/>
          <w:szCs w:val="22"/>
        </w:rPr>
        <w:t>For example, new parents may receive support through parenting workshops that offer guidance on child development, nutrition and emotional bonding, while families experiencing financial or housing difficulties can access advice services to improve their living conditions. In addition, children showing early signs of developmental delay may be referred to specialist support services through these hubs, helping to address issues at an early stage.</w:t>
      </w:r>
      <w:r w:rsidR="00A34AAA">
        <w:rPr>
          <w:rFonts w:ascii="Arial" w:hAnsi="Arial" w:cs="Arial"/>
          <w:color w:val="000000" w:themeColor="text1"/>
          <w:sz w:val="22"/>
          <w:szCs w:val="22"/>
        </w:rPr>
        <w:t xml:space="preserve"> </w:t>
      </w:r>
      <w:r w:rsidRPr="00246FBE">
        <w:rPr>
          <w:rFonts w:ascii="Arial" w:hAnsi="Arial" w:cs="Arial"/>
          <w:color w:val="000000" w:themeColor="text1"/>
          <w:sz w:val="22"/>
          <w:szCs w:val="22"/>
        </w:rPr>
        <w:t>This initiative demonstrates a strong commitment to preventative and holistic support, aligning with both SDG 3 and SDG 4 by addressing health and wider social determinants such as education and family wellbeing. However, challenges remain in relation to workforce capacity and the ability to address broader structural issues, including poverty and housing inequality.</w:t>
      </w:r>
    </w:p>
    <w:p w14:paraId="670342F4" w14:textId="77777777" w:rsidR="00120492" w:rsidRPr="00246FBE" w:rsidRDefault="00120492" w:rsidP="00120492">
      <w:pPr>
        <w:pStyle w:val="Heading2"/>
      </w:pPr>
      <w:bookmarkStart w:id="12" w:name="_Toc226727776"/>
      <w:r w:rsidRPr="00246FBE">
        <w:t>Recommendations</w:t>
      </w:r>
      <w:bookmarkEnd w:id="12"/>
    </w:p>
    <w:p w14:paraId="032C8321" w14:textId="2BE02920"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To improve the effectiveness of local wellbeing initiatives, it is important to ensure sustainable funding to maintain and expand community-based services. In addition, strengthening multi-agency collaboration between health, social care and community organisations can support more coordinated and effective service delivery</w:t>
      </w:r>
      <w:r w:rsidR="00A34AAA">
        <w:rPr>
          <w:rFonts w:ascii="Arial" w:hAnsi="Arial" w:cs="Arial"/>
          <w:color w:val="000000" w:themeColor="text1"/>
          <w:sz w:val="22"/>
          <w:szCs w:val="22"/>
        </w:rPr>
        <w:t xml:space="preserve"> (NHS England, 2025)</w:t>
      </w:r>
      <w:r w:rsidRPr="00246FBE">
        <w:rPr>
          <w:rFonts w:ascii="Arial" w:hAnsi="Arial" w:cs="Arial"/>
          <w:color w:val="000000" w:themeColor="text1"/>
          <w:sz w:val="22"/>
          <w:szCs w:val="22"/>
        </w:rPr>
        <w:t xml:space="preserve">. Finally, greater focus should be placed on addressing </w:t>
      </w:r>
      <w:r w:rsidR="00A34AAA">
        <w:rPr>
          <w:rFonts w:ascii="Arial" w:hAnsi="Arial" w:cs="Arial"/>
          <w:color w:val="000000" w:themeColor="text1"/>
          <w:sz w:val="22"/>
          <w:szCs w:val="22"/>
        </w:rPr>
        <w:t>broa</w:t>
      </w:r>
      <w:r w:rsidRPr="00246FBE">
        <w:rPr>
          <w:rFonts w:ascii="Arial" w:hAnsi="Arial" w:cs="Arial"/>
          <w:color w:val="000000" w:themeColor="text1"/>
          <w:sz w:val="22"/>
          <w:szCs w:val="22"/>
        </w:rPr>
        <w:t>der structural determinants, such as poverty and housing conditions, alongside early intervention strategies to achieve long-term improvements in health and wellbeing</w:t>
      </w:r>
      <w:r w:rsidR="00A34AAA">
        <w:rPr>
          <w:rFonts w:ascii="Arial" w:hAnsi="Arial" w:cs="Arial"/>
          <w:color w:val="000000" w:themeColor="text1"/>
          <w:sz w:val="22"/>
          <w:szCs w:val="22"/>
        </w:rPr>
        <w:t xml:space="preserve"> (</w:t>
      </w:r>
      <w:r w:rsidR="00A34AAA" w:rsidRPr="00FD5655">
        <w:rPr>
          <w:rFonts w:ascii="Arial" w:hAnsi="Arial" w:cs="Arial"/>
          <w:sz w:val="22"/>
          <w:szCs w:val="22"/>
        </w:rPr>
        <w:t>Institute of Health Equity</w:t>
      </w:r>
      <w:r w:rsidR="00A34AAA">
        <w:rPr>
          <w:rFonts w:ascii="Arial" w:hAnsi="Arial" w:cs="Arial"/>
          <w:sz w:val="22"/>
          <w:szCs w:val="22"/>
        </w:rPr>
        <w:t xml:space="preserve">, </w:t>
      </w:r>
      <w:r w:rsidR="00A34AAA" w:rsidRPr="00FD5655">
        <w:rPr>
          <w:rFonts w:ascii="Arial" w:hAnsi="Arial" w:cs="Arial"/>
          <w:sz w:val="22"/>
          <w:szCs w:val="22"/>
        </w:rPr>
        <w:t>2020</w:t>
      </w:r>
      <w:r w:rsidR="00A34AAA">
        <w:rPr>
          <w:rFonts w:ascii="Arial" w:hAnsi="Arial" w:cs="Arial"/>
          <w:color w:val="000000" w:themeColor="text1"/>
          <w:sz w:val="22"/>
          <w:szCs w:val="22"/>
        </w:rPr>
        <w:t xml:space="preserve">). </w:t>
      </w:r>
    </w:p>
    <w:p w14:paraId="27226DBC" w14:textId="51966C1E" w:rsidR="00120492" w:rsidRPr="00A34AAA" w:rsidRDefault="00120492" w:rsidP="00A34AAA">
      <w:pPr>
        <w:pStyle w:val="Heading1"/>
        <w:rPr>
          <w:b/>
          <w:bCs/>
        </w:rPr>
      </w:pPr>
      <w:bookmarkStart w:id="13" w:name="_Toc226727777"/>
      <w:r w:rsidRPr="00246FBE">
        <w:rPr>
          <w:b/>
          <w:bCs/>
        </w:rPr>
        <w:t>6. Conclusion</w:t>
      </w:r>
      <w:bookmarkEnd w:id="13"/>
      <w:r w:rsidRPr="00246FBE">
        <w:rPr>
          <w:b/>
          <w:bCs/>
        </w:rPr>
        <w:t xml:space="preserve"> </w:t>
      </w:r>
    </w:p>
    <w:p w14:paraId="6ED883EF" w14:textId="77777777" w:rsidR="00120492" w:rsidRPr="00246FBE" w:rsidRDefault="00120492" w:rsidP="00120492">
      <w:pPr>
        <w:spacing w:line="360" w:lineRule="auto"/>
        <w:rPr>
          <w:rFonts w:ascii="Arial" w:hAnsi="Arial" w:cs="Arial"/>
          <w:color w:val="000000" w:themeColor="text1"/>
          <w:sz w:val="22"/>
          <w:szCs w:val="22"/>
        </w:rPr>
      </w:pPr>
      <w:r w:rsidRPr="00246FBE">
        <w:rPr>
          <w:rFonts w:ascii="Arial" w:hAnsi="Arial" w:cs="Arial"/>
          <w:color w:val="000000" w:themeColor="text1"/>
          <w:sz w:val="22"/>
          <w:szCs w:val="22"/>
        </w:rPr>
        <w:t xml:space="preserve">This report has critically examined Sustainable Development Goals 3 and 4, highlighting their interconnected role in promoting health and wellbeing. While SDG 3 focuses on healthcare systems and preventative strategies, SDG 4 addresses underlying social determinants through education. National and local initiatives demonstrate progress towards achieving these goals, yet challenges related to inequality, implementation and resource constraints persist. To achieve sustainable improvements in health and wellbeing, a more </w:t>
      </w:r>
      <w:r w:rsidRPr="00246FBE">
        <w:rPr>
          <w:rFonts w:ascii="Arial" w:hAnsi="Arial" w:cs="Arial"/>
          <w:color w:val="000000" w:themeColor="text1"/>
          <w:sz w:val="22"/>
          <w:szCs w:val="22"/>
        </w:rPr>
        <w:lastRenderedPageBreak/>
        <w:t xml:space="preserve">integrated approach is required, combining healthcare, education and social policy. Addressing structural determinants alongside individual interventions will be essential in reducing inequalities and promoting long-term wellbeing. </w:t>
      </w:r>
    </w:p>
    <w:p w14:paraId="45014659" w14:textId="25851BAE" w:rsidR="00120492" w:rsidRDefault="00120492" w:rsidP="00120492">
      <w:pPr>
        <w:spacing w:line="360" w:lineRule="auto"/>
        <w:rPr>
          <w:rFonts w:ascii="Arial" w:hAnsi="Arial" w:cs="Arial"/>
          <w:color w:val="000000" w:themeColor="text1"/>
          <w:sz w:val="22"/>
          <w:szCs w:val="22"/>
        </w:rPr>
      </w:pPr>
    </w:p>
    <w:p w14:paraId="1ECF3087" w14:textId="77777777" w:rsidR="00A34AAA" w:rsidRDefault="00A34AAA" w:rsidP="00120492">
      <w:pPr>
        <w:spacing w:line="360" w:lineRule="auto"/>
        <w:rPr>
          <w:rFonts w:ascii="Arial" w:hAnsi="Arial" w:cs="Arial"/>
          <w:color w:val="000000" w:themeColor="text1"/>
          <w:sz w:val="22"/>
          <w:szCs w:val="22"/>
        </w:rPr>
      </w:pPr>
    </w:p>
    <w:p w14:paraId="51179F85" w14:textId="77777777" w:rsidR="00A34AAA" w:rsidRDefault="00A34AAA" w:rsidP="00120492">
      <w:pPr>
        <w:spacing w:line="360" w:lineRule="auto"/>
        <w:rPr>
          <w:rFonts w:ascii="Arial" w:hAnsi="Arial" w:cs="Arial"/>
          <w:color w:val="000000" w:themeColor="text1"/>
          <w:sz w:val="22"/>
          <w:szCs w:val="22"/>
        </w:rPr>
      </w:pPr>
    </w:p>
    <w:p w14:paraId="7BCBDAF4" w14:textId="77777777" w:rsidR="00A34AAA" w:rsidRDefault="00A34AAA" w:rsidP="00120492">
      <w:pPr>
        <w:spacing w:line="360" w:lineRule="auto"/>
        <w:rPr>
          <w:rFonts w:ascii="Arial" w:hAnsi="Arial" w:cs="Arial"/>
          <w:color w:val="000000" w:themeColor="text1"/>
          <w:sz w:val="22"/>
          <w:szCs w:val="22"/>
        </w:rPr>
      </w:pPr>
    </w:p>
    <w:p w14:paraId="678A9515" w14:textId="77777777" w:rsidR="00A34AAA" w:rsidRDefault="00A34AAA" w:rsidP="00120492">
      <w:pPr>
        <w:spacing w:line="360" w:lineRule="auto"/>
        <w:rPr>
          <w:rFonts w:ascii="Arial" w:hAnsi="Arial" w:cs="Arial"/>
          <w:color w:val="000000" w:themeColor="text1"/>
          <w:sz w:val="22"/>
          <w:szCs w:val="22"/>
        </w:rPr>
      </w:pPr>
    </w:p>
    <w:p w14:paraId="4420BBEE" w14:textId="77777777" w:rsidR="00A34AAA" w:rsidRDefault="00A34AAA" w:rsidP="00120492">
      <w:pPr>
        <w:spacing w:line="360" w:lineRule="auto"/>
        <w:rPr>
          <w:rFonts w:ascii="Arial" w:hAnsi="Arial" w:cs="Arial"/>
          <w:color w:val="000000" w:themeColor="text1"/>
          <w:sz w:val="22"/>
          <w:szCs w:val="22"/>
        </w:rPr>
      </w:pPr>
    </w:p>
    <w:p w14:paraId="15E23339" w14:textId="77777777" w:rsidR="00A34AAA" w:rsidRDefault="00A34AAA" w:rsidP="00120492">
      <w:pPr>
        <w:spacing w:line="360" w:lineRule="auto"/>
        <w:rPr>
          <w:rFonts w:ascii="Arial" w:hAnsi="Arial" w:cs="Arial"/>
          <w:color w:val="000000" w:themeColor="text1"/>
          <w:sz w:val="22"/>
          <w:szCs w:val="22"/>
        </w:rPr>
      </w:pPr>
    </w:p>
    <w:p w14:paraId="788D2BD4" w14:textId="77777777" w:rsidR="00A34AAA" w:rsidRDefault="00A34AAA" w:rsidP="00120492">
      <w:pPr>
        <w:spacing w:line="360" w:lineRule="auto"/>
        <w:rPr>
          <w:rFonts w:ascii="Arial" w:hAnsi="Arial" w:cs="Arial"/>
          <w:color w:val="000000" w:themeColor="text1"/>
          <w:sz w:val="22"/>
          <w:szCs w:val="22"/>
        </w:rPr>
      </w:pPr>
    </w:p>
    <w:p w14:paraId="121124C0" w14:textId="77777777" w:rsidR="00A34AAA" w:rsidRDefault="00A34AAA" w:rsidP="00120492">
      <w:pPr>
        <w:spacing w:line="360" w:lineRule="auto"/>
        <w:rPr>
          <w:rFonts w:ascii="Arial" w:hAnsi="Arial" w:cs="Arial"/>
          <w:color w:val="000000" w:themeColor="text1"/>
          <w:sz w:val="22"/>
          <w:szCs w:val="22"/>
        </w:rPr>
      </w:pPr>
    </w:p>
    <w:p w14:paraId="0235CC69" w14:textId="77777777" w:rsidR="00A34AAA" w:rsidRDefault="00A34AAA" w:rsidP="00120492">
      <w:pPr>
        <w:spacing w:line="360" w:lineRule="auto"/>
        <w:rPr>
          <w:rFonts w:ascii="Arial" w:hAnsi="Arial" w:cs="Arial"/>
          <w:color w:val="000000" w:themeColor="text1"/>
          <w:sz w:val="22"/>
          <w:szCs w:val="22"/>
        </w:rPr>
      </w:pPr>
    </w:p>
    <w:p w14:paraId="638755DF" w14:textId="77777777" w:rsidR="00A34AAA" w:rsidRDefault="00A34AAA" w:rsidP="00120492">
      <w:pPr>
        <w:spacing w:line="360" w:lineRule="auto"/>
        <w:rPr>
          <w:rFonts w:ascii="Arial" w:hAnsi="Arial" w:cs="Arial"/>
          <w:color w:val="000000" w:themeColor="text1"/>
          <w:sz w:val="22"/>
          <w:szCs w:val="22"/>
        </w:rPr>
      </w:pPr>
    </w:p>
    <w:p w14:paraId="51A9AF58" w14:textId="77777777" w:rsidR="00A34AAA" w:rsidRDefault="00A34AAA" w:rsidP="00120492">
      <w:pPr>
        <w:spacing w:line="360" w:lineRule="auto"/>
        <w:rPr>
          <w:rFonts w:ascii="Arial" w:hAnsi="Arial" w:cs="Arial"/>
          <w:color w:val="000000" w:themeColor="text1"/>
          <w:sz w:val="22"/>
          <w:szCs w:val="22"/>
        </w:rPr>
      </w:pPr>
    </w:p>
    <w:p w14:paraId="152A3FB7" w14:textId="77777777" w:rsidR="00A34AAA" w:rsidRDefault="00A34AAA" w:rsidP="00120492">
      <w:pPr>
        <w:spacing w:line="360" w:lineRule="auto"/>
        <w:rPr>
          <w:rFonts w:ascii="Arial" w:hAnsi="Arial" w:cs="Arial"/>
          <w:color w:val="000000" w:themeColor="text1"/>
          <w:sz w:val="22"/>
          <w:szCs w:val="22"/>
        </w:rPr>
      </w:pPr>
    </w:p>
    <w:p w14:paraId="4C423FC0" w14:textId="77777777" w:rsidR="00A34AAA" w:rsidRDefault="00A34AAA" w:rsidP="00120492">
      <w:pPr>
        <w:spacing w:line="360" w:lineRule="auto"/>
        <w:rPr>
          <w:rFonts w:ascii="Arial" w:hAnsi="Arial" w:cs="Arial"/>
          <w:color w:val="000000" w:themeColor="text1"/>
          <w:sz w:val="22"/>
          <w:szCs w:val="22"/>
        </w:rPr>
      </w:pPr>
    </w:p>
    <w:p w14:paraId="540AA546" w14:textId="77777777" w:rsidR="00A34AAA" w:rsidRDefault="00A34AAA" w:rsidP="00120492">
      <w:pPr>
        <w:spacing w:line="360" w:lineRule="auto"/>
        <w:rPr>
          <w:rFonts w:ascii="Arial" w:hAnsi="Arial" w:cs="Arial"/>
          <w:color w:val="000000" w:themeColor="text1"/>
          <w:sz w:val="22"/>
          <w:szCs w:val="22"/>
        </w:rPr>
      </w:pPr>
    </w:p>
    <w:p w14:paraId="0E4B1645" w14:textId="77777777" w:rsidR="00A34AAA" w:rsidRDefault="00A34AAA" w:rsidP="00120492">
      <w:pPr>
        <w:spacing w:line="360" w:lineRule="auto"/>
        <w:rPr>
          <w:rFonts w:ascii="Arial" w:hAnsi="Arial" w:cs="Arial"/>
          <w:color w:val="000000" w:themeColor="text1"/>
          <w:sz w:val="22"/>
          <w:szCs w:val="22"/>
        </w:rPr>
      </w:pPr>
    </w:p>
    <w:p w14:paraId="7819050B" w14:textId="77777777" w:rsidR="00A34AAA" w:rsidRDefault="00A34AAA" w:rsidP="00120492">
      <w:pPr>
        <w:spacing w:line="360" w:lineRule="auto"/>
        <w:rPr>
          <w:rFonts w:ascii="Arial" w:hAnsi="Arial" w:cs="Arial"/>
          <w:color w:val="000000" w:themeColor="text1"/>
          <w:sz w:val="22"/>
          <w:szCs w:val="22"/>
        </w:rPr>
      </w:pPr>
    </w:p>
    <w:p w14:paraId="3BD29525" w14:textId="77777777" w:rsidR="00A34AAA" w:rsidRDefault="00A34AAA" w:rsidP="00120492">
      <w:pPr>
        <w:spacing w:line="360" w:lineRule="auto"/>
        <w:rPr>
          <w:rFonts w:ascii="Arial" w:hAnsi="Arial" w:cs="Arial"/>
          <w:color w:val="000000" w:themeColor="text1"/>
          <w:sz w:val="22"/>
          <w:szCs w:val="22"/>
        </w:rPr>
      </w:pPr>
    </w:p>
    <w:p w14:paraId="0EEAA243" w14:textId="77777777" w:rsidR="00A34AAA" w:rsidRDefault="00A34AAA" w:rsidP="00120492">
      <w:pPr>
        <w:spacing w:line="360" w:lineRule="auto"/>
        <w:rPr>
          <w:rFonts w:ascii="Arial" w:hAnsi="Arial" w:cs="Arial"/>
          <w:color w:val="000000" w:themeColor="text1"/>
          <w:sz w:val="22"/>
          <w:szCs w:val="22"/>
        </w:rPr>
      </w:pPr>
    </w:p>
    <w:p w14:paraId="234FFA98" w14:textId="77777777" w:rsidR="00A34AAA" w:rsidRDefault="00A34AAA" w:rsidP="00120492">
      <w:pPr>
        <w:spacing w:line="360" w:lineRule="auto"/>
        <w:rPr>
          <w:rFonts w:ascii="Arial" w:hAnsi="Arial" w:cs="Arial"/>
          <w:color w:val="000000" w:themeColor="text1"/>
          <w:sz w:val="22"/>
          <w:szCs w:val="22"/>
        </w:rPr>
      </w:pPr>
    </w:p>
    <w:p w14:paraId="4F62E64F" w14:textId="77777777" w:rsidR="00C16615" w:rsidRDefault="00C16615" w:rsidP="00120492">
      <w:pPr>
        <w:pStyle w:val="Heading1"/>
        <w:rPr>
          <w:b/>
        </w:rPr>
      </w:pPr>
      <w:bookmarkStart w:id="14" w:name="_Toc226727778"/>
    </w:p>
    <w:p w14:paraId="113D93D5" w14:textId="77777777" w:rsidR="00C16615" w:rsidRPr="00C16615" w:rsidRDefault="00C16615" w:rsidP="00C16615">
      <w:pPr>
        <w:rPr>
          <w:lang w:eastAsia="en-GB"/>
        </w:rPr>
      </w:pPr>
    </w:p>
    <w:p w14:paraId="5CF48F42" w14:textId="4D36EE5B" w:rsidR="00120492" w:rsidRPr="00246FBE" w:rsidRDefault="00120492" w:rsidP="00120492">
      <w:pPr>
        <w:pStyle w:val="Heading1"/>
        <w:rPr>
          <w:b/>
        </w:rPr>
      </w:pPr>
      <w:r w:rsidRPr="00246FBE">
        <w:rPr>
          <w:b/>
        </w:rPr>
        <w:lastRenderedPageBreak/>
        <w:t>References</w:t>
      </w:r>
      <w:bookmarkEnd w:id="14"/>
      <w:r w:rsidRPr="00246FBE">
        <w:rPr>
          <w:b/>
        </w:rPr>
        <w:t xml:space="preserve"> </w:t>
      </w:r>
    </w:p>
    <w:p w14:paraId="2D28C965" w14:textId="77777777" w:rsidR="00120492" w:rsidRPr="00F545BE" w:rsidRDefault="00120492" w:rsidP="00246FBE">
      <w:pPr>
        <w:spacing w:line="276" w:lineRule="auto"/>
        <w:rPr>
          <w:rFonts w:ascii="Arial" w:hAnsi="Arial" w:cs="Arial"/>
          <w:sz w:val="22"/>
          <w:szCs w:val="22"/>
        </w:rPr>
      </w:pPr>
    </w:p>
    <w:p w14:paraId="1B41A217" w14:textId="70F897D5" w:rsidR="00246FBE" w:rsidRPr="00F545BE" w:rsidRDefault="00246FBE" w:rsidP="00246FBE">
      <w:pPr>
        <w:spacing w:line="276" w:lineRule="auto"/>
        <w:ind w:left="360"/>
        <w:rPr>
          <w:rFonts w:ascii="Arial" w:hAnsi="Arial" w:cs="Arial"/>
          <w:sz w:val="22"/>
          <w:szCs w:val="22"/>
        </w:rPr>
      </w:pPr>
      <w:r w:rsidRPr="00F545BE">
        <w:rPr>
          <w:rFonts w:ascii="Arial" w:hAnsi="Arial" w:cs="Arial"/>
          <w:sz w:val="22"/>
          <w:szCs w:val="22"/>
        </w:rPr>
        <w:t xml:space="preserve">Arnold, S. et al. (2025) </w:t>
      </w:r>
      <w:r w:rsidRPr="00F545BE">
        <w:rPr>
          <w:rFonts w:ascii="Arial" w:hAnsi="Arial" w:cs="Arial"/>
          <w:i/>
          <w:iCs/>
          <w:sz w:val="22"/>
          <w:szCs w:val="22"/>
        </w:rPr>
        <w:t xml:space="preserve">Truly fit for the future? The 10 Year Health Plan explained. </w:t>
      </w:r>
      <w:r w:rsidRPr="00F545BE">
        <w:rPr>
          <w:rFonts w:ascii="Arial" w:hAnsi="Arial" w:cs="Arial"/>
          <w:sz w:val="22"/>
          <w:szCs w:val="22"/>
        </w:rPr>
        <w:t xml:space="preserve">Available at: </w:t>
      </w:r>
      <w:hyperlink r:id="rId7" w:history="1">
        <w:r w:rsidRPr="00F545BE">
          <w:rPr>
            <w:rStyle w:val="Hyperlink"/>
            <w:rFonts w:ascii="Arial" w:hAnsi="Arial" w:cs="Arial"/>
            <w:sz w:val="22"/>
            <w:szCs w:val="22"/>
          </w:rPr>
          <w:t>https://www.kingsfund.org.uk/insight-and-analysis/long-reads/ten-year-health-plan-explained</w:t>
        </w:r>
      </w:hyperlink>
      <w:r w:rsidRPr="00F545BE">
        <w:rPr>
          <w:rFonts w:ascii="Arial" w:hAnsi="Arial" w:cs="Arial"/>
          <w:sz w:val="22"/>
          <w:szCs w:val="22"/>
        </w:rPr>
        <w:t xml:space="preserve"> (Accessed date: 10 April 2026).</w:t>
      </w:r>
    </w:p>
    <w:p w14:paraId="10C2E92F" w14:textId="77777777" w:rsidR="00120492" w:rsidRPr="00F545BE" w:rsidRDefault="00120492" w:rsidP="00246FBE">
      <w:pPr>
        <w:spacing w:line="360" w:lineRule="auto"/>
        <w:ind w:left="360"/>
        <w:rPr>
          <w:rFonts w:ascii="Arial" w:hAnsi="Arial" w:cs="Arial"/>
          <w:sz w:val="22"/>
          <w:szCs w:val="22"/>
        </w:rPr>
      </w:pPr>
      <w:r w:rsidRPr="00F545BE">
        <w:rPr>
          <w:rFonts w:ascii="Arial" w:hAnsi="Arial" w:cs="Arial"/>
          <w:sz w:val="22"/>
          <w:szCs w:val="22"/>
        </w:rPr>
        <w:t xml:space="preserve">Bae, Y. and Kim, T. (2023) ‘The </w:t>
      </w:r>
      <w:proofErr w:type="spellStart"/>
      <w:r w:rsidRPr="00F545BE">
        <w:rPr>
          <w:rFonts w:ascii="Arial" w:hAnsi="Arial" w:cs="Arial"/>
          <w:sz w:val="22"/>
          <w:szCs w:val="22"/>
        </w:rPr>
        <w:t>labor</w:t>
      </w:r>
      <w:proofErr w:type="spellEnd"/>
      <w:r w:rsidRPr="00F545BE">
        <w:rPr>
          <w:rFonts w:ascii="Arial" w:hAnsi="Arial" w:cs="Arial"/>
          <w:sz w:val="22"/>
          <w:szCs w:val="22"/>
        </w:rPr>
        <w:t xml:space="preserve"> market impacts of graduating from university during a recession: evidence and mechanisms’, </w:t>
      </w:r>
      <w:r w:rsidRPr="00F545BE">
        <w:rPr>
          <w:rFonts w:ascii="Arial" w:hAnsi="Arial" w:cs="Arial"/>
          <w:i/>
          <w:iCs/>
          <w:sz w:val="22"/>
          <w:szCs w:val="22"/>
        </w:rPr>
        <w:t>Empirical economics,</w:t>
      </w:r>
      <w:r w:rsidRPr="00F545BE">
        <w:rPr>
          <w:rFonts w:ascii="Arial" w:hAnsi="Arial" w:cs="Arial"/>
          <w:sz w:val="22"/>
          <w:szCs w:val="22"/>
        </w:rPr>
        <w:t xml:space="preserve"> 64(2), pp. 931–958. Available at: </w:t>
      </w:r>
      <w:hyperlink r:id="rId8" w:history="1">
        <w:r w:rsidRPr="00F545BE">
          <w:rPr>
            <w:rStyle w:val="Hyperlink"/>
            <w:rFonts w:ascii="Arial" w:hAnsi="Arial" w:cs="Arial"/>
            <w:sz w:val="22"/>
            <w:szCs w:val="22"/>
          </w:rPr>
          <w:t>https://doi.org/10.1007/s00181-022-02260-2</w:t>
        </w:r>
      </w:hyperlink>
      <w:r w:rsidRPr="00F545BE">
        <w:rPr>
          <w:rFonts w:ascii="Arial" w:hAnsi="Arial" w:cs="Arial"/>
          <w:sz w:val="22"/>
          <w:szCs w:val="22"/>
        </w:rPr>
        <w:t xml:space="preserve">. </w:t>
      </w:r>
    </w:p>
    <w:p w14:paraId="20785A1C" w14:textId="77777777" w:rsidR="00120492" w:rsidRPr="00F545BE" w:rsidRDefault="00120492" w:rsidP="00246FBE">
      <w:pPr>
        <w:spacing w:line="360" w:lineRule="auto"/>
        <w:ind w:left="360"/>
        <w:rPr>
          <w:rFonts w:ascii="Arial" w:hAnsi="Arial" w:cs="Arial"/>
          <w:sz w:val="22"/>
          <w:szCs w:val="22"/>
        </w:rPr>
      </w:pPr>
      <w:r w:rsidRPr="00F545BE">
        <w:rPr>
          <w:rFonts w:ascii="Arial" w:hAnsi="Arial" w:cs="Arial"/>
          <w:sz w:val="22"/>
          <w:szCs w:val="22"/>
        </w:rPr>
        <w:t>Belcastro, P.A. and Ramsaroop</w:t>
      </w:r>
      <w:r w:rsidRPr="00F545BE">
        <w:rPr>
          <w:rFonts w:ascii="Cambria Math" w:hAnsi="Cambria Math" w:cs="Cambria Math"/>
          <w:sz w:val="22"/>
          <w:szCs w:val="22"/>
        </w:rPr>
        <w:t>‐</w:t>
      </w:r>
      <w:r w:rsidRPr="00F545BE">
        <w:rPr>
          <w:rFonts w:ascii="Arial" w:hAnsi="Arial" w:cs="Arial"/>
          <w:sz w:val="22"/>
          <w:szCs w:val="22"/>
        </w:rPr>
        <w:t xml:space="preserve">Hansen, H. (2017) ‘Addressing the Antinomy Between Health Education and Health Literacy in Advancing Personal Health and Public Health Outcomes’, </w:t>
      </w:r>
      <w:r w:rsidRPr="00F545BE">
        <w:rPr>
          <w:rFonts w:ascii="Arial" w:hAnsi="Arial" w:cs="Arial"/>
          <w:i/>
          <w:iCs/>
          <w:sz w:val="22"/>
          <w:szCs w:val="22"/>
        </w:rPr>
        <w:t>The Journal of school health</w:t>
      </w:r>
      <w:r w:rsidRPr="00F545BE">
        <w:rPr>
          <w:rFonts w:ascii="Arial" w:hAnsi="Arial" w:cs="Arial"/>
          <w:sz w:val="22"/>
          <w:szCs w:val="22"/>
        </w:rPr>
        <w:t xml:space="preserve">, 87(12), pp. 968–974. Available at: </w:t>
      </w:r>
      <w:hyperlink r:id="rId9" w:history="1">
        <w:r w:rsidRPr="00F545BE">
          <w:rPr>
            <w:rStyle w:val="Hyperlink"/>
            <w:rFonts w:ascii="Arial" w:hAnsi="Arial" w:cs="Arial"/>
            <w:sz w:val="22"/>
            <w:szCs w:val="22"/>
          </w:rPr>
          <w:t>https://doi.org/10.1111/josh.12570</w:t>
        </w:r>
      </w:hyperlink>
      <w:r w:rsidRPr="00F545BE">
        <w:rPr>
          <w:rFonts w:ascii="Arial" w:hAnsi="Arial" w:cs="Arial"/>
          <w:sz w:val="22"/>
          <w:szCs w:val="22"/>
        </w:rPr>
        <w:t xml:space="preserve">. </w:t>
      </w:r>
    </w:p>
    <w:p w14:paraId="4425BA31" w14:textId="77777777" w:rsidR="00120492" w:rsidRPr="00F545BE" w:rsidRDefault="00120492" w:rsidP="00246FBE">
      <w:pPr>
        <w:spacing w:line="360" w:lineRule="auto"/>
        <w:ind w:left="360"/>
        <w:rPr>
          <w:rFonts w:ascii="Arial" w:hAnsi="Arial" w:cs="Arial"/>
          <w:sz w:val="22"/>
          <w:szCs w:val="22"/>
        </w:rPr>
      </w:pPr>
      <w:r w:rsidRPr="00F545BE">
        <w:rPr>
          <w:rFonts w:ascii="Arial" w:hAnsi="Arial" w:cs="Arial"/>
          <w:sz w:val="22"/>
          <w:szCs w:val="22"/>
        </w:rPr>
        <w:t xml:space="preserve">Calcutt, J. (2025) ‘Mindful inclusion: strategies for holistic wellbeing in schools’, </w:t>
      </w:r>
      <w:r w:rsidRPr="00F545BE">
        <w:rPr>
          <w:rFonts w:ascii="Arial" w:hAnsi="Arial" w:cs="Arial"/>
          <w:i/>
          <w:iCs/>
          <w:sz w:val="22"/>
          <w:szCs w:val="22"/>
        </w:rPr>
        <w:t>Frontiers in education (Lausanne),</w:t>
      </w:r>
      <w:r w:rsidRPr="00F545BE">
        <w:rPr>
          <w:rFonts w:ascii="Arial" w:hAnsi="Arial" w:cs="Arial"/>
          <w:sz w:val="22"/>
          <w:szCs w:val="22"/>
        </w:rPr>
        <w:t xml:space="preserve"> 10. Available at: </w:t>
      </w:r>
      <w:hyperlink r:id="rId10" w:history="1">
        <w:r w:rsidRPr="00F545BE">
          <w:rPr>
            <w:rStyle w:val="Hyperlink"/>
            <w:rFonts w:ascii="Arial" w:hAnsi="Arial" w:cs="Arial"/>
            <w:sz w:val="22"/>
            <w:szCs w:val="22"/>
          </w:rPr>
          <w:t>https://doi.org/10.3389/feduc.2025.1638482</w:t>
        </w:r>
      </w:hyperlink>
      <w:r w:rsidRPr="00F545BE">
        <w:rPr>
          <w:rFonts w:ascii="Arial" w:hAnsi="Arial" w:cs="Arial"/>
          <w:sz w:val="22"/>
          <w:szCs w:val="22"/>
        </w:rPr>
        <w:t xml:space="preserve">. </w:t>
      </w:r>
    </w:p>
    <w:p w14:paraId="7664B15B" w14:textId="77777777" w:rsidR="00120492" w:rsidRPr="00F545BE" w:rsidRDefault="00120492" w:rsidP="00246FBE">
      <w:pPr>
        <w:spacing w:line="360" w:lineRule="auto"/>
        <w:ind w:left="360"/>
        <w:rPr>
          <w:rFonts w:ascii="Arial" w:hAnsi="Arial" w:cs="Arial"/>
          <w:sz w:val="22"/>
          <w:szCs w:val="22"/>
        </w:rPr>
      </w:pPr>
      <w:r w:rsidRPr="00E83A14">
        <w:rPr>
          <w:rFonts w:ascii="Arial" w:hAnsi="Arial" w:cs="Arial"/>
          <w:sz w:val="22"/>
          <w:szCs w:val="22"/>
        </w:rPr>
        <w:t xml:space="preserve">Davies, N.M. et al. </w:t>
      </w:r>
      <w:r w:rsidRPr="00F545BE">
        <w:rPr>
          <w:rFonts w:ascii="Arial" w:hAnsi="Arial" w:cs="Arial"/>
          <w:sz w:val="22"/>
          <w:szCs w:val="22"/>
        </w:rPr>
        <w:t xml:space="preserve">(2019) ‘Multivariable two-sample Mendelian randomization estimates of the effects of intelligence and education on health’, </w:t>
      </w:r>
      <w:proofErr w:type="spellStart"/>
      <w:r w:rsidRPr="00F545BE">
        <w:rPr>
          <w:rFonts w:ascii="Arial" w:hAnsi="Arial" w:cs="Arial"/>
          <w:i/>
          <w:iCs/>
          <w:sz w:val="22"/>
          <w:szCs w:val="22"/>
        </w:rPr>
        <w:t>eLife</w:t>
      </w:r>
      <w:proofErr w:type="spellEnd"/>
      <w:r w:rsidRPr="00F545BE">
        <w:rPr>
          <w:rFonts w:ascii="Arial" w:hAnsi="Arial" w:cs="Arial"/>
          <w:i/>
          <w:iCs/>
          <w:sz w:val="22"/>
          <w:szCs w:val="22"/>
        </w:rPr>
        <w:t>,</w:t>
      </w:r>
      <w:r w:rsidRPr="00F545BE">
        <w:rPr>
          <w:rFonts w:ascii="Arial" w:hAnsi="Arial" w:cs="Arial"/>
          <w:sz w:val="22"/>
          <w:szCs w:val="22"/>
        </w:rPr>
        <w:t xml:space="preserve"> 8. Available at: https://doi.org/10.7554/eLife.43990.</w:t>
      </w:r>
    </w:p>
    <w:p w14:paraId="0FF4DBCF" w14:textId="77777777" w:rsidR="00120492" w:rsidRPr="00F545BE" w:rsidRDefault="00120492" w:rsidP="00246FBE">
      <w:pPr>
        <w:spacing w:line="276" w:lineRule="auto"/>
        <w:ind w:left="360"/>
        <w:rPr>
          <w:rFonts w:ascii="Arial" w:hAnsi="Arial" w:cs="Arial"/>
          <w:sz w:val="22"/>
          <w:szCs w:val="22"/>
        </w:rPr>
      </w:pPr>
      <w:r w:rsidRPr="00E83A14">
        <w:rPr>
          <w:rFonts w:ascii="Arial" w:hAnsi="Arial" w:cs="Arial"/>
          <w:sz w:val="22"/>
          <w:szCs w:val="22"/>
        </w:rPr>
        <w:t xml:space="preserve">Ferrando, M.R. et al. </w:t>
      </w:r>
      <w:r w:rsidRPr="00F545BE">
        <w:rPr>
          <w:rFonts w:ascii="Arial" w:hAnsi="Arial" w:cs="Arial"/>
          <w:sz w:val="22"/>
          <w:szCs w:val="22"/>
        </w:rPr>
        <w:t xml:space="preserve">(2025) ‘Sustainable development goals: a call for future internal medicine’, </w:t>
      </w:r>
      <w:r w:rsidRPr="00F545BE">
        <w:rPr>
          <w:rFonts w:ascii="Arial" w:hAnsi="Arial" w:cs="Arial"/>
          <w:i/>
          <w:iCs/>
          <w:sz w:val="22"/>
          <w:szCs w:val="22"/>
        </w:rPr>
        <w:t>Internal and emergency medicine,</w:t>
      </w:r>
      <w:r w:rsidRPr="00F545BE">
        <w:rPr>
          <w:rFonts w:ascii="Arial" w:hAnsi="Arial" w:cs="Arial"/>
          <w:sz w:val="22"/>
          <w:szCs w:val="22"/>
        </w:rPr>
        <w:t xml:space="preserve"> 20(5), pp. 1329–1338. Available at: </w:t>
      </w:r>
      <w:hyperlink r:id="rId11" w:history="1">
        <w:r w:rsidRPr="00F545BE">
          <w:rPr>
            <w:rStyle w:val="Hyperlink"/>
            <w:rFonts w:ascii="Arial" w:hAnsi="Arial" w:cs="Arial"/>
            <w:sz w:val="22"/>
            <w:szCs w:val="22"/>
          </w:rPr>
          <w:t>https://doi.org/10.1007/s11739-025-03941-3</w:t>
        </w:r>
      </w:hyperlink>
      <w:r w:rsidRPr="00F545BE">
        <w:rPr>
          <w:rFonts w:ascii="Arial" w:hAnsi="Arial" w:cs="Arial"/>
          <w:sz w:val="22"/>
          <w:szCs w:val="22"/>
        </w:rPr>
        <w:t xml:space="preserve">. </w:t>
      </w:r>
    </w:p>
    <w:p w14:paraId="3FA14F51" w14:textId="77777777" w:rsidR="00120492" w:rsidRPr="00F545BE" w:rsidRDefault="00120492" w:rsidP="00246FBE">
      <w:pPr>
        <w:spacing w:line="360" w:lineRule="auto"/>
        <w:ind w:left="360"/>
        <w:rPr>
          <w:rFonts w:ascii="Arial" w:hAnsi="Arial" w:cs="Arial"/>
          <w:sz w:val="22"/>
          <w:szCs w:val="22"/>
        </w:rPr>
      </w:pPr>
      <w:r w:rsidRPr="00F545BE">
        <w:rPr>
          <w:rFonts w:ascii="Arial" w:hAnsi="Arial" w:cs="Arial"/>
          <w:sz w:val="22"/>
          <w:szCs w:val="22"/>
        </w:rPr>
        <w:t xml:space="preserve">Filip, R. et al. (2022) ‘Global Challenges to Public Health Care Systems during the COVID-19 Pandemic: A Review of Pandemic Measures and Problems’, </w:t>
      </w:r>
      <w:r w:rsidRPr="00F545BE">
        <w:rPr>
          <w:rFonts w:ascii="Arial" w:hAnsi="Arial" w:cs="Arial"/>
          <w:i/>
          <w:iCs/>
          <w:sz w:val="22"/>
          <w:szCs w:val="22"/>
        </w:rPr>
        <w:t>Journal of personalized medicine</w:t>
      </w:r>
      <w:r w:rsidRPr="00F545BE">
        <w:rPr>
          <w:rFonts w:ascii="Arial" w:hAnsi="Arial" w:cs="Arial"/>
          <w:sz w:val="22"/>
          <w:szCs w:val="22"/>
        </w:rPr>
        <w:t xml:space="preserve">, 12(8), p. 1295. Available at: </w:t>
      </w:r>
      <w:hyperlink r:id="rId12" w:history="1">
        <w:r w:rsidRPr="00F545BE">
          <w:rPr>
            <w:rStyle w:val="Hyperlink"/>
            <w:rFonts w:ascii="Arial" w:hAnsi="Arial" w:cs="Arial"/>
            <w:sz w:val="22"/>
            <w:szCs w:val="22"/>
          </w:rPr>
          <w:t>https://doi.org/10.3390/jpm12081295</w:t>
        </w:r>
      </w:hyperlink>
      <w:r w:rsidRPr="00F545BE">
        <w:rPr>
          <w:rFonts w:ascii="Arial" w:hAnsi="Arial" w:cs="Arial"/>
          <w:sz w:val="22"/>
          <w:szCs w:val="22"/>
        </w:rPr>
        <w:t xml:space="preserve">. </w:t>
      </w:r>
    </w:p>
    <w:p w14:paraId="2A6CBC54"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GOV.UK (2022) </w:t>
      </w:r>
      <w:r w:rsidRPr="00F545BE">
        <w:rPr>
          <w:rFonts w:ascii="Arial" w:hAnsi="Arial" w:cs="Arial"/>
          <w:i/>
          <w:iCs/>
          <w:sz w:val="22"/>
          <w:szCs w:val="22"/>
        </w:rPr>
        <w:t xml:space="preserve">New campaign launch reveals 6 major health benefits to losing weight. </w:t>
      </w:r>
      <w:r w:rsidRPr="00F545BE">
        <w:rPr>
          <w:rFonts w:ascii="Arial" w:hAnsi="Arial" w:cs="Arial"/>
          <w:sz w:val="22"/>
          <w:szCs w:val="22"/>
        </w:rPr>
        <w:t xml:space="preserve">Available at: </w:t>
      </w:r>
      <w:hyperlink r:id="rId13" w:history="1">
        <w:r w:rsidRPr="00F545BE">
          <w:rPr>
            <w:rStyle w:val="Hyperlink"/>
            <w:rFonts w:ascii="Arial" w:hAnsi="Arial" w:cs="Arial"/>
            <w:sz w:val="22"/>
            <w:szCs w:val="22"/>
          </w:rPr>
          <w:t>https://www.gov.uk/government/news/new-campaign-launch-reveals-six-major-health-benefits-to-losing-weight</w:t>
        </w:r>
      </w:hyperlink>
      <w:r w:rsidRPr="00F545BE">
        <w:rPr>
          <w:rFonts w:ascii="Arial" w:hAnsi="Arial" w:cs="Arial"/>
          <w:sz w:val="22"/>
          <w:szCs w:val="22"/>
        </w:rPr>
        <w:t xml:space="preserve"> (Accessed date: 1 April 2026).</w:t>
      </w:r>
    </w:p>
    <w:p w14:paraId="2881BD8E" w14:textId="77777777" w:rsidR="00120492" w:rsidRPr="00F545BE" w:rsidRDefault="00120492" w:rsidP="00246FBE">
      <w:pPr>
        <w:spacing w:line="276" w:lineRule="auto"/>
        <w:ind w:left="360"/>
        <w:rPr>
          <w:rFonts w:ascii="Arial" w:hAnsi="Arial" w:cs="Arial"/>
          <w:i/>
          <w:iCs/>
          <w:sz w:val="22"/>
          <w:szCs w:val="22"/>
        </w:rPr>
      </w:pPr>
      <w:r w:rsidRPr="00F545BE">
        <w:rPr>
          <w:rFonts w:ascii="Arial" w:hAnsi="Arial" w:cs="Arial"/>
          <w:sz w:val="22"/>
          <w:szCs w:val="22"/>
        </w:rPr>
        <w:t xml:space="preserve">Institute of Health Equity (2020) </w:t>
      </w:r>
      <w:r w:rsidRPr="00F545BE">
        <w:rPr>
          <w:rFonts w:ascii="Arial" w:hAnsi="Arial" w:cs="Arial"/>
          <w:i/>
          <w:iCs/>
          <w:sz w:val="22"/>
          <w:szCs w:val="22"/>
        </w:rPr>
        <w:t xml:space="preserve">Marmot Review 10 Years On. </w:t>
      </w:r>
      <w:r w:rsidRPr="00F545BE">
        <w:rPr>
          <w:rFonts w:ascii="Arial" w:hAnsi="Arial" w:cs="Arial"/>
          <w:sz w:val="22"/>
          <w:szCs w:val="22"/>
        </w:rPr>
        <w:t xml:space="preserve">Available at: </w:t>
      </w:r>
      <w:hyperlink r:id="rId14" w:history="1">
        <w:r w:rsidRPr="00F545BE">
          <w:rPr>
            <w:rStyle w:val="Hyperlink"/>
            <w:rFonts w:ascii="Arial" w:hAnsi="Arial" w:cs="Arial"/>
            <w:sz w:val="22"/>
            <w:szCs w:val="22"/>
          </w:rPr>
          <w:t>https://www.instituteofhealthequity.org/resources-reports/marmot-review-10-years-on</w:t>
        </w:r>
      </w:hyperlink>
      <w:r w:rsidRPr="00F545BE">
        <w:rPr>
          <w:rFonts w:ascii="Arial" w:hAnsi="Arial" w:cs="Arial"/>
          <w:sz w:val="22"/>
          <w:szCs w:val="22"/>
        </w:rPr>
        <w:t xml:space="preserve"> (Accessed date: 7 April 2026).</w:t>
      </w:r>
    </w:p>
    <w:p w14:paraId="1451BEAA" w14:textId="77777777" w:rsidR="00120492" w:rsidRPr="00F545BE" w:rsidRDefault="00120492" w:rsidP="00246FBE">
      <w:pPr>
        <w:spacing w:line="276" w:lineRule="auto"/>
        <w:ind w:left="360"/>
        <w:rPr>
          <w:rFonts w:ascii="Arial" w:hAnsi="Arial" w:cs="Arial"/>
          <w:i/>
          <w:iCs/>
          <w:sz w:val="22"/>
          <w:szCs w:val="22"/>
        </w:rPr>
      </w:pPr>
      <w:r w:rsidRPr="00F545BE">
        <w:rPr>
          <w:rFonts w:ascii="Arial" w:hAnsi="Arial" w:cs="Arial"/>
          <w:sz w:val="22"/>
          <w:szCs w:val="22"/>
        </w:rPr>
        <w:t xml:space="preserve">Kim, E.M. (2022) </w:t>
      </w:r>
      <w:r w:rsidRPr="00F545BE">
        <w:rPr>
          <w:rFonts w:ascii="Arial" w:hAnsi="Arial" w:cs="Arial"/>
          <w:i/>
          <w:iCs/>
          <w:sz w:val="22"/>
          <w:szCs w:val="22"/>
        </w:rPr>
        <w:t>Crisis in education for SDGs: The long-term impact of COVID-19 and the digital transformation.</w:t>
      </w:r>
      <w:r w:rsidRPr="00F545BE">
        <w:rPr>
          <w:rFonts w:ascii="Arial" w:hAnsi="Arial" w:cs="Arial"/>
          <w:sz w:val="22"/>
          <w:szCs w:val="22"/>
        </w:rPr>
        <w:t xml:space="preserve"> Available at: </w:t>
      </w:r>
      <w:hyperlink r:id="rId15" w:history="1">
        <w:r w:rsidRPr="00F545BE">
          <w:rPr>
            <w:rStyle w:val="Hyperlink"/>
            <w:rFonts w:ascii="Arial" w:hAnsi="Arial" w:cs="Arial"/>
            <w:sz w:val="22"/>
            <w:szCs w:val="22"/>
          </w:rPr>
          <w:t>https://desapublications.un.org/un-desa-voice/sdg-blog/september-2022/crisis-education-sdgs-long-term-impact-covid-19-and-digital</w:t>
        </w:r>
      </w:hyperlink>
      <w:r w:rsidRPr="00F545BE">
        <w:rPr>
          <w:rFonts w:ascii="Arial" w:hAnsi="Arial" w:cs="Arial"/>
          <w:sz w:val="22"/>
          <w:szCs w:val="22"/>
        </w:rPr>
        <w:t xml:space="preserve"> (Accessed date: 10 April 2026).</w:t>
      </w:r>
    </w:p>
    <w:p w14:paraId="1F0C3D93"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NHS England (2025) </w:t>
      </w:r>
      <w:r w:rsidRPr="00F545BE">
        <w:rPr>
          <w:rFonts w:ascii="Arial" w:hAnsi="Arial" w:cs="Arial"/>
          <w:i/>
          <w:iCs/>
          <w:sz w:val="22"/>
          <w:szCs w:val="22"/>
        </w:rPr>
        <w:t>Fit for the Future: 10 Year Health Plan for England.</w:t>
      </w:r>
      <w:r w:rsidRPr="00F545BE">
        <w:rPr>
          <w:rFonts w:ascii="Arial" w:hAnsi="Arial" w:cs="Arial"/>
          <w:b/>
          <w:bCs/>
          <w:i/>
          <w:iCs/>
          <w:sz w:val="22"/>
          <w:szCs w:val="22"/>
        </w:rPr>
        <w:t xml:space="preserve"> </w:t>
      </w:r>
      <w:r w:rsidRPr="00F545BE">
        <w:rPr>
          <w:rFonts w:ascii="Arial" w:hAnsi="Arial" w:cs="Arial"/>
          <w:sz w:val="22"/>
          <w:szCs w:val="22"/>
        </w:rPr>
        <w:t xml:space="preserve">Available at: </w:t>
      </w:r>
      <w:hyperlink r:id="rId16" w:history="1">
        <w:r w:rsidRPr="00F545BE">
          <w:rPr>
            <w:rStyle w:val="Hyperlink"/>
            <w:rFonts w:ascii="Arial" w:hAnsi="Arial" w:cs="Arial"/>
            <w:sz w:val="22"/>
            <w:szCs w:val="22"/>
          </w:rPr>
          <w:t>https://www.england.nhs.uk/long-term-plan/</w:t>
        </w:r>
      </w:hyperlink>
      <w:r w:rsidRPr="00F545BE">
        <w:rPr>
          <w:rFonts w:ascii="Arial" w:hAnsi="Arial" w:cs="Arial"/>
          <w:sz w:val="22"/>
          <w:szCs w:val="22"/>
        </w:rPr>
        <w:t xml:space="preserve"> (Accessed date: 7 April 2026).</w:t>
      </w:r>
    </w:p>
    <w:p w14:paraId="33A3049F"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lastRenderedPageBreak/>
        <w:t xml:space="preserve">Porter, C. (2024) ‘Reprioritising inclusion and equity to meet SDG4: Action is needed beyond the education sector – and must begin before school entry’, </w:t>
      </w:r>
      <w:r w:rsidRPr="00F545BE">
        <w:rPr>
          <w:rFonts w:ascii="Arial" w:hAnsi="Arial" w:cs="Arial"/>
          <w:i/>
          <w:iCs/>
          <w:sz w:val="22"/>
          <w:szCs w:val="22"/>
        </w:rPr>
        <w:t>International journal of educational development,</w:t>
      </w:r>
      <w:r w:rsidRPr="00F545BE">
        <w:rPr>
          <w:rFonts w:ascii="Arial" w:hAnsi="Arial" w:cs="Arial"/>
          <w:sz w:val="22"/>
          <w:szCs w:val="22"/>
        </w:rPr>
        <w:t xml:space="preserve"> 104. Available at: </w:t>
      </w:r>
      <w:hyperlink r:id="rId17" w:history="1">
        <w:r w:rsidRPr="00F545BE">
          <w:rPr>
            <w:rStyle w:val="Hyperlink"/>
            <w:rFonts w:ascii="Arial" w:hAnsi="Arial" w:cs="Arial"/>
            <w:sz w:val="22"/>
            <w:szCs w:val="22"/>
          </w:rPr>
          <w:t>https://doi.org/10.1016/j.ijedudev.2023.102963</w:t>
        </w:r>
      </w:hyperlink>
      <w:r w:rsidRPr="00F545BE">
        <w:rPr>
          <w:rFonts w:ascii="Arial" w:hAnsi="Arial" w:cs="Arial"/>
          <w:sz w:val="22"/>
          <w:szCs w:val="22"/>
        </w:rPr>
        <w:t xml:space="preserve">. </w:t>
      </w:r>
    </w:p>
    <w:p w14:paraId="0FF527E6"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Public Health England (2020) </w:t>
      </w:r>
      <w:r w:rsidRPr="00F545BE">
        <w:rPr>
          <w:rFonts w:ascii="Arial" w:hAnsi="Arial" w:cs="Arial"/>
          <w:i/>
          <w:iCs/>
          <w:sz w:val="22"/>
          <w:szCs w:val="22"/>
        </w:rPr>
        <w:t xml:space="preserve">Major new campaign encourages millions to lose weight and cut COVID-19 risk. UK Government. </w:t>
      </w:r>
      <w:r w:rsidRPr="00F545BE">
        <w:rPr>
          <w:rFonts w:ascii="Arial" w:hAnsi="Arial" w:cs="Arial"/>
          <w:sz w:val="22"/>
          <w:szCs w:val="22"/>
        </w:rPr>
        <w:t xml:space="preserve">Available at: </w:t>
      </w:r>
      <w:hyperlink r:id="rId18" w:history="1">
        <w:r w:rsidRPr="00F545BE">
          <w:rPr>
            <w:rStyle w:val="Hyperlink"/>
            <w:rFonts w:ascii="Arial" w:hAnsi="Arial" w:cs="Arial"/>
            <w:sz w:val="22"/>
            <w:szCs w:val="22"/>
          </w:rPr>
          <w:t>https://www.gov.uk/government/news/major-new-campaign-encourages-millions-to-lose-weight-and-cut-covid-19-risk</w:t>
        </w:r>
      </w:hyperlink>
      <w:r w:rsidRPr="00F545BE">
        <w:rPr>
          <w:rFonts w:ascii="Arial" w:hAnsi="Arial" w:cs="Arial"/>
          <w:sz w:val="22"/>
          <w:szCs w:val="22"/>
        </w:rPr>
        <w:t xml:space="preserve">  (Accessed date: 1 April 2026).</w:t>
      </w:r>
    </w:p>
    <w:p w14:paraId="4B0857C1"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Rahma, S.A., Ramadhani, A.L., and Zahra, R.A. (2025) ‘Inclusive Education Management Strategies in the Digital Era: Addressing Challenges and Seizing Opportunities for Equitable Access to SDG 4’</w:t>
      </w:r>
      <w:r w:rsidRPr="00F545BE">
        <w:rPr>
          <w:rFonts w:ascii="Arial" w:hAnsi="Arial" w:cs="Arial"/>
          <w:i/>
          <w:iCs/>
          <w:sz w:val="22"/>
          <w:szCs w:val="22"/>
        </w:rPr>
        <w:t xml:space="preserve">, </w:t>
      </w:r>
      <w:proofErr w:type="spellStart"/>
      <w:r w:rsidRPr="00F545BE">
        <w:rPr>
          <w:rFonts w:ascii="Arial" w:hAnsi="Arial" w:cs="Arial"/>
          <w:i/>
          <w:iCs/>
          <w:sz w:val="22"/>
          <w:szCs w:val="22"/>
        </w:rPr>
        <w:t>Managere</w:t>
      </w:r>
      <w:proofErr w:type="spellEnd"/>
      <w:r w:rsidRPr="00F545BE">
        <w:rPr>
          <w:rFonts w:ascii="Arial" w:hAnsi="Arial" w:cs="Arial"/>
          <w:i/>
          <w:iCs/>
          <w:sz w:val="22"/>
          <w:szCs w:val="22"/>
        </w:rPr>
        <w:t xml:space="preserve"> (Online),</w:t>
      </w:r>
      <w:r w:rsidRPr="00F545BE">
        <w:rPr>
          <w:rFonts w:ascii="Arial" w:hAnsi="Arial" w:cs="Arial"/>
          <w:sz w:val="22"/>
          <w:szCs w:val="22"/>
        </w:rPr>
        <w:t xml:space="preserve"> 7(2), pp. 177–188. Available at: </w:t>
      </w:r>
      <w:hyperlink r:id="rId19" w:history="1">
        <w:r w:rsidRPr="00F545BE">
          <w:rPr>
            <w:rStyle w:val="Hyperlink"/>
            <w:rFonts w:ascii="Arial" w:hAnsi="Arial" w:cs="Arial"/>
            <w:sz w:val="22"/>
            <w:szCs w:val="22"/>
          </w:rPr>
          <w:t>https://doi.org/10.52627/managere.v7i2.672</w:t>
        </w:r>
      </w:hyperlink>
      <w:r w:rsidRPr="00F545BE">
        <w:rPr>
          <w:rFonts w:ascii="Arial" w:hAnsi="Arial" w:cs="Arial"/>
          <w:sz w:val="22"/>
          <w:szCs w:val="22"/>
        </w:rPr>
        <w:t xml:space="preserve">. </w:t>
      </w:r>
    </w:p>
    <w:p w14:paraId="1A1B5F9B"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Reed, S. et al. (2025) </w:t>
      </w:r>
      <w:r w:rsidRPr="00F545BE">
        <w:rPr>
          <w:rFonts w:ascii="Arial" w:hAnsi="Arial" w:cs="Arial"/>
          <w:i/>
          <w:iCs/>
          <w:sz w:val="22"/>
          <w:szCs w:val="22"/>
        </w:rPr>
        <w:t xml:space="preserve">From hospital to community: International lessons on moving care closer to home. </w:t>
      </w:r>
      <w:r w:rsidRPr="00F545BE">
        <w:rPr>
          <w:rFonts w:ascii="Arial" w:hAnsi="Arial" w:cs="Arial"/>
          <w:sz w:val="22"/>
          <w:szCs w:val="22"/>
        </w:rPr>
        <w:t xml:space="preserve">Available at: </w:t>
      </w:r>
      <w:hyperlink r:id="rId20" w:history="1">
        <w:r w:rsidRPr="00F545BE">
          <w:rPr>
            <w:rStyle w:val="Hyperlink"/>
            <w:rFonts w:ascii="Arial" w:hAnsi="Arial" w:cs="Arial"/>
            <w:sz w:val="22"/>
            <w:szCs w:val="22"/>
          </w:rPr>
          <w:t>https://nuffieldtrust.org.uk/sites/default/files/2025-09/Nuffield%20Trust%2%20From%20hospital%20to%20community_WEB.pdf</w:t>
        </w:r>
      </w:hyperlink>
      <w:r w:rsidRPr="00F545BE">
        <w:rPr>
          <w:rFonts w:ascii="Arial" w:hAnsi="Arial" w:cs="Arial"/>
          <w:sz w:val="22"/>
          <w:szCs w:val="22"/>
        </w:rPr>
        <w:t xml:space="preserve"> (Accessed date: 1 April 2026).</w:t>
      </w:r>
    </w:p>
    <w:p w14:paraId="4A22A206" w14:textId="4B0A90FC" w:rsidR="00A34AAA" w:rsidRPr="00F545BE" w:rsidRDefault="00A34AAA" w:rsidP="00A34AAA">
      <w:pPr>
        <w:spacing w:line="276" w:lineRule="auto"/>
        <w:ind w:left="360"/>
        <w:rPr>
          <w:rFonts w:ascii="Arial" w:hAnsi="Arial" w:cs="Arial"/>
          <w:sz w:val="22"/>
          <w:szCs w:val="22"/>
        </w:rPr>
      </w:pPr>
      <w:r w:rsidRPr="00F545BE">
        <w:rPr>
          <w:rFonts w:ascii="Arial" w:hAnsi="Arial" w:cs="Arial"/>
          <w:sz w:val="22"/>
          <w:szCs w:val="22"/>
        </w:rPr>
        <w:t xml:space="preserve">Tower Hamlets Council (2025) </w:t>
      </w:r>
      <w:r w:rsidRPr="00F545BE">
        <w:rPr>
          <w:rFonts w:ascii="Arial" w:hAnsi="Arial" w:cs="Arial"/>
          <w:i/>
          <w:iCs/>
          <w:sz w:val="22"/>
          <w:szCs w:val="22"/>
        </w:rPr>
        <w:t xml:space="preserve">Tower Hamlets Early Help Strategy 2025 – 2028. </w:t>
      </w:r>
      <w:r w:rsidRPr="00F545BE">
        <w:rPr>
          <w:rFonts w:ascii="Arial" w:hAnsi="Arial" w:cs="Arial"/>
          <w:sz w:val="22"/>
          <w:szCs w:val="22"/>
        </w:rPr>
        <w:t xml:space="preserve">Available at: </w:t>
      </w:r>
      <w:hyperlink r:id="rId21" w:history="1">
        <w:r w:rsidRPr="00F545BE">
          <w:rPr>
            <w:rStyle w:val="Hyperlink"/>
            <w:rFonts w:ascii="Arial" w:hAnsi="Arial" w:cs="Arial"/>
            <w:sz w:val="22"/>
            <w:szCs w:val="22"/>
          </w:rPr>
          <w:t>https://www.towerhamlets.gov.uk/Documents/Children-and-families-services/Early_help/TH-Early-Help-Strategy.pdf</w:t>
        </w:r>
      </w:hyperlink>
      <w:r w:rsidRPr="00F545BE">
        <w:rPr>
          <w:rFonts w:ascii="Arial" w:hAnsi="Arial" w:cs="Arial"/>
          <w:sz w:val="22"/>
          <w:szCs w:val="22"/>
        </w:rPr>
        <w:t xml:space="preserve"> (Accessed date: 10 April 2026).</w:t>
      </w:r>
    </w:p>
    <w:p w14:paraId="6BB96EEF" w14:textId="150121C3" w:rsidR="00A34AAA" w:rsidRPr="00F545BE" w:rsidRDefault="00A34AAA" w:rsidP="00A34AAA">
      <w:pPr>
        <w:spacing w:line="276" w:lineRule="auto"/>
        <w:ind w:left="360"/>
        <w:rPr>
          <w:rFonts w:ascii="Arial" w:hAnsi="Arial" w:cs="Arial"/>
          <w:sz w:val="22"/>
          <w:szCs w:val="22"/>
        </w:rPr>
      </w:pPr>
      <w:r w:rsidRPr="00F545BE">
        <w:rPr>
          <w:rFonts w:ascii="Arial" w:hAnsi="Arial" w:cs="Arial"/>
          <w:color w:val="000000" w:themeColor="text1"/>
          <w:sz w:val="22"/>
          <w:szCs w:val="22"/>
        </w:rPr>
        <w:t xml:space="preserve">Tower Hamlets Together (2024) </w:t>
      </w:r>
      <w:r w:rsidRPr="00F545BE">
        <w:rPr>
          <w:rFonts w:ascii="Arial" w:hAnsi="Arial" w:cs="Arial"/>
          <w:i/>
          <w:iCs/>
          <w:color w:val="000000" w:themeColor="text1"/>
          <w:sz w:val="22"/>
          <w:szCs w:val="22"/>
        </w:rPr>
        <w:t xml:space="preserve">Communities Keeping Well. </w:t>
      </w:r>
      <w:r w:rsidRPr="00F545BE">
        <w:rPr>
          <w:rFonts w:ascii="Arial" w:hAnsi="Arial" w:cs="Arial"/>
          <w:sz w:val="22"/>
          <w:szCs w:val="22"/>
        </w:rPr>
        <w:t xml:space="preserve">Available at: </w:t>
      </w:r>
      <w:hyperlink r:id="rId22" w:history="1">
        <w:r w:rsidRPr="00F545BE">
          <w:rPr>
            <w:rStyle w:val="Hyperlink"/>
            <w:rFonts w:ascii="Arial" w:hAnsi="Arial" w:cs="Arial"/>
            <w:sz w:val="22"/>
            <w:szCs w:val="22"/>
          </w:rPr>
          <w:t>https://www.towerhamletstogether.com/our-work/communities-keeping-well</w:t>
        </w:r>
      </w:hyperlink>
      <w:r w:rsidRPr="00F545BE">
        <w:rPr>
          <w:rFonts w:ascii="Arial" w:hAnsi="Arial" w:cs="Arial"/>
          <w:sz w:val="22"/>
          <w:szCs w:val="22"/>
        </w:rPr>
        <w:t xml:space="preserve"> (Accessed date: 10 April 2026).</w:t>
      </w:r>
    </w:p>
    <w:p w14:paraId="7CFCF000" w14:textId="3CEDD5BA" w:rsidR="00246FBE" w:rsidRPr="00F545BE" w:rsidRDefault="00246FBE" w:rsidP="00246FBE">
      <w:pPr>
        <w:spacing w:line="276" w:lineRule="auto"/>
        <w:ind w:left="360"/>
        <w:rPr>
          <w:rFonts w:ascii="Arial" w:hAnsi="Arial" w:cs="Arial"/>
          <w:sz w:val="22"/>
          <w:szCs w:val="22"/>
        </w:rPr>
      </w:pPr>
      <w:r w:rsidRPr="00F545BE">
        <w:rPr>
          <w:rFonts w:ascii="Arial" w:hAnsi="Arial" w:cs="Arial"/>
          <w:color w:val="000000" w:themeColor="text1"/>
          <w:sz w:val="22"/>
          <w:szCs w:val="22"/>
        </w:rPr>
        <w:t xml:space="preserve">Tyler, I. and Campbell, S. (2024) </w:t>
      </w:r>
      <w:r w:rsidRPr="00F545BE">
        <w:rPr>
          <w:rFonts w:ascii="Arial" w:hAnsi="Arial" w:cs="Arial"/>
          <w:i/>
          <w:iCs/>
          <w:color w:val="000000" w:themeColor="text1"/>
          <w:sz w:val="22"/>
          <w:szCs w:val="22"/>
        </w:rPr>
        <w:t xml:space="preserve">Poverty stigma: a glue that holds poverty in place. </w:t>
      </w:r>
      <w:r w:rsidRPr="00F545BE">
        <w:rPr>
          <w:rFonts w:ascii="Arial" w:hAnsi="Arial" w:cs="Arial"/>
          <w:sz w:val="22"/>
          <w:szCs w:val="22"/>
        </w:rPr>
        <w:t xml:space="preserve">Available at: </w:t>
      </w:r>
      <w:hyperlink r:id="rId23" w:history="1">
        <w:r w:rsidRPr="00F545BE">
          <w:rPr>
            <w:rStyle w:val="Hyperlink"/>
            <w:rFonts w:ascii="Arial" w:hAnsi="Arial" w:cs="Arial"/>
            <w:sz w:val="22"/>
            <w:szCs w:val="22"/>
          </w:rPr>
          <w:t>https://www.jrf.org.uk/power-and-participation/poverty-stigma-a-glue-that-holds-poverty-in-place</w:t>
        </w:r>
      </w:hyperlink>
      <w:r w:rsidRPr="00F545BE">
        <w:rPr>
          <w:rFonts w:ascii="Arial" w:hAnsi="Arial" w:cs="Arial"/>
          <w:sz w:val="22"/>
          <w:szCs w:val="22"/>
        </w:rPr>
        <w:t xml:space="preserve"> (Accessed date: 1 April 2026).</w:t>
      </w:r>
    </w:p>
    <w:p w14:paraId="272F84A4"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The Lancet Public Health (2020) ‘Education: a neglected social determinant of health’, </w:t>
      </w:r>
      <w:r w:rsidRPr="00F545BE">
        <w:rPr>
          <w:rFonts w:ascii="Arial" w:hAnsi="Arial" w:cs="Arial"/>
          <w:i/>
          <w:iCs/>
          <w:sz w:val="22"/>
          <w:szCs w:val="22"/>
        </w:rPr>
        <w:t>The Lancet. Public health</w:t>
      </w:r>
      <w:r w:rsidRPr="00F545BE">
        <w:rPr>
          <w:rFonts w:ascii="Arial" w:hAnsi="Arial" w:cs="Arial"/>
          <w:sz w:val="22"/>
          <w:szCs w:val="22"/>
        </w:rPr>
        <w:t xml:space="preserve">, 5(7), pp. e361–e361. Available at: </w:t>
      </w:r>
      <w:hyperlink r:id="rId24" w:history="1">
        <w:r w:rsidRPr="00F545BE">
          <w:rPr>
            <w:rStyle w:val="Hyperlink"/>
            <w:rFonts w:ascii="Arial" w:hAnsi="Arial" w:cs="Arial"/>
            <w:sz w:val="22"/>
            <w:szCs w:val="22"/>
          </w:rPr>
          <w:t>https://doi.org/10.1016/S2468-2667(20)30144-4</w:t>
        </w:r>
      </w:hyperlink>
      <w:r w:rsidRPr="00F545BE">
        <w:rPr>
          <w:rFonts w:ascii="Arial" w:hAnsi="Arial" w:cs="Arial"/>
          <w:sz w:val="22"/>
          <w:szCs w:val="22"/>
        </w:rPr>
        <w:t xml:space="preserve">. </w:t>
      </w:r>
    </w:p>
    <w:p w14:paraId="65005E6B" w14:textId="77777777" w:rsidR="00120492" w:rsidRPr="00F545BE" w:rsidRDefault="00120492" w:rsidP="00246FBE">
      <w:pPr>
        <w:spacing w:line="276" w:lineRule="auto"/>
        <w:ind w:left="360"/>
        <w:rPr>
          <w:rFonts w:ascii="Arial" w:hAnsi="Arial" w:cs="Arial"/>
          <w:i/>
          <w:iCs/>
          <w:sz w:val="22"/>
          <w:szCs w:val="22"/>
        </w:rPr>
      </w:pPr>
      <w:r w:rsidRPr="00F545BE">
        <w:rPr>
          <w:rFonts w:ascii="Arial" w:hAnsi="Arial" w:cs="Arial"/>
          <w:sz w:val="22"/>
          <w:szCs w:val="22"/>
        </w:rPr>
        <w:t xml:space="preserve">UK Health Security Agency (2025) </w:t>
      </w:r>
      <w:r w:rsidRPr="00F545BE">
        <w:rPr>
          <w:rFonts w:ascii="Arial" w:hAnsi="Arial" w:cs="Arial"/>
          <w:i/>
          <w:iCs/>
          <w:sz w:val="22"/>
          <w:szCs w:val="22"/>
        </w:rPr>
        <w:t xml:space="preserve">Health inequalities in health protection report 2025. </w:t>
      </w:r>
      <w:r w:rsidRPr="00F545BE">
        <w:rPr>
          <w:rFonts w:ascii="Arial" w:hAnsi="Arial" w:cs="Arial"/>
          <w:sz w:val="22"/>
          <w:szCs w:val="22"/>
        </w:rPr>
        <w:t xml:space="preserve">Available at: </w:t>
      </w:r>
      <w:hyperlink r:id="rId25" w:history="1">
        <w:r w:rsidRPr="00F545BE">
          <w:rPr>
            <w:rStyle w:val="Hyperlink"/>
            <w:rFonts w:ascii="Arial" w:hAnsi="Arial" w:cs="Arial"/>
            <w:sz w:val="22"/>
            <w:szCs w:val="22"/>
          </w:rPr>
          <w:t>https://www.gov.uk/government/publications/health-inequalities-in-health-protection-report/health-inequalities-in-health-protection-report-2025</w:t>
        </w:r>
      </w:hyperlink>
      <w:r w:rsidRPr="00F545BE">
        <w:rPr>
          <w:rFonts w:ascii="Arial" w:hAnsi="Arial" w:cs="Arial"/>
          <w:sz w:val="22"/>
          <w:szCs w:val="22"/>
        </w:rPr>
        <w:t xml:space="preserve">  (Accessed date: 8 April 2026).</w:t>
      </w:r>
    </w:p>
    <w:p w14:paraId="5A331CB7"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United Nations (2015) </w:t>
      </w:r>
      <w:r w:rsidRPr="00F545BE">
        <w:rPr>
          <w:rFonts w:ascii="Arial" w:hAnsi="Arial" w:cs="Arial"/>
          <w:i/>
          <w:iCs/>
          <w:sz w:val="22"/>
          <w:szCs w:val="22"/>
        </w:rPr>
        <w:t xml:space="preserve">Transforming our world: the 2030 Agenda for Sustainable Development. </w:t>
      </w:r>
      <w:r w:rsidRPr="00F545BE">
        <w:rPr>
          <w:rFonts w:ascii="Arial" w:hAnsi="Arial" w:cs="Arial"/>
          <w:sz w:val="22"/>
          <w:szCs w:val="22"/>
        </w:rPr>
        <w:t xml:space="preserve">Available at: </w:t>
      </w:r>
      <w:hyperlink r:id="rId26" w:history="1">
        <w:r w:rsidRPr="00F545BE">
          <w:rPr>
            <w:rStyle w:val="Hyperlink"/>
            <w:rFonts w:ascii="Arial" w:hAnsi="Arial" w:cs="Arial"/>
            <w:sz w:val="22"/>
            <w:szCs w:val="22"/>
          </w:rPr>
          <w:t>https://sdgs.un.org/2030agenda</w:t>
        </w:r>
      </w:hyperlink>
      <w:r w:rsidRPr="00F545BE">
        <w:rPr>
          <w:rFonts w:ascii="Arial" w:hAnsi="Arial" w:cs="Arial"/>
          <w:sz w:val="22"/>
          <w:szCs w:val="22"/>
        </w:rPr>
        <w:t xml:space="preserve"> (Accessed date: 1 April 2026).</w:t>
      </w:r>
    </w:p>
    <w:p w14:paraId="75E17D42"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United Nations (2025a) SDG 3 - </w:t>
      </w:r>
      <w:r w:rsidRPr="00F545BE">
        <w:rPr>
          <w:rFonts w:ascii="Arial" w:hAnsi="Arial" w:cs="Arial"/>
          <w:i/>
          <w:iCs/>
          <w:sz w:val="22"/>
          <w:szCs w:val="22"/>
        </w:rPr>
        <w:t>Ensure healthy lives and promote well-being for all at all ages.</w:t>
      </w:r>
      <w:r w:rsidRPr="00F545BE">
        <w:rPr>
          <w:rFonts w:ascii="Arial" w:hAnsi="Arial" w:cs="Arial"/>
          <w:sz w:val="22"/>
          <w:szCs w:val="22"/>
        </w:rPr>
        <w:t xml:space="preserve"> Available at: </w:t>
      </w:r>
      <w:hyperlink r:id="rId27" w:history="1">
        <w:r w:rsidRPr="00F545BE">
          <w:rPr>
            <w:rStyle w:val="Hyperlink"/>
            <w:rFonts w:ascii="Arial" w:hAnsi="Arial" w:cs="Arial"/>
            <w:sz w:val="22"/>
            <w:szCs w:val="22"/>
          </w:rPr>
          <w:t>https://sdgs.un.org/goals/goal3</w:t>
        </w:r>
      </w:hyperlink>
      <w:r w:rsidRPr="00F545BE">
        <w:rPr>
          <w:rFonts w:ascii="Arial" w:hAnsi="Arial" w:cs="Arial"/>
          <w:sz w:val="22"/>
          <w:szCs w:val="22"/>
        </w:rPr>
        <w:t xml:space="preserve"> (Accessed date: 8 April 2026). </w:t>
      </w:r>
    </w:p>
    <w:p w14:paraId="668F3294"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United Nations (2025</w:t>
      </w:r>
      <w:proofErr w:type="gramStart"/>
      <w:r w:rsidRPr="00F545BE">
        <w:rPr>
          <w:rFonts w:ascii="Arial" w:hAnsi="Arial" w:cs="Arial"/>
          <w:sz w:val="22"/>
          <w:szCs w:val="22"/>
        </w:rPr>
        <w:t>b)  SDG</w:t>
      </w:r>
      <w:proofErr w:type="gramEnd"/>
      <w:r w:rsidRPr="00F545BE">
        <w:rPr>
          <w:rFonts w:ascii="Arial" w:hAnsi="Arial" w:cs="Arial"/>
          <w:sz w:val="22"/>
          <w:szCs w:val="22"/>
        </w:rPr>
        <w:t xml:space="preserve"> 4 </w:t>
      </w:r>
      <w:r w:rsidRPr="00F545BE">
        <w:rPr>
          <w:rFonts w:ascii="Arial" w:hAnsi="Arial" w:cs="Arial"/>
          <w:i/>
          <w:iCs/>
          <w:sz w:val="22"/>
          <w:szCs w:val="22"/>
        </w:rPr>
        <w:t xml:space="preserve">- Ensure inclusive and equitable quality education and promote lifelong learning opportunities for all. </w:t>
      </w:r>
      <w:r w:rsidRPr="00F545BE">
        <w:rPr>
          <w:rFonts w:ascii="Arial" w:hAnsi="Arial" w:cs="Arial"/>
          <w:sz w:val="22"/>
          <w:szCs w:val="22"/>
        </w:rPr>
        <w:t xml:space="preserve">Available at: </w:t>
      </w:r>
      <w:hyperlink r:id="rId28" w:history="1">
        <w:r w:rsidRPr="00F545BE">
          <w:rPr>
            <w:rStyle w:val="Hyperlink"/>
            <w:rFonts w:ascii="Arial" w:hAnsi="Arial" w:cs="Arial"/>
            <w:sz w:val="22"/>
            <w:szCs w:val="22"/>
          </w:rPr>
          <w:t>https://sdgs.un.org/goals/goal4</w:t>
        </w:r>
      </w:hyperlink>
      <w:r w:rsidRPr="00F545BE">
        <w:rPr>
          <w:rFonts w:ascii="Arial" w:hAnsi="Arial" w:cs="Arial"/>
          <w:sz w:val="22"/>
          <w:szCs w:val="22"/>
        </w:rPr>
        <w:t xml:space="preserve"> (Accessed date: 8 April 2026).</w:t>
      </w:r>
    </w:p>
    <w:p w14:paraId="1E943D4C"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lastRenderedPageBreak/>
        <w:t xml:space="preserve">Votruba, N. and Thornicroft, G. (2016) ‘Sustainable development goals and mental health: learnings from the contribution of the </w:t>
      </w:r>
      <w:proofErr w:type="spellStart"/>
      <w:r w:rsidRPr="00F545BE">
        <w:rPr>
          <w:rFonts w:ascii="Arial" w:hAnsi="Arial" w:cs="Arial"/>
          <w:sz w:val="22"/>
          <w:szCs w:val="22"/>
        </w:rPr>
        <w:t>FundaMentalSDG</w:t>
      </w:r>
      <w:proofErr w:type="spellEnd"/>
      <w:r w:rsidRPr="00F545BE">
        <w:rPr>
          <w:rFonts w:ascii="Arial" w:hAnsi="Arial" w:cs="Arial"/>
          <w:sz w:val="22"/>
          <w:szCs w:val="22"/>
        </w:rPr>
        <w:t xml:space="preserve"> global initiative’, </w:t>
      </w:r>
      <w:r w:rsidRPr="00F545BE">
        <w:rPr>
          <w:rFonts w:ascii="Arial" w:hAnsi="Arial" w:cs="Arial"/>
          <w:i/>
          <w:iCs/>
          <w:sz w:val="22"/>
          <w:szCs w:val="22"/>
        </w:rPr>
        <w:t>Global mental health,</w:t>
      </w:r>
      <w:r w:rsidRPr="00F545BE">
        <w:rPr>
          <w:rFonts w:ascii="Arial" w:hAnsi="Arial" w:cs="Arial"/>
          <w:sz w:val="22"/>
          <w:szCs w:val="22"/>
        </w:rPr>
        <w:t xml:space="preserve"> 3. Available at: </w:t>
      </w:r>
      <w:hyperlink r:id="rId29" w:history="1">
        <w:r w:rsidRPr="00F545BE">
          <w:rPr>
            <w:rStyle w:val="Hyperlink"/>
            <w:rFonts w:ascii="Arial" w:hAnsi="Arial" w:cs="Arial"/>
            <w:sz w:val="22"/>
            <w:szCs w:val="22"/>
          </w:rPr>
          <w:t>https://doi.org/10.1017/gmh.2016.20</w:t>
        </w:r>
      </w:hyperlink>
      <w:r w:rsidRPr="00F545BE">
        <w:rPr>
          <w:rFonts w:ascii="Arial" w:hAnsi="Arial" w:cs="Arial"/>
          <w:sz w:val="22"/>
          <w:szCs w:val="22"/>
        </w:rPr>
        <w:t xml:space="preserve">. </w:t>
      </w:r>
    </w:p>
    <w:p w14:paraId="380044CE"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Wei, F., Tian, C. and Li, T. (2026) ‘The comprehensive influence of critical thinking disposition and problem-solving ability on the </w:t>
      </w:r>
      <w:proofErr w:type="spellStart"/>
      <w:r w:rsidRPr="00F545BE">
        <w:rPr>
          <w:rFonts w:ascii="Arial" w:hAnsi="Arial" w:cs="Arial"/>
          <w:sz w:val="22"/>
          <w:szCs w:val="22"/>
        </w:rPr>
        <w:t>labor</w:t>
      </w:r>
      <w:proofErr w:type="spellEnd"/>
      <w:r w:rsidRPr="00F545BE">
        <w:rPr>
          <w:rFonts w:ascii="Arial" w:hAnsi="Arial" w:cs="Arial"/>
          <w:sz w:val="22"/>
          <w:szCs w:val="22"/>
        </w:rPr>
        <w:t xml:space="preserve"> literacy of adolescents’, </w:t>
      </w:r>
      <w:r w:rsidRPr="00F545BE">
        <w:rPr>
          <w:rFonts w:ascii="Arial" w:hAnsi="Arial" w:cs="Arial"/>
          <w:i/>
          <w:iCs/>
          <w:sz w:val="22"/>
          <w:szCs w:val="22"/>
        </w:rPr>
        <w:t>Frontiers in psychology,</w:t>
      </w:r>
      <w:r w:rsidRPr="00F545BE">
        <w:rPr>
          <w:rFonts w:ascii="Arial" w:hAnsi="Arial" w:cs="Arial"/>
          <w:sz w:val="22"/>
          <w:szCs w:val="22"/>
        </w:rPr>
        <w:t xml:space="preserve"> 17, p. 1702960. Available at: </w:t>
      </w:r>
      <w:hyperlink r:id="rId30" w:history="1">
        <w:r w:rsidRPr="00F545BE">
          <w:rPr>
            <w:rStyle w:val="Hyperlink"/>
            <w:rFonts w:ascii="Arial" w:hAnsi="Arial" w:cs="Arial"/>
            <w:sz w:val="22"/>
            <w:szCs w:val="22"/>
          </w:rPr>
          <w:t>https://doi.org/10.3389/fpsyg.2026.1702960</w:t>
        </w:r>
      </w:hyperlink>
      <w:r w:rsidRPr="00F545BE">
        <w:rPr>
          <w:rFonts w:ascii="Arial" w:hAnsi="Arial" w:cs="Arial"/>
          <w:sz w:val="22"/>
          <w:szCs w:val="22"/>
        </w:rPr>
        <w:t xml:space="preserve">. </w:t>
      </w:r>
    </w:p>
    <w:p w14:paraId="7D5C7583" w14:textId="77777777" w:rsidR="00120492" w:rsidRPr="00F545BE" w:rsidRDefault="00120492" w:rsidP="00246FBE">
      <w:pPr>
        <w:spacing w:line="276" w:lineRule="auto"/>
        <w:ind w:left="360"/>
        <w:rPr>
          <w:rFonts w:ascii="Arial" w:hAnsi="Arial" w:cs="Arial"/>
          <w:sz w:val="22"/>
          <w:szCs w:val="22"/>
        </w:rPr>
      </w:pPr>
      <w:r w:rsidRPr="00F545BE">
        <w:rPr>
          <w:rFonts w:ascii="Arial" w:hAnsi="Arial" w:cs="Arial"/>
          <w:sz w:val="22"/>
          <w:szCs w:val="22"/>
        </w:rPr>
        <w:t xml:space="preserve">World Health Organization (2025) </w:t>
      </w:r>
      <w:r w:rsidRPr="00F545BE">
        <w:rPr>
          <w:rFonts w:ascii="Arial" w:hAnsi="Arial" w:cs="Arial"/>
          <w:i/>
          <w:iCs/>
          <w:sz w:val="22"/>
          <w:szCs w:val="22"/>
        </w:rPr>
        <w:t xml:space="preserve">Universal health coverage (UHC). </w:t>
      </w:r>
      <w:r w:rsidRPr="00F545BE">
        <w:rPr>
          <w:rFonts w:ascii="Arial" w:hAnsi="Arial" w:cs="Arial"/>
          <w:sz w:val="22"/>
          <w:szCs w:val="22"/>
        </w:rPr>
        <w:t xml:space="preserve">Available at: </w:t>
      </w:r>
      <w:hyperlink r:id="rId31" w:history="1">
        <w:r w:rsidRPr="00F545BE">
          <w:rPr>
            <w:rStyle w:val="Hyperlink"/>
            <w:rFonts w:ascii="Arial" w:hAnsi="Arial" w:cs="Arial"/>
            <w:sz w:val="22"/>
            <w:szCs w:val="22"/>
          </w:rPr>
          <w:t>https://www.who.int/news-room/fact-sheets/detail/universal-health-coverage-(uhc)</w:t>
        </w:r>
      </w:hyperlink>
      <w:r w:rsidRPr="00F545BE">
        <w:rPr>
          <w:rFonts w:ascii="Arial" w:hAnsi="Arial" w:cs="Arial"/>
          <w:sz w:val="22"/>
          <w:szCs w:val="22"/>
        </w:rPr>
        <w:t xml:space="preserve">  (Accessed date: 1 April 2026).</w:t>
      </w:r>
    </w:p>
    <w:p w14:paraId="5F152B42" w14:textId="77777777" w:rsidR="00120492" w:rsidRPr="00F545BE" w:rsidRDefault="00120492" w:rsidP="00120492">
      <w:pPr>
        <w:rPr>
          <w:rFonts w:ascii="Arial" w:hAnsi="Arial" w:cs="Arial"/>
          <w:sz w:val="22"/>
          <w:szCs w:val="22"/>
        </w:rPr>
      </w:pPr>
    </w:p>
    <w:p w14:paraId="2A58EAA0" w14:textId="77777777" w:rsidR="00722ABC" w:rsidRPr="00F545BE" w:rsidRDefault="00722ABC">
      <w:pPr>
        <w:rPr>
          <w:rFonts w:ascii="Arial" w:hAnsi="Arial" w:cs="Arial"/>
        </w:rPr>
      </w:pPr>
    </w:p>
    <w:sectPr w:rsidR="00722ABC" w:rsidRPr="00F545BE" w:rsidSect="00246FBE">
      <w:footerReference w:type="even" r:id="rId32"/>
      <w:footerReference w:type="default" r:id="rId33"/>
      <w:pgSz w:w="11906" w:h="16838"/>
      <w:pgMar w:top="1440" w:right="1440" w:bottom="1440" w:left="1440" w:header="708" w:footer="708" w:gutter="0"/>
      <w:pgBorders w:display="firstPage" w:offsetFrom="page">
        <w:top w:val="single" w:sz="2" w:space="24" w:color="auto"/>
        <w:left w:val="single" w:sz="2" w:space="24" w:color="auto"/>
        <w:bottom w:val="single" w:sz="2" w:space="24" w:color="auto"/>
        <w:right w:val="single" w:sz="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CC1D0" w14:textId="77777777" w:rsidR="00ED58EB" w:rsidRDefault="00ED58EB" w:rsidP="00246FBE">
      <w:pPr>
        <w:spacing w:after="0" w:line="240" w:lineRule="auto"/>
      </w:pPr>
      <w:r>
        <w:separator/>
      </w:r>
    </w:p>
  </w:endnote>
  <w:endnote w:type="continuationSeparator" w:id="0">
    <w:p w14:paraId="77A94F47" w14:textId="77777777" w:rsidR="00ED58EB" w:rsidRDefault="00ED58EB" w:rsidP="00246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064617"/>
      <w:docPartObj>
        <w:docPartGallery w:val="Page Numbers (Bottom of Page)"/>
        <w:docPartUnique/>
      </w:docPartObj>
    </w:sdtPr>
    <w:sdtEndPr>
      <w:rPr>
        <w:rStyle w:val="PageNumber"/>
      </w:rPr>
    </w:sdtEndPr>
    <w:sdtContent>
      <w:p w14:paraId="260501CB" w14:textId="30066EB3" w:rsidR="00246FBE" w:rsidRDefault="00246FBE" w:rsidP="008A02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7B58A8" w14:textId="77777777" w:rsidR="00246FBE" w:rsidRDefault="00246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7188541"/>
      <w:docPartObj>
        <w:docPartGallery w:val="Page Numbers (Bottom of Page)"/>
        <w:docPartUnique/>
      </w:docPartObj>
    </w:sdtPr>
    <w:sdtEndPr>
      <w:rPr>
        <w:rStyle w:val="PageNumber"/>
      </w:rPr>
    </w:sdtEndPr>
    <w:sdtContent>
      <w:p w14:paraId="1C55B700" w14:textId="22DA1988" w:rsidR="00246FBE" w:rsidRDefault="00246FBE" w:rsidP="008A02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69790D" w14:textId="77777777" w:rsidR="00246FBE" w:rsidRDefault="00246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530A8" w14:textId="77777777" w:rsidR="00ED58EB" w:rsidRDefault="00ED58EB" w:rsidP="00246FBE">
      <w:pPr>
        <w:spacing w:after="0" w:line="240" w:lineRule="auto"/>
      </w:pPr>
      <w:r>
        <w:separator/>
      </w:r>
    </w:p>
  </w:footnote>
  <w:footnote w:type="continuationSeparator" w:id="0">
    <w:p w14:paraId="3B7C305B" w14:textId="77777777" w:rsidR="00ED58EB" w:rsidRDefault="00ED58EB" w:rsidP="00246F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492"/>
    <w:rsid w:val="00060FB4"/>
    <w:rsid w:val="000A1FBA"/>
    <w:rsid w:val="00120492"/>
    <w:rsid w:val="00246FBE"/>
    <w:rsid w:val="0040791A"/>
    <w:rsid w:val="00556503"/>
    <w:rsid w:val="00604566"/>
    <w:rsid w:val="00722ABC"/>
    <w:rsid w:val="00843325"/>
    <w:rsid w:val="009F76D7"/>
    <w:rsid w:val="00A34AAA"/>
    <w:rsid w:val="00A515E1"/>
    <w:rsid w:val="00C16615"/>
    <w:rsid w:val="00D35E5F"/>
    <w:rsid w:val="00E277FF"/>
    <w:rsid w:val="00E83A14"/>
    <w:rsid w:val="00ED58EB"/>
    <w:rsid w:val="00F54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DD8C"/>
  <w15:chartTrackingRefBased/>
  <w15:docId w15:val="{E83DA8EB-3DF4-B642-A683-2432CE17D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492"/>
    <w:rPr>
      <w:lang w:eastAsia="en-US"/>
    </w:rPr>
  </w:style>
  <w:style w:type="paragraph" w:styleId="Heading1">
    <w:name w:val="heading 1"/>
    <w:basedOn w:val="Normal"/>
    <w:next w:val="Normal"/>
    <w:link w:val="Heading1Char"/>
    <w:uiPriority w:val="9"/>
    <w:qFormat/>
    <w:rsid w:val="00246FBE"/>
    <w:pPr>
      <w:keepNext/>
      <w:keepLines/>
      <w:spacing w:before="360" w:after="80"/>
      <w:outlineLvl w:val="0"/>
    </w:pPr>
    <w:rPr>
      <w:rFonts w:ascii="Arial" w:eastAsiaTheme="majorEastAsia" w:hAnsi="Arial" w:cstheme="majorBidi"/>
      <w:color w:val="000000" w:themeColor="text1"/>
      <w:sz w:val="28"/>
      <w:szCs w:val="40"/>
      <w:lang w:eastAsia="en-GB"/>
    </w:rPr>
  </w:style>
  <w:style w:type="paragraph" w:styleId="Heading2">
    <w:name w:val="heading 2"/>
    <w:basedOn w:val="Normal"/>
    <w:next w:val="Normal"/>
    <w:link w:val="Heading2Char"/>
    <w:uiPriority w:val="9"/>
    <w:unhideWhenUsed/>
    <w:qFormat/>
    <w:rsid w:val="00246FBE"/>
    <w:pPr>
      <w:keepNext/>
      <w:keepLines/>
      <w:spacing w:before="160" w:after="80"/>
      <w:outlineLvl w:val="1"/>
    </w:pPr>
    <w:rPr>
      <w:rFonts w:ascii="Arial" w:eastAsiaTheme="majorEastAsia" w:hAnsi="Arial" w:cstheme="majorBidi"/>
      <w:b/>
      <w:color w:val="000000" w:themeColor="text1"/>
      <w:szCs w:val="32"/>
      <w:lang w:eastAsia="en-GB"/>
    </w:rPr>
  </w:style>
  <w:style w:type="paragraph" w:styleId="Heading3">
    <w:name w:val="heading 3"/>
    <w:basedOn w:val="Normal"/>
    <w:next w:val="Normal"/>
    <w:link w:val="Heading3Char"/>
    <w:uiPriority w:val="9"/>
    <w:semiHidden/>
    <w:unhideWhenUsed/>
    <w:qFormat/>
    <w:rsid w:val="00120492"/>
    <w:pPr>
      <w:keepNext/>
      <w:keepLines/>
      <w:spacing w:before="160" w:after="80"/>
      <w:outlineLvl w:val="2"/>
    </w:pPr>
    <w:rPr>
      <w:rFonts w:eastAsiaTheme="majorEastAsia" w:cstheme="majorBidi"/>
      <w:color w:val="0F4761" w:themeColor="accent1" w:themeShade="BF"/>
      <w:sz w:val="28"/>
      <w:szCs w:val="28"/>
      <w:lang w:eastAsia="en-GB"/>
    </w:rPr>
  </w:style>
  <w:style w:type="paragraph" w:styleId="Heading4">
    <w:name w:val="heading 4"/>
    <w:basedOn w:val="Normal"/>
    <w:next w:val="Normal"/>
    <w:link w:val="Heading4Char"/>
    <w:uiPriority w:val="9"/>
    <w:semiHidden/>
    <w:unhideWhenUsed/>
    <w:qFormat/>
    <w:rsid w:val="00120492"/>
    <w:pPr>
      <w:keepNext/>
      <w:keepLines/>
      <w:spacing w:before="80" w:after="40"/>
      <w:outlineLvl w:val="3"/>
    </w:pPr>
    <w:rPr>
      <w:rFonts w:eastAsiaTheme="majorEastAsia" w:cstheme="majorBidi"/>
      <w:i/>
      <w:iCs/>
      <w:color w:val="0F4761" w:themeColor="accent1" w:themeShade="BF"/>
      <w:lang w:eastAsia="en-GB"/>
    </w:rPr>
  </w:style>
  <w:style w:type="paragraph" w:styleId="Heading5">
    <w:name w:val="heading 5"/>
    <w:basedOn w:val="Normal"/>
    <w:next w:val="Normal"/>
    <w:link w:val="Heading5Char"/>
    <w:uiPriority w:val="9"/>
    <w:semiHidden/>
    <w:unhideWhenUsed/>
    <w:qFormat/>
    <w:rsid w:val="00120492"/>
    <w:pPr>
      <w:keepNext/>
      <w:keepLines/>
      <w:spacing w:before="80" w:after="40"/>
      <w:outlineLvl w:val="4"/>
    </w:pPr>
    <w:rPr>
      <w:rFonts w:eastAsiaTheme="majorEastAsia" w:cstheme="majorBidi"/>
      <w:color w:val="0F4761" w:themeColor="accent1" w:themeShade="BF"/>
      <w:lang w:eastAsia="en-GB"/>
    </w:rPr>
  </w:style>
  <w:style w:type="paragraph" w:styleId="Heading6">
    <w:name w:val="heading 6"/>
    <w:basedOn w:val="Normal"/>
    <w:next w:val="Normal"/>
    <w:link w:val="Heading6Char"/>
    <w:uiPriority w:val="9"/>
    <w:semiHidden/>
    <w:unhideWhenUsed/>
    <w:qFormat/>
    <w:rsid w:val="00120492"/>
    <w:pPr>
      <w:keepNext/>
      <w:keepLines/>
      <w:spacing w:before="40" w:after="0"/>
      <w:outlineLvl w:val="5"/>
    </w:pPr>
    <w:rPr>
      <w:rFonts w:eastAsiaTheme="majorEastAsia" w:cstheme="majorBidi"/>
      <w:i/>
      <w:iCs/>
      <w:color w:val="595959" w:themeColor="text1" w:themeTint="A6"/>
      <w:lang w:eastAsia="en-GB"/>
    </w:rPr>
  </w:style>
  <w:style w:type="paragraph" w:styleId="Heading7">
    <w:name w:val="heading 7"/>
    <w:basedOn w:val="Normal"/>
    <w:next w:val="Normal"/>
    <w:link w:val="Heading7Char"/>
    <w:uiPriority w:val="9"/>
    <w:semiHidden/>
    <w:unhideWhenUsed/>
    <w:qFormat/>
    <w:rsid w:val="00120492"/>
    <w:pPr>
      <w:keepNext/>
      <w:keepLines/>
      <w:spacing w:before="40" w:after="0"/>
      <w:outlineLvl w:val="6"/>
    </w:pPr>
    <w:rPr>
      <w:rFonts w:eastAsiaTheme="majorEastAsia" w:cstheme="majorBidi"/>
      <w:color w:val="595959" w:themeColor="text1" w:themeTint="A6"/>
      <w:lang w:eastAsia="en-GB"/>
    </w:rPr>
  </w:style>
  <w:style w:type="paragraph" w:styleId="Heading8">
    <w:name w:val="heading 8"/>
    <w:basedOn w:val="Normal"/>
    <w:next w:val="Normal"/>
    <w:link w:val="Heading8Char"/>
    <w:uiPriority w:val="9"/>
    <w:semiHidden/>
    <w:unhideWhenUsed/>
    <w:qFormat/>
    <w:rsid w:val="00120492"/>
    <w:pPr>
      <w:keepNext/>
      <w:keepLines/>
      <w:spacing w:after="0"/>
      <w:outlineLvl w:val="7"/>
    </w:pPr>
    <w:rPr>
      <w:rFonts w:eastAsiaTheme="majorEastAsia" w:cstheme="majorBidi"/>
      <w:i/>
      <w:iCs/>
      <w:color w:val="272727" w:themeColor="text1" w:themeTint="D8"/>
      <w:lang w:eastAsia="en-GB"/>
    </w:rPr>
  </w:style>
  <w:style w:type="paragraph" w:styleId="Heading9">
    <w:name w:val="heading 9"/>
    <w:basedOn w:val="Normal"/>
    <w:next w:val="Normal"/>
    <w:link w:val="Heading9Char"/>
    <w:uiPriority w:val="9"/>
    <w:semiHidden/>
    <w:unhideWhenUsed/>
    <w:qFormat/>
    <w:rsid w:val="00120492"/>
    <w:pPr>
      <w:keepNext/>
      <w:keepLines/>
      <w:spacing w:after="0"/>
      <w:outlineLvl w:val="8"/>
    </w:pPr>
    <w:rPr>
      <w:rFonts w:eastAsiaTheme="majorEastAsia" w:cstheme="majorBidi"/>
      <w:color w:val="272727" w:themeColor="text1" w:themeTint="D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FBE"/>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246FBE"/>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120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492"/>
    <w:rPr>
      <w:rFonts w:eastAsiaTheme="majorEastAsia" w:cstheme="majorBidi"/>
      <w:color w:val="272727" w:themeColor="text1" w:themeTint="D8"/>
    </w:rPr>
  </w:style>
  <w:style w:type="paragraph" w:styleId="Title">
    <w:name w:val="Title"/>
    <w:basedOn w:val="Normal"/>
    <w:next w:val="Normal"/>
    <w:link w:val="TitleChar"/>
    <w:uiPriority w:val="10"/>
    <w:qFormat/>
    <w:rsid w:val="00120492"/>
    <w:pPr>
      <w:spacing w:after="8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120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492"/>
    <w:pPr>
      <w:numPr>
        <w:ilvl w:val="1"/>
      </w:numPr>
    </w:pPr>
    <w:rPr>
      <w:rFonts w:eastAsiaTheme="majorEastAsia" w:cstheme="majorBidi"/>
      <w:color w:val="595959" w:themeColor="text1" w:themeTint="A6"/>
      <w:spacing w:val="15"/>
      <w:sz w:val="28"/>
      <w:szCs w:val="28"/>
      <w:lang w:eastAsia="en-GB"/>
    </w:rPr>
  </w:style>
  <w:style w:type="character" w:customStyle="1" w:styleId="SubtitleChar">
    <w:name w:val="Subtitle Char"/>
    <w:basedOn w:val="DefaultParagraphFont"/>
    <w:link w:val="Subtitle"/>
    <w:uiPriority w:val="11"/>
    <w:rsid w:val="00120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492"/>
    <w:pPr>
      <w:spacing w:before="160"/>
      <w:jc w:val="center"/>
    </w:pPr>
    <w:rPr>
      <w:i/>
      <w:iCs/>
      <w:color w:val="404040" w:themeColor="text1" w:themeTint="BF"/>
      <w:lang w:eastAsia="en-GB"/>
    </w:rPr>
  </w:style>
  <w:style w:type="character" w:customStyle="1" w:styleId="QuoteChar">
    <w:name w:val="Quote Char"/>
    <w:basedOn w:val="DefaultParagraphFont"/>
    <w:link w:val="Quote"/>
    <w:uiPriority w:val="29"/>
    <w:rsid w:val="00120492"/>
    <w:rPr>
      <w:i/>
      <w:iCs/>
      <w:color w:val="404040" w:themeColor="text1" w:themeTint="BF"/>
    </w:rPr>
  </w:style>
  <w:style w:type="paragraph" w:styleId="ListParagraph">
    <w:name w:val="List Paragraph"/>
    <w:basedOn w:val="Normal"/>
    <w:uiPriority w:val="34"/>
    <w:qFormat/>
    <w:rsid w:val="00120492"/>
    <w:pPr>
      <w:ind w:left="720"/>
      <w:contextualSpacing/>
    </w:pPr>
    <w:rPr>
      <w:lang w:eastAsia="en-GB"/>
    </w:rPr>
  </w:style>
  <w:style w:type="character" w:styleId="IntenseEmphasis">
    <w:name w:val="Intense Emphasis"/>
    <w:basedOn w:val="DefaultParagraphFont"/>
    <w:uiPriority w:val="21"/>
    <w:qFormat/>
    <w:rsid w:val="00120492"/>
    <w:rPr>
      <w:i/>
      <w:iCs/>
      <w:color w:val="0F4761" w:themeColor="accent1" w:themeShade="BF"/>
    </w:rPr>
  </w:style>
  <w:style w:type="paragraph" w:styleId="IntenseQuote">
    <w:name w:val="Intense Quote"/>
    <w:basedOn w:val="Normal"/>
    <w:next w:val="Normal"/>
    <w:link w:val="IntenseQuoteChar"/>
    <w:uiPriority w:val="30"/>
    <w:qFormat/>
    <w:rsid w:val="00120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eastAsia="en-GB"/>
    </w:rPr>
  </w:style>
  <w:style w:type="character" w:customStyle="1" w:styleId="IntenseQuoteChar">
    <w:name w:val="Intense Quote Char"/>
    <w:basedOn w:val="DefaultParagraphFont"/>
    <w:link w:val="IntenseQuote"/>
    <w:uiPriority w:val="30"/>
    <w:rsid w:val="00120492"/>
    <w:rPr>
      <w:i/>
      <w:iCs/>
      <w:color w:val="0F4761" w:themeColor="accent1" w:themeShade="BF"/>
    </w:rPr>
  </w:style>
  <w:style w:type="character" w:styleId="IntenseReference">
    <w:name w:val="Intense Reference"/>
    <w:basedOn w:val="DefaultParagraphFont"/>
    <w:uiPriority w:val="32"/>
    <w:qFormat/>
    <w:rsid w:val="00120492"/>
    <w:rPr>
      <w:b/>
      <w:bCs/>
      <w:smallCaps/>
      <w:color w:val="0F4761" w:themeColor="accent1" w:themeShade="BF"/>
      <w:spacing w:val="5"/>
    </w:rPr>
  </w:style>
  <w:style w:type="paragraph" w:styleId="NoSpacing">
    <w:name w:val="No Spacing"/>
    <w:link w:val="NoSpacingChar"/>
    <w:uiPriority w:val="1"/>
    <w:qFormat/>
    <w:rsid w:val="00120492"/>
    <w:pPr>
      <w:spacing w:after="0" w:line="240" w:lineRule="auto"/>
    </w:pPr>
    <w:rPr>
      <w:rFonts w:eastAsiaTheme="minorEastAsia"/>
      <w:kern w:val="0"/>
      <w:sz w:val="22"/>
      <w:szCs w:val="22"/>
      <w:lang w:val="en-US" w:eastAsia="en-US"/>
      <w14:ligatures w14:val="none"/>
    </w:rPr>
  </w:style>
  <w:style w:type="character" w:customStyle="1" w:styleId="NoSpacingChar">
    <w:name w:val="No Spacing Char"/>
    <w:basedOn w:val="DefaultParagraphFont"/>
    <w:link w:val="NoSpacing"/>
    <w:uiPriority w:val="1"/>
    <w:rsid w:val="00120492"/>
    <w:rPr>
      <w:rFonts w:eastAsiaTheme="minorEastAsia"/>
      <w:kern w:val="0"/>
      <w:sz w:val="22"/>
      <w:szCs w:val="22"/>
      <w:lang w:val="en-US" w:eastAsia="en-US"/>
      <w14:ligatures w14:val="none"/>
    </w:rPr>
  </w:style>
  <w:style w:type="character" w:styleId="Hyperlink">
    <w:name w:val="Hyperlink"/>
    <w:basedOn w:val="DefaultParagraphFont"/>
    <w:uiPriority w:val="99"/>
    <w:unhideWhenUsed/>
    <w:rsid w:val="00120492"/>
    <w:rPr>
      <w:color w:val="467886" w:themeColor="hyperlink"/>
      <w:u w:val="single"/>
    </w:rPr>
  </w:style>
  <w:style w:type="paragraph" w:styleId="TOCHeading">
    <w:name w:val="TOC Heading"/>
    <w:basedOn w:val="Heading1"/>
    <w:next w:val="Normal"/>
    <w:uiPriority w:val="39"/>
    <w:unhideWhenUsed/>
    <w:qFormat/>
    <w:rsid w:val="00120492"/>
    <w:pPr>
      <w:spacing w:before="480" w:after="0" w:line="276" w:lineRule="auto"/>
      <w:outlineLvl w:val="9"/>
    </w:pPr>
    <w:rPr>
      <w:b/>
      <w:bCs/>
      <w:kern w:val="0"/>
      <w:szCs w:val="28"/>
      <w:lang w:val="en-US" w:eastAsia="en-US"/>
      <w14:ligatures w14:val="none"/>
    </w:rPr>
  </w:style>
  <w:style w:type="paragraph" w:styleId="TOC1">
    <w:name w:val="toc 1"/>
    <w:basedOn w:val="Normal"/>
    <w:next w:val="Normal"/>
    <w:autoRedefine/>
    <w:uiPriority w:val="39"/>
    <w:unhideWhenUsed/>
    <w:rsid w:val="00120492"/>
    <w:pPr>
      <w:spacing w:before="120" w:after="0"/>
    </w:pPr>
    <w:rPr>
      <w:b/>
      <w:bCs/>
      <w:i/>
      <w:iCs/>
    </w:rPr>
  </w:style>
  <w:style w:type="paragraph" w:styleId="TOC2">
    <w:name w:val="toc 2"/>
    <w:basedOn w:val="Normal"/>
    <w:next w:val="Normal"/>
    <w:autoRedefine/>
    <w:uiPriority w:val="39"/>
    <w:unhideWhenUsed/>
    <w:rsid w:val="00120492"/>
    <w:pPr>
      <w:spacing w:before="120" w:after="0"/>
      <w:ind w:left="240"/>
    </w:pPr>
    <w:rPr>
      <w:b/>
      <w:bCs/>
      <w:sz w:val="22"/>
      <w:szCs w:val="22"/>
    </w:rPr>
  </w:style>
  <w:style w:type="paragraph" w:styleId="Footer">
    <w:name w:val="footer"/>
    <w:basedOn w:val="Normal"/>
    <w:link w:val="FooterChar"/>
    <w:uiPriority w:val="99"/>
    <w:unhideWhenUsed/>
    <w:rsid w:val="00246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FBE"/>
    <w:rPr>
      <w:lang w:eastAsia="en-US"/>
    </w:rPr>
  </w:style>
  <w:style w:type="character" w:styleId="PageNumber">
    <w:name w:val="page number"/>
    <w:basedOn w:val="DefaultParagraphFont"/>
    <w:uiPriority w:val="99"/>
    <w:semiHidden/>
    <w:unhideWhenUsed/>
    <w:rsid w:val="00246FBE"/>
  </w:style>
  <w:style w:type="character" w:styleId="UnresolvedMention">
    <w:name w:val="Unresolved Mention"/>
    <w:basedOn w:val="DefaultParagraphFont"/>
    <w:uiPriority w:val="99"/>
    <w:semiHidden/>
    <w:unhideWhenUsed/>
    <w:rsid w:val="00246F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new-campaign-launch-reveals-six-major-health-benefits-to-losing-weight" TargetMode="External"/><Relationship Id="rId18" Type="http://schemas.openxmlformats.org/officeDocument/2006/relationships/hyperlink" Target="https://www.gov.uk/government/news/major-new-campaign-encourages-millions-to-lose-weight-and-cut-covid-19-risk" TargetMode="External"/><Relationship Id="rId26" Type="http://schemas.openxmlformats.org/officeDocument/2006/relationships/hyperlink" Target="https://sdgs.un.org/2030agenda" TargetMode="External"/><Relationship Id="rId3" Type="http://schemas.openxmlformats.org/officeDocument/2006/relationships/webSettings" Target="webSettings.xml"/><Relationship Id="rId21" Type="http://schemas.openxmlformats.org/officeDocument/2006/relationships/hyperlink" Target="https://www.towerhamlets.gov.uk/Documents/Children-and-families-services/Early_help/TH-Early-Help-Strategy.pdf" TargetMode="External"/><Relationship Id="rId34" Type="http://schemas.openxmlformats.org/officeDocument/2006/relationships/fontTable" Target="fontTable.xml"/><Relationship Id="rId7" Type="http://schemas.openxmlformats.org/officeDocument/2006/relationships/hyperlink" Target="https://www.kingsfund.org.uk/insight-and-analysis/long-reads/ten-year-health-plan-explained" TargetMode="External"/><Relationship Id="rId12" Type="http://schemas.openxmlformats.org/officeDocument/2006/relationships/hyperlink" Target="https://doi.org/10.3390/jpm12081295" TargetMode="External"/><Relationship Id="rId17" Type="http://schemas.openxmlformats.org/officeDocument/2006/relationships/hyperlink" Target="https://doi.org/10.1016/j.ijedudev.2023.102963" TargetMode="External"/><Relationship Id="rId25" Type="http://schemas.openxmlformats.org/officeDocument/2006/relationships/hyperlink" Target="https://www.gov.uk/government/publications/health-inequalities-in-health-protection-report/health-inequalities-in-health-protection-report-2025"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england.nhs.uk/long-term-plan/" TargetMode="External"/><Relationship Id="rId20" Type="http://schemas.openxmlformats.org/officeDocument/2006/relationships/hyperlink" Target="https://nuffieldtrust.org.uk/sites/default/files/2025-09/Nuffield%20Trust%252%20From%20hospital%20to%20community_WEB.pdf" TargetMode="External"/><Relationship Id="rId29" Type="http://schemas.openxmlformats.org/officeDocument/2006/relationships/hyperlink" Target="https://doi.org/10.1017/gmh.2016.20"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doi.org/10.1007/s11739-025-03941-3" TargetMode="External"/><Relationship Id="rId24" Type="http://schemas.openxmlformats.org/officeDocument/2006/relationships/hyperlink" Target="https://doi.org/10.1016/S2468-2667(20)30144-4"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esapublications.un.org/un-desa-voice/sdg-blog/september-2022/crisis-education-sdgs-long-term-impact-covid-19-and-digital" TargetMode="External"/><Relationship Id="rId23" Type="http://schemas.openxmlformats.org/officeDocument/2006/relationships/hyperlink" Target="https://www.jrf.org.uk/power-and-participation/poverty-stigma-a-glue-that-holds-poverty-in-place" TargetMode="External"/><Relationship Id="rId28" Type="http://schemas.openxmlformats.org/officeDocument/2006/relationships/hyperlink" Target="https://sdgs.un.org/goals/goal4" TargetMode="External"/><Relationship Id="rId10" Type="http://schemas.openxmlformats.org/officeDocument/2006/relationships/hyperlink" Target="https://doi.org/10.3389/feduc.2025.1638482" TargetMode="External"/><Relationship Id="rId19" Type="http://schemas.openxmlformats.org/officeDocument/2006/relationships/hyperlink" Target="https://doi.org/10.52627/managere.v7i2.672" TargetMode="External"/><Relationship Id="rId31" Type="http://schemas.openxmlformats.org/officeDocument/2006/relationships/hyperlink" Target="https://www.who.int/news-room/fact-sheets/detail/universal-health-coverage-(uhc)" TargetMode="External"/><Relationship Id="rId4" Type="http://schemas.openxmlformats.org/officeDocument/2006/relationships/footnotes" Target="footnotes.xml"/><Relationship Id="rId9" Type="http://schemas.openxmlformats.org/officeDocument/2006/relationships/hyperlink" Target="https://doi.org/10.1111/josh.12570" TargetMode="External"/><Relationship Id="rId14" Type="http://schemas.openxmlformats.org/officeDocument/2006/relationships/hyperlink" Target="https://www.instituteofhealthequity.org/resources-reports/marmot-review-10-years-on" TargetMode="External"/><Relationship Id="rId22" Type="http://schemas.openxmlformats.org/officeDocument/2006/relationships/hyperlink" Target="https://www.towerhamletstogether.com/our-work/communities-keeping-well" TargetMode="External"/><Relationship Id="rId27" Type="http://schemas.openxmlformats.org/officeDocument/2006/relationships/hyperlink" Target="https://sdgs.un.org/goals/goal3" TargetMode="External"/><Relationship Id="rId30" Type="http://schemas.openxmlformats.org/officeDocument/2006/relationships/hyperlink" Target="https://doi.org/10.3389/fpsyg.2026.1702960" TargetMode="External"/><Relationship Id="rId35" Type="http://schemas.openxmlformats.org/officeDocument/2006/relationships/theme" Target="theme/theme1.xml"/><Relationship Id="rId8" Type="http://schemas.openxmlformats.org/officeDocument/2006/relationships/hyperlink" Target="https://doi.org/10.1007/s00181-022-022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3115</Words>
  <Characters>20593</Characters>
  <Application>Microsoft Office Word</Application>
  <DocSecurity>0</DocSecurity>
  <Lines>367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Sharon Maureen McDermott (2243145)</cp:lastModifiedBy>
  <cp:revision>2</cp:revision>
  <dcterms:created xsi:type="dcterms:W3CDTF">2026-04-14T13:25:00Z</dcterms:created>
  <dcterms:modified xsi:type="dcterms:W3CDTF">2026-04-14T13:25:00Z</dcterms:modified>
</cp:coreProperties>
</file>