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3A8F86CC" w:rsidR="00502083" w:rsidRDefault="43BC7F41" w:rsidP="43BC7F41">
      <w:pPr>
        <w:jc w:val="center"/>
        <w:rPr>
          <w:rFonts w:eastAsiaTheme="minorEastAsia"/>
          <w:sz w:val="24"/>
          <w:szCs w:val="24"/>
          <w:u w:val="single"/>
        </w:rPr>
      </w:pPr>
      <w:bookmarkStart w:id="0" w:name="_GoBack"/>
      <w:bookmarkEnd w:id="0"/>
      <w:r w:rsidRPr="43BC7F41">
        <w:rPr>
          <w:rFonts w:eastAsiaTheme="minorEastAsia"/>
          <w:sz w:val="24"/>
          <w:szCs w:val="24"/>
          <w:u w:val="single"/>
        </w:rPr>
        <w:t>Attachment Theory Essay.</w:t>
      </w:r>
      <w:r w:rsidRPr="43BC7F41">
        <w:rPr>
          <w:rFonts w:eastAsiaTheme="minorEastAsia"/>
          <w:sz w:val="24"/>
          <w:szCs w:val="24"/>
        </w:rPr>
        <w:t xml:space="preserve"> </w:t>
      </w:r>
    </w:p>
    <w:p w14:paraId="3FFF59A3" w14:textId="12775CFB" w:rsidR="0C9E6EB6" w:rsidRDefault="0C9E6EB6" w:rsidP="6C7C4E52">
      <w:pPr>
        <w:rPr>
          <w:rFonts w:eastAsiaTheme="minorEastAsia"/>
          <w:sz w:val="24"/>
          <w:szCs w:val="24"/>
        </w:rPr>
      </w:pPr>
    </w:p>
    <w:p w14:paraId="25B10AA9" w14:textId="5CF9FA03" w:rsidR="5A2E61C0" w:rsidRDefault="2516AB39" w:rsidP="2516AB39">
      <w:pPr>
        <w:spacing w:line="276" w:lineRule="auto"/>
        <w:rPr>
          <w:rFonts w:eastAsiaTheme="minorEastAsia"/>
          <w:sz w:val="24"/>
          <w:szCs w:val="24"/>
        </w:rPr>
      </w:pPr>
      <w:r w:rsidRPr="2516AB39">
        <w:rPr>
          <w:rFonts w:eastAsiaTheme="minorEastAsia"/>
          <w:sz w:val="24"/>
          <w:szCs w:val="24"/>
        </w:rPr>
        <w:t xml:space="preserve">Attachment can also be described as a form of fondness or affection for a person or specific function. Regarding the attachment theory that will be the focus of this essay, attachment can be described as affection and fondness shown to one or more primary caregivers throughout life this can be more obvious as an infant than an adult as we become more confident on our own but the theory is very much still there in later life. Throughout this essay attachment theory will be the primary focus and the different theories produced by Bowlby, Ainsworth and studies such as Harlow's monkeys and Lorenz geese. This essay will go onto discuss the barriers and challenges people face in relation to the Attachment Theory and </w:t>
      </w:r>
      <w:proofErr w:type="gramStart"/>
      <w:r w:rsidRPr="2516AB39">
        <w:rPr>
          <w:rFonts w:eastAsiaTheme="minorEastAsia"/>
          <w:sz w:val="24"/>
          <w:szCs w:val="24"/>
        </w:rPr>
        <w:t>whether or not</w:t>
      </w:r>
      <w:proofErr w:type="gramEnd"/>
      <w:r w:rsidRPr="2516AB39">
        <w:rPr>
          <w:rFonts w:eastAsiaTheme="minorEastAsia"/>
          <w:sz w:val="24"/>
          <w:szCs w:val="24"/>
        </w:rPr>
        <w:t xml:space="preserve"> it impacts individuals lives as a direct result. As a lack of attachment can affect future relationships as a buildup of trust could potentially be difficult for individual who have a lack of attachment during childhood. The essay will go onto discuss the main characteristics of attachment theory and the individual aspects within the theory itself. As well as including a range of studies which have been conducted with animals relating to the theory. </w:t>
      </w:r>
    </w:p>
    <w:p w14:paraId="14BD1862" w14:textId="007EC040" w:rsidR="5A2E61C0" w:rsidRDefault="2516AB39" w:rsidP="2516AB39">
      <w:pPr>
        <w:spacing w:line="276" w:lineRule="auto"/>
        <w:rPr>
          <w:rFonts w:eastAsiaTheme="minorEastAsia"/>
          <w:sz w:val="24"/>
          <w:szCs w:val="24"/>
        </w:rPr>
      </w:pPr>
      <w:r w:rsidRPr="2516AB39">
        <w:rPr>
          <w:rFonts w:eastAsiaTheme="minorEastAsia"/>
          <w:sz w:val="24"/>
          <w:szCs w:val="24"/>
        </w:rPr>
        <w:t xml:space="preserve">There are four main stages within the attachment theory developed by John Bowlby and these have been named in numerous ways throughout the years however according to (Cherry 2019) these stages are called the pre attachment stage which is from birth to 6 weeks old, the next stage is the indiscriminate stage from 6 weeks to around 7 months, then onto the discriminate stage from 7 months and finally the multiple stage at ten months and on. She goes on to explain how the pre attachment stage means the infant has no specific attachment to anyone care giver and this does not occur until the indiscriminate stage of around 6 weeks to roughly 7 months. This is when the infant can begin to show a preference over primary and secondary careers. Before they move onto the discriminate stage where the infant will show a strong attachment and connect with their primary care giver. Finally (Cherry 2019) addresses the final stages of attachment theory as the multiple stage where from ten months the infant can recognize connections with multiple care givers such as grandparents or siblings etc. Throughout the article (Cherry 2019) suggests that the attachment to the mother or primary caregiver from an early age allows the child many benefits throughout life, as well as traditionally a stronger chance of survival if the infant is to stay close to the mother. It can be suggested that throughout history if a child has that maternal connection with their mother then they will be protected and free from fear and have a better chance of surviving adult hood. However, (Cherry 2019) indicates factors surrounding a lack of attachment to a primary care giver who may fail to form these bonds at all. (Winston &amp; Chicot 2016) also state that the bond between the infant and the caregiver formed in the first two years of life is crucial for child development. Therefore, leaving children such as orphans at a disadvantage due to the lack of the very much needed bond with an individual.  </w:t>
      </w:r>
    </w:p>
    <w:p w14:paraId="792B9D93" w14:textId="15220A7F" w:rsidR="01C9A874" w:rsidRDefault="2516AB39" w:rsidP="2516AB39">
      <w:pPr>
        <w:spacing w:line="276" w:lineRule="auto"/>
        <w:rPr>
          <w:rFonts w:eastAsiaTheme="minorEastAsia"/>
          <w:sz w:val="24"/>
          <w:szCs w:val="24"/>
        </w:rPr>
      </w:pPr>
      <w:r w:rsidRPr="2516AB39">
        <w:rPr>
          <w:rFonts w:eastAsiaTheme="minorEastAsia"/>
          <w:sz w:val="24"/>
          <w:szCs w:val="24"/>
        </w:rPr>
        <w:lastRenderedPageBreak/>
        <w:t xml:space="preserve">Bowlby’s theory was influenced by Freuds idea that attachment is formed off the base that the mother can provide basic needs like food for the baby's survival. However, Bowlby believed that a sense of security and safe base was to form the bonds of attachment not hunger and thirst like previously thought by Sigmund Freud. Which can be proved by Harlow’s Monkey experiment. Additionally, (Cherry 2019) explains how Bowlby thought that infants and mothers have evolved throughout time to biologically rely on each other and to stay in contact with each other to be able to survive and go on to produce again in the future. (Holmes 1993) details how attachment is not ‘outgrown’ as life goes on but simply becomes less noticeable as new relationships form and individuals become less dependent on our primary care givers. This shows how attachment theory is relevant throughout life and can become more obvious when in times of illnesses, threat, fatigue or tragedy. (Holmes 1993) speaks of the turbulence of adolescents can be describes in </w:t>
      </w:r>
      <w:proofErr w:type="spellStart"/>
      <w:r w:rsidRPr="2516AB39">
        <w:rPr>
          <w:rFonts w:eastAsiaTheme="minorEastAsia"/>
          <w:sz w:val="24"/>
          <w:szCs w:val="24"/>
        </w:rPr>
        <w:t>Bowlbian</w:t>
      </w:r>
      <w:proofErr w:type="spellEnd"/>
      <w:r w:rsidRPr="2516AB39">
        <w:rPr>
          <w:rFonts w:eastAsiaTheme="minorEastAsia"/>
          <w:sz w:val="24"/>
          <w:szCs w:val="24"/>
        </w:rPr>
        <w:t xml:space="preserve"> terms as simply moving from the complexity of detachment and then </w:t>
      </w:r>
      <w:proofErr w:type="gramStart"/>
      <w:r w:rsidRPr="2516AB39">
        <w:rPr>
          <w:rFonts w:eastAsiaTheme="minorEastAsia"/>
          <w:sz w:val="24"/>
          <w:szCs w:val="24"/>
        </w:rPr>
        <w:t>later on</w:t>
      </w:r>
      <w:proofErr w:type="gramEnd"/>
      <w:r w:rsidRPr="2516AB39">
        <w:rPr>
          <w:rFonts w:eastAsiaTheme="minorEastAsia"/>
          <w:sz w:val="24"/>
          <w:szCs w:val="24"/>
        </w:rPr>
        <w:t xml:space="preserve"> in life the re-attachment of those relationships made by adults. Furthermore, he goes on to explain how marriage </w:t>
      </w:r>
      <w:proofErr w:type="gramStart"/>
      <w:r w:rsidRPr="2516AB39">
        <w:rPr>
          <w:rFonts w:eastAsiaTheme="minorEastAsia"/>
          <w:sz w:val="24"/>
          <w:szCs w:val="24"/>
        </w:rPr>
        <w:t>can be seen as</w:t>
      </w:r>
      <w:proofErr w:type="gramEnd"/>
      <w:r w:rsidRPr="2516AB39">
        <w:rPr>
          <w:rFonts w:eastAsiaTheme="minorEastAsia"/>
          <w:sz w:val="24"/>
          <w:szCs w:val="24"/>
        </w:rPr>
        <w:t xml:space="preserve"> the adult moving their ‘secure base’ from the primary caregiver such as a mother to a companion such as a husband or wife. This new creation of a secure base within later life's shows how the attachment theory is relevant in later life just as much as in one's early life as an infant. </w:t>
      </w:r>
    </w:p>
    <w:p w14:paraId="0F382ED9" w14:textId="79BE414A" w:rsidR="01C9A874" w:rsidRDefault="6347F5C4" w:rsidP="6347F5C4">
      <w:pPr>
        <w:spacing w:line="276" w:lineRule="auto"/>
        <w:rPr>
          <w:rFonts w:eastAsiaTheme="minorEastAsia"/>
          <w:sz w:val="24"/>
          <w:szCs w:val="24"/>
        </w:rPr>
      </w:pPr>
      <w:r w:rsidRPr="6347F5C4">
        <w:rPr>
          <w:rFonts w:eastAsiaTheme="minorEastAsia"/>
          <w:sz w:val="24"/>
          <w:szCs w:val="24"/>
        </w:rPr>
        <w:t xml:space="preserve">Bowlby also goes on to explain how if young children are deprived of this type of attachment it could potentially have adverse effects and could cause issues in adult relationships as that individual is unsure of how to emotionally connect with people due to that lack of attachment from such an early age. This raises issues such as an individual's ability to form trusting bonds, with being able to do this the individual may become isolated and depressed leading to many more life complications. If the bond is not formed as a child then that individuals' emotional development would not form appropriately which would, as mentioned before, affect their ability to form those relationships in later life. Whether that be with friends or co-workers it would make life troublesome with no one to turn to for that secure base. As </w:t>
      </w:r>
      <w:proofErr w:type="spellStart"/>
      <w:r w:rsidRPr="6347F5C4">
        <w:rPr>
          <w:rFonts w:eastAsiaTheme="minorEastAsia"/>
          <w:sz w:val="24"/>
          <w:szCs w:val="24"/>
        </w:rPr>
        <w:t>Fahlbert</w:t>
      </w:r>
      <w:proofErr w:type="spellEnd"/>
      <w:r w:rsidRPr="6347F5C4">
        <w:rPr>
          <w:rFonts w:eastAsiaTheme="minorEastAsia"/>
          <w:sz w:val="24"/>
          <w:szCs w:val="24"/>
        </w:rPr>
        <w:t xml:space="preserve"> (1979) noted it can lead to issues regarding self-esteem, self-regulation and a lack of control over emotions, as well as conscience development as they may not feel guilt when breaking rules or laws. He also goes onto explain how the lack of attachment in early childhood may result in them not being able to understand emotions toward them and their emotions towards others. He highlights issues expressing anger and sadness which can ultimately lead to depression throughout life which could have a striking effect on future relationships. </w:t>
      </w:r>
    </w:p>
    <w:p w14:paraId="0FBA074C" w14:textId="2910FC8D" w:rsidR="43BC7F41" w:rsidRDefault="2516AB39" w:rsidP="2516AB39">
      <w:pPr>
        <w:spacing w:line="276" w:lineRule="auto"/>
        <w:rPr>
          <w:rFonts w:eastAsiaTheme="minorEastAsia"/>
          <w:sz w:val="24"/>
          <w:szCs w:val="24"/>
        </w:rPr>
      </w:pPr>
      <w:r w:rsidRPr="2516AB39">
        <w:rPr>
          <w:rFonts w:eastAsiaTheme="minorEastAsia"/>
          <w:sz w:val="24"/>
          <w:szCs w:val="24"/>
        </w:rPr>
        <w:t xml:space="preserve">Furthermore, Mary Ainsworth also worked on Attachment Theory and was very much influenced by Bowlby’s theory. She conducted an experiment called the strange separation classification. She looked at how attachment might vary between children. For instance (Schaffer and Emerson 1964) researched what they thought to be innate differences in sociability in infants they saw that some babies preferred cuddling and affection more than others, from an early stage before much or any form of interaction could cause differences. </w:t>
      </w:r>
      <w:r w:rsidRPr="2516AB39">
        <w:rPr>
          <w:rFonts w:eastAsiaTheme="minorEastAsia"/>
          <w:sz w:val="24"/>
          <w:szCs w:val="24"/>
        </w:rPr>
        <w:lastRenderedPageBreak/>
        <w:t xml:space="preserve">Mary used observational methods to determine attachment theory as infants are not able to tell us with words how they are feeling when they are apart from their primary care giver like an adult can do. The strange separation classification was used to determine attachment behavior and the attachment styles in a range of children. The experiment was set up in a small room with a </w:t>
      </w:r>
      <w:proofErr w:type="gramStart"/>
      <w:r w:rsidRPr="2516AB39">
        <w:rPr>
          <w:rFonts w:eastAsiaTheme="minorEastAsia"/>
          <w:sz w:val="24"/>
          <w:szCs w:val="24"/>
        </w:rPr>
        <w:t>one way</w:t>
      </w:r>
      <w:proofErr w:type="gramEnd"/>
      <w:r w:rsidRPr="2516AB39">
        <w:rPr>
          <w:rFonts w:eastAsiaTheme="minorEastAsia"/>
          <w:sz w:val="24"/>
          <w:szCs w:val="24"/>
        </w:rPr>
        <w:t xml:space="preserve"> mirror to monitor the babies without their knowledge and was conducted with 100 babies aged between 12 and 18 months. </w:t>
      </w:r>
    </w:p>
    <w:p w14:paraId="5FDC7BE3" w14:textId="46DB40FF" w:rsidR="43BC7F41" w:rsidRDefault="15FBBCA1" w:rsidP="15FBBCA1">
      <w:pPr>
        <w:spacing w:line="276" w:lineRule="auto"/>
        <w:rPr>
          <w:rFonts w:eastAsiaTheme="minorEastAsia"/>
          <w:sz w:val="24"/>
          <w:szCs w:val="24"/>
        </w:rPr>
      </w:pPr>
      <w:r w:rsidRPr="15FBBCA1">
        <w:rPr>
          <w:rFonts w:eastAsiaTheme="minorEastAsia"/>
          <w:sz w:val="24"/>
          <w:szCs w:val="24"/>
        </w:rPr>
        <w:t>The results from the strange situation classification showed that mothers who attend to children’s needs more effectively and were more sensitive toward their infant were securely attached to their child whereas mothers who tend to ignore their child’s needs or respond to them incorrectly are seen to be less attached and their attachment bond is not secure. (</w:t>
      </w:r>
      <w:proofErr w:type="spellStart"/>
      <w:r w:rsidRPr="15FBBCA1">
        <w:rPr>
          <w:rFonts w:eastAsiaTheme="minorEastAsia"/>
          <w:sz w:val="24"/>
          <w:szCs w:val="24"/>
        </w:rPr>
        <w:t>Stahlecker</w:t>
      </w:r>
      <w:proofErr w:type="spellEnd"/>
      <w:r w:rsidRPr="15FBBCA1">
        <w:rPr>
          <w:rFonts w:eastAsiaTheme="minorEastAsia"/>
          <w:sz w:val="24"/>
          <w:szCs w:val="24"/>
        </w:rPr>
        <w:t xml:space="preserve"> et al 1985) notes that the experiment was also carried out with infants that are neurologically impaired and explains how the attachment process could be disrupted for the infant and the caregiver. (</w:t>
      </w:r>
      <w:proofErr w:type="spellStart"/>
      <w:r w:rsidRPr="15FBBCA1">
        <w:rPr>
          <w:rFonts w:eastAsiaTheme="minorEastAsia"/>
          <w:sz w:val="24"/>
          <w:szCs w:val="24"/>
        </w:rPr>
        <w:t>Blacher</w:t>
      </w:r>
      <w:proofErr w:type="spellEnd"/>
      <w:r w:rsidRPr="15FBBCA1">
        <w:rPr>
          <w:rFonts w:eastAsiaTheme="minorEastAsia"/>
          <w:sz w:val="24"/>
          <w:szCs w:val="24"/>
        </w:rPr>
        <w:t xml:space="preserve"> &amp; Meyer 1983) reported a lack of standardized approach employed to asses handicapped children, which could cause some bias or other issues with the reliability of the test on the handicapped children. However, (</w:t>
      </w:r>
      <w:proofErr w:type="spellStart"/>
      <w:r w:rsidRPr="15FBBCA1">
        <w:rPr>
          <w:rFonts w:eastAsiaTheme="minorEastAsia"/>
          <w:sz w:val="24"/>
          <w:szCs w:val="24"/>
        </w:rPr>
        <w:t>Stahlecker</w:t>
      </w:r>
      <w:proofErr w:type="spellEnd"/>
      <w:r w:rsidRPr="15FBBCA1">
        <w:rPr>
          <w:rFonts w:eastAsiaTheme="minorEastAsia"/>
          <w:sz w:val="24"/>
          <w:szCs w:val="24"/>
        </w:rPr>
        <w:t xml:space="preserve"> 1985) details of other theorists who have suggested that there are fewer behaviors shown in handicap children regarding attachment to a primary caregiver, especially </w:t>
      </w:r>
      <w:proofErr w:type="gramStart"/>
      <w:r w:rsidRPr="15FBBCA1">
        <w:rPr>
          <w:rFonts w:eastAsiaTheme="minorEastAsia"/>
          <w:sz w:val="24"/>
          <w:szCs w:val="24"/>
        </w:rPr>
        <w:t>in regard to</w:t>
      </w:r>
      <w:proofErr w:type="gramEnd"/>
      <w:r w:rsidRPr="15FBBCA1">
        <w:rPr>
          <w:rFonts w:eastAsiaTheme="minorEastAsia"/>
          <w:sz w:val="24"/>
          <w:szCs w:val="24"/>
        </w:rPr>
        <w:t xml:space="preserve"> the behaviors that needed the use of perceptual motor coordination and the use of gross motor skills. </w:t>
      </w:r>
    </w:p>
    <w:p w14:paraId="4CD77689" w14:textId="1B7DCC94" w:rsidR="2516AB39" w:rsidRDefault="15FBBCA1" w:rsidP="15FBBCA1">
      <w:pPr>
        <w:spacing w:line="276" w:lineRule="auto"/>
        <w:rPr>
          <w:rFonts w:eastAsiaTheme="minorEastAsia"/>
          <w:sz w:val="24"/>
          <w:szCs w:val="24"/>
        </w:rPr>
      </w:pPr>
      <w:r w:rsidRPr="15FBBCA1">
        <w:rPr>
          <w:rFonts w:eastAsiaTheme="minorEastAsia"/>
          <w:sz w:val="24"/>
          <w:szCs w:val="24"/>
        </w:rPr>
        <w:t xml:space="preserve"> Additionally, many theorists saw that the main reason for attachment was due to the need to feel safe, secure and warmth from their primary care giver, not the need to food like Freud initially thought. As mentioned previously Harlow’s monkey experiment proved this theory as he had a motherless baby monkey and two fake surrogate mothers one made of wire which provided food and a terry cloth covered surrogate mother which provided safety and comfort for the infant monkey.  In his experiment he saw that the infant monkeys spent most of their time with the cloth mother and went to the wood and wire mother simply to feed then back to the cloth mother for comfort. It was also shown during Harlow’s test that when the monkey was scared or worried, they quickly went to cling to the terry cloth mother for that security and safe base. However, once this study was over the infant monkeys were released back into an environment with other monkeys they were not able to form these social bonds with other monkeys and some died as a result of bullying by others, some refused to eat and starved to death and this was all due to that monkey know being able to form any bonds with living things as they had been attached to their innate surrogate mother previously so they were not able to react or express emotions to bond those attachments. Relating this to humans the lack of attachment in those early stages affects future relationships like the monkeys unaware of how to form relationships left them isolated or bullied which could be the same in humans if that child does not receive that attachment bond in their early stages of life. </w:t>
      </w:r>
    </w:p>
    <w:p w14:paraId="3E27E641" w14:textId="476FE88B" w:rsidR="6347F5C4" w:rsidRDefault="6347F5C4" w:rsidP="6347F5C4">
      <w:pPr>
        <w:spacing w:line="276" w:lineRule="auto"/>
        <w:rPr>
          <w:rFonts w:eastAsiaTheme="minorEastAsia"/>
          <w:sz w:val="24"/>
          <w:szCs w:val="24"/>
        </w:rPr>
      </w:pPr>
      <w:r w:rsidRPr="6347F5C4">
        <w:rPr>
          <w:rFonts w:eastAsiaTheme="minorEastAsia"/>
          <w:sz w:val="24"/>
          <w:szCs w:val="24"/>
        </w:rPr>
        <w:t xml:space="preserve">To conclude, attachment theory is the bond between an infant and their primary care giver. As that infant moves throughout life they form attachments with others around them such as siblings, grandparents and eventually move that secure base to individuals throughout </w:t>
      </w:r>
      <w:r w:rsidRPr="6347F5C4">
        <w:rPr>
          <w:rFonts w:eastAsiaTheme="minorEastAsia"/>
          <w:sz w:val="24"/>
          <w:szCs w:val="24"/>
        </w:rPr>
        <w:lastRenderedPageBreak/>
        <w:t xml:space="preserve">their life span. John Bowlby’s theory of maternal deprivation and the lack of attachment to a primary care giver from an early age shows a range of phycological issues than span from childhood to adulthood if that connection is disrupted. For example, not being able to form emotional relationships due to the lack of them as an infant. Which as mentioned before could affected the individual’s mental health causing depression and other possibly fatal mental illnesses. The essay also detailed Mary Ainsworth’s strange situation classification experiment as well as the reliability of the test on the impaired children as they show fewer signs of attachment behavior than children without the neurological impairments. Bowlby’s four main characteristics of the theory have also been explained as children begin their attachment to one primary care giver and move on through to the multiple attachments </w:t>
      </w:r>
      <w:proofErr w:type="gramStart"/>
      <w:r w:rsidRPr="6347F5C4">
        <w:rPr>
          <w:rFonts w:eastAsiaTheme="minorEastAsia"/>
          <w:sz w:val="24"/>
          <w:szCs w:val="24"/>
        </w:rPr>
        <w:t>later on</w:t>
      </w:r>
      <w:proofErr w:type="gramEnd"/>
      <w:r w:rsidRPr="6347F5C4">
        <w:rPr>
          <w:rFonts w:eastAsiaTheme="minorEastAsia"/>
          <w:sz w:val="24"/>
          <w:szCs w:val="24"/>
        </w:rPr>
        <w:t xml:space="preserve"> in life. Overall the studies presented by Harlow’s monkey experience and Ainsworth’s strange situation classification experiment shows that the need for attachment during infancy is crucial to be able to form relationships and self-regulate feelings throughout life. From cradle to grave. </w:t>
      </w:r>
    </w:p>
    <w:p w14:paraId="7646C3B3" w14:textId="63B650D9" w:rsidR="2516AB39" w:rsidRDefault="2516AB39" w:rsidP="6347F5C4">
      <w:pPr>
        <w:spacing w:line="276" w:lineRule="auto"/>
        <w:rPr>
          <w:rFonts w:eastAsiaTheme="minorEastAsia"/>
          <w:sz w:val="24"/>
          <w:szCs w:val="24"/>
        </w:rPr>
      </w:pPr>
    </w:p>
    <w:p w14:paraId="08EFBA86" w14:textId="3AA2D2FB" w:rsidR="43BC7F41" w:rsidRDefault="6347F5C4" w:rsidP="6347F5C4">
      <w:pPr>
        <w:spacing w:line="276" w:lineRule="auto"/>
        <w:rPr>
          <w:rFonts w:eastAsiaTheme="minorEastAsia"/>
          <w:sz w:val="24"/>
          <w:szCs w:val="24"/>
          <w:u w:val="single"/>
        </w:rPr>
      </w:pPr>
      <w:r w:rsidRPr="6347F5C4">
        <w:rPr>
          <w:rFonts w:eastAsiaTheme="minorEastAsia"/>
          <w:sz w:val="24"/>
          <w:szCs w:val="24"/>
          <w:u w:val="single"/>
        </w:rPr>
        <w:t>Reference List.</w:t>
      </w:r>
      <w:r w:rsidRPr="6347F5C4">
        <w:rPr>
          <w:rFonts w:eastAsiaTheme="minorEastAsia"/>
          <w:sz w:val="24"/>
          <w:szCs w:val="24"/>
        </w:rPr>
        <w:t xml:space="preserve"> </w:t>
      </w:r>
    </w:p>
    <w:p w14:paraId="20DB17BD" w14:textId="40FEBA98" w:rsidR="6347F5C4" w:rsidRDefault="6347F5C4" w:rsidP="6347F5C4">
      <w:pPr>
        <w:spacing w:line="276" w:lineRule="auto"/>
        <w:rPr>
          <w:rFonts w:eastAsiaTheme="minorEastAsia"/>
          <w:sz w:val="24"/>
          <w:szCs w:val="24"/>
        </w:rPr>
      </w:pPr>
      <w:proofErr w:type="spellStart"/>
      <w:r w:rsidRPr="6347F5C4">
        <w:rPr>
          <w:rFonts w:eastAsiaTheme="minorEastAsia"/>
          <w:sz w:val="24"/>
          <w:szCs w:val="24"/>
        </w:rPr>
        <w:t>Blacher</w:t>
      </w:r>
      <w:proofErr w:type="spellEnd"/>
      <w:r w:rsidRPr="6347F5C4">
        <w:rPr>
          <w:rFonts w:eastAsiaTheme="minorEastAsia"/>
          <w:sz w:val="24"/>
          <w:szCs w:val="24"/>
        </w:rPr>
        <w:t xml:space="preserve">, J. &amp; Meyer, C. (1983) </w:t>
      </w:r>
      <w:r w:rsidRPr="6347F5C4">
        <w:rPr>
          <w:rFonts w:eastAsiaTheme="minorEastAsia"/>
          <w:i/>
          <w:iCs/>
          <w:sz w:val="24"/>
          <w:szCs w:val="24"/>
        </w:rPr>
        <w:t xml:space="preserve">A review of attachment formation and disorder of handicapped children. </w:t>
      </w:r>
      <w:r w:rsidRPr="6347F5C4">
        <w:rPr>
          <w:rFonts w:eastAsiaTheme="minorEastAsia"/>
          <w:sz w:val="24"/>
          <w:szCs w:val="24"/>
        </w:rPr>
        <w:t xml:space="preserve">American Journal. (359-371) (Available at </w:t>
      </w:r>
      <w:hyperlink r:id="rId6">
        <w:r w:rsidRPr="6347F5C4">
          <w:rPr>
            <w:rStyle w:val="Hyperlink"/>
            <w:rFonts w:ascii="Calibri" w:eastAsia="Calibri" w:hAnsi="Calibri" w:cs="Calibri"/>
            <w:sz w:val="24"/>
            <w:szCs w:val="24"/>
          </w:rPr>
          <w:t>https://psycnet.apa.org/record/1983-10654-001</w:t>
        </w:r>
      </w:hyperlink>
      <w:r w:rsidRPr="6347F5C4">
        <w:rPr>
          <w:rFonts w:ascii="Calibri" w:eastAsia="Calibri" w:hAnsi="Calibri" w:cs="Calibri"/>
          <w:sz w:val="24"/>
          <w:szCs w:val="24"/>
        </w:rPr>
        <w:t xml:space="preserve"> ) (Accessed on 3</w:t>
      </w:r>
      <w:r w:rsidRPr="6347F5C4">
        <w:rPr>
          <w:rFonts w:ascii="Calibri" w:eastAsia="Calibri" w:hAnsi="Calibri" w:cs="Calibri"/>
          <w:sz w:val="24"/>
          <w:szCs w:val="24"/>
          <w:vertAlign w:val="superscript"/>
        </w:rPr>
        <w:t>rd</w:t>
      </w:r>
      <w:r w:rsidRPr="6347F5C4">
        <w:rPr>
          <w:rFonts w:ascii="Calibri" w:eastAsia="Calibri" w:hAnsi="Calibri" w:cs="Calibri"/>
          <w:sz w:val="24"/>
          <w:szCs w:val="24"/>
        </w:rPr>
        <w:t xml:space="preserve"> May 2019)</w:t>
      </w:r>
    </w:p>
    <w:p w14:paraId="0B7F64EA" w14:textId="0F998ABC" w:rsidR="01C9A874" w:rsidRDefault="2516AB39" w:rsidP="2516AB39">
      <w:pPr>
        <w:spacing w:line="276" w:lineRule="auto"/>
        <w:rPr>
          <w:rFonts w:eastAsiaTheme="minorEastAsia"/>
          <w:i/>
          <w:iCs/>
          <w:sz w:val="24"/>
          <w:szCs w:val="24"/>
        </w:rPr>
      </w:pPr>
      <w:r w:rsidRPr="2516AB39">
        <w:rPr>
          <w:rFonts w:eastAsiaTheme="minorEastAsia"/>
          <w:sz w:val="24"/>
          <w:szCs w:val="24"/>
        </w:rPr>
        <w:t xml:space="preserve">Cherry, K. (2019) </w:t>
      </w:r>
      <w:r w:rsidRPr="2516AB39">
        <w:rPr>
          <w:rFonts w:eastAsiaTheme="minorEastAsia"/>
          <w:i/>
          <w:iCs/>
          <w:sz w:val="24"/>
          <w:szCs w:val="24"/>
        </w:rPr>
        <w:t xml:space="preserve">The Story of Bowlby, Ainsworth and Attachment Theory. - The Importance of Emotional Bonds. </w:t>
      </w:r>
      <w:r w:rsidRPr="2516AB39">
        <w:rPr>
          <w:rFonts w:eastAsiaTheme="minorEastAsia"/>
          <w:sz w:val="24"/>
          <w:szCs w:val="24"/>
        </w:rPr>
        <w:t xml:space="preserve">Very Well Mind. (Available on </w:t>
      </w:r>
      <w:hyperlink r:id="rId7">
        <w:r w:rsidRPr="2516AB39">
          <w:rPr>
            <w:rStyle w:val="Hyperlink"/>
            <w:rFonts w:ascii="Calibri" w:eastAsia="Calibri" w:hAnsi="Calibri" w:cs="Calibri"/>
            <w:sz w:val="24"/>
            <w:szCs w:val="24"/>
          </w:rPr>
          <w:t>https://www.verywellmind.com/what-is-attachment-theory-2795337</w:t>
        </w:r>
      </w:hyperlink>
      <w:r w:rsidRPr="2516AB39">
        <w:rPr>
          <w:rFonts w:ascii="Calibri" w:eastAsia="Calibri" w:hAnsi="Calibri" w:cs="Calibri"/>
          <w:sz w:val="24"/>
          <w:szCs w:val="24"/>
        </w:rPr>
        <w:t xml:space="preserve"> ) (Accessed on 26</w:t>
      </w:r>
      <w:r w:rsidRPr="2516AB39">
        <w:rPr>
          <w:rFonts w:ascii="Calibri" w:eastAsia="Calibri" w:hAnsi="Calibri" w:cs="Calibri"/>
          <w:sz w:val="24"/>
          <w:szCs w:val="24"/>
          <w:vertAlign w:val="superscript"/>
        </w:rPr>
        <w:t>th</w:t>
      </w:r>
      <w:r w:rsidRPr="2516AB39">
        <w:rPr>
          <w:rFonts w:ascii="Calibri" w:eastAsia="Calibri" w:hAnsi="Calibri" w:cs="Calibri"/>
          <w:sz w:val="24"/>
          <w:szCs w:val="24"/>
        </w:rPr>
        <w:t xml:space="preserve"> April 2019) </w:t>
      </w:r>
    </w:p>
    <w:p w14:paraId="3271BC43" w14:textId="05274196" w:rsidR="2516AB39" w:rsidRDefault="2516AB39" w:rsidP="2516AB39">
      <w:pPr>
        <w:spacing w:line="276" w:lineRule="auto"/>
        <w:rPr>
          <w:rFonts w:ascii="Calibri" w:eastAsia="Calibri" w:hAnsi="Calibri" w:cs="Calibri"/>
          <w:sz w:val="24"/>
          <w:szCs w:val="24"/>
        </w:rPr>
      </w:pPr>
      <w:proofErr w:type="spellStart"/>
      <w:r w:rsidRPr="2516AB39">
        <w:rPr>
          <w:rFonts w:ascii="Calibri" w:eastAsia="Calibri" w:hAnsi="Calibri" w:cs="Calibri"/>
          <w:sz w:val="24"/>
          <w:szCs w:val="24"/>
        </w:rPr>
        <w:t>Fahlbert</w:t>
      </w:r>
      <w:proofErr w:type="spellEnd"/>
      <w:r w:rsidRPr="2516AB39">
        <w:rPr>
          <w:rFonts w:ascii="Calibri" w:eastAsia="Calibri" w:hAnsi="Calibri" w:cs="Calibri"/>
          <w:sz w:val="24"/>
          <w:szCs w:val="24"/>
        </w:rPr>
        <w:t xml:space="preserve">, V. (1979) </w:t>
      </w:r>
      <w:r w:rsidRPr="2516AB39">
        <w:rPr>
          <w:rFonts w:ascii="Calibri" w:eastAsia="Calibri" w:hAnsi="Calibri" w:cs="Calibri"/>
          <w:i/>
          <w:iCs/>
          <w:sz w:val="24"/>
          <w:szCs w:val="24"/>
        </w:rPr>
        <w:t xml:space="preserve">Long term effects of the failure of childhood attachment. </w:t>
      </w:r>
      <w:r w:rsidRPr="2516AB39">
        <w:rPr>
          <w:rFonts w:ascii="Calibri" w:eastAsia="Calibri" w:hAnsi="Calibri" w:cs="Calibri"/>
          <w:sz w:val="24"/>
          <w:szCs w:val="24"/>
        </w:rPr>
        <w:t xml:space="preserve">(Available on </w:t>
      </w:r>
      <w:hyperlink r:id="rId8">
        <w:r w:rsidRPr="2516AB39">
          <w:rPr>
            <w:rStyle w:val="Hyperlink"/>
            <w:rFonts w:ascii="Calibri" w:eastAsia="Calibri" w:hAnsi="Calibri" w:cs="Calibri"/>
            <w:sz w:val="24"/>
            <w:szCs w:val="24"/>
          </w:rPr>
          <w:t>https://www.nurturingparenting.com/images/cmsfiles/long-term_effects_of_the_failure_of_childhood_attachment.pdf</w:t>
        </w:r>
      </w:hyperlink>
      <w:r w:rsidRPr="2516AB39">
        <w:rPr>
          <w:rFonts w:ascii="Calibri" w:eastAsia="Calibri" w:hAnsi="Calibri" w:cs="Calibri"/>
          <w:sz w:val="24"/>
          <w:szCs w:val="24"/>
        </w:rPr>
        <w:t xml:space="preserve"> ) (Accessed on 3</w:t>
      </w:r>
      <w:r w:rsidRPr="2516AB39">
        <w:rPr>
          <w:rFonts w:ascii="Calibri" w:eastAsia="Calibri" w:hAnsi="Calibri" w:cs="Calibri"/>
          <w:sz w:val="24"/>
          <w:szCs w:val="24"/>
          <w:vertAlign w:val="superscript"/>
        </w:rPr>
        <w:t>rd</w:t>
      </w:r>
      <w:r w:rsidRPr="2516AB39">
        <w:rPr>
          <w:rFonts w:ascii="Calibri" w:eastAsia="Calibri" w:hAnsi="Calibri" w:cs="Calibri"/>
          <w:sz w:val="24"/>
          <w:szCs w:val="24"/>
        </w:rPr>
        <w:t xml:space="preserve"> May 2019) </w:t>
      </w:r>
    </w:p>
    <w:p w14:paraId="695A6B1D" w14:textId="43EC2AD2" w:rsidR="71E3457B" w:rsidRDefault="71E3457B" w:rsidP="71E3457B">
      <w:pPr>
        <w:spacing w:line="276" w:lineRule="auto"/>
        <w:rPr>
          <w:rFonts w:ascii="Calibri" w:eastAsia="Calibri" w:hAnsi="Calibri" w:cs="Calibri"/>
          <w:sz w:val="24"/>
          <w:szCs w:val="24"/>
        </w:rPr>
      </w:pPr>
      <w:r w:rsidRPr="71E3457B">
        <w:rPr>
          <w:rFonts w:ascii="Calibri" w:eastAsia="Calibri" w:hAnsi="Calibri" w:cs="Calibri"/>
          <w:sz w:val="24"/>
          <w:szCs w:val="24"/>
        </w:rPr>
        <w:t xml:space="preserve">Holmes, J. (1993) </w:t>
      </w:r>
      <w:r w:rsidRPr="71E3457B">
        <w:rPr>
          <w:rFonts w:ascii="Calibri" w:eastAsia="Calibri" w:hAnsi="Calibri" w:cs="Calibri"/>
          <w:i/>
          <w:iCs/>
          <w:sz w:val="24"/>
          <w:szCs w:val="24"/>
        </w:rPr>
        <w:t>John Bowlby and attachment theory.</w:t>
      </w:r>
      <w:r w:rsidRPr="71E3457B">
        <w:rPr>
          <w:rFonts w:ascii="Calibri" w:eastAsia="Calibri" w:hAnsi="Calibri" w:cs="Calibri"/>
          <w:sz w:val="24"/>
          <w:szCs w:val="24"/>
        </w:rPr>
        <w:t xml:space="preserve"> London. Routledge. </w:t>
      </w:r>
    </w:p>
    <w:p w14:paraId="3B68D1BF" w14:textId="58D3C415" w:rsidR="43BC7F41" w:rsidRDefault="6347F5C4" w:rsidP="6347F5C4">
      <w:pPr>
        <w:spacing w:line="276" w:lineRule="auto"/>
        <w:rPr>
          <w:rFonts w:eastAsiaTheme="minorEastAsia"/>
          <w:i/>
          <w:iCs/>
          <w:sz w:val="24"/>
          <w:szCs w:val="24"/>
        </w:rPr>
      </w:pPr>
      <w:r w:rsidRPr="6347F5C4">
        <w:rPr>
          <w:rFonts w:ascii="Calibri" w:eastAsia="Calibri" w:hAnsi="Calibri" w:cs="Calibri"/>
          <w:sz w:val="24"/>
          <w:szCs w:val="24"/>
        </w:rPr>
        <w:t xml:space="preserve">McLeod, S. (2017) </w:t>
      </w:r>
      <w:r w:rsidRPr="6347F5C4">
        <w:rPr>
          <w:rFonts w:ascii="Calibri" w:eastAsia="Calibri" w:hAnsi="Calibri" w:cs="Calibri"/>
          <w:i/>
          <w:iCs/>
          <w:sz w:val="24"/>
          <w:szCs w:val="24"/>
        </w:rPr>
        <w:t>Bowlby’s Attachment Theor</w:t>
      </w:r>
      <w:r w:rsidRPr="6347F5C4">
        <w:rPr>
          <w:rFonts w:eastAsiaTheme="minorEastAsia"/>
          <w:i/>
          <w:iCs/>
          <w:sz w:val="24"/>
          <w:szCs w:val="24"/>
        </w:rPr>
        <w:t xml:space="preserve">y. </w:t>
      </w:r>
      <w:r w:rsidRPr="6347F5C4">
        <w:rPr>
          <w:rFonts w:eastAsiaTheme="minorEastAsia"/>
          <w:sz w:val="24"/>
          <w:szCs w:val="24"/>
        </w:rPr>
        <w:t xml:space="preserve">Simple Psychology. (Available on </w:t>
      </w:r>
      <w:hyperlink r:id="rId9">
        <w:r w:rsidRPr="6347F5C4">
          <w:rPr>
            <w:rStyle w:val="Hyperlink"/>
            <w:rFonts w:eastAsiaTheme="minorEastAsia"/>
            <w:color w:val="4471C4"/>
            <w:sz w:val="24"/>
            <w:szCs w:val="24"/>
          </w:rPr>
          <w:t>https://www.simplypsychology.org/bowlby.html</w:t>
        </w:r>
      </w:hyperlink>
      <w:r w:rsidRPr="6347F5C4">
        <w:rPr>
          <w:rFonts w:eastAsiaTheme="minorEastAsia"/>
          <w:sz w:val="24"/>
          <w:szCs w:val="24"/>
        </w:rPr>
        <w:t xml:space="preserve"> ) (Accessed on 26</w:t>
      </w:r>
      <w:r w:rsidRPr="6347F5C4">
        <w:rPr>
          <w:rFonts w:eastAsiaTheme="minorEastAsia"/>
          <w:sz w:val="24"/>
          <w:szCs w:val="24"/>
          <w:vertAlign w:val="superscript"/>
        </w:rPr>
        <w:t>th</w:t>
      </w:r>
      <w:r w:rsidRPr="6347F5C4">
        <w:rPr>
          <w:rFonts w:eastAsiaTheme="minorEastAsia"/>
          <w:sz w:val="24"/>
          <w:szCs w:val="24"/>
        </w:rPr>
        <w:t xml:space="preserve"> April 2019) </w:t>
      </w:r>
    </w:p>
    <w:p w14:paraId="3D8C9091" w14:textId="6CA4453C" w:rsidR="6347F5C4" w:rsidRDefault="6347F5C4" w:rsidP="6347F5C4">
      <w:pPr>
        <w:spacing w:line="276" w:lineRule="auto"/>
        <w:rPr>
          <w:rFonts w:eastAsiaTheme="minorEastAsia"/>
          <w:sz w:val="24"/>
          <w:szCs w:val="24"/>
        </w:rPr>
      </w:pPr>
      <w:r w:rsidRPr="6347F5C4">
        <w:rPr>
          <w:rFonts w:eastAsiaTheme="minorEastAsia"/>
          <w:sz w:val="24"/>
          <w:szCs w:val="24"/>
        </w:rPr>
        <w:t xml:space="preserve">McLeod, S. (2018) </w:t>
      </w:r>
      <w:r w:rsidRPr="6347F5C4">
        <w:rPr>
          <w:rFonts w:eastAsiaTheme="minorEastAsia"/>
          <w:i/>
          <w:iCs/>
          <w:sz w:val="24"/>
          <w:szCs w:val="24"/>
        </w:rPr>
        <w:t>‘Mary Ainsworth’</w:t>
      </w:r>
      <w:r w:rsidRPr="6347F5C4">
        <w:rPr>
          <w:rFonts w:eastAsiaTheme="minorEastAsia"/>
          <w:sz w:val="24"/>
          <w:szCs w:val="24"/>
        </w:rPr>
        <w:t xml:space="preserve"> Simple Phycology. (Available on </w:t>
      </w:r>
      <w:hyperlink r:id="rId10" w:anchor="ssc">
        <w:r w:rsidRPr="6347F5C4">
          <w:rPr>
            <w:rStyle w:val="Hyperlink"/>
            <w:rFonts w:ascii="Calibri" w:eastAsia="Calibri" w:hAnsi="Calibri" w:cs="Calibri"/>
            <w:sz w:val="24"/>
            <w:szCs w:val="24"/>
          </w:rPr>
          <w:t>https://www.simplypsychology.org/mary-ainsworth.html#ssc</w:t>
        </w:r>
      </w:hyperlink>
      <w:r w:rsidRPr="6347F5C4">
        <w:rPr>
          <w:rFonts w:ascii="Calibri" w:eastAsia="Calibri" w:hAnsi="Calibri" w:cs="Calibri"/>
          <w:sz w:val="24"/>
          <w:szCs w:val="24"/>
        </w:rPr>
        <w:t xml:space="preserve"> ) (Accessed on 1</w:t>
      </w:r>
      <w:r w:rsidRPr="6347F5C4">
        <w:rPr>
          <w:rFonts w:ascii="Calibri" w:eastAsia="Calibri" w:hAnsi="Calibri" w:cs="Calibri"/>
          <w:sz w:val="24"/>
          <w:szCs w:val="24"/>
          <w:vertAlign w:val="superscript"/>
        </w:rPr>
        <w:t>st</w:t>
      </w:r>
      <w:r w:rsidRPr="6347F5C4">
        <w:rPr>
          <w:rFonts w:ascii="Calibri" w:eastAsia="Calibri" w:hAnsi="Calibri" w:cs="Calibri"/>
          <w:sz w:val="24"/>
          <w:szCs w:val="24"/>
        </w:rPr>
        <w:t xml:space="preserve"> May 2019)</w:t>
      </w:r>
    </w:p>
    <w:p w14:paraId="693FCF9E" w14:textId="0FFBCD38" w:rsidR="6347F5C4" w:rsidRDefault="6347F5C4" w:rsidP="6347F5C4">
      <w:pPr>
        <w:spacing w:line="276" w:lineRule="auto"/>
        <w:rPr>
          <w:rFonts w:ascii="Calibri" w:eastAsia="Calibri" w:hAnsi="Calibri" w:cs="Calibri"/>
          <w:sz w:val="24"/>
          <w:szCs w:val="24"/>
        </w:rPr>
      </w:pPr>
      <w:proofErr w:type="spellStart"/>
      <w:r w:rsidRPr="6347F5C4">
        <w:rPr>
          <w:rFonts w:eastAsiaTheme="minorEastAsia"/>
          <w:sz w:val="24"/>
          <w:szCs w:val="24"/>
        </w:rPr>
        <w:t>Stahlecker</w:t>
      </w:r>
      <w:proofErr w:type="spellEnd"/>
      <w:r w:rsidRPr="6347F5C4">
        <w:rPr>
          <w:rFonts w:eastAsiaTheme="minorEastAsia"/>
          <w:sz w:val="24"/>
          <w:szCs w:val="24"/>
        </w:rPr>
        <w:t xml:space="preserve">, J., &amp; Cohen, M. (1985). </w:t>
      </w:r>
      <w:r w:rsidRPr="6347F5C4">
        <w:rPr>
          <w:rFonts w:eastAsiaTheme="minorEastAsia"/>
          <w:i/>
          <w:iCs/>
          <w:sz w:val="24"/>
          <w:szCs w:val="24"/>
        </w:rPr>
        <w:t xml:space="preserve">Application of the Strange Situation Attachment Paradigm to a Neurologically Impaired Population. Child Development. </w:t>
      </w:r>
      <w:r w:rsidRPr="6347F5C4">
        <w:rPr>
          <w:rFonts w:eastAsiaTheme="minorEastAsia"/>
          <w:sz w:val="24"/>
          <w:szCs w:val="24"/>
        </w:rPr>
        <w:t xml:space="preserve">Wiley. New Jersey. (Available on </w:t>
      </w:r>
      <w:hyperlink r:id="rId11">
        <w:r w:rsidRPr="6347F5C4">
          <w:rPr>
            <w:rStyle w:val="Hyperlink"/>
            <w:rFonts w:ascii="Calibri" w:eastAsia="Calibri" w:hAnsi="Calibri" w:cs="Calibri"/>
            <w:sz w:val="24"/>
            <w:szCs w:val="24"/>
          </w:rPr>
          <w:t>https://psycnet.apa.org/record/1985-23037-001</w:t>
        </w:r>
      </w:hyperlink>
      <w:r w:rsidRPr="6347F5C4">
        <w:rPr>
          <w:rFonts w:ascii="Calibri" w:eastAsia="Calibri" w:hAnsi="Calibri" w:cs="Calibri"/>
          <w:sz w:val="24"/>
          <w:szCs w:val="24"/>
        </w:rPr>
        <w:t>) (Accessed on 2</w:t>
      </w:r>
      <w:r w:rsidRPr="6347F5C4">
        <w:rPr>
          <w:rFonts w:ascii="Calibri" w:eastAsia="Calibri" w:hAnsi="Calibri" w:cs="Calibri"/>
          <w:sz w:val="24"/>
          <w:szCs w:val="24"/>
          <w:vertAlign w:val="superscript"/>
        </w:rPr>
        <w:t>nd</w:t>
      </w:r>
      <w:r w:rsidRPr="6347F5C4">
        <w:rPr>
          <w:rFonts w:ascii="Calibri" w:eastAsia="Calibri" w:hAnsi="Calibri" w:cs="Calibri"/>
          <w:sz w:val="24"/>
          <w:szCs w:val="24"/>
        </w:rPr>
        <w:t xml:space="preserve"> May 2019)</w:t>
      </w:r>
    </w:p>
    <w:p w14:paraId="124DE964" w14:textId="70E7611A" w:rsidR="2516AB39" w:rsidRDefault="6347F5C4" w:rsidP="6347F5C4">
      <w:pPr>
        <w:spacing w:line="276" w:lineRule="auto"/>
        <w:rPr>
          <w:rFonts w:eastAsiaTheme="minorEastAsia"/>
          <w:color w:val="4471C4"/>
          <w:sz w:val="24"/>
          <w:szCs w:val="24"/>
        </w:rPr>
      </w:pPr>
      <w:r w:rsidRPr="6347F5C4">
        <w:rPr>
          <w:rFonts w:eastAsiaTheme="minorEastAsia"/>
          <w:sz w:val="24"/>
          <w:szCs w:val="24"/>
        </w:rPr>
        <w:t>Winston, R. &amp; Chicot, R. (2016) ‘</w:t>
      </w:r>
      <w:r w:rsidRPr="6347F5C4">
        <w:rPr>
          <w:rFonts w:eastAsiaTheme="minorEastAsia"/>
          <w:i/>
          <w:iCs/>
          <w:sz w:val="24"/>
          <w:szCs w:val="24"/>
        </w:rPr>
        <w:t xml:space="preserve">The importance of early bonding on the long-term mental health and resilience of children.’ </w:t>
      </w:r>
      <w:r w:rsidRPr="6347F5C4">
        <w:rPr>
          <w:rFonts w:eastAsiaTheme="minorEastAsia"/>
          <w:sz w:val="24"/>
          <w:szCs w:val="24"/>
        </w:rPr>
        <w:t xml:space="preserve">London Journal of Primary Care. (Available on </w:t>
      </w:r>
      <w:hyperlink r:id="rId12">
        <w:r w:rsidRPr="6347F5C4">
          <w:rPr>
            <w:rStyle w:val="Hyperlink"/>
            <w:rFonts w:eastAsiaTheme="minorEastAsia"/>
            <w:color w:val="4471C4"/>
            <w:sz w:val="24"/>
            <w:szCs w:val="24"/>
          </w:rPr>
          <w:t>https://www.ncbi.nlm.nih.gov/pmc/articles/PMC5330336/</w:t>
        </w:r>
      </w:hyperlink>
      <w:r w:rsidRPr="6347F5C4">
        <w:rPr>
          <w:rFonts w:eastAsiaTheme="minorEastAsia"/>
          <w:color w:val="4471C4"/>
          <w:sz w:val="24"/>
          <w:szCs w:val="24"/>
        </w:rPr>
        <w:t xml:space="preserve"> </w:t>
      </w:r>
      <w:r w:rsidRPr="6347F5C4">
        <w:rPr>
          <w:rFonts w:eastAsiaTheme="minorEastAsia"/>
          <w:sz w:val="24"/>
          <w:szCs w:val="24"/>
        </w:rPr>
        <w:t>) (Accessed on 3</w:t>
      </w:r>
      <w:r w:rsidRPr="6347F5C4">
        <w:rPr>
          <w:rFonts w:eastAsiaTheme="minorEastAsia"/>
          <w:sz w:val="24"/>
          <w:szCs w:val="24"/>
          <w:vertAlign w:val="superscript"/>
        </w:rPr>
        <w:t>rd</w:t>
      </w:r>
      <w:r w:rsidRPr="6347F5C4">
        <w:rPr>
          <w:rFonts w:eastAsiaTheme="minorEastAsia"/>
          <w:sz w:val="24"/>
          <w:szCs w:val="24"/>
        </w:rPr>
        <w:t xml:space="preserve"> May 2019) </w:t>
      </w:r>
    </w:p>
    <w:sectPr w:rsidR="2516AB39">
      <w:headerReference w:type="default" r:id="rId13"/>
      <w:footerReference w:type="default" r:id="rId14"/>
      <w:pgSz w:w="11907" w:h="1683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F2B662" w14:textId="77777777" w:rsidR="00924AE1" w:rsidRDefault="00924AE1">
      <w:pPr>
        <w:spacing w:after="0" w:line="240" w:lineRule="auto"/>
      </w:pPr>
      <w:r>
        <w:separator/>
      </w:r>
    </w:p>
  </w:endnote>
  <w:endnote w:type="continuationSeparator" w:id="0">
    <w:p w14:paraId="37D6920F" w14:textId="77777777" w:rsidR="00924AE1" w:rsidRDefault="00924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0C9E6EB6" w14:paraId="05AB2D0F" w14:textId="77777777" w:rsidTr="0C9E6EB6">
      <w:tc>
        <w:tcPr>
          <w:tcW w:w="3120" w:type="dxa"/>
        </w:tcPr>
        <w:p w14:paraId="58C2DB64" w14:textId="658CA071" w:rsidR="0C9E6EB6" w:rsidRDefault="0C9E6EB6" w:rsidP="0C9E6EB6">
          <w:pPr>
            <w:pStyle w:val="Header"/>
            <w:ind w:left="-115"/>
          </w:pPr>
        </w:p>
      </w:tc>
      <w:tc>
        <w:tcPr>
          <w:tcW w:w="3120" w:type="dxa"/>
        </w:tcPr>
        <w:p w14:paraId="3D755779" w14:textId="729CA656" w:rsidR="0C9E6EB6" w:rsidRDefault="0C9E6EB6" w:rsidP="0C9E6EB6">
          <w:pPr>
            <w:pStyle w:val="Header"/>
            <w:jc w:val="center"/>
          </w:pPr>
        </w:p>
      </w:tc>
      <w:tc>
        <w:tcPr>
          <w:tcW w:w="3120" w:type="dxa"/>
        </w:tcPr>
        <w:p w14:paraId="3F37C4DF" w14:textId="5A050990" w:rsidR="0C9E6EB6" w:rsidRDefault="0C9E6EB6" w:rsidP="0C9E6EB6">
          <w:pPr>
            <w:pStyle w:val="Header"/>
            <w:ind w:right="-115"/>
            <w:jc w:val="right"/>
          </w:pPr>
        </w:p>
      </w:tc>
    </w:tr>
  </w:tbl>
  <w:p w14:paraId="50DE7F88" w14:textId="036E6E3B" w:rsidR="0C9E6EB6" w:rsidRDefault="0C9E6EB6" w:rsidP="0C9E6E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72190F" w14:textId="77777777" w:rsidR="00924AE1" w:rsidRDefault="00924AE1">
      <w:pPr>
        <w:spacing w:after="0" w:line="240" w:lineRule="auto"/>
      </w:pPr>
      <w:r>
        <w:separator/>
      </w:r>
    </w:p>
  </w:footnote>
  <w:footnote w:type="continuationSeparator" w:id="0">
    <w:p w14:paraId="72F20966" w14:textId="77777777" w:rsidR="00924AE1" w:rsidRDefault="00924A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0C9E6EB6" w14:paraId="17B1739D" w14:textId="77777777" w:rsidTr="0C9E6EB6">
      <w:tc>
        <w:tcPr>
          <w:tcW w:w="3120" w:type="dxa"/>
        </w:tcPr>
        <w:p w14:paraId="6514ADD7" w14:textId="772E6911" w:rsidR="0C9E6EB6" w:rsidRDefault="0C9E6EB6" w:rsidP="0C9E6EB6">
          <w:pPr>
            <w:pStyle w:val="Header"/>
            <w:ind w:left="-115"/>
          </w:pPr>
          <w:r>
            <w:t>Leah Hooper</w:t>
          </w:r>
        </w:p>
      </w:tc>
      <w:tc>
        <w:tcPr>
          <w:tcW w:w="3120" w:type="dxa"/>
        </w:tcPr>
        <w:p w14:paraId="117BEA38" w14:textId="30C97D8B" w:rsidR="0C9E6EB6" w:rsidRDefault="0C9E6EB6" w:rsidP="0C9E6EB6">
          <w:pPr>
            <w:pStyle w:val="Header"/>
            <w:jc w:val="center"/>
          </w:pPr>
        </w:p>
      </w:tc>
      <w:tc>
        <w:tcPr>
          <w:tcW w:w="3120" w:type="dxa"/>
        </w:tcPr>
        <w:p w14:paraId="39115EA3" w14:textId="360042AF" w:rsidR="0C9E6EB6" w:rsidRDefault="0C9E6EB6" w:rsidP="0C9E6EB6">
          <w:pPr>
            <w:pStyle w:val="Header"/>
            <w:ind w:right="-115"/>
            <w:jc w:val="right"/>
          </w:pPr>
        </w:p>
      </w:tc>
    </w:tr>
  </w:tbl>
  <w:p w14:paraId="2377A220" w14:textId="6DC8FEA8" w:rsidR="0C9E6EB6" w:rsidRDefault="0C9E6EB6" w:rsidP="0C9E6E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2D6E2D"/>
    <w:rsid w:val="001573BC"/>
    <w:rsid w:val="00251CFC"/>
    <w:rsid w:val="00471D64"/>
    <w:rsid w:val="00502083"/>
    <w:rsid w:val="00924AE1"/>
    <w:rsid w:val="00D6065C"/>
    <w:rsid w:val="01C9A874"/>
    <w:rsid w:val="0C9E6EB6"/>
    <w:rsid w:val="15FBBCA1"/>
    <w:rsid w:val="1C2D6E2D"/>
    <w:rsid w:val="2516AB39"/>
    <w:rsid w:val="33B3777A"/>
    <w:rsid w:val="43BC7F41"/>
    <w:rsid w:val="4E3C59F8"/>
    <w:rsid w:val="5A2E61C0"/>
    <w:rsid w:val="6347F5C4"/>
    <w:rsid w:val="6C7C4E52"/>
    <w:rsid w:val="71E345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D6E2D"/>
  <w15:chartTrackingRefBased/>
  <w15:docId w15:val="{41C23801-5C50-4260-9CFF-84192094C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turingparenting.com/images/cmsfiles/long-term_effects_of_the_failure_of_childhood_attachment.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verywellmind.com/what-is-attachment-theory-2795337" TargetMode="External"/><Relationship Id="rId12" Type="http://schemas.openxmlformats.org/officeDocument/2006/relationships/hyperlink" Target="https://www.ncbi.nlm.nih.gov/pmc/articles/PMC5330336/"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sycnet.apa.org/record/1983-10654-001" TargetMode="External"/><Relationship Id="rId11" Type="http://schemas.openxmlformats.org/officeDocument/2006/relationships/hyperlink" Target="https://psycnet.apa.org/record/1985-23037-001"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implypsychology.org/mary-ainsworth.html" TargetMode="External"/><Relationship Id="rId4" Type="http://schemas.openxmlformats.org/officeDocument/2006/relationships/footnotes" Target="footnotes.xml"/><Relationship Id="rId9" Type="http://schemas.openxmlformats.org/officeDocument/2006/relationships/hyperlink" Target="https://www.simplypsychology.org/bowlby.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2017</Words>
  <Characters>11499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Hooper (1801100)</dc:creator>
  <cp:keywords/>
  <dc:description/>
  <cp:lastModifiedBy>Leah Hooper (1801100)</cp:lastModifiedBy>
  <cp:revision>2</cp:revision>
  <dcterms:created xsi:type="dcterms:W3CDTF">2019-05-09T10:15:00Z</dcterms:created>
  <dcterms:modified xsi:type="dcterms:W3CDTF">2019-05-09T10:15:00Z</dcterms:modified>
</cp:coreProperties>
</file>