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Photo"/>
      </w:pPr>
      <w:r>
        <w:drawing xmlns:a="http://schemas.openxmlformats.org/drawingml/2006/main">
          <wp:inline distT="0" distB="0" distL="0" distR="0">
            <wp:extent cx="3657600" cy="5486400"/>
            <wp:effectExtent l="0" t="0" r="0" b="0"/>
            <wp:docPr id="1073741825" name="officeArt object" descr="Bright blue glacial lake surrounded by white ice on a dark mountain"/>
            <wp:cNvGraphicFramePr/>
            <a:graphic xmlns:a="http://schemas.openxmlformats.org/drawingml/2006/main">
              <a:graphicData uri="http://schemas.openxmlformats.org/drawingml/2006/picture">
                <pic:pic xmlns:pic="http://schemas.openxmlformats.org/drawingml/2006/picture">
                  <pic:nvPicPr>
                    <pic:cNvPr id="1073741825" name="Bright blue glacial lake surrounded by white ice on a dark mountain" descr="Bright blue glacial lake surrounded by white ice on a dark mountain"/>
                    <pic:cNvPicPr>
                      <a:picLocks noChangeAspect="1"/>
                    </pic:cNvPicPr>
                  </pic:nvPicPr>
                  <pic:blipFill>
                    <a:blip r:embed="rId4">
                      <a:extLst/>
                    </a:blip>
                    <a:stretch>
                      <a:fillRect/>
                    </a:stretch>
                  </pic:blipFill>
                  <pic:spPr>
                    <a:xfrm>
                      <a:off x="0" y="0"/>
                      <a:ext cx="3657600" cy="5486400"/>
                    </a:xfrm>
                    <a:prstGeom prst="rect">
                      <a:avLst/>
                    </a:prstGeom>
                    <a:ln w="12700" cap="flat">
                      <a:noFill/>
                      <a:miter lim="400000"/>
                    </a:ln>
                    <a:effectLst/>
                  </pic:spPr>
                </pic:pic>
              </a:graphicData>
            </a:graphic>
          </wp:inline>
        </w:drawing>
      </w:r>
    </w:p>
    <w:p>
      <w:pPr>
        <w:pStyle w:val="Title"/>
        <w:rPr>
          <w:rFonts w:ascii="Arial" w:cs="Arial" w:hAnsi="Arial" w:eastAsia="Arial"/>
        </w:rPr>
      </w:pPr>
      <w:r>
        <w:rPr>
          <w:rFonts w:ascii="Arial" w:hAnsi="Arial"/>
          <w:rtl w:val="0"/>
          <w:lang w:val="en-US"/>
        </w:rPr>
        <w:t>Resources not Courses</w:t>
      </w:r>
    </w:p>
    <w:p>
      <w:pPr>
        <w:pStyle w:val="Subtitle"/>
        <w:rPr>
          <w:rFonts w:ascii="Arial" w:cs="Arial" w:hAnsi="Arial" w:eastAsia="Arial"/>
        </w:rPr>
      </w:pPr>
      <w:r>
        <w:rPr>
          <w:rFonts w:ascii="Arial" w:hAnsi="Arial"/>
          <w:rtl w:val="0"/>
          <w:lang w:val="en-US"/>
        </w:rPr>
        <w:t>Assignment 1</w:t>
      </w:r>
    </w:p>
    <w:p>
      <w:pPr>
        <w:pStyle w:val="Contact Info"/>
      </w:pPr>
      <w:r>
        <w:rPr>
          <w:rFonts w:ascii="Arial" w:hAnsi="Arial"/>
          <w:rtl w:val="0"/>
          <w:lang w:val="en-US"/>
        </w:rPr>
        <w:t>Sian Cooper</w:t>
      </w:r>
      <w:r>
        <w:rPr>
          <w:rFonts w:ascii="Arial" w:hAnsi="Arial"/>
          <w:rtl w:val="0"/>
          <w:lang w:val="en-US"/>
        </w:rPr>
        <w:t xml:space="preserve"> |Designing, Delivering and Evaluating Learning | </w:t>
      </w:r>
      <w:r>
        <w:rPr>
          <w:rFonts w:ascii="Arial" w:hAnsi="Arial"/>
          <w:rtl w:val="0"/>
          <w:lang w:val="en-US"/>
        </w:rPr>
        <w:t>26/3/2021</w:t>
      </w:r>
      <w:r>
        <w:rPr>
          <w:lang w:val="en-US"/>
        </w:rPr>
        <w:br w:type="page"/>
      </w:r>
    </w:p>
    <w:p>
      <w:pPr>
        <w:pStyle w:val="Contact Info"/>
        <w:rPr>
          <w:lang w:val="en-US"/>
        </w:rPr>
      </w:pPr>
    </w:p>
    <w:p>
      <w:pPr>
        <w:pStyle w:val="Normal (Web)"/>
        <w:spacing w:before="0" w:after="0"/>
        <w:rPr>
          <w:rFonts w:ascii="Arial" w:cs="Arial" w:hAnsi="Arial" w:eastAsia="Arial"/>
          <w:b w:val="1"/>
          <w:bCs w:val="1"/>
          <w:outline w:val="0"/>
          <w:color w:val="000000"/>
          <w:kern w:val="24"/>
          <w:u w:color="000000"/>
          <w14:textFill>
            <w14:solidFill>
              <w14:srgbClr w14:val="000000"/>
            </w14:solidFill>
          </w14:textFill>
        </w:rPr>
      </w:pPr>
      <w:r>
        <w:rPr>
          <w:rFonts w:ascii="Arial" w:hAnsi="Arial"/>
          <w:b w:val="1"/>
          <w:bCs w:val="1"/>
          <w:outline w:val="0"/>
          <w:color w:val="000000"/>
          <w:kern w:val="24"/>
          <w:u w:color="000000"/>
          <w:rtl w:val="0"/>
          <w:lang w:val="en-US"/>
          <w14:textFill>
            <w14:solidFill>
              <w14:srgbClr w14:val="000000"/>
            </w14:solidFill>
          </w14:textFill>
        </w:rPr>
        <w:t>Assignment 1</w:t>
      </w:r>
    </w:p>
    <w:p>
      <w:pPr>
        <w:pStyle w:val="Normal (Web)"/>
        <w:spacing w:before="0" w:after="0"/>
        <w:rPr>
          <w:rFonts w:ascii="Arial" w:cs="Arial" w:hAnsi="Arial" w:eastAsia="Arial"/>
          <w:b w:val="1"/>
          <w:bCs w:val="1"/>
          <w:outline w:val="0"/>
          <w:color w:val="000000"/>
          <w:kern w:val="24"/>
          <w:u w:color="000000"/>
          <w14:textFill>
            <w14:solidFill>
              <w14:srgbClr w14:val="000000"/>
            </w14:solidFill>
          </w14:textFill>
        </w:rPr>
      </w:pPr>
    </w:p>
    <w:p>
      <w:pPr>
        <w:pStyle w:val="Normal (Web)"/>
        <w:spacing w:before="0" w:after="0"/>
        <w:rPr>
          <w:rFonts w:ascii="Arial" w:cs="Arial" w:hAnsi="Arial" w:eastAsia="Arial"/>
          <w:b w:val="1"/>
          <w:bCs w:val="1"/>
          <w:outline w:val="0"/>
          <w:color w:val="000000"/>
          <w:kern w:val="24"/>
          <w:u w:color="000000"/>
          <w14:textFill>
            <w14:solidFill>
              <w14:srgbClr w14:val="000000"/>
            </w14:solidFill>
          </w14:textFill>
        </w:rPr>
      </w:pPr>
      <w:r>
        <w:rPr>
          <w:rFonts w:ascii="Arial" w:hAnsi="Arial"/>
          <w:b w:val="1"/>
          <w:bCs w:val="1"/>
          <w:outline w:val="0"/>
          <w:color w:val="000000"/>
          <w:kern w:val="24"/>
          <w:u w:color="000000"/>
          <w:rtl w:val="0"/>
          <w:lang w:val="en-US"/>
          <w14:textFill>
            <w14:solidFill>
              <w14:srgbClr w14:val="000000"/>
            </w14:solidFill>
          </w14:textFill>
        </w:rPr>
        <w:t>Learning Resource Rationale-Rapid Resolution Process Flow</w:t>
      </w:r>
    </w:p>
    <w:p>
      <w:pPr>
        <w:pStyle w:val="Normal (Web)"/>
        <w:spacing w:before="0" w:after="0"/>
        <w:rPr>
          <w:rFonts w:ascii="Arial" w:cs="Arial" w:hAnsi="Arial" w:eastAsia="Arial"/>
          <w:outline w:val="0"/>
          <w:color w:val="000000"/>
          <w:kern w:val="24"/>
          <w:u w:color="000000"/>
          <w14:textFill>
            <w14:solidFill>
              <w14:srgbClr w14:val="000000"/>
            </w14:solidFill>
          </w14:textFill>
        </w:rPr>
      </w:pPr>
    </w:p>
    <w:p>
      <w:pPr>
        <w:pStyle w:val="Normal (Web)"/>
        <w:spacing w:before="0" w:after="0"/>
        <w:rPr>
          <w:rFonts w:ascii="Arial" w:cs="Arial" w:hAnsi="Arial" w:eastAsia="Arial"/>
          <w:outline w:val="0"/>
          <w:color w:val="000000"/>
          <w:kern w:val="24"/>
          <w:u w:color="000000"/>
          <w14:textFill>
            <w14:solidFill>
              <w14:srgbClr w14:val="000000"/>
            </w14:solidFill>
          </w14:textFill>
        </w:rPr>
      </w:pPr>
      <w:r>
        <w:rPr>
          <w:rFonts w:ascii="Arial" w:hAnsi="Arial"/>
          <w:outline w:val="0"/>
          <w:color w:val="000000"/>
          <w:kern w:val="24"/>
          <w:u w:color="000000"/>
          <w:rtl w:val="0"/>
          <w:lang w:val="en-US"/>
          <w14:textFill>
            <w14:solidFill>
              <w14:srgbClr w14:val="000000"/>
            </w14:solidFill>
          </w14:textFill>
        </w:rPr>
        <w:t xml:space="preserve">The concept of developing a Rapid Resolution function arose following the handling of two cases where serious safeguarding concerns were raised requiring urgent resolution in the Department for Work and Pensions. </w:t>
      </w:r>
    </w:p>
    <w:p>
      <w:pPr>
        <w:pStyle w:val="Normal (Web)"/>
        <w:spacing w:before="0" w:after="0"/>
        <w:rPr>
          <w:rFonts w:ascii="Arial" w:cs="Arial" w:hAnsi="Arial" w:eastAsia="Arial"/>
          <w:outline w:val="0"/>
          <w:color w:val="000000"/>
          <w:kern w:val="24"/>
          <w:u w:color="000000"/>
          <w14:textFill>
            <w14:solidFill>
              <w14:srgbClr w14:val="000000"/>
            </w14:solidFill>
          </w14:textFill>
        </w:rPr>
      </w:pPr>
    </w:p>
    <w:p>
      <w:pPr>
        <w:pStyle w:val="Normal (Web)"/>
        <w:spacing w:before="0" w:after="0"/>
        <w:rPr>
          <w:rFonts w:ascii="Arial" w:cs="Arial" w:hAnsi="Arial" w:eastAsia="Arial"/>
        </w:rPr>
      </w:pPr>
      <w:r>
        <w:rPr>
          <w:rFonts w:ascii="Arial" w:hAnsi="Arial"/>
          <w:outline w:val="0"/>
          <w:color w:val="000000"/>
          <w:kern w:val="24"/>
          <w:u w:color="000000"/>
          <w:rtl w:val="0"/>
          <w:lang w:val="en-US"/>
          <w14:textFill>
            <w14:solidFill>
              <w14:srgbClr w14:val="000000"/>
            </w14:solidFill>
          </w14:textFill>
        </w:rPr>
        <w:t>We identified that we needed a process that could be invoked at short notice to arrange appropriate decision makers around a virtual table, when there is an acute need to take action to ensure the safety of a customer. The Rapid Resolution process has been designed to address what we anticipate will be very rare, but high priority, cases. The function will only be invoked when all other business as usual mechanisms have been exhausted and there is a serious and immediate risk of harm to a customer.</w:t>
      </w:r>
    </w:p>
    <w:p>
      <w:pPr>
        <w:pStyle w:val="Normal (Web)"/>
        <w:spacing w:before="0" w:after="0"/>
        <w:rPr>
          <w:rFonts w:ascii="Arial" w:cs="Arial" w:hAnsi="Arial" w:eastAsia="Arial"/>
        </w:rPr>
      </w:pPr>
      <w:r>
        <w:rPr>
          <w:rFonts w:ascii="Arial" w:hAnsi="Arial" w:hint="default"/>
          <w:outline w:val="0"/>
          <w:color w:val="000000"/>
          <w:kern w:val="24"/>
          <w:u w:color="000000"/>
          <w:rtl w:val="0"/>
          <w:lang w:val="en-US"/>
          <w14:textFill>
            <w14:solidFill>
              <w14:srgbClr w14:val="000000"/>
            </w14:solidFill>
          </w14:textFill>
        </w:rPr>
        <w:t> </w:t>
      </w:r>
    </w:p>
    <w:p>
      <w:pPr>
        <w:pStyle w:val="Normal (Web)"/>
        <w:spacing w:before="0" w:after="0"/>
        <w:rPr>
          <w:rFonts w:ascii="Arial" w:cs="Arial" w:hAnsi="Arial" w:eastAsia="Arial"/>
        </w:rPr>
      </w:pPr>
      <w:r>
        <w:rPr>
          <w:rFonts w:ascii="Arial" w:hAnsi="Arial"/>
          <w:outline w:val="0"/>
          <w:color w:val="000000"/>
          <w:kern w:val="24"/>
          <w:u w:color="000000"/>
          <w:rtl w:val="0"/>
          <w:lang w:val="en-US"/>
          <w14:textFill>
            <w14:solidFill>
              <w14:srgbClr w14:val="000000"/>
            </w14:solidFill>
          </w14:textFill>
        </w:rPr>
        <w:t>In order to support DWP</w:t>
      </w:r>
      <w:r>
        <w:rPr>
          <w:rFonts w:ascii="Arial" w:hAnsi="Arial" w:hint="default"/>
          <w:outline w:val="0"/>
          <w:color w:val="000000"/>
          <w:kern w:val="24"/>
          <w:u w:color="000000"/>
          <w:rtl w:val="0"/>
          <w:lang w:val="en-US"/>
          <w14:textFill>
            <w14:solidFill>
              <w14:srgbClr w14:val="000000"/>
            </w14:solidFill>
          </w14:textFill>
        </w:rPr>
        <w:t>’</w:t>
      </w:r>
      <w:r>
        <w:rPr>
          <w:rFonts w:ascii="Arial" w:hAnsi="Arial"/>
          <w:outline w:val="0"/>
          <w:color w:val="000000"/>
          <w:kern w:val="24"/>
          <w:u w:color="000000"/>
          <w:rtl w:val="0"/>
          <w:lang w:val="en-US"/>
          <w14:textFill>
            <w14:solidFill>
              <w14:srgbClr w14:val="000000"/>
            </w14:solidFill>
          </w14:textFill>
        </w:rPr>
        <w:t>s 86,000 colleagues with the new Rapid Resolution Process, I have designed a process flow learning resource and accessibility focussed video explaining the process, which is saved within our Safeguarding Intranet Page and available to DWP colleagues at all times.   The process flow describes the steps that would lead to the convening of a multi-disciplinary team, selected from across all product lines and areas of the business, including policy colleagues, relevant to the customer</w:t>
      </w:r>
      <w:r>
        <w:rPr>
          <w:rFonts w:ascii="Arial" w:hAnsi="Arial" w:hint="default"/>
          <w:outline w:val="0"/>
          <w:color w:val="000000"/>
          <w:kern w:val="24"/>
          <w:u w:color="000000"/>
          <w:rtl w:val="0"/>
          <w:lang w:val="en-US"/>
          <w14:textFill>
            <w14:solidFill>
              <w14:srgbClr w14:val="000000"/>
            </w14:solidFill>
          </w14:textFill>
        </w:rPr>
        <w:t>’</w:t>
      </w:r>
      <w:r>
        <w:rPr>
          <w:rFonts w:ascii="Arial" w:hAnsi="Arial"/>
          <w:outline w:val="0"/>
          <w:color w:val="000000"/>
          <w:kern w:val="24"/>
          <w:u w:color="000000"/>
          <w:rtl w:val="0"/>
          <w:lang w:val="en-US"/>
          <w14:textFill>
            <w14:solidFill>
              <w14:srgbClr w14:val="000000"/>
            </w14:solidFill>
          </w14:textFill>
        </w:rPr>
        <w:t>s unique set of circumstances. Once convened, the team would make cross cutting decisions at pace to ensure the customer receives the support they need before their situation escalates. This is a real-life learning resource that has been designed in real-time reactive circumstance in Department for Work and Pensions.</w:t>
      </w:r>
    </w:p>
    <w:p>
      <w:pPr>
        <w:pStyle w:val="Body"/>
      </w:pPr>
    </w:p>
    <w:p>
      <w:pPr>
        <w:pStyle w:val="Body"/>
      </w:pPr>
    </w:p>
    <w:p>
      <w:pPr>
        <w:pStyle w:val="Body"/>
        <w:rPr>
          <w:rFonts w:ascii="Arial" w:cs="Arial" w:hAnsi="Arial" w:eastAsia="Arial"/>
          <w:sz w:val="24"/>
          <w:szCs w:val="24"/>
        </w:rPr>
      </w:pPr>
      <w:r>
        <w:rPr>
          <w:rFonts w:ascii="Arial" w:hAnsi="Arial"/>
          <w:sz w:val="24"/>
          <w:szCs w:val="24"/>
          <w:rtl w:val="0"/>
          <w:lang w:val="en-US"/>
        </w:rPr>
        <w:t xml:space="preserve">The link to the process flow and the video are below. </w:t>
      </w:r>
    </w:p>
    <w:p>
      <w:pPr>
        <w:pStyle w:val="Body"/>
      </w:pPr>
    </w:p>
    <w:p>
      <w:pPr>
        <w:pStyle w:val="Body"/>
      </w:pPr>
      <w:r>
        <w:rPr>
          <w:rStyle w:val="Hyperlink.0"/>
        </w:rPr>
        <w:fldChar w:fldCharType="begin" w:fldLock="0"/>
      </w:r>
      <w:r>
        <w:rPr>
          <w:rStyle w:val="Hyperlink.0"/>
        </w:rPr>
        <w:instrText xml:space="preserve"> HYPERLINK "https://www.canva.com/design/DAEZgt2hfgw/share/preview?token=zCubrHJlIAg7nunZed0pYA&amp;role=EDITOR&amp;utm_campaign=designshare&amp;utm_source=sharebutton"</w:instrText>
      </w:r>
      <w:r>
        <w:rPr>
          <w:rStyle w:val="Hyperlink.0"/>
        </w:rPr>
        <w:fldChar w:fldCharType="separate" w:fldLock="0"/>
      </w:r>
      <w:r>
        <w:rPr>
          <w:rStyle w:val="Hyperlink.0"/>
          <w:rtl w:val="0"/>
          <w:lang w:val="en-US"/>
        </w:rPr>
        <w:t>https://www.canva.com/design/DAEZgt2hfgw/share/preview?token=zCubrHJlIAg7nunZed0pYA&amp;role=EDITOR&amp;utm_campaign=designshare&amp;utm_source=sharebutton</w:t>
      </w:r>
      <w:r>
        <w:rPr/>
        <w:fldChar w:fldCharType="end" w:fldLock="0"/>
      </w:r>
      <w:r>
        <w:rPr>
          <w:rtl w:val="0"/>
        </w:rPr>
        <w:t xml:space="preserve"> </w:t>
      </w:r>
    </w:p>
    <w:p>
      <w:pPr>
        <w:pStyle w:val="Body"/>
      </w:pPr>
    </w:p>
    <w:p>
      <w:pPr>
        <w:pStyle w:val="Body"/>
      </w:pPr>
    </w:p>
    <w:p>
      <w:pPr>
        <w:pStyle w:val="Body"/>
      </w:pPr>
      <w:r>
        <w:rPr>
          <w:rStyle w:val="Hyperlink.0"/>
        </w:rPr>
        <w:fldChar w:fldCharType="begin" w:fldLock="0"/>
      </w:r>
      <w:r>
        <w:rPr>
          <w:rStyle w:val="Hyperlink.0"/>
        </w:rPr>
        <w:instrText xml:space="preserve"> HYPERLINK "https://web.microsoftstream.com/video/ffd88bc3-8fa7-4c0d-8689-e0475b51d05c"</w:instrText>
      </w:r>
      <w:r>
        <w:rPr>
          <w:rStyle w:val="Hyperlink.0"/>
        </w:rPr>
        <w:fldChar w:fldCharType="separate" w:fldLock="0"/>
      </w:r>
      <w:r>
        <w:rPr>
          <w:rStyle w:val="Hyperlink.0"/>
          <w:rtl w:val="0"/>
          <w:lang w:val="de-DE"/>
        </w:rPr>
        <w:t>https://web.microsoftstream.com/video/ffd88bc3-8fa7-4c0d-8689-e0475b51d05c</w:t>
      </w:r>
      <w:r>
        <w:rPr/>
        <w:fldChar w:fldCharType="end" w:fldLock="0"/>
      </w:r>
      <w:r>
        <w:rPr>
          <w:rtl w:val="0"/>
          <w:lang w:val="en-US"/>
        </w:rPr>
        <w:t xml:space="preserve">. </w:t>
      </w:r>
    </w:p>
    <w:p>
      <w:pPr>
        <w:pStyle w:val="Body"/>
      </w:pPr>
    </w:p>
    <w:p>
      <w:pPr>
        <w:pStyle w:val="Body"/>
      </w:pP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b w:val="1"/>
          <w:bCs w:val="1"/>
          <w:sz w:val="24"/>
          <w:szCs w:val="24"/>
        </w:rPr>
      </w:pPr>
      <w:r>
        <w:rPr>
          <w:rFonts w:ascii="Arial" w:hAnsi="Arial"/>
          <w:b w:val="1"/>
          <w:bCs w:val="1"/>
          <w:sz w:val="24"/>
          <w:szCs w:val="24"/>
          <w:rtl w:val="0"/>
          <w:lang w:val="fr-FR"/>
        </w:rPr>
        <w:t>Bibliography</w:t>
      </w:r>
    </w:p>
    <w:p>
      <w:pPr>
        <w:pStyle w:val="Body"/>
        <w:rPr>
          <w:rFonts w:ascii="Arial" w:cs="Arial" w:hAnsi="Arial" w:eastAsia="Arial"/>
          <w:sz w:val="24"/>
          <w:szCs w:val="24"/>
        </w:rPr>
      </w:pPr>
    </w:p>
    <w:p>
      <w:pPr>
        <w:pStyle w:val="Bibliography"/>
      </w:pPr>
      <w:r>
        <w:rPr>
          <w:rFonts w:ascii="Arial" w:cs="Arial" w:hAnsi="Arial" w:eastAsia="Arial"/>
          <w:sz w:val="24"/>
          <w:szCs w:val="24"/>
        </w:rPr>
        <w:fldChar w:fldCharType="begin" w:fldLock="0"/>
      </w:r>
      <w:r>
        <w:rPr>
          <w:rFonts w:ascii="Arial" w:cs="Arial" w:hAnsi="Arial" w:eastAsia="Arial"/>
          <w:sz w:val="24"/>
          <w:szCs w:val="24"/>
        </w:rPr>
        <w:instrText xml:space="preserve"> ADDIN EN.REFLIST </w:instrText>
      </w:r>
      <w:r>
        <w:rPr>
          <w:rFonts w:ascii="Arial" w:cs="Arial" w:hAnsi="Arial" w:eastAsia="Arial"/>
          <w:sz w:val="24"/>
          <w:szCs w:val="24"/>
        </w:rPr>
        <w:fldChar w:fldCharType="separate" w:fldLock="0"/>
      </w:r>
    </w:p>
    <w:p>
      <w:pPr>
        <w:pStyle w:val="Bibliography"/>
        <w:rPr>
          <w:rFonts w:ascii="Arial" w:cs="Arial" w:hAnsi="Arial" w:eastAsia="Arial"/>
          <w:sz w:val="24"/>
          <w:szCs w:val="24"/>
        </w:rPr>
      </w:pPr>
      <w:r>
        <w:rPr>
          <w:rFonts w:ascii="Arial" w:hAnsi="Arial"/>
          <w:sz w:val="24"/>
          <w:szCs w:val="24"/>
          <w:rtl w:val="0"/>
          <w:lang w:val="en-US"/>
        </w:rPr>
        <w:t xml:space="preserve">Chen, P. &amp; Chavez, O. O. D. C. G. B., 2017. Strategic Resource Use for Learning: A self-administered intervention that guides self-reflection on effective resource use enhances acadmemc performance. </w:t>
      </w:r>
      <w:r>
        <w:rPr>
          <w:rFonts w:ascii="Arial" w:hAnsi="Arial"/>
          <w:i w:val="1"/>
          <w:iCs w:val="1"/>
          <w:sz w:val="24"/>
          <w:szCs w:val="24"/>
          <w:rtl w:val="0"/>
          <w:lang w:val="en-US"/>
        </w:rPr>
        <w:t xml:space="preserve">Psychologicall science, </w:t>
      </w:r>
      <w:r>
        <w:rPr>
          <w:rFonts w:ascii="Arial" w:hAnsi="Arial"/>
          <w:sz w:val="24"/>
          <w:szCs w:val="24"/>
          <w:rtl w:val="0"/>
          <w:lang w:val="en-US"/>
        </w:rPr>
        <w:t>28(6), pp. 774-785.</w:t>
      </w:r>
    </w:p>
    <w:p>
      <w:pPr>
        <w:pStyle w:val="Bibliography"/>
        <w:rPr>
          <w:rFonts w:ascii="Arial" w:cs="Arial" w:hAnsi="Arial" w:eastAsia="Arial"/>
          <w:sz w:val="24"/>
          <w:szCs w:val="24"/>
        </w:rPr>
      </w:pPr>
      <w:r>
        <w:rPr>
          <w:rFonts w:ascii="Arial" w:hAnsi="Arial"/>
          <w:sz w:val="24"/>
          <w:szCs w:val="24"/>
          <w:rtl w:val="0"/>
          <w:lang w:val="en-US"/>
        </w:rPr>
        <w:t xml:space="preserve">Delelo, J. A. M. R. R. H. I. G., 2020. </w:t>
      </w:r>
      <w:r>
        <w:rPr>
          <w:rFonts w:ascii="Arial" w:hAnsi="Arial"/>
          <w:i w:val="1"/>
          <w:iCs w:val="1"/>
          <w:sz w:val="24"/>
          <w:szCs w:val="24"/>
          <w:rtl w:val="0"/>
          <w:lang w:val="en-US"/>
        </w:rPr>
        <w:t xml:space="preserve">Disruptive and Emerging Technology Trends Across Education and the Workplace. </w:t>
      </w:r>
      <w:r>
        <w:rPr>
          <w:rFonts w:ascii="Arial" w:hAnsi="Arial"/>
          <w:sz w:val="24"/>
          <w:szCs w:val="24"/>
          <w:rtl w:val="0"/>
          <w:lang w:val="en-US"/>
        </w:rPr>
        <w:t>1 ed. London: IGI Global.</w:t>
      </w:r>
    </w:p>
    <w:p>
      <w:pPr>
        <w:pStyle w:val="Bibliography"/>
        <w:rPr>
          <w:rFonts w:ascii="Arial" w:cs="Arial" w:hAnsi="Arial" w:eastAsia="Arial"/>
          <w:sz w:val="24"/>
          <w:szCs w:val="24"/>
        </w:rPr>
      </w:pPr>
      <w:r>
        <w:rPr>
          <w:rFonts w:ascii="Arial" w:hAnsi="Arial"/>
          <w:sz w:val="24"/>
          <w:szCs w:val="24"/>
          <w:rtl w:val="0"/>
          <w:lang w:val="en-US"/>
        </w:rPr>
        <w:t xml:space="preserve">Fidalgo, P. S. I. T. J., 2019. Blended Learning Environments and Learning Resources. </w:t>
      </w:r>
      <w:r>
        <w:rPr>
          <w:rFonts w:ascii="Arial" w:hAnsi="Arial"/>
          <w:i w:val="1"/>
          <w:iCs w:val="1"/>
          <w:sz w:val="24"/>
          <w:szCs w:val="24"/>
          <w:rtl w:val="0"/>
          <w:lang w:val="en-US"/>
        </w:rPr>
        <w:t xml:space="preserve">Frontiers in human neuroscience, </w:t>
      </w:r>
      <w:r>
        <w:rPr>
          <w:rFonts w:ascii="Arial" w:hAnsi="Arial"/>
          <w:sz w:val="24"/>
          <w:szCs w:val="24"/>
          <w:rtl w:val="0"/>
          <w:lang w:val="en-US"/>
        </w:rPr>
        <w:t>13(1), pp. 1-5.</w:t>
      </w:r>
    </w:p>
    <w:p>
      <w:pPr>
        <w:pStyle w:val="Bibliography"/>
        <w:rPr>
          <w:rFonts w:ascii="Arial" w:cs="Arial" w:hAnsi="Arial" w:eastAsia="Arial"/>
          <w:sz w:val="24"/>
          <w:szCs w:val="24"/>
        </w:rPr>
      </w:pPr>
      <w:r>
        <w:rPr>
          <w:rFonts w:ascii="Arial" w:hAnsi="Arial"/>
          <w:sz w:val="24"/>
          <w:szCs w:val="24"/>
          <w:rtl w:val="0"/>
          <w:lang w:val="en-US"/>
        </w:rPr>
        <w:t xml:space="preserve">Geiser C Challco, F. R. H. A. S. S. B. I. g. I. B. &amp; North, S. I. P., 2016. Toward A Unified Modeling of Learner's Growth Process and Flow Theory. </w:t>
      </w:r>
      <w:r>
        <w:rPr>
          <w:rFonts w:ascii="Arial" w:hAnsi="Arial"/>
          <w:i w:val="1"/>
          <w:iCs w:val="1"/>
          <w:sz w:val="24"/>
          <w:szCs w:val="24"/>
          <w:rtl w:val="0"/>
          <w:lang w:val="en-US"/>
        </w:rPr>
        <w:t xml:space="preserve">Educaional technology and soiciety, </w:t>
      </w:r>
      <w:r>
        <w:rPr>
          <w:rFonts w:ascii="Arial" w:hAnsi="Arial"/>
          <w:sz w:val="24"/>
          <w:szCs w:val="24"/>
          <w:rtl w:val="0"/>
          <w:lang w:val="en-US"/>
        </w:rPr>
        <w:t>19(2), pp. 215-227.</w:t>
      </w:r>
    </w:p>
    <w:p>
      <w:pPr>
        <w:pStyle w:val="Bibliography"/>
        <w:rPr>
          <w:rFonts w:ascii="Arial" w:cs="Arial" w:hAnsi="Arial" w:eastAsia="Arial"/>
          <w:sz w:val="24"/>
          <w:szCs w:val="24"/>
        </w:rPr>
      </w:pPr>
      <w:r>
        <w:rPr>
          <w:rFonts w:ascii="Arial" w:hAnsi="Arial"/>
          <w:sz w:val="24"/>
          <w:szCs w:val="24"/>
          <w:rtl w:val="0"/>
          <w:lang w:val="en-US"/>
        </w:rPr>
        <w:t xml:space="preserve">Griffiths, D. I. M., 2017. Is it time ti take learning design to task?. </w:t>
      </w:r>
      <w:r>
        <w:rPr>
          <w:rFonts w:ascii="Arial" w:hAnsi="Arial"/>
          <w:i w:val="1"/>
          <w:iCs w:val="1"/>
          <w:sz w:val="24"/>
          <w:szCs w:val="24"/>
          <w:rtl w:val="0"/>
          <w:lang w:val="en-US"/>
        </w:rPr>
        <w:t xml:space="preserve">Journal of adult and continuing education, </w:t>
      </w:r>
      <w:r>
        <w:rPr>
          <w:rFonts w:ascii="Arial" w:hAnsi="Arial"/>
          <w:sz w:val="24"/>
          <w:szCs w:val="24"/>
          <w:rtl w:val="0"/>
          <w:lang w:val="en-US"/>
        </w:rPr>
        <w:t>23(2), pp. 226-249.</w:t>
      </w:r>
    </w:p>
    <w:p>
      <w:pPr>
        <w:pStyle w:val="Bibliography"/>
        <w:rPr>
          <w:rFonts w:ascii="Arial" w:cs="Arial" w:hAnsi="Arial" w:eastAsia="Arial"/>
          <w:sz w:val="24"/>
          <w:szCs w:val="24"/>
        </w:rPr>
      </w:pPr>
      <w:r>
        <w:rPr>
          <w:rFonts w:ascii="Arial" w:hAnsi="Arial"/>
          <w:sz w:val="24"/>
          <w:szCs w:val="24"/>
          <w:rtl w:val="0"/>
          <w:lang w:val="en-US"/>
        </w:rPr>
        <w:t xml:space="preserve">Judd, T. E. K., 2017. Methods of frequency of sharing learning resurces by medical students. </w:t>
      </w:r>
      <w:r>
        <w:rPr>
          <w:rFonts w:ascii="Arial" w:hAnsi="Arial"/>
          <w:i w:val="1"/>
          <w:iCs w:val="1"/>
          <w:sz w:val="24"/>
          <w:szCs w:val="24"/>
          <w:rtl w:val="0"/>
          <w:lang w:val="en-US"/>
        </w:rPr>
        <w:t xml:space="preserve">British journal of educational technology, </w:t>
      </w:r>
      <w:r>
        <w:rPr>
          <w:rFonts w:ascii="Arial" w:hAnsi="Arial"/>
          <w:sz w:val="24"/>
          <w:szCs w:val="24"/>
          <w:rtl w:val="0"/>
          <w:lang w:val="en-US"/>
        </w:rPr>
        <w:t>48(6), pp. 1345-1356.</w:t>
      </w:r>
    </w:p>
    <w:p>
      <w:pPr>
        <w:pStyle w:val="Bibliography"/>
        <w:rPr>
          <w:rFonts w:ascii="Arial" w:cs="Arial" w:hAnsi="Arial" w:eastAsia="Arial"/>
          <w:sz w:val="24"/>
          <w:szCs w:val="24"/>
        </w:rPr>
      </w:pPr>
      <w:r>
        <w:rPr>
          <w:rFonts w:ascii="Arial" w:hAnsi="Arial"/>
          <w:sz w:val="24"/>
          <w:szCs w:val="24"/>
          <w:rtl w:val="0"/>
          <w:lang w:val="en-US"/>
        </w:rPr>
        <w:t xml:space="preserve">Montenergro, M. C. P. K. N. G. C. J. M. A. R. S. A. S. E., 2016. Library Resources and Students' Learning Outcomes:Do All the Resources have the same impact on learning. </w:t>
      </w:r>
      <w:r>
        <w:rPr>
          <w:rFonts w:ascii="Arial" w:hAnsi="Arial"/>
          <w:i w:val="1"/>
          <w:iCs w:val="1"/>
          <w:sz w:val="24"/>
          <w:szCs w:val="24"/>
          <w:rtl w:val="0"/>
          <w:lang w:val="en-US"/>
        </w:rPr>
        <w:t xml:space="preserve">The journal of academinc libraianship, </w:t>
      </w:r>
      <w:r>
        <w:rPr>
          <w:rFonts w:ascii="Arial" w:hAnsi="Arial"/>
          <w:sz w:val="24"/>
          <w:szCs w:val="24"/>
          <w:rtl w:val="0"/>
          <w:lang w:val="en-US"/>
        </w:rPr>
        <w:t>42(5), pp. 551-556.</w:t>
      </w:r>
    </w:p>
    <w:p>
      <w:pPr>
        <w:pStyle w:val="Bibliography"/>
        <w:rPr>
          <w:rFonts w:ascii="Arial" w:cs="Arial" w:hAnsi="Arial" w:eastAsia="Arial"/>
          <w:sz w:val="24"/>
          <w:szCs w:val="24"/>
        </w:rPr>
      </w:pPr>
      <w:r>
        <w:rPr>
          <w:rFonts w:ascii="Arial" w:hAnsi="Arial"/>
          <w:sz w:val="24"/>
          <w:szCs w:val="24"/>
          <w:rtl w:val="0"/>
          <w:lang w:val="en-US"/>
        </w:rPr>
        <w:t xml:space="preserve">Shackleton-Jones, N., 2019. </w:t>
      </w:r>
      <w:r>
        <w:rPr>
          <w:rFonts w:ascii="Arial" w:hAnsi="Arial"/>
          <w:i w:val="1"/>
          <w:iCs w:val="1"/>
          <w:sz w:val="24"/>
          <w:szCs w:val="24"/>
          <w:rtl w:val="0"/>
          <w:lang w:val="en-US"/>
        </w:rPr>
        <w:t xml:space="preserve">How People Learn: designing education and training tha works to improve performance. </w:t>
      </w:r>
      <w:r>
        <w:rPr>
          <w:rFonts w:ascii="Arial" w:hAnsi="Arial"/>
          <w:sz w:val="24"/>
          <w:szCs w:val="24"/>
          <w:rtl w:val="0"/>
          <w:lang w:val="en-US"/>
        </w:rPr>
        <w:t>1 ed. London: Kogan Page.</w:t>
      </w:r>
    </w:p>
    <w:p>
      <w:pPr>
        <w:pStyle w:val="Bibliography"/>
        <w:rPr>
          <w:rFonts w:ascii="Arial" w:cs="Arial" w:hAnsi="Arial" w:eastAsia="Arial"/>
          <w:sz w:val="24"/>
          <w:szCs w:val="24"/>
        </w:rPr>
      </w:pPr>
      <w:r>
        <w:rPr>
          <w:rFonts w:ascii="Arial" w:hAnsi="Arial"/>
          <w:sz w:val="24"/>
          <w:szCs w:val="24"/>
          <w:rtl w:val="0"/>
          <w:lang w:val="en-US"/>
        </w:rPr>
        <w:t xml:space="preserve">Stewart JIm, C. P., 2014. </w:t>
      </w:r>
      <w:r>
        <w:rPr>
          <w:rFonts w:ascii="Arial" w:hAnsi="Arial"/>
          <w:i w:val="1"/>
          <w:iCs w:val="1"/>
          <w:sz w:val="24"/>
          <w:szCs w:val="24"/>
          <w:rtl w:val="0"/>
          <w:lang w:val="en-US"/>
        </w:rPr>
        <w:t xml:space="preserve">Designing, delivering and evaluating learning and development: essentials in practice. </w:t>
      </w:r>
      <w:r>
        <w:rPr>
          <w:rFonts w:ascii="Arial" w:hAnsi="Arial"/>
          <w:sz w:val="24"/>
          <w:szCs w:val="24"/>
          <w:rtl w:val="0"/>
          <w:lang w:val="en-US"/>
        </w:rPr>
        <w:t>1 ed. London: CIPD.</w:t>
      </w:r>
    </w:p>
    <w:p>
      <w:pPr>
        <w:pStyle w:val="Bibliography"/>
        <w:rPr>
          <w:rFonts w:ascii="Arial" w:cs="Arial" w:hAnsi="Arial" w:eastAsia="Arial"/>
          <w:sz w:val="24"/>
          <w:szCs w:val="24"/>
        </w:rPr>
      </w:pPr>
      <w:r>
        <w:rPr>
          <w:rFonts w:ascii="Arial" w:hAnsi="Arial"/>
          <w:sz w:val="24"/>
          <w:szCs w:val="24"/>
          <w:rtl w:val="0"/>
          <w:lang w:val="en-US"/>
        </w:rPr>
        <w:t xml:space="preserve">Treasure-Jones, T. J. V., 2018. Co-design of technology-enhanced learning resources. </w:t>
      </w:r>
      <w:r>
        <w:rPr>
          <w:rFonts w:ascii="Arial" w:hAnsi="Arial"/>
          <w:i w:val="1"/>
          <w:iCs w:val="1"/>
          <w:sz w:val="24"/>
          <w:szCs w:val="24"/>
          <w:rtl w:val="0"/>
          <w:lang w:val="en-US"/>
        </w:rPr>
        <w:t xml:space="preserve">The clinicial teacher, </w:t>
      </w:r>
      <w:r>
        <w:rPr>
          <w:rFonts w:ascii="Arial" w:hAnsi="Arial"/>
          <w:sz w:val="24"/>
          <w:szCs w:val="24"/>
          <w:rtl w:val="0"/>
          <w:lang w:val="en-US"/>
        </w:rPr>
        <w:t>15(5), p. 15.</w:t>
      </w:r>
    </w:p>
    <w:p>
      <w:pPr>
        <w:pStyle w:val="Bibliography"/>
        <w:rPr>
          <w:rFonts w:ascii="Arial" w:cs="Arial" w:hAnsi="Arial" w:eastAsia="Arial"/>
          <w:sz w:val="24"/>
          <w:szCs w:val="24"/>
        </w:rPr>
      </w:pPr>
      <w:r>
        <w:rPr>
          <w:rFonts w:ascii="Arial" w:hAnsi="Arial"/>
          <w:sz w:val="24"/>
          <w:szCs w:val="24"/>
          <w:rtl w:val="0"/>
          <w:lang w:val="en-US"/>
        </w:rPr>
        <w:t xml:space="preserve">Victoria Abou-Khalil, S. H. E. K. M. A. C. R. M. H. O., 2021. Emergency Online Learning in Low-Resource Setting: Effective Student engagement strategies. </w:t>
      </w:r>
      <w:r>
        <w:rPr>
          <w:rFonts w:ascii="Arial" w:hAnsi="Arial"/>
          <w:i w:val="1"/>
          <w:iCs w:val="1"/>
          <w:sz w:val="24"/>
          <w:szCs w:val="24"/>
          <w:rtl w:val="0"/>
          <w:lang w:val="en-US"/>
        </w:rPr>
        <w:t xml:space="preserve">Education sciences, </w:t>
      </w:r>
      <w:r>
        <w:rPr>
          <w:rFonts w:ascii="Arial" w:hAnsi="Arial"/>
          <w:sz w:val="24"/>
          <w:szCs w:val="24"/>
          <w:rtl w:val="0"/>
          <w:lang w:val="en-US"/>
        </w:rPr>
        <w:t>11(1), p. 24.</w:t>
      </w:r>
    </w:p>
    <w:p>
      <w:pPr>
        <w:pStyle w:val="Bibliography"/>
      </w:pPr>
      <w:r>
        <w:rPr>
          <w:rFonts w:ascii="Arial" w:hAnsi="Arial"/>
          <w:sz w:val="24"/>
          <w:szCs w:val="24"/>
          <w:rtl w:val="0"/>
          <w:lang w:val="en-US"/>
        </w:rPr>
        <w:t xml:space="preserve">Wilhelm-Chaplin, M. K. &amp; Koszalka, T. A., 2020. Graduate Students' Use and Perceived Value of Learning Resources in Learning the Content in an Online Course. </w:t>
      </w:r>
      <w:r>
        <w:rPr>
          <w:rFonts w:ascii="Arial" w:hAnsi="Arial"/>
          <w:i w:val="1"/>
          <w:iCs w:val="1"/>
          <w:sz w:val="24"/>
          <w:szCs w:val="24"/>
          <w:rtl w:val="0"/>
          <w:lang w:val="en-US"/>
        </w:rPr>
        <w:t xml:space="preserve">Washington, Springer Nature B.V, </w:t>
      </w:r>
      <w:r>
        <w:rPr>
          <w:rFonts w:ascii="Arial" w:hAnsi="Arial"/>
          <w:sz w:val="24"/>
          <w:szCs w:val="24"/>
          <w:rtl w:val="0"/>
          <w:lang w:val="en-US"/>
        </w:rPr>
        <w:t>Volume 361-372, pp. 361-372.</w:t>
      </w:r>
      <w:r>
        <w:rPr/>
        <w:fldChar w:fldCharType="end" w:fldLock="0"/>
      </w:r>
    </w:p>
    <w:sectPr>
      <w:headerReference w:type="default" r:id="rId5"/>
      <w:headerReference w:type="first" r:id="rId6"/>
      <w:footerReference w:type="default" r:id="rId7"/>
      <w:footerReference w:type="first" r:id="rId8"/>
      <w:pgSz w:w="11900" w:h="16840" w:orient="portrait"/>
      <w:pgMar w:top="1728" w:right="1800" w:bottom="1440" w:left="1800" w:header="720" w:footer="720"/>
      <w:pgNumType w:start="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onstant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rtl w:val="0"/>
        <w:lang w:val="en-US"/>
      </w:rPr>
      <w:t xml:space="preserve">Page </w:t>
    </w:r>
    <w:r>
      <w:rPr>
        <w:rtl w:val="0"/>
        <w:lang w:val="en-US"/>
      </w:rPr>
      <w:fldChar w:fldCharType="begin" w:fldLock="0"/>
    </w:r>
    <w:r>
      <w:rPr>
        <w:rtl w:val="0"/>
        <w:lang w:val="en-US"/>
      </w:rPr>
      <w:instrText xml:space="preserve"> PAGE </w:instrText>
    </w:r>
    <w:r>
      <w:rPr>
        <w:rtl w:val="0"/>
        <w:lang w:val="en-US"/>
      </w:rPr>
      <w:fldChar w:fldCharType="separate" w:fldLock="0"/>
    </w:r>
    <w:r>
      <w:rPr>
        <w:rtl w:val="0"/>
        <w:lang w:val="en-US"/>
      </w:rPr>
    </w:r>
    <w:r>
      <w:rPr>
        <w:rtl w:val="0"/>
        <w:lang w:val="en-US"/>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suppressAutoHyphens w:val="0"/>
      <w:bidi w:val="0"/>
      <w:spacing w:before="0" w:after="0" w:line="240" w:lineRule="auto"/>
      <w:ind w:left="0" w:right="0" w:firstLine="0"/>
      <w:jc w:val="right"/>
      <w:outlineLvl w:val="9"/>
    </w:pPr>
    <w:rPr>
      <w:rFonts w:ascii="Constantia" w:cs="Constantia" w:hAnsi="Constantia" w:eastAsia="Constantia"/>
      <w:b w:val="0"/>
      <w:bCs w:val="0"/>
      <w:i w:val="0"/>
      <w:iCs w:val="0"/>
      <w:caps w:val="1"/>
      <w:strike w:val="0"/>
      <w:dstrike w:val="0"/>
      <w:outline w:val="0"/>
      <w:color w:val="595959"/>
      <w:spacing w:val="0"/>
      <w:kern w:val="0"/>
      <w:position w:val="0"/>
      <w:sz w:val="22"/>
      <w:szCs w:val="22"/>
      <w:u w:val="none" w:color="595959"/>
      <w:shd w:val="nil" w:color="auto" w:fill="auto"/>
      <w:vertAlign w:val="baseline"/>
      <w:lang w:val="en-US"/>
      <w14:textFill>
        <w14:solidFill>
          <w14:srgbClr w14:val="595959"/>
        </w14:solidFill>
      </w14:textFill>
    </w:rPr>
  </w:style>
  <w:style w:type="paragraph" w:styleId="Photo">
    <w:name w:val="Photo"/>
    <w:next w:val="Photo"/>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Constantia" w:cs="Constantia" w:hAnsi="Constantia" w:eastAsia="Constantia"/>
      <w:b w:val="0"/>
      <w:bCs w:val="0"/>
      <w:i w:val="0"/>
      <w:iCs w:val="0"/>
      <w:caps w:val="0"/>
      <w:smallCaps w:val="0"/>
      <w:strike w:val="0"/>
      <w:dstrike w:val="0"/>
      <w:outline w:val="0"/>
      <w:color w:val="595959"/>
      <w:spacing w:val="0"/>
      <w:kern w:val="0"/>
      <w:position w:val="0"/>
      <w:sz w:val="22"/>
      <w:szCs w:val="22"/>
      <w:u w:val="none" w:color="595959"/>
      <w:shd w:val="nil" w:color="auto" w:fill="auto"/>
      <w:vertAlign w:val="baseline"/>
      <w:lang w:val="en-US"/>
      <w14:textFill>
        <w14:solidFill>
          <w14:srgbClr w14:val="595959"/>
        </w14:solidFill>
      </w14:textFill>
    </w:rPr>
  </w:style>
  <w:style w:type="paragraph" w:styleId="Title">
    <w:name w:val="Title"/>
    <w:next w:val="Title"/>
    <w:pPr>
      <w:keepNext w:val="0"/>
      <w:keepLines w:val="0"/>
      <w:pageBreakBefore w:val="0"/>
      <w:widowControl w:val="1"/>
      <w:shd w:val="clear" w:color="auto" w:fill="auto"/>
      <w:suppressAutoHyphens w:val="0"/>
      <w:bidi w:val="0"/>
      <w:spacing w:before="480" w:after="40" w:line="240" w:lineRule="auto"/>
      <w:ind w:left="0" w:right="0" w:firstLine="0"/>
      <w:jc w:val="center"/>
      <w:outlineLvl w:val="9"/>
    </w:pPr>
    <w:rPr>
      <w:rFonts w:ascii="Constantia" w:cs="Constantia" w:hAnsi="Constantia" w:eastAsia="Constantia"/>
      <w:b w:val="0"/>
      <w:bCs w:val="0"/>
      <w:i w:val="0"/>
      <w:iCs w:val="0"/>
      <w:caps w:val="0"/>
      <w:smallCaps w:val="0"/>
      <w:strike w:val="0"/>
      <w:dstrike w:val="0"/>
      <w:outline w:val="0"/>
      <w:color w:val="007789"/>
      <w:spacing w:val="0"/>
      <w:kern w:val="28"/>
      <w:position w:val="0"/>
      <w:sz w:val="60"/>
      <w:szCs w:val="60"/>
      <w:u w:val="none" w:color="007789"/>
      <w:shd w:val="nil" w:color="auto" w:fill="auto"/>
      <w:vertAlign w:val="baseline"/>
      <w:lang w:val="en-US"/>
      <w14:textOutline>
        <w14:noFill/>
      </w14:textOutline>
      <w14:textFill>
        <w14:solidFill>
          <w14:srgbClr w14:val="007789"/>
        </w14:solidFill>
      </w14:textFill>
    </w:rPr>
  </w:style>
  <w:style w:type="paragraph" w:styleId="Subtitle">
    <w:name w:val="Subtitle"/>
    <w:next w:val="Subtitle"/>
    <w:pPr>
      <w:keepNext w:val="0"/>
      <w:keepLines w:val="0"/>
      <w:pageBreakBefore w:val="0"/>
      <w:widowControl w:val="1"/>
      <w:shd w:val="clear" w:color="auto" w:fill="auto"/>
      <w:suppressAutoHyphens w:val="0"/>
      <w:bidi w:val="0"/>
      <w:spacing w:before="0" w:after="480" w:line="264" w:lineRule="auto"/>
      <w:ind w:left="0" w:right="0" w:firstLine="0"/>
      <w:jc w:val="center"/>
      <w:outlineLvl w:val="9"/>
    </w:pPr>
    <w:rPr>
      <w:rFonts w:ascii="Constantia" w:cs="Constantia" w:hAnsi="Constantia" w:eastAsia="Constantia"/>
      <w:b w:val="0"/>
      <w:bCs w:val="0"/>
      <w:i w:val="0"/>
      <w:iCs w:val="0"/>
      <w:caps w:val="1"/>
      <w:strike w:val="0"/>
      <w:dstrike w:val="0"/>
      <w:outline w:val="0"/>
      <w:color w:val="595959"/>
      <w:spacing w:val="0"/>
      <w:kern w:val="0"/>
      <w:position w:val="0"/>
      <w:sz w:val="26"/>
      <w:szCs w:val="26"/>
      <w:u w:val="none" w:color="595959"/>
      <w:shd w:val="nil" w:color="auto" w:fill="auto"/>
      <w:vertAlign w:val="baseline"/>
      <w:lang w:val="en-US"/>
      <w14:textOutline>
        <w14:noFill/>
      </w14:textOutline>
      <w14:textFill>
        <w14:solidFill>
          <w14:srgbClr w14:val="595959"/>
        </w14:solidFill>
      </w14:textFill>
    </w:rPr>
  </w:style>
  <w:style w:type="paragraph" w:styleId="Contact Info">
    <w:name w:val="Contact Info"/>
    <w:next w:val="Contact Info"/>
    <w:pPr>
      <w:keepNext w:val="0"/>
      <w:keepLines w:val="0"/>
      <w:pageBreakBefore w:val="0"/>
      <w:widowControl w:val="1"/>
      <w:shd w:val="clear" w:color="auto" w:fill="auto"/>
      <w:suppressAutoHyphens w:val="0"/>
      <w:bidi w:val="0"/>
      <w:spacing w:before="0" w:after="0" w:line="264" w:lineRule="auto"/>
      <w:ind w:left="0" w:right="0" w:firstLine="0"/>
      <w:jc w:val="center"/>
      <w:outlineLvl w:val="9"/>
    </w:pPr>
    <w:rPr>
      <w:rFonts w:ascii="Constantia" w:cs="Constantia" w:hAnsi="Constantia" w:eastAsia="Constantia"/>
      <w:b w:val="0"/>
      <w:bCs w:val="0"/>
      <w:i w:val="0"/>
      <w:iCs w:val="0"/>
      <w:caps w:val="0"/>
      <w:smallCaps w:val="0"/>
      <w:strike w:val="0"/>
      <w:dstrike w:val="0"/>
      <w:outline w:val="0"/>
      <w:color w:val="595959"/>
      <w:spacing w:val="0"/>
      <w:kern w:val="0"/>
      <w:position w:val="0"/>
      <w:sz w:val="22"/>
      <w:szCs w:val="22"/>
      <w:u w:val="none" w:color="595959"/>
      <w:shd w:val="nil" w:color="auto" w:fill="auto"/>
      <w:vertAlign w:val="baseline"/>
      <w:lang w:val="en-US"/>
      <w14:textFill>
        <w14:solidFill>
          <w14:srgbClr w14:val="595959"/>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20" w:after="200" w:line="264" w:lineRule="auto"/>
      <w:ind w:left="0" w:right="0" w:firstLine="0"/>
      <w:jc w:val="left"/>
      <w:outlineLvl w:val="9"/>
    </w:pPr>
    <w:rPr>
      <w:rFonts w:ascii="Constantia" w:cs="Constantia" w:hAnsi="Constantia" w:eastAsia="Constantia"/>
      <w:b w:val="0"/>
      <w:bCs w:val="0"/>
      <w:i w:val="0"/>
      <w:iCs w:val="0"/>
      <w:caps w:val="0"/>
      <w:smallCaps w:val="0"/>
      <w:strike w:val="0"/>
      <w:dstrike w:val="0"/>
      <w:outline w:val="0"/>
      <w:color w:val="595959"/>
      <w:spacing w:val="0"/>
      <w:kern w:val="0"/>
      <w:position w:val="0"/>
      <w:sz w:val="22"/>
      <w:szCs w:val="22"/>
      <w:u w:val="none" w:color="595959"/>
      <w:shd w:val="nil" w:color="auto" w:fill="auto"/>
      <w:vertAlign w:val="baseline"/>
      <w14:textOutline>
        <w14:noFill/>
      </w14:textOutline>
      <w14:textFill>
        <w14:solidFill>
          <w14:srgbClr w14:val="595959"/>
        </w14:solidFill>
      </w14:textFill>
    </w:rPr>
  </w:style>
  <w:style w:type="character" w:styleId="Hyperlink.0">
    <w:name w:val="Hyperlink.0"/>
    <w:basedOn w:val="Hyperlink"/>
    <w:next w:val="Hyperlink.0"/>
    <w:rPr>
      <w:outline w:val="0"/>
      <w:color w:val="835d00"/>
      <w:u w:val="single" w:color="835d00"/>
      <w14:textFill>
        <w14:solidFill>
          <w14:srgbClr w14:val="835D00"/>
        </w14:solidFill>
      </w14:textFill>
    </w:rPr>
  </w:style>
  <w:style w:type="paragraph" w:styleId="Bibliography">
    <w:name w:val="Bibliography"/>
    <w:next w:val="Body"/>
    <w:pPr>
      <w:keepNext w:val="0"/>
      <w:keepLines w:val="0"/>
      <w:pageBreakBefore w:val="0"/>
      <w:widowControl w:val="1"/>
      <w:shd w:val="clear" w:color="auto" w:fill="auto"/>
      <w:suppressAutoHyphens w:val="0"/>
      <w:bidi w:val="0"/>
      <w:spacing w:before="0" w:after="160" w:line="256" w:lineRule="auto"/>
      <w:ind w:left="0" w:right="0" w:firstLine="0"/>
      <w:jc w:val="left"/>
      <w:outlineLvl w:val="9"/>
    </w:pPr>
    <w:rPr>
      <w:rFonts w:ascii="Constantia" w:cs="Constantia" w:hAnsi="Constantia" w:eastAsia="Constantia"/>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Theme1">
  <a:themeElements>
    <a:clrScheme name="Theme1">
      <a:dk1>
        <a:srgbClr val="000000"/>
      </a:dk1>
      <a:lt1>
        <a:srgbClr val="FFFFFF"/>
      </a:lt1>
      <a:dk2>
        <a:srgbClr val="A7A7A7"/>
      </a:dk2>
      <a:lt2>
        <a:srgbClr val="535353"/>
      </a:lt2>
      <a:accent1>
        <a:srgbClr val="00A0B8"/>
      </a:accent1>
      <a:accent2>
        <a:srgbClr val="EA157A"/>
      </a:accent2>
      <a:accent3>
        <a:srgbClr val="FEB80A"/>
      </a:accent3>
      <a:accent4>
        <a:srgbClr val="00ADDC"/>
      </a:accent4>
      <a:accent5>
        <a:srgbClr val="738AC8"/>
      </a:accent5>
      <a:accent6>
        <a:srgbClr val="1AB39F"/>
      </a:accent6>
      <a:hlink>
        <a:srgbClr val="0000FF"/>
      </a:hlink>
      <a:folHlink>
        <a:srgbClr val="FF00FF"/>
      </a:folHlink>
    </a:clrScheme>
    <a:fontScheme name="Theme1">
      <a:majorFont>
        <a:latin typeface="Constantia"/>
        <a:ea typeface="Constantia"/>
        <a:cs typeface="Constantia"/>
      </a:majorFont>
      <a:minorFont>
        <a:latin typeface="Constantia"/>
        <a:ea typeface="Constantia"/>
        <a:cs typeface="Constantia"/>
      </a:minorFont>
    </a:fontScheme>
    <a:fmtScheme name="Theme1">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Constant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Constant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