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BA09C7" w:rsidRPr="00CD33A8" w:rsidRDefault="00074402" w:rsidP="0097123B">
      <w:r w:rsidRPr="00CD33A8">
        <w:rPr>
          <w:noProof/>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97123B"/>
    <w:p w14:paraId="4E267F2C" w14:textId="35E99859" w:rsidR="00074402" w:rsidRPr="00CD33A8" w:rsidRDefault="00074402" w:rsidP="0097123B"/>
    <w:p w14:paraId="5D864E3F" w14:textId="04749E68" w:rsidR="00074402" w:rsidRPr="00CD33A8" w:rsidRDefault="00074402" w:rsidP="0097123B"/>
    <w:p w14:paraId="22F2817A" w14:textId="77777777" w:rsidR="00074402" w:rsidRPr="00CD33A8" w:rsidRDefault="00074402" w:rsidP="0097123B"/>
    <w:p w14:paraId="7D557BA5" w14:textId="6EC3EBA7" w:rsidR="00CD33A8" w:rsidRPr="00047AF8" w:rsidRDefault="00CD33A8" w:rsidP="0097123B">
      <w:pPr>
        <w:rPr>
          <w:sz w:val="36"/>
          <w:szCs w:val="36"/>
          <w:lang w:val="nl-NL"/>
        </w:rPr>
      </w:pPr>
      <w:r w:rsidRPr="00047AF8">
        <w:rPr>
          <w:b/>
          <w:bCs/>
          <w:sz w:val="36"/>
          <w:szCs w:val="36"/>
          <w:lang w:val="nl-NL"/>
        </w:rPr>
        <w:t>Module name</w:t>
      </w:r>
      <w:r w:rsidRPr="00047AF8">
        <w:rPr>
          <w:sz w:val="36"/>
          <w:szCs w:val="36"/>
          <w:lang w:val="nl-NL"/>
        </w:rPr>
        <w:t xml:space="preserve">: </w:t>
      </w:r>
      <w:r w:rsidR="00F7158B" w:rsidRPr="00047AF8">
        <w:rPr>
          <w:sz w:val="36"/>
          <w:szCs w:val="36"/>
          <w:lang w:val="nl-NL"/>
        </w:rPr>
        <w:t xml:space="preserve">Introduction to Independent Research Skills </w:t>
      </w:r>
    </w:p>
    <w:p w14:paraId="529D7354" w14:textId="6D3445CC" w:rsidR="00CD33A8" w:rsidRPr="00047AF8" w:rsidRDefault="00CD33A8" w:rsidP="0097123B">
      <w:pPr>
        <w:rPr>
          <w:sz w:val="36"/>
          <w:szCs w:val="36"/>
        </w:rPr>
      </w:pPr>
      <w:r w:rsidRPr="00047AF8">
        <w:rPr>
          <w:b/>
          <w:bCs/>
          <w:sz w:val="36"/>
          <w:szCs w:val="36"/>
        </w:rPr>
        <w:t>Module code</w:t>
      </w:r>
      <w:r w:rsidRPr="00047AF8">
        <w:rPr>
          <w:sz w:val="36"/>
          <w:szCs w:val="36"/>
        </w:rPr>
        <w:t>:</w:t>
      </w:r>
      <w:r w:rsidR="00F7158B" w:rsidRPr="00047AF8">
        <w:rPr>
          <w:sz w:val="36"/>
          <w:szCs w:val="36"/>
        </w:rPr>
        <w:t>(BMHP5019_LON)</w:t>
      </w:r>
    </w:p>
    <w:p w14:paraId="0A48766D" w14:textId="41D902B5" w:rsidR="00074402" w:rsidRPr="00047AF8" w:rsidRDefault="00074402" w:rsidP="0097123B">
      <w:pPr>
        <w:rPr>
          <w:sz w:val="36"/>
          <w:szCs w:val="36"/>
          <w:lang w:val="nl-NL"/>
        </w:rPr>
      </w:pPr>
      <w:r w:rsidRPr="00047AF8">
        <w:rPr>
          <w:b/>
          <w:bCs/>
          <w:sz w:val="36"/>
          <w:szCs w:val="36"/>
          <w:lang w:val="nl-NL"/>
        </w:rPr>
        <w:t>Student name</w:t>
      </w:r>
      <w:r w:rsidRPr="00047AF8">
        <w:rPr>
          <w:sz w:val="36"/>
          <w:szCs w:val="36"/>
          <w:lang w:val="nl-NL"/>
        </w:rPr>
        <w:t>:</w:t>
      </w:r>
      <w:r w:rsidR="00F7158B" w:rsidRPr="00047AF8">
        <w:rPr>
          <w:sz w:val="36"/>
          <w:szCs w:val="36"/>
          <w:lang w:val="nl-NL"/>
        </w:rPr>
        <w:t xml:space="preserve"> Diana Kryemadhi</w:t>
      </w:r>
    </w:p>
    <w:p w14:paraId="5E81F6AD" w14:textId="0966A51D" w:rsidR="00074402" w:rsidRPr="00047AF8" w:rsidRDefault="00074402" w:rsidP="0097123B">
      <w:pPr>
        <w:rPr>
          <w:sz w:val="36"/>
          <w:szCs w:val="36"/>
          <w:lang w:val="nl-NL"/>
        </w:rPr>
      </w:pPr>
      <w:r w:rsidRPr="00047AF8">
        <w:rPr>
          <w:b/>
          <w:bCs/>
          <w:sz w:val="36"/>
          <w:szCs w:val="36"/>
          <w:lang w:val="nl-NL"/>
        </w:rPr>
        <w:t>Student ID</w:t>
      </w:r>
      <w:r w:rsidRPr="00047AF8">
        <w:rPr>
          <w:sz w:val="36"/>
          <w:szCs w:val="36"/>
          <w:lang w:val="nl-NL"/>
        </w:rPr>
        <w:t>:</w:t>
      </w:r>
      <w:r w:rsidR="00F7158B" w:rsidRPr="00047AF8">
        <w:rPr>
          <w:sz w:val="36"/>
          <w:szCs w:val="36"/>
          <w:lang w:val="nl-NL"/>
        </w:rPr>
        <w:t>2024820</w:t>
      </w:r>
    </w:p>
    <w:p w14:paraId="73F745DF" w14:textId="0A68C73B" w:rsidR="00047AF8" w:rsidRPr="00047AF8" w:rsidRDefault="00047AF8" w:rsidP="0097123B">
      <w:pPr>
        <w:rPr>
          <w:b/>
          <w:bCs/>
          <w:sz w:val="36"/>
          <w:szCs w:val="36"/>
        </w:rPr>
      </w:pPr>
      <w:proofErr w:type="gramStart"/>
      <w:r w:rsidRPr="00047AF8">
        <w:rPr>
          <w:b/>
          <w:bCs/>
          <w:sz w:val="36"/>
          <w:szCs w:val="36"/>
        </w:rPr>
        <w:t xml:space="preserve">Topic </w:t>
      </w:r>
      <w:r>
        <w:rPr>
          <w:b/>
          <w:bCs/>
          <w:sz w:val="36"/>
          <w:szCs w:val="36"/>
        </w:rPr>
        <w:t>:</w:t>
      </w:r>
      <w:proofErr w:type="gramEnd"/>
    </w:p>
    <w:p w14:paraId="0862FF47" w14:textId="77777777" w:rsidR="00047AF8" w:rsidRPr="00047AF8" w:rsidRDefault="00047AF8" w:rsidP="00047AF8">
      <w:pPr>
        <w:rPr>
          <w:sz w:val="36"/>
          <w:szCs w:val="36"/>
        </w:rPr>
      </w:pPr>
      <w:r w:rsidRPr="00047AF8">
        <w:rPr>
          <w:sz w:val="36"/>
          <w:szCs w:val="36"/>
        </w:rPr>
        <w:t>Disclosure of Mental Health Issues among Working Adults in UK Workplaces</w:t>
      </w:r>
    </w:p>
    <w:p w14:paraId="58E80DC0" w14:textId="77777777" w:rsidR="00047AF8" w:rsidRPr="00047AF8" w:rsidRDefault="00047AF8" w:rsidP="00047AF8">
      <w:pPr>
        <w:rPr>
          <w:sz w:val="36"/>
          <w:szCs w:val="36"/>
        </w:rPr>
      </w:pPr>
    </w:p>
    <w:p w14:paraId="5964591D" w14:textId="77777777" w:rsidR="00047AF8" w:rsidRDefault="00047AF8" w:rsidP="00047AF8"/>
    <w:p w14:paraId="79BB899E" w14:textId="77777777" w:rsidR="00047AF8" w:rsidRDefault="00047AF8" w:rsidP="00047AF8"/>
    <w:p w14:paraId="39D08584" w14:textId="2A9B7BAB" w:rsidR="00074402" w:rsidRPr="00CD33A8" w:rsidRDefault="00047AF8" w:rsidP="00047AF8">
      <w:r>
        <w:t> </w:t>
      </w:r>
    </w:p>
    <w:p w14:paraId="5B66D125" w14:textId="77777777" w:rsidR="00074402" w:rsidRPr="00CD33A8" w:rsidRDefault="00074402" w:rsidP="0097123B"/>
    <w:p w14:paraId="291524A2" w14:textId="2CBFF360" w:rsidR="00074402" w:rsidRPr="00CD33A8" w:rsidRDefault="00074402" w:rsidP="0097123B"/>
    <w:p w14:paraId="5AE88297" w14:textId="24E6B718" w:rsidR="00B87E75" w:rsidRPr="00CD33A8" w:rsidRDefault="00B87E75" w:rsidP="0097123B"/>
    <w:p w14:paraId="48D12121" w14:textId="1C4C2067" w:rsidR="00C56829" w:rsidRPr="00C56829" w:rsidRDefault="00B87E75" w:rsidP="0097123B">
      <w:r w:rsidRPr="00CD33A8">
        <w:br w:type="page"/>
      </w:r>
    </w:p>
    <w:p w14:paraId="2E834304" w14:textId="6CEB4A25" w:rsidR="00C56829" w:rsidRDefault="00C56829" w:rsidP="0097123B"/>
    <w:sdt>
      <w:sdtPr>
        <w:rPr>
          <w:rFonts w:ascii="Arial" w:eastAsiaTheme="minorHAnsi" w:hAnsi="Arial" w:cstheme="minorBidi"/>
          <w:b w:val="0"/>
          <w:color w:val="auto"/>
          <w:sz w:val="22"/>
          <w:szCs w:val="22"/>
          <w:lang w:val="en-GB"/>
        </w:rPr>
        <w:id w:val="168143970"/>
        <w:docPartObj>
          <w:docPartGallery w:val="Table of Contents"/>
          <w:docPartUnique/>
        </w:docPartObj>
      </w:sdtPr>
      <w:sdtEndPr>
        <w:rPr>
          <w:bCs/>
          <w:noProof/>
        </w:rPr>
      </w:sdtEndPr>
      <w:sdtContent>
        <w:p w14:paraId="3DA70FB9" w14:textId="7F97FE46" w:rsidR="008655F3" w:rsidRPr="006D52E3" w:rsidRDefault="008655F3" w:rsidP="006D52E3">
          <w:pPr>
            <w:pStyle w:val="TOCHeading"/>
            <w:spacing w:line="360" w:lineRule="auto"/>
            <w:rPr>
              <w:color w:val="auto"/>
              <w:sz w:val="22"/>
              <w:szCs w:val="22"/>
            </w:rPr>
          </w:pPr>
          <w:r w:rsidRPr="006D52E3">
            <w:rPr>
              <w:color w:val="auto"/>
              <w:sz w:val="22"/>
              <w:szCs w:val="22"/>
            </w:rPr>
            <w:t>Contents</w:t>
          </w:r>
        </w:p>
        <w:p w14:paraId="7B31A30D" w14:textId="587D14FC" w:rsidR="008655F3" w:rsidRPr="006D52E3" w:rsidRDefault="008655F3" w:rsidP="006D52E3">
          <w:pPr>
            <w:pStyle w:val="TOC1"/>
            <w:tabs>
              <w:tab w:val="left" w:pos="480"/>
              <w:tab w:val="right" w:leader="dot" w:pos="9016"/>
            </w:tabs>
            <w:spacing w:line="360" w:lineRule="auto"/>
            <w:rPr>
              <w:rFonts w:asciiTheme="minorHAnsi" w:eastAsiaTheme="minorEastAsia" w:hAnsiTheme="minorHAnsi"/>
              <w:noProof/>
              <w:kern w:val="2"/>
              <w:sz w:val="22"/>
              <w:lang w:eastAsia="en-GB"/>
              <w14:ligatures w14:val="standardContextual"/>
            </w:rPr>
          </w:pPr>
          <w:r w:rsidRPr="006D52E3">
            <w:rPr>
              <w:sz w:val="22"/>
            </w:rPr>
            <w:fldChar w:fldCharType="begin"/>
          </w:r>
          <w:r w:rsidRPr="006D52E3">
            <w:rPr>
              <w:sz w:val="22"/>
            </w:rPr>
            <w:instrText xml:space="preserve"> TOC \o "1-3" \h \z \u </w:instrText>
          </w:r>
          <w:r w:rsidRPr="006D52E3">
            <w:rPr>
              <w:sz w:val="22"/>
            </w:rPr>
            <w:fldChar w:fldCharType="separate"/>
          </w:r>
          <w:hyperlink w:anchor="_Toc215140036" w:history="1">
            <w:r w:rsidRPr="006D52E3">
              <w:rPr>
                <w:rStyle w:val="Hyperlink"/>
                <w:noProof/>
                <w:color w:val="auto"/>
                <w:sz w:val="22"/>
              </w:rPr>
              <w:t>1.</w:t>
            </w:r>
            <w:r w:rsidRPr="006D52E3">
              <w:rPr>
                <w:rFonts w:asciiTheme="minorHAnsi" w:eastAsiaTheme="minorEastAsia" w:hAnsiTheme="minorHAnsi"/>
                <w:noProof/>
                <w:kern w:val="2"/>
                <w:sz w:val="22"/>
                <w:lang w:eastAsia="en-GB"/>
                <w14:ligatures w14:val="standardContextual"/>
              </w:rPr>
              <w:tab/>
            </w:r>
            <w:r w:rsidRPr="006D52E3">
              <w:rPr>
                <w:rStyle w:val="Hyperlink"/>
                <w:noProof/>
                <w:color w:val="auto"/>
                <w:sz w:val="22"/>
              </w:rPr>
              <w:t>Abstract</w:t>
            </w:r>
            <w:r w:rsidRPr="006D52E3">
              <w:rPr>
                <w:noProof/>
                <w:webHidden/>
                <w:sz w:val="22"/>
              </w:rPr>
              <w:tab/>
            </w:r>
            <w:r w:rsidRPr="006D52E3">
              <w:rPr>
                <w:noProof/>
                <w:webHidden/>
                <w:sz w:val="22"/>
              </w:rPr>
              <w:fldChar w:fldCharType="begin"/>
            </w:r>
            <w:r w:rsidRPr="006D52E3">
              <w:rPr>
                <w:noProof/>
                <w:webHidden/>
                <w:sz w:val="22"/>
              </w:rPr>
              <w:instrText xml:space="preserve"> PAGEREF _Toc215140036 \h </w:instrText>
            </w:r>
            <w:r w:rsidRPr="006D52E3">
              <w:rPr>
                <w:noProof/>
                <w:webHidden/>
                <w:sz w:val="22"/>
              </w:rPr>
            </w:r>
            <w:r w:rsidRPr="006D52E3">
              <w:rPr>
                <w:noProof/>
                <w:webHidden/>
                <w:sz w:val="22"/>
              </w:rPr>
              <w:fldChar w:fldCharType="separate"/>
            </w:r>
            <w:r w:rsidRPr="006D52E3">
              <w:rPr>
                <w:noProof/>
                <w:webHidden/>
                <w:sz w:val="22"/>
              </w:rPr>
              <w:t>3</w:t>
            </w:r>
            <w:r w:rsidRPr="006D52E3">
              <w:rPr>
                <w:noProof/>
                <w:webHidden/>
                <w:sz w:val="22"/>
              </w:rPr>
              <w:fldChar w:fldCharType="end"/>
            </w:r>
          </w:hyperlink>
        </w:p>
        <w:p w14:paraId="3A491FBC" w14:textId="3EA59A8D" w:rsidR="008655F3" w:rsidRPr="006D52E3" w:rsidRDefault="008655F3" w:rsidP="006D52E3">
          <w:pPr>
            <w:pStyle w:val="TOC1"/>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37" w:history="1">
            <w:r w:rsidRPr="006D52E3">
              <w:rPr>
                <w:rStyle w:val="Hyperlink"/>
                <w:noProof/>
                <w:color w:val="auto"/>
                <w:sz w:val="22"/>
              </w:rPr>
              <w:t>1. Introduction</w:t>
            </w:r>
            <w:r w:rsidRPr="006D52E3">
              <w:rPr>
                <w:noProof/>
                <w:webHidden/>
                <w:sz w:val="22"/>
              </w:rPr>
              <w:tab/>
            </w:r>
            <w:r w:rsidRPr="006D52E3">
              <w:rPr>
                <w:noProof/>
                <w:webHidden/>
                <w:sz w:val="22"/>
              </w:rPr>
              <w:fldChar w:fldCharType="begin"/>
            </w:r>
            <w:r w:rsidRPr="006D52E3">
              <w:rPr>
                <w:noProof/>
                <w:webHidden/>
                <w:sz w:val="22"/>
              </w:rPr>
              <w:instrText xml:space="preserve"> PAGEREF _Toc215140037 \h </w:instrText>
            </w:r>
            <w:r w:rsidRPr="006D52E3">
              <w:rPr>
                <w:noProof/>
                <w:webHidden/>
                <w:sz w:val="22"/>
              </w:rPr>
            </w:r>
            <w:r w:rsidRPr="006D52E3">
              <w:rPr>
                <w:noProof/>
                <w:webHidden/>
                <w:sz w:val="22"/>
              </w:rPr>
              <w:fldChar w:fldCharType="separate"/>
            </w:r>
            <w:r w:rsidRPr="006D52E3">
              <w:rPr>
                <w:noProof/>
                <w:webHidden/>
                <w:sz w:val="22"/>
              </w:rPr>
              <w:t>4</w:t>
            </w:r>
            <w:r w:rsidRPr="006D52E3">
              <w:rPr>
                <w:noProof/>
                <w:webHidden/>
                <w:sz w:val="22"/>
              </w:rPr>
              <w:fldChar w:fldCharType="end"/>
            </w:r>
          </w:hyperlink>
        </w:p>
        <w:p w14:paraId="22534C6F" w14:textId="58226A59" w:rsidR="008655F3" w:rsidRPr="006D52E3" w:rsidRDefault="008655F3" w:rsidP="006D52E3">
          <w:pPr>
            <w:pStyle w:val="TOC2"/>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38" w:history="1">
            <w:r w:rsidRPr="006D52E3">
              <w:rPr>
                <w:rStyle w:val="Hyperlink"/>
                <w:noProof/>
                <w:color w:val="auto"/>
                <w:sz w:val="22"/>
              </w:rPr>
              <w:t>Definition of main concepts</w:t>
            </w:r>
            <w:r w:rsidRPr="006D52E3">
              <w:rPr>
                <w:noProof/>
                <w:webHidden/>
                <w:sz w:val="22"/>
              </w:rPr>
              <w:tab/>
            </w:r>
            <w:r w:rsidRPr="006D52E3">
              <w:rPr>
                <w:noProof/>
                <w:webHidden/>
                <w:sz w:val="22"/>
              </w:rPr>
              <w:fldChar w:fldCharType="begin"/>
            </w:r>
            <w:r w:rsidRPr="006D52E3">
              <w:rPr>
                <w:noProof/>
                <w:webHidden/>
                <w:sz w:val="22"/>
              </w:rPr>
              <w:instrText xml:space="preserve"> PAGEREF _Toc215140038 \h </w:instrText>
            </w:r>
            <w:r w:rsidRPr="006D52E3">
              <w:rPr>
                <w:noProof/>
                <w:webHidden/>
                <w:sz w:val="22"/>
              </w:rPr>
            </w:r>
            <w:r w:rsidRPr="006D52E3">
              <w:rPr>
                <w:noProof/>
                <w:webHidden/>
                <w:sz w:val="22"/>
              </w:rPr>
              <w:fldChar w:fldCharType="separate"/>
            </w:r>
            <w:r w:rsidRPr="006D52E3">
              <w:rPr>
                <w:noProof/>
                <w:webHidden/>
                <w:sz w:val="22"/>
              </w:rPr>
              <w:t>4</w:t>
            </w:r>
            <w:r w:rsidRPr="006D52E3">
              <w:rPr>
                <w:noProof/>
                <w:webHidden/>
                <w:sz w:val="22"/>
              </w:rPr>
              <w:fldChar w:fldCharType="end"/>
            </w:r>
          </w:hyperlink>
        </w:p>
        <w:p w14:paraId="70A80FB2" w14:textId="0ABB741B" w:rsidR="008655F3" w:rsidRPr="006D52E3" w:rsidRDefault="008655F3" w:rsidP="006D52E3">
          <w:pPr>
            <w:pStyle w:val="TOC2"/>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39" w:history="1">
            <w:r w:rsidRPr="006D52E3">
              <w:rPr>
                <w:rStyle w:val="Hyperlink"/>
                <w:noProof/>
                <w:color w:val="auto"/>
                <w:sz w:val="22"/>
              </w:rPr>
              <w:t>Rationale of the research</w:t>
            </w:r>
            <w:r w:rsidRPr="006D52E3">
              <w:rPr>
                <w:noProof/>
                <w:webHidden/>
                <w:sz w:val="22"/>
              </w:rPr>
              <w:tab/>
            </w:r>
            <w:r w:rsidRPr="006D52E3">
              <w:rPr>
                <w:noProof/>
                <w:webHidden/>
                <w:sz w:val="22"/>
              </w:rPr>
              <w:fldChar w:fldCharType="begin"/>
            </w:r>
            <w:r w:rsidRPr="006D52E3">
              <w:rPr>
                <w:noProof/>
                <w:webHidden/>
                <w:sz w:val="22"/>
              </w:rPr>
              <w:instrText xml:space="preserve"> PAGEREF _Toc215140039 \h </w:instrText>
            </w:r>
            <w:r w:rsidRPr="006D52E3">
              <w:rPr>
                <w:noProof/>
                <w:webHidden/>
                <w:sz w:val="22"/>
              </w:rPr>
            </w:r>
            <w:r w:rsidRPr="006D52E3">
              <w:rPr>
                <w:noProof/>
                <w:webHidden/>
                <w:sz w:val="22"/>
              </w:rPr>
              <w:fldChar w:fldCharType="separate"/>
            </w:r>
            <w:r w:rsidRPr="006D52E3">
              <w:rPr>
                <w:noProof/>
                <w:webHidden/>
                <w:sz w:val="22"/>
              </w:rPr>
              <w:t>5</w:t>
            </w:r>
            <w:r w:rsidRPr="006D52E3">
              <w:rPr>
                <w:noProof/>
                <w:webHidden/>
                <w:sz w:val="22"/>
              </w:rPr>
              <w:fldChar w:fldCharType="end"/>
            </w:r>
          </w:hyperlink>
        </w:p>
        <w:p w14:paraId="7A6F038A" w14:textId="491187EF" w:rsidR="008655F3" w:rsidRPr="006D52E3" w:rsidRDefault="008655F3" w:rsidP="006D52E3">
          <w:pPr>
            <w:pStyle w:val="TOC2"/>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40" w:history="1">
            <w:r w:rsidRPr="006D52E3">
              <w:rPr>
                <w:rStyle w:val="Hyperlink"/>
                <w:iCs/>
                <w:noProof/>
                <w:color w:val="auto"/>
                <w:sz w:val="22"/>
              </w:rPr>
              <w:t>Review question</w:t>
            </w:r>
            <w:r w:rsidRPr="006D52E3">
              <w:rPr>
                <w:noProof/>
                <w:webHidden/>
                <w:sz w:val="22"/>
              </w:rPr>
              <w:tab/>
            </w:r>
            <w:r w:rsidRPr="006D52E3">
              <w:rPr>
                <w:noProof/>
                <w:webHidden/>
                <w:sz w:val="22"/>
              </w:rPr>
              <w:fldChar w:fldCharType="begin"/>
            </w:r>
            <w:r w:rsidRPr="006D52E3">
              <w:rPr>
                <w:noProof/>
                <w:webHidden/>
                <w:sz w:val="22"/>
              </w:rPr>
              <w:instrText xml:space="preserve"> PAGEREF _Toc215140040 \h </w:instrText>
            </w:r>
            <w:r w:rsidRPr="006D52E3">
              <w:rPr>
                <w:noProof/>
                <w:webHidden/>
                <w:sz w:val="22"/>
              </w:rPr>
            </w:r>
            <w:r w:rsidRPr="006D52E3">
              <w:rPr>
                <w:noProof/>
                <w:webHidden/>
                <w:sz w:val="22"/>
              </w:rPr>
              <w:fldChar w:fldCharType="separate"/>
            </w:r>
            <w:r w:rsidRPr="006D52E3">
              <w:rPr>
                <w:noProof/>
                <w:webHidden/>
                <w:sz w:val="22"/>
              </w:rPr>
              <w:t>6</w:t>
            </w:r>
            <w:r w:rsidRPr="006D52E3">
              <w:rPr>
                <w:noProof/>
                <w:webHidden/>
                <w:sz w:val="22"/>
              </w:rPr>
              <w:fldChar w:fldCharType="end"/>
            </w:r>
          </w:hyperlink>
        </w:p>
        <w:p w14:paraId="0FE7CA49" w14:textId="3ED6FCE9" w:rsidR="008655F3" w:rsidRPr="006D52E3" w:rsidRDefault="008655F3" w:rsidP="006D52E3">
          <w:pPr>
            <w:pStyle w:val="TOC1"/>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41" w:history="1">
            <w:r w:rsidRPr="006D52E3">
              <w:rPr>
                <w:rStyle w:val="Hyperlink"/>
                <w:noProof/>
                <w:color w:val="auto"/>
                <w:sz w:val="22"/>
              </w:rPr>
              <w:t>2.Background</w:t>
            </w:r>
            <w:r w:rsidRPr="006D52E3">
              <w:rPr>
                <w:noProof/>
                <w:webHidden/>
                <w:sz w:val="22"/>
              </w:rPr>
              <w:tab/>
            </w:r>
            <w:r w:rsidRPr="006D52E3">
              <w:rPr>
                <w:noProof/>
                <w:webHidden/>
                <w:sz w:val="22"/>
              </w:rPr>
              <w:fldChar w:fldCharType="begin"/>
            </w:r>
            <w:r w:rsidRPr="006D52E3">
              <w:rPr>
                <w:noProof/>
                <w:webHidden/>
                <w:sz w:val="22"/>
              </w:rPr>
              <w:instrText xml:space="preserve"> PAGEREF _Toc215140041 \h </w:instrText>
            </w:r>
            <w:r w:rsidRPr="006D52E3">
              <w:rPr>
                <w:noProof/>
                <w:webHidden/>
                <w:sz w:val="22"/>
              </w:rPr>
            </w:r>
            <w:r w:rsidRPr="006D52E3">
              <w:rPr>
                <w:noProof/>
                <w:webHidden/>
                <w:sz w:val="22"/>
              </w:rPr>
              <w:fldChar w:fldCharType="separate"/>
            </w:r>
            <w:r w:rsidRPr="006D52E3">
              <w:rPr>
                <w:noProof/>
                <w:webHidden/>
                <w:sz w:val="22"/>
              </w:rPr>
              <w:t>6</w:t>
            </w:r>
            <w:r w:rsidRPr="006D52E3">
              <w:rPr>
                <w:noProof/>
                <w:webHidden/>
                <w:sz w:val="22"/>
              </w:rPr>
              <w:fldChar w:fldCharType="end"/>
            </w:r>
          </w:hyperlink>
        </w:p>
        <w:p w14:paraId="4A47FD74" w14:textId="25F93041" w:rsidR="008655F3" w:rsidRPr="006D52E3" w:rsidRDefault="008655F3" w:rsidP="006D52E3">
          <w:pPr>
            <w:pStyle w:val="TOC1"/>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42" w:history="1">
            <w:r w:rsidRPr="006D52E3">
              <w:rPr>
                <w:rStyle w:val="Hyperlink"/>
                <w:noProof/>
                <w:color w:val="auto"/>
                <w:sz w:val="22"/>
              </w:rPr>
              <w:t>3 Methods</w:t>
            </w:r>
            <w:r w:rsidRPr="006D52E3">
              <w:rPr>
                <w:noProof/>
                <w:webHidden/>
                <w:sz w:val="22"/>
              </w:rPr>
              <w:tab/>
            </w:r>
            <w:r w:rsidRPr="006D52E3">
              <w:rPr>
                <w:noProof/>
                <w:webHidden/>
                <w:sz w:val="22"/>
              </w:rPr>
              <w:fldChar w:fldCharType="begin"/>
            </w:r>
            <w:r w:rsidRPr="006D52E3">
              <w:rPr>
                <w:noProof/>
                <w:webHidden/>
                <w:sz w:val="22"/>
              </w:rPr>
              <w:instrText xml:space="preserve"> PAGEREF _Toc215140042 \h </w:instrText>
            </w:r>
            <w:r w:rsidRPr="006D52E3">
              <w:rPr>
                <w:noProof/>
                <w:webHidden/>
                <w:sz w:val="22"/>
              </w:rPr>
            </w:r>
            <w:r w:rsidRPr="006D52E3">
              <w:rPr>
                <w:noProof/>
                <w:webHidden/>
                <w:sz w:val="22"/>
              </w:rPr>
              <w:fldChar w:fldCharType="separate"/>
            </w:r>
            <w:r w:rsidRPr="006D52E3">
              <w:rPr>
                <w:noProof/>
                <w:webHidden/>
                <w:sz w:val="22"/>
              </w:rPr>
              <w:t>9</w:t>
            </w:r>
            <w:r w:rsidRPr="006D52E3">
              <w:rPr>
                <w:noProof/>
                <w:webHidden/>
                <w:sz w:val="22"/>
              </w:rPr>
              <w:fldChar w:fldCharType="end"/>
            </w:r>
          </w:hyperlink>
        </w:p>
        <w:p w14:paraId="46D3280D" w14:textId="63A05829" w:rsidR="008655F3" w:rsidRPr="006D52E3" w:rsidRDefault="008655F3" w:rsidP="006D52E3">
          <w:pPr>
            <w:pStyle w:val="TOC2"/>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43" w:history="1">
            <w:r w:rsidRPr="006D52E3">
              <w:rPr>
                <w:rStyle w:val="Hyperlink"/>
                <w:noProof/>
                <w:color w:val="auto"/>
                <w:sz w:val="22"/>
              </w:rPr>
              <w:t>Research Design</w:t>
            </w:r>
            <w:r w:rsidRPr="006D52E3">
              <w:rPr>
                <w:noProof/>
                <w:webHidden/>
                <w:sz w:val="22"/>
              </w:rPr>
              <w:tab/>
            </w:r>
            <w:r w:rsidRPr="006D52E3">
              <w:rPr>
                <w:noProof/>
                <w:webHidden/>
                <w:sz w:val="22"/>
              </w:rPr>
              <w:fldChar w:fldCharType="begin"/>
            </w:r>
            <w:r w:rsidRPr="006D52E3">
              <w:rPr>
                <w:noProof/>
                <w:webHidden/>
                <w:sz w:val="22"/>
              </w:rPr>
              <w:instrText xml:space="preserve"> PAGEREF _Toc215140043 \h </w:instrText>
            </w:r>
            <w:r w:rsidRPr="006D52E3">
              <w:rPr>
                <w:noProof/>
                <w:webHidden/>
                <w:sz w:val="22"/>
              </w:rPr>
            </w:r>
            <w:r w:rsidRPr="006D52E3">
              <w:rPr>
                <w:noProof/>
                <w:webHidden/>
                <w:sz w:val="22"/>
              </w:rPr>
              <w:fldChar w:fldCharType="separate"/>
            </w:r>
            <w:r w:rsidRPr="006D52E3">
              <w:rPr>
                <w:noProof/>
                <w:webHidden/>
                <w:sz w:val="22"/>
              </w:rPr>
              <w:t>9</w:t>
            </w:r>
            <w:r w:rsidRPr="006D52E3">
              <w:rPr>
                <w:noProof/>
                <w:webHidden/>
                <w:sz w:val="22"/>
              </w:rPr>
              <w:fldChar w:fldCharType="end"/>
            </w:r>
          </w:hyperlink>
        </w:p>
        <w:p w14:paraId="2DB45D8E" w14:textId="04DF9921" w:rsidR="008655F3" w:rsidRPr="006D52E3" w:rsidRDefault="008655F3" w:rsidP="006D52E3">
          <w:pPr>
            <w:pStyle w:val="TOC2"/>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44" w:history="1">
            <w:r w:rsidRPr="006D52E3">
              <w:rPr>
                <w:rStyle w:val="Hyperlink"/>
                <w:noProof/>
                <w:color w:val="auto"/>
                <w:sz w:val="22"/>
              </w:rPr>
              <w:t>Databases to use</w:t>
            </w:r>
            <w:r w:rsidRPr="006D52E3">
              <w:rPr>
                <w:noProof/>
                <w:webHidden/>
                <w:sz w:val="22"/>
              </w:rPr>
              <w:tab/>
            </w:r>
            <w:r w:rsidRPr="006D52E3">
              <w:rPr>
                <w:noProof/>
                <w:webHidden/>
                <w:sz w:val="22"/>
              </w:rPr>
              <w:fldChar w:fldCharType="begin"/>
            </w:r>
            <w:r w:rsidRPr="006D52E3">
              <w:rPr>
                <w:noProof/>
                <w:webHidden/>
                <w:sz w:val="22"/>
              </w:rPr>
              <w:instrText xml:space="preserve"> PAGEREF _Toc215140044 \h </w:instrText>
            </w:r>
            <w:r w:rsidRPr="006D52E3">
              <w:rPr>
                <w:noProof/>
                <w:webHidden/>
                <w:sz w:val="22"/>
              </w:rPr>
            </w:r>
            <w:r w:rsidRPr="006D52E3">
              <w:rPr>
                <w:noProof/>
                <w:webHidden/>
                <w:sz w:val="22"/>
              </w:rPr>
              <w:fldChar w:fldCharType="separate"/>
            </w:r>
            <w:r w:rsidRPr="006D52E3">
              <w:rPr>
                <w:noProof/>
                <w:webHidden/>
                <w:sz w:val="22"/>
              </w:rPr>
              <w:t>9</w:t>
            </w:r>
            <w:r w:rsidRPr="006D52E3">
              <w:rPr>
                <w:noProof/>
                <w:webHidden/>
                <w:sz w:val="22"/>
              </w:rPr>
              <w:fldChar w:fldCharType="end"/>
            </w:r>
          </w:hyperlink>
        </w:p>
        <w:p w14:paraId="7B75DA76" w14:textId="1B61D1BC" w:rsidR="008655F3" w:rsidRPr="006D52E3" w:rsidRDefault="008655F3" w:rsidP="006D52E3">
          <w:pPr>
            <w:pStyle w:val="TOC2"/>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45" w:history="1">
            <w:r w:rsidRPr="006D52E3">
              <w:rPr>
                <w:rStyle w:val="Hyperlink"/>
                <w:noProof/>
                <w:color w:val="auto"/>
                <w:sz w:val="22"/>
              </w:rPr>
              <w:t>Keywords:</w:t>
            </w:r>
            <w:r w:rsidRPr="006D52E3">
              <w:rPr>
                <w:noProof/>
                <w:webHidden/>
                <w:sz w:val="22"/>
              </w:rPr>
              <w:tab/>
            </w:r>
            <w:r w:rsidRPr="006D52E3">
              <w:rPr>
                <w:noProof/>
                <w:webHidden/>
                <w:sz w:val="22"/>
              </w:rPr>
              <w:fldChar w:fldCharType="begin"/>
            </w:r>
            <w:r w:rsidRPr="006D52E3">
              <w:rPr>
                <w:noProof/>
                <w:webHidden/>
                <w:sz w:val="22"/>
              </w:rPr>
              <w:instrText xml:space="preserve"> PAGEREF _Toc215140045 \h </w:instrText>
            </w:r>
            <w:r w:rsidRPr="006D52E3">
              <w:rPr>
                <w:noProof/>
                <w:webHidden/>
                <w:sz w:val="22"/>
              </w:rPr>
            </w:r>
            <w:r w:rsidRPr="006D52E3">
              <w:rPr>
                <w:noProof/>
                <w:webHidden/>
                <w:sz w:val="22"/>
              </w:rPr>
              <w:fldChar w:fldCharType="separate"/>
            </w:r>
            <w:r w:rsidRPr="006D52E3">
              <w:rPr>
                <w:noProof/>
                <w:webHidden/>
                <w:sz w:val="22"/>
              </w:rPr>
              <w:t>9</w:t>
            </w:r>
            <w:r w:rsidRPr="006D52E3">
              <w:rPr>
                <w:noProof/>
                <w:webHidden/>
                <w:sz w:val="22"/>
              </w:rPr>
              <w:fldChar w:fldCharType="end"/>
            </w:r>
          </w:hyperlink>
        </w:p>
        <w:p w14:paraId="734AE4D0" w14:textId="33BE30FF" w:rsidR="008655F3" w:rsidRPr="006D52E3" w:rsidRDefault="008655F3" w:rsidP="006D52E3">
          <w:pPr>
            <w:pStyle w:val="TOC2"/>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46" w:history="1">
            <w:r w:rsidRPr="006D52E3">
              <w:rPr>
                <w:rStyle w:val="Hyperlink"/>
                <w:noProof/>
                <w:color w:val="auto"/>
                <w:sz w:val="22"/>
              </w:rPr>
              <w:t>Inclusion Criteria</w:t>
            </w:r>
            <w:r w:rsidRPr="006D52E3">
              <w:rPr>
                <w:noProof/>
                <w:webHidden/>
                <w:sz w:val="22"/>
              </w:rPr>
              <w:tab/>
            </w:r>
            <w:r w:rsidRPr="006D52E3">
              <w:rPr>
                <w:noProof/>
                <w:webHidden/>
                <w:sz w:val="22"/>
              </w:rPr>
              <w:fldChar w:fldCharType="begin"/>
            </w:r>
            <w:r w:rsidRPr="006D52E3">
              <w:rPr>
                <w:noProof/>
                <w:webHidden/>
                <w:sz w:val="22"/>
              </w:rPr>
              <w:instrText xml:space="preserve"> PAGEREF _Toc215140046 \h </w:instrText>
            </w:r>
            <w:r w:rsidRPr="006D52E3">
              <w:rPr>
                <w:noProof/>
                <w:webHidden/>
                <w:sz w:val="22"/>
              </w:rPr>
            </w:r>
            <w:r w:rsidRPr="006D52E3">
              <w:rPr>
                <w:noProof/>
                <w:webHidden/>
                <w:sz w:val="22"/>
              </w:rPr>
              <w:fldChar w:fldCharType="separate"/>
            </w:r>
            <w:r w:rsidRPr="006D52E3">
              <w:rPr>
                <w:noProof/>
                <w:webHidden/>
                <w:sz w:val="22"/>
              </w:rPr>
              <w:t>9</w:t>
            </w:r>
            <w:r w:rsidRPr="006D52E3">
              <w:rPr>
                <w:noProof/>
                <w:webHidden/>
                <w:sz w:val="22"/>
              </w:rPr>
              <w:fldChar w:fldCharType="end"/>
            </w:r>
          </w:hyperlink>
        </w:p>
        <w:p w14:paraId="1B38FAD2" w14:textId="668B4B22" w:rsidR="008655F3" w:rsidRPr="006D52E3" w:rsidRDefault="008655F3" w:rsidP="006D52E3">
          <w:pPr>
            <w:pStyle w:val="TOC2"/>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47" w:history="1">
            <w:r w:rsidRPr="006D52E3">
              <w:rPr>
                <w:rStyle w:val="Hyperlink"/>
                <w:noProof/>
                <w:color w:val="auto"/>
                <w:sz w:val="22"/>
              </w:rPr>
              <w:t>Exclusion Criteria</w:t>
            </w:r>
            <w:r w:rsidRPr="006D52E3">
              <w:rPr>
                <w:noProof/>
                <w:webHidden/>
                <w:sz w:val="22"/>
              </w:rPr>
              <w:tab/>
            </w:r>
            <w:r w:rsidRPr="006D52E3">
              <w:rPr>
                <w:noProof/>
                <w:webHidden/>
                <w:sz w:val="22"/>
              </w:rPr>
              <w:fldChar w:fldCharType="begin"/>
            </w:r>
            <w:r w:rsidRPr="006D52E3">
              <w:rPr>
                <w:noProof/>
                <w:webHidden/>
                <w:sz w:val="22"/>
              </w:rPr>
              <w:instrText xml:space="preserve"> PAGEREF _Toc215140047 \h </w:instrText>
            </w:r>
            <w:r w:rsidRPr="006D52E3">
              <w:rPr>
                <w:noProof/>
                <w:webHidden/>
                <w:sz w:val="22"/>
              </w:rPr>
            </w:r>
            <w:r w:rsidRPr="006D52E3">
              <w:rPr>
                <w:noProof/>
                <w:webHidden/>
                <w:sz w:val="22"/>
              </w:rPr>
              <w:fldChar w:fldCharType="separate"/>
            </w:r>
            <w:r w:rsidRPr="006D52E3">
              <w:rPr>
                <w:noProof/>
                <w:webHidden/>
                <w:sz w:val="22"/>
              </w:rPr>
              <w:t>10</w:t>
            </w:r>
            <w:r w:rsidRPr="006D52E3">
              <w:rPr>
                <w:noProof/>
                <w:webHidden/>
                <w:sz w:val="22"/>
              </w:rPr>
              <w:fldChar w:fldCharType="end"/>
            </w:r>
          </w:hyperlink>
        </w:p>
        <w:p w14:paraId="73FB1C7C" w14:textId="6DE800EE" w:rsidR="008655F3" w:rsidRPr="006D52E3" w:rsidRDefault="008655F3" w:rsidP="006D52E3">
          <w:pPr>
            <w:pStyle w:val="TOC2"/>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48" w:history="1">
            <w:r w:rsidRPr="006D52E3">
              <w:rPr>
                <w:rStyle w:val="Hyperlink"/>
                <w:noProof/>
                <w:color w:val="auto"/>
                <w:sz w:val="22"/>
              </w:rPr>
              <w:t>Data analysis:</w:t>
            </w:r>
            <w:r w:rsidRPr="006D52E3">
              <w:rPr>
                <w:noProof/>
                <w:webHidden/>
                <w:sz w:val="22"/>
              </w:rPr>
              <w:tab/>
            </w:r>
            <w:r w:rsidRPr="006D52E3">
              <w:rPr>
                <w:noProof/>
                <w:webHidden/>
                <w:sz w:val="22"/>
              </w:rPr>
              <w:fldChar w:fldCharType="begin"/>
            </w:r>
            <w:r w:rsidRPr="006D52E3">
              <w:rPr>
                <w:noProof/>
                <w:webHidden/>
                <w:sz w:val="22"/>
              </w:rPr>
              <w:instrText xml:space="preserve"> PAGEREF _Toc215140048 \h </w:instrText>
            </w:r>
            <w:r w:rsidRPr="006D52E3">
              <w:rPr>
                <w:noProof/>
                <w:webHidden/>
                <w:sz w:val="22"/>
              </w:rPr>
            </w:r>
            <w:r w:rsidRPr="006D52E3">
              <w:rPr>
                <w:noProof/>
                <w:webHidden/>
                <w:sz w:val="22"/>
              </w:rPr>
              <w:fldChar w:fldCharType="separate"/>
            </w:r>
            <w:r w:rsidRPr="006D52E3">
              <w:rPr>
                <w:noProof/>
                <w:webHidden/>
                <w:sz w:val="22"/>
              </w:rPr>
              <w:t>10</w:t>
            </w:r>
            <w:r w:rsidRPr="006D52E3">
              <w:rPr>
                <w:noProof/>
                <w:webHidden/>
                <w:sz w:val="22"/>
              </w:rPr>
              <w:fldChar w:fldCharType="end"/>
            </w:r>
          </w:hyperlink>
        </w:p>
        <w:p w14:paraId="0380A4DB" w14:textId="456F2D94" w:rsidR="008655F3" w:rsidRPr="006D52E3" w:rsidRDefault="008655F3" w:rsidP="006D52E3">
          <w:pPr>
            <w:pStyle w:val="TOC2"/>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49" w:history="1">
            <w:r w:rsidRPr="006D52E3">
              <w:rPr>
                <w:rStyle w:val="Hyperlink"/>
                <w:noProof/>
                <w:color w:val="auto"/>
                <w:sz w:val="22"/>
              </w:rPr>
              <w:t>Ethical issues:</w:t>
            </w:r>
            <w:r w:rsidRPr="006D52E3">
              <w:rPr>
                <w:noProof/>
                <w:webHidden/>
                <w:sz w:val="22"/>
              </w:rPr>
              <w:tab/>
            </w:r>
            <w:r w:rsidRPr="006D52E3">
              <w:rPr>
                <w:noProof/>
                <w:webHidden/>
                <w:sz w:val="22"/>
              </w:rPr>
              <w:fldChar w:fldCharType="begin"/>
            </w:r>
            <w:r w:rsidRPr="006D52E3">
              <w:rPr>
                <w:noProof/>
                <w:webHidden/>
                <w:sz w:val="22"/>
              </w:rPr>
              <w:instrText xml:space="preserve"> PAGEREF _Toc215140049 \h </w:instrText>
            </w:r>
            <w:r w:rsidRPr="006D52E3">
              <w:rPr>
                <w:noProof/>
                <w:webHidden/>
                <w:sz w:val="22"/>
              </w:rPr>
            </w:r>
            <w:r w:rsidRPr="006D52E3">
              <w:rPr>
                <w:noProof/>
                <w:webHidden/>
                <w:sz w:val="22"/>
              </w:rPr>
              <w:fldChar w:fldCharType="separate"/>
            </w:r>
            <w:r w:rsidRPr="006D52E3">
              <w:rPr>
                <w:noProof/>
                <w:webHidden/>
                <w:sz w:val="22"/>
              </w:rPr>
              <w:t>10</w:t>
            </w:r>
            <w:r w:rsidRPr="006D52E3">
              <w:rPr>
                <w:noProof/>
                <w:webHidden/>
                <w:sz w:val="22"/>
              </w:rPr>
              <w:fldChar w:fldCharType="end"/>
            </w:r>
          </w:hyperlink>
        </w:p>
        <w:p w14:paraId="794116EF" w14:textId="5456F865" w:rsidR="008655F3" w:rsidRPr="006D52E3" w:rsidRDefault="008655F3" w:rsidP="006D52E3">
          <w:pPr>
            <w:pStyle w:val="TOC1"/>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50" w:history="1">
            <w:r w:rsidRPr="006D52E3">
              <w:rPr>
                <w:rStyle w:val="Hyperlink"/>
                <w:noProof/>
                <w:color w:val="auto"/>
                <w:sz w:val="22"/>
              </w:rPr>
              <w:t>4 Results:</w:t>
            </w:r>
            <w:r w:rsidRPr="006D52E3">
              <w:rPr>
                <w:noProof/>
                <w:webHidden/>
                <w:sz w:val="22"/>
              </w:rPr>
              <w:tab/>
            </w:r>
            <w:r w:rsidRPr="006D52E3">
              <w:rPr>
                <w:noProof/>
                <w:webHidden/>
                <w:sz w:val="22"/>
              </w:rPr>
              <w:fldChar w:fldCharType="begin"/>
            </w:r>
            <w:r w:rsidRPr="006D52E3">
              <w:rPr>
                <w:noProof/>
                <w:webHidden/>
                <w:sz w:val="22"/>
              </w:rPr>
              <w:instrText xml:space="preserve"> PAGEREF _Toc215140050 \h </w:instrText>
            </w:r>
            <w:r w:rsidRPr="006D52E3">
              <w:rPr>
                <w:noProof/>
                <w:webHidden/>
                <w:sz w:val="22"/>
              </w:rPr>
            </w:r>
            <w:r w:rsidRPr="006D52E3">
              <w:rPr>
                <w:noProof/>
                <w:webHidden/>
                <w:sz w:val="22"/>
              </w:rPr>
              <w:fldChar w:fldCharType="separate"/>
            </w:r>
            <w:r w:rsidRPr="006D52E3">
              <w:rPr>
                <w:noProof/>
                <w:webHidden/>
                <w:sz w:val="22"/>
              </w:rPr>
              <w:t>10</w:t>
            </w:r>
            <w:r w:rsidRPr="006D52E3">
              <w:rPr>
                <w:noProof/>
                <w:webHidden/>
                <w:sz w:val="22"/>
              </w:rPr>
              <w:fldChar w:fldCharType="end"/>
            </w:r>
          </w:hyperlink>
        </w:p>
        <w:p w14:paraId="5119C390" w14:textId="12CF232A" w:rsidR="008655F3" w:rsidRPr="006D52E3" w:rsidRDefault="008655F3" w:rsidP="006D52E3">
          <w:pPr>
            <w:pStyle w:val="TOC2"/>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51" w:history="1">
            <w:r w:rsidRPr="006D52E3">
              <w:rPr>
                <w:rStyle w:val="Hyperlink"/>
                <w:noProof/>
                <w:color w:val="auto"/>
                <w:sz w:val="22"/>
              </w:rPr>
              <w:t>Themes</w:t>
            </w:r>
            <w:r w:rsidRPr="006D52E3">
              <w:rPr>
                <w:noProof/>
                <w:webHidden/>
                <w:sz w:val="22"/>
              </w:rPr>
              <w:tab/>
            </w:r>
            <w:r w:rsidRPr="006D52E3">
              <w:rPr>
                <w:noProof/>
                <w:webHidden/>
                <w:sz w:val="22"/>
              </w:rPr>
              <w:fldChar w:fldCharType="begin"/>
            </w:r>
            <w:r w:rsidRPr="006D52E3">
              <w:rPr>
                <w:noProof/>
                <w:webHidden/>
                <w:sz w:val="22"/>
              </w:rPr>
              <w:instrText xml:space="preserve"> PAGEREF _Toc215140051 \h </w:instrText>
            </w:r>
            <w:r w:rsidRPr="006D52E3">
              <w:rPr>
                <w:noProof/>
                <w:webHidden/>
                <w:sz w:val="22"/>
              </w:rPr>
            </w:r>
            <w:r w:rsidRPr="006D52E3">
              <w:rPr>
                <w:noProof/>
                <w:webHidden/>
                <w:sz w:val="22"/>
              </w:rPr>
              <w:fldChar w:fldCharType="separate"/>
            </w:r>
            <w:r w:rsidRPr="006D52E3">
              <w:rPr>
                <w:noProof/>
                <w:webHidden/>
                <w:sz w:val="22"/>
              </w:rPr>
              <w:t>13</w:t>
            </w:r>
            <w:r w:rsidRPr="006D52E3">
              <w:rPr>
                <w:noProof/>
                <w:webHidden/>
                <w:sz w:val="22"/>
              </w:rPr>
              <w:fldChar w:fldCharType="end"/>
            </w:r>
          </w:hyperlink>
        </w:p>
        <w:p w14:paraId="64704526" w14:textId="13CC217C" w:rsidR="008655F3" w:rsidRPr="006D52E3" w:rsidRDefault="008655F3" w:rsidP="006D52E3">
          <w:pPr>
            <w:pStyle w:val="TOC3"/>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52" w:history="1">
            <w:r w:rsidRPr="006D52E3">
              <w:rPr>
                <w:rStyle w:val="Hyperlink"/>
                <w:noProof/>
                <w:color w:val="auto"/>
                <w:sz w:val="22"/>
              </w:rPr>
              <w:t>Theme 1: Stigma and fear of judgment</w:t>
            </w:r>
            <w:r w:rsidRPr="006D52E3">
              <w:rPr>
                <w:noProof/>
                <w:webHidden/>
                <w:sz w:val="22"/>
              </w:rPr>
              <w:tab/>
            </w:r>
            <w:r w:rsidRPr="006D52E3">
              <w:rPr>
                <w:noProof/>
                <w:webHidden/>
                <w:sz w:val="22"/>
              </w:rPr>
              <w:fldChar w:fldCharType="begin"/>
            </w:r>
            <w:r w:rsidRPr="006D52E3">
              <w:rPr>
                <w:noProof/>
                <w:webHidden/>
                <w:sz w:val="22"/>
              </w:rPr>
              <w:instrText xml:space="preserve"> PAGEREF _Toc215140052 \h </w:instrText>
            </w:r>
            <w:r w:rsidRPr="006D52E3">
              <w:rPr>
                <w:noProof/>
                <w:webHidden/>
                <w:sz w:val="22"/>
              </w:rPr>
            </w:r>
            <w:r w:rsidRPr="006D52E3">
              <w:rPr>
                <w:noProof/>
                <w:webHidden/>
                <w:sz w:val="22"/>
              </w:rPr>
              <w:fldChar w:fldCharType="separate"/>
            </w:r>
            <w:r w:rsidRPr="006D52E3">
              <w:rPr>
                <w:noProof/>
                <w:webHidden/>
                <w:sz w:val="22"/>
              </w:rPr>
              <w:t>13</w:t>
            </w:r>
            <w:r w:rsidRPr="006D52E3">
              <w:rPr>
                <w:noProof/>
                <w:webHidden/>
                <w:sz w:val="22"/>
              </w:rPr>
              <w:fldChar w:fldCharType="end"/>
            </w:r>
          </w:hyperlink>
        </w:p>
        <w:p w14:paraId="4219BAD7" w14:textId="7BAB1680" w:rsidR="008655F3" w:rsidRPr="006D52E3" w:rsidRDefault="008655F3" w:rsidP="006D52E3">
          <w:pPr>
            <w:pStyle w:val="TOC3"/>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53" w:history="1">
            <w:r w:rsidRPr="006D52E3">
              <w:rPr>
                <w:rStyle w:val="Hyperlink"/>
                <w:noProof/>
                <w:color w:val="auto"/>
                <w:sz w:val="22"/>
              </w:rPr>
              <w:t>Theme2</w:t>
            </w:r>
            <w:r w:rsidRPr="006D52E3">
              <w:rPr>
                <w:noProof/>
                <w:webHidden/>
                <w:sz w:val="22"/>
              </w:rPr>
              <w:tab/>
            </w:r>
            <w:r w:rsidRPr="006D52E3">
              <w:rPr>
                <w:noProof/>
                <w:webHidden/>
                <w:sz w:val="22"/>
              </w:rPr>
              <w:fldChar w:fldCharType="begin"/>
            </w:r>
            <w:r w:rsidRPr="006D52E3">
              <w:rPr>
                <w:noProof/>
                <w:webHidden/>
                <w:sz w:val="22"/>
              </w:rPr>
              <w:instrText xml:space="preserve"> PAGEREF _Toc215140053 \h </w:instrText>
            </w:r>
            <w:r w:rsidRPr="006D52E3">
              <w:rPr>
                <w:noProof/>
                <w:webHidden/>
                <w:sz w:val="22"/>
              </w:rPr>
            </w:r>
            <w:r w:rsidRPr="006D52E3">
              <w:rPr>
                <w:noProof/>
                <w:webHidden/>
                <w:sz w:val="22"/>
              </w:rPr>
              <w:fldChar w:fldCharType="separate"/>
            </w:r>
            <w:r w:rsidRPr="006D52E3">
              <w:rPr>
                <w:noProof/>
                <w:webHidden/>
                <w:sz w:val="22"/>
              </w:rPr>
              <w:t>13</w:t>
            </w:r>
            <w:r w:rsidRPr="006D52E3">
              <w:rPr>
                <w:noProof/>
                <w:webHidden/>
                <w:sz w:val="22"/>
              </w:rPr>
              <w:fldChar w:fldCharType="end"/>
            </w:r>
          </w:hyperlink>
        </w:p>
        <w:p w14:paraId="7021A37E" w14:textId="0D89DACC" w:rsidR="008655F3" w:rsidRPr="006D52E3" w:rsidRDefault="008655F3" w:rsidP="006D52E3">
          <w:pPr>
            <w:pStyle w:val="TOC2"/>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54" w:history="1">
            <w:r w:rsidRPr="006D52E3">
              <w:rPr>
                <w:rStyle w:val="Hyperlink"/>
                <w:noProof/>
                <w:color w:val="auto"/>
                <w:sz w:val="22"/>
              </w:rPr>
              <w:t>5 Discussion</w:t>
            </w:r>
            <w:r w:rsidRPr="006D52E3">
              <w:rPr>
                <w:noProof/>
                <w:webHidden/>
                <w:sz w:val="22"/>
              </w:rPr>
              <w:tab/>
            </w:r>
            <w:r w:rsidRPr="006D52E3">
              <w:rPr>
                <w:noProof/>
                <w:webHidden/>
                <w:sz w:val="22"/>
              </w:rPr>
              <w:fldChar w:fldCharType="begin"/>
            </w:r>
            <w:r w:rsidRPr="006D52E3">
              <w:rPr>
                <w:noProof/>
                <w:webHidden/>
                <w:sz w:val="22"/>
              </w:rPr>
              <w:instrText xml:space="preserve"> PAGEREF _Toc215140054 \h </w:instrText>
            </w:r>
            <w:r w:rsidRPr="006D52E3">
              <w:rPr>
                <w:noProof/>
                <w:webHidden/>
                <w:sz w:val="22"/>
              </w:rPr>
            </w:r>
            <w:r w:rsidRPr="006D52E3">
              <w:rPr>
                <w:noProof/>
                <w:webHidden/>
                <w:sz w:val="22"/>
              </w:rPr>
              <w:fldChar w:fldCharType="separate"/>
            </w:r>
            <w:r w:rsidRPr="006D52E3">
              <w:rPr>
                <w:noProof/>
                <w:webHidden/>
                <w:sz w:val="22"/>
              </w:rPr>
              <w:t>14</w:t>
            </w:r>
            <w:r w:rsidRPr="006D52E3">
              <w:rPr>
                <w:noProof/>
                <w:webHidden/>
                <w:sz w:val="22"/>
              </w:rPr>
              <w:fldChar w:fldCharType="end"/>
            </w:r>
          </w:hyperlink>
        </w:p>
        <w:p w14:paraId="558A0D5C" w14:textId="7627660E" w:rsidR="008655F3" w:rsidRPr="006D52E3" w:rsidRDefault="008655F3" w:rsidP="006D52E3">
          <w:pPr>
            <w:pStyle w:val="TOC2"/>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55" w:history="1">
            <w:r w:rsidRPr="006D52E3">
              <w:rPr>
                <w:rStyle w:val="Hyperlink"/>
                <w:noProof/>
                <w:color w:val="auto"/>
                <w:sz w:val="22"/>
              </w:rPr>
              <w:t>Importance for Health and Social Care (HSC)</w:t>
            </w:r>
            <w:r w:rsidRPr="006D52E3">
              <w:rPr>
                <w:noProof/>
                <w:webHidden/>
                <w:sz w:val="22"/>
              </w:rPr>
              <w:tab/>
            </w:r>
            <w:r w:rsidRPr="006D52E3">
              <w:rPr>
                <w:noProof/>
                <w:webHidden/>
                <w:sz w:val="22"/>
              </w:rPr>
              <w:fldChar w:fldCharType="begin"/>
            </w:r>
            <w:r w:rsidRPr="006D52E3">
              <w:rPr>
                <w:noProof/>
                <w:webHidden/>
                <w:sz w:val="22"/>
              </w:rPr>
              <w:instrText xml:space="preserve"> PAGEREF _Toc215140055 \h </w:instrText>
            </w:r>
            <w:r w:rsidRPr="006D52E3">
              <w:rPr>
                <w:noProof/>
                <w:webHidden/>
                <w:sz w:val="22"/>
              </w:rPr>
            </w:r>
            <w:r w:rsidRPr="006D52E3">
              <w:rPr>
                <w:noProof/>
                <w:webHidden/>
                <w:sz w:val="22"/>
              </w:rPr>
              <w:fldChar w:fldCharType="separate"/>
            </w:r>
            <w:r w:rsidRPr="006D52E3">
              <w:rPr>
                <w:noProof/>
                <w:webHidden/>
                <w:sz w:val="22"/>
              </w:rPr>
              <w:t>15</w:t>
            </w:r>
            <w:r w:rsidRPr="006D52E3">
              <w:rPr>
                <w:noProof/>
                <w:webHidden/>
                <w:sz w:val="22"/>
              </w:rPr>
              <w:fldChar w:fldCharType="end"/>
            </w:r>
          </w:hyperlink>
        </w:p>
        <w:p w14:paraId="2C2F748A" w14:textId="1F9BB542" w:rsidR="008655F3" w:rsidRPr="006D52E3" w:rsidRDefault="008655F3" w:rsidP="006D52E3">
          <w:pPr>
            <w:pStyle w:val="TOC2"/>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56" w:history="1">
            <w:r w:rsidRPr="006D52E3">
              <w:rPr>
                <w:rStyle w:val="Hyperlink"/>
                <w:noProof/>
                <w:color w:val="auto"/>
                <w:sz w:val="22"/>
              </w:rPr>
              <w:t>Limitations of the Research</w:t>
            </w:r>
            <w:r w:rsidRPr="006D52E3">
              <w:rPr>
                <w:noProof/>
                <w:webHidden/>
                <w:sz w:val="22"/>
              </w:rPr>
              <w:tab/>
            </w:r>
            <w:r w:rsidRPr="006D52E3">
              <w:rPr>
                <w:noProof/>
                <w:webHidden/>
                <w:sz w:val="22"/>
              </w:rPr>
              <w:fldChar w:fldCharType="begin"/>
            </w:r>
            <w:r w:rsidRPr="006D52E3">
              <w:rPr>
                <w:noProof/>
                <w:webHidden/>
                <w:sz w:val="22"/>
              </w:rPr>
              <w:instrText xml:space="preserve"> PAGEREF _Toc215140056 \h </w:instrText>
            </w:r>
            <w:r w:rsidRPr="006D52E3">
              <w:rPr>
                <w:noProof/>
                <w:webHidden/>
                <w:sz w:val="22"/>
              </w:rPr>
            </w:r>
            <w:r w:rsidRPr="006D52E3">
              <w:rPr>
                <w:noProof/>
                <w:webHidden/>
                <w:sz w:val="22"/>
              </w:rPr>
              <w:fldChar w:fldCharType="separate"/>
            </w:r>
            <w:r w:rsidRPr="006D52E3">
              <w:rPr>
                <w:noProof/>
                <w:webHidden/>
                <w:sz w:val="22"/>
              </w:rPr>
              <w:t>16</w:t>
            </w:r>
            <w:r w:rsidRPr="006D52E3">
              <w:rPr>
                <w:noProof/>
                <w:webHidden/>
                <w:sz w:val="22"/>
              </w:rPr>
              <w:fldChar w:fldCharType="end"/>
            </w:r>
          </w:hyperlink>
        </w:p>
        <w:p w14:paraId="33969E1C" w14:textId="1E31C538" w:rsidR="008655F3" w:rsidRPr="006D52E3" w:rsidRDefault="008655F3" w:rsidP="006D52E3">
          <w:pPr>
            <w:pStyle w:val="TOC1"/>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57" w:history="1">
            <w:r w:rsidRPr="006D52E3">
              <w:rPr>
                <w:rStyle w:val="Hyperlink"/>
                <w:noProof/>
                <w:color w:val="auto"/>
                <w:sz w:val="22"/>
              </w:rPr>
              <w:t>6. Conclusion and Recommendations.</w:t>
            </w:r>
            <w:r w:rsidRPr="006D52E3">
              <w:rPr>
                <w:noProof/>
                <w:webHidden/>
                <w:sz w:val="22"/>
              </w:rPr>
              <w:tab/>
            </w:r>
            <w:r w:rsidRPr="006D52E3">
              <w:rPr>
                <w:noProof/>
                <w:webHidden/>
                <w:sz w:val="22"/>
              </w:rPr>
              <w:fldChar w:fldCharType="begin"/>
            </w:r>
            <w:r w:rsidRPr="006D52E3">
              <w:rPr>
                <w:noProof/>
                <w:webHidden/>
                <w:sz w:val="22"/>
              </w:rPr>
              <w:instrText xml:space="preserve"> PAGEREF _Toc215140057 \h </w:instrText>
            </w:r>
            <w:r w:rsidRPr="006D52E3">
              <w:rPr>
                <w:noProof/>
                <w:webHidden/>
                <w:sz w:val="22"/>
              </w:rPr>
            </w:r>
            <w:r w:rsidRPr="006D52E3">
              <w:rPr>
                <w:noProof/>
                <w:webHidden/>
                <w:sz w:val="22"/>
              </w:rPr>
              <w:fldChar w:fldCharType="separate"/>
            </w:r>
            <w:r w:rsidRPr="006D52E3">
              <w:rPr>
                <w:noProof/>
                <w:webHidden/>
                <w:sz w:val="22"/>
              </w:rPr>
              <w:t>17</w:t>
            </w:r>
            <w:r w:rsidRPr="006D52E3">
              <w:rPr>
                <w:noProof/>
                <w:webHidden/>
                <w:sz w:val="22"/>
              </w:rPr>
              <w:fldChar w:fldCharType="end"/>
            </w:r>
          </w:hyperlink>
        </w:p>
        <w:p w14:paraId="343C790E" w14:textId="04B29036" w:rsidR="008655F3" w:rsidRPr="006D52E3" w:rsidRDefault="008655F3" w:rsidP="006D52E3">
          <w:pPr>
            <w:pStyle w:val="TOC1"/>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58" w:history="1">
            <w:r w:rsidRPr="006D52E3">
              <w:rPr>
                <w:rStyle w:val="Hyperlink"/>
                <w:noProof/>
                <w:color w:val="auto"/>
                <w:sz w:val="22"/>
              </w:rPr>
              <w:t>Recommendation for Promoting Mental Health Disclosure in UK Workplaces</w:t>
            </w:r>
            <w:r w:rsidRPr="006D52E3">
              <w:rPr>
                <w:noProof/>
                <w:webHidden/>
                <w:sz w:val="22"/>
              </w:rPr>
              <w:tab/>
            </w:r>
            <w:r w:rsidRPr="006D52E3">
              <w:rPr>
                <w:noProof/>
                <w:webHidden/>
                <w:sz w:val="22"/>
              </w:rPr>
              <w:fldChar w:fldCharType="begin"/>
            </w:r>
            <w:r w:rsidRPr="006D52E3">
              <w:rPr>
                <w:noProof/>
                <w:webHidden/>
                <w:sz w:val="22"/>
              </w:rPr>
              <w:instrText xml:space="preserve"> PAGEREF _Toc215140058 \h </w:instrText>
            </w:r>
            <w:r w:rsidRPr="006D52E3">
              <w:rPr>
                <w:noProof/>
                <w:webHidden/>
                <w:sz w:val="22"/>
              </w:rPr>
            </w:r>
            <w:r w:rsidRPr="006D52E3">
              <w:rPr>
                <w:noProof/>
                <w:webHidden/>
                <w:sz w:val="22"/>
              </w:rPr>
              <w:fldChar w:fldCharType="separate"/>
            </w:r>
            <w:r w:rsidRPr="006D52E3">
              <w:rPr>
                <w:noProof/>
                <w:webHidden/>
                <w:sz w:val="22"/>
              </w:rPr>
              <w:t>17</w:t>
            </w:r>
            <w:r w:rsidRPr="006D52E3">
              <w:rPr>
                <w:noProof/>
                <w:webHidden/>
                <w:sz w:val="22"/>
              </w:rPr>
              <w:fldChar w:fldCharType="end"/>
            </w:r>
          </w:hyperlink>
        </w:p>
        <w:p w14:paraId="0EFCE29C" w14:textId="7BFE3C7E" w:rsidR="008655F3" w:rsidRPr="006D52E3" w:rsidRDefault="008655F3" w:rsidP="006D52E3">
          <w:pPr>
            <w:pStyle w:val="TOC1"/>
            <w:tabs>
              <w:tab w:val="right" w:leader="dot" w:pos="9016"/>
            </w:tabs>
            <w:spacing w:line="360" w:lineRule="auto"/>
            <w:rPr>
              <w:rFonts w:asciiTheme="minorHAnsi" w:eastAsiaTheme="minorEastAsia" w:hAnsiTheme="minorHAnsi"/>
              <w:noProof/>
              <w:kern w:val="2"/>
              <w:sz w:val="22"/>
              <w:lang w:eastAsia="en-GB"/>
              <w14:ligatures w14:val="standardContextual"/>
            </w:rPr>
          </w:pPr>
          <w:hyperlink w:anchor="_Toc215140059" w:history="1">
            <w:r w:rsidRPr="006D52E3">
              <w:rPr>
                <w:rStyle w:val="Hyperlink"/>
                <w:noProof/>
                <w:color w:val="auto"/>
                <w:sz w:val="22"/>
              </w:rPr>
              <w:t>References</w:t>
            </w:r>
            <w:r w:rsidRPr="006D52E3">
              <w:rPr>
                <w:noProof/>
                <w:webHidden/>
                <w:sz w:val="22"/>
              </w:rPr>
              <w:tab/>
            </w:r>
            <w:r w:rsidRPr="006D52E3">
              <w:rPr>
                <w:noProof/>
                <w:webHidden/>
                <w:sz w:val="22"/>
              </w:rPr>
              <w:fldChar w:fldCharType="begin"/>
            </w:r>
            <w:r w:rsidRPr="006D52E3">
              <w:rPr>
                <w:noProof/>
                <w:webHidden/>
                <w:sz w:val="22"/>
              </w:rPr>
              <w:instrText xml:space="preserve"> PAGEREF _Toc215140059 \h </w:instrText>
            </w:r>
            <w:r w:rsidRPr="006D52E3">
              <w:rPr>
                <w:noProof/>
                <w:webHidden/>
                <w:sz w:val="22"/>
              </w:rPr>
            </w:r>
            <w:r w:rsidRPr="006D52E3">
              <w:rPr>
                <w:noProof/>
                <w:webHidden/>
                <w:sz w:val="22"/>
              </w:rPr>
              <w:fldChar w:fldCharType="separate"/>
            </w:r>
            <w:r w:rsidRPr="006D52E3">
              <w:rPr>
                <w:noProof/>
                <w:webHidden/>
                <w:sz w:val="22"/>
              </w:rPr>
              <w:t>19</w:t>
            </w:r>
            <w:r w:rsidRPr="006D52E3">
              <w:rPr>
                <w:noProof/>
                <w:webHidden/>
                <w:sz w:val="22"/>
              </w:rPr>
              <w:fldChar w:fldCharType="end"/>
            </w:r>
          </w:hyperlink>
        </w:p>
        <w:p w14:paraId="4D12FF87" w14:textId="63639D57" w:rsidR="008655F3" w:rsidRPr="006D52E3" w:rsidRDefault="008655F3" w:rsidP="006D52E3">
          <w:pPr>
            <w:spacing w:line="360" w:lineRule="auto"/>
            <w:rPr>
              <w:sz w:val="22"/>
            </w:rPr>
          </w:pPr>
          <w:r w:rsidRPr="006D52E3">
            <w:rPr>
              <w:b/>
              <w:bCs/>
              <w:noProof/>
              <w:sz w:val="22"/>
            </w:rPr>
            <w:fldChar w:fldCharType="end"/>
          </w:r>
        </w:p>
      </w:sdtContent>
    </w:sdt>
    <w:p w14:paraId="710A65C1" w14:textId="3670407B" w:rsidR="0097123B" w:rsidRPr="006D52E3" w:rsidRDefault="0097123B" w:rsidP="006D52E3">
      <w:pPr>
        <w:spacing w:line="360" w:lineRule="auto"/>
        <w:rPr>
          <w:sz w:val="22"/>
        </w:rPr>
      </w:pPr>
    </w:p>
    <w:p w14:paraId="4F7320CB" w14:textId="72873A36" w:rsidR="00B87E75" w:rsidRPr="006D52E3" w:rsidRDefault="00B87E75" w:rsidP="006D52E3">
      <w:pPr>
        <w:spacing w:line="360" w:lineRule="auto"/>
        <w:rPr>
          <w:sz w:val="22"/>
        </w:rPr>
      </w:pPr>
    </w:p>
    <w:p w14:paraId="3AEEB7DB" w14:textId="77777777" w:rsidR="00C56829" w:rsidRPr="006D52E3" w:rsidRDefault="00C56829" w:rsidP="006D52E3">
      <w:pPr>
        <w:spacing w:line="360" w:lineRule="auto"/>
        <w:rPr>
          <w:sz w:val="22"/>
        </w:rPr>
      </w:pPr>
    </w:p>
    <w:p w14:paraId="5704C4AA" w14:textId="77777777" w:rsidR="0097123B" w:rsidRPr="006D52E3" w:rsidRDefault="0097123B" w:rsidP="006D52E3">
      <w:pPr>
        <w:spacing w:line="360" w:lineRule="auto"/>
        <w:rPr>
          <w:sz w:val="22"/>
        </w:rPr>
      </w:pPr>
    </w:p>
    <w:p w14:paraId="41A72533" w14:textId="77777777" w:rsidR="0097123B" w:rsidRPr="006D52E3" w:rsidRDefault="0097123B" w:rsidP="006D52E3">
      <w:pPr>
        <w:spacing w:line="360" w:lineRule="auto"/>
        <w:rPr>
          <w:sz w:val="22"/>
        </w:rPr>
      </w:pPr>
    </w:p>
    <w:p w14:paraId="06E81C31" w14:textId="77777777" w:rsidR="0097123B" w:rsidRPr="006D52E3" w:rsidRDefault="0097123B" w:rsidP="006D52E3">
      <w:pPr>
        <w:spacing w:line="360" w:lineRule="auto"/>
        <w:rPr>
          <w:sz w:val="22"/>
        </w:rPr>
      </w:pPr>
    </w:p>
    <w:p w14:paraId="433EEB45" w14:textId="77777777" w:rsidR="00C56829" w:rsidRPr="006D52E3" w:rsidRDefault="00C56829" w:rsidP="006D52E3">
      <w:pPr>
        <w:pStyle w:val="Heading1"/>
        <w:ind w:left="0"/>
        <w:rPr>
          <w:rStyle w:val="Heading1Char"/>
          <w:color w:val="auto"/>
          <w:sz w:val="22"/>
        </w:rPr>
      </w:pPr>
    </w:p>
    <w:p w14:paraId="2A6C6BC6" w14:textId="31985609" w:rsidR="009606DB" w:rsidRPr="006D52E3" w:rsidRDefault="00DD7729" w:rsidP="006D52E3">
      <w:pPr>
        <w:pStyle w:val="Heading1"/>
        <w:numPr>
          <w:ilvl w:val="0"/>
          <w:numId w:val="4"/>
        </w:numPr>
        <w:rPr>
          <w:rStyle w:val="Heading1Char"/>
          <w:color w:val="auto"/>
          <w:sz w:val="22"/>
        </w:rPr>
      </w:pPr>
      <w:bookmarkStart w:id="0" w:name="_Toc215139101"/>
      <w:bookmarkStart w:id="1" w:name="_Toc215140036"/>
      <w:r w:rsidRPr="006D52E3">
        <w:rPr>
          <w:rStyle w:val="Heading1Char"/>
          <w:color w:val="auto"/>
          <w:sz w:val="22"/>
        </w:rPr>
        <w:t>Abstract</w:t>
      </w:r>
      <w:bookmarkEnd w:id="0"/>
      <w:bookmarkEnd w:id="1"/>
      <w:r w:rsidR="009C4B4F" w:rsidRPr="006D52E3">
        <w:rPr>
          <w:rStyle w:val="Heading1Char"/>
          <w:color w:val="auto"/>
          <w:sz w:val="22"/>
        </w:rPr>
        <w:t xml:space="preserve"> </w:t>
      </w:r>
    </w:p>
    <w:p w14:paraId="3454BB0B" w14:textId="77777777" w:rsidR="0097123B" w:rsidRPr="006D52E3" w:rsidRDefault="0097123B" w:rsidP="006D52E3">
      <w:pPr>
        <w:spacing w:line="360" w:lineRule="auto"/>
        <w:rPr>
          <w:sz w:val="22"/>
        </w:rPr>
      </w:pPr>
    </w:p>
    <w:p w14:paraId="7D1EC1E5" w14:textId="0045E9BA" w:rsidR="008655F3" w:rsidRPr="006D52E3" w:rsidRDefault="0097123B" w:rsidP="006D52E3">
      <w:pPr>
        <w:spacing w:line="360" w:lineRule="auto"/>
        <w:jc w:val="both"/>
        <w:rPr>
          <w:rFonts w:cs="Arial"/>
          <w:sz w:val="22"/>
        </w:rPr>
      </w:pPr>
      <w:bookmarkStart w:id="2" w:name="_Toc215139102"/>
      <w:r w:rsidRPr="006D52E3">
        <w:rPr>
          <w:rFonts w:cs="Arial"/>
          <w:b/>
          <w:bCs/>
          <w:sz w:val="22"/>
        </w:rPr>
        <w:t>Purpose:</w:t>
      </w:r>
      <w:r w:rsidR="00DD7729" w:rsidRPr="006D52E3">
        <w:rPr>
          <w:rFonts w:cs="Arial"/>
          <w:sz w:val="22"/>
        </w:rPr>
        <w:t xml:space="preserve"> </w:t>
      </w:r>
      <w:r w:rsidR="00CF64EE" w:rsidRPr="006D52E3">
        <w:rPr>
          <w:rFonts w:cs="Arial"/>
          <w:sz w:val="22"/>
        </w:rPr>
        <w:t xml:space="preserve">Despite the existence of laws and organisational policies intended to safeguard workers, the disclosure of mental health issues in UK workplaces still faces substantial obstacles. </w:t>
      </w:r>
    </w:p>
    <w:p w14:paraId="19D3F598" w14:textId="27E348EB" w:rsidR="000C650C" w:rsidRPr="006D52E3" w:rsidRDefault="008655F3" w:rsidP="006D52E3">
      <w:pPr>
        <w:spacing w:line="360" w:lineRule="auto"/>
        <w:jc w:val="both"/>
        <w:rPr>
          <w:rFonts w:cs="Arial"/>
          <w:sz w:val="22"/>
        </w:rPr>
      </w:pPr>
      <w:r w:rsidRPr="006D52E3">
        <w:rPr>
          <w:rFonts w:cs="Arial"/>
          <w:b/>
          <w:bCs/>
          <w:sz w:val="22"/>
        </w:rPr>
        <w:t>Methodology:</w:t>
      </w:r>
      <w:r w:rsidRPr="006D52E3">
        <w:rPr>
          <w:rFonts w:cs="Arial"/>
          <w:sz w:val="22"/>
        </w:rPr>
        <w:t xml:space="preserve"> </w:t>
      </w:r>
      <w:r w:rsidR="00DD7729" w:rsidRPr="006D52E3">
        <w:rPr>
          <w:rFonts w:cs="Arial"/>
          <w:sz w:val="22"/>
        </w:rPr>
        <w:t>This study conducts a scoping review of peer-reviewed literature published between 2015 and 2025 to explore the barriers that hinder disclosure and the factors that promote it. Secondary research was carried out using databases such as PubMed, ProQuest, Google Scholar, and the UWTSD Library. Four key studies were critically examined, and thematic analysis identified two main themes: stigma and fear of judgement, and supportive management alongside an inclusive organisational culture.</w:t>
      </w:r>
      <w:bookmarkEnd w:id="2"/>
    </w:p>
    <w:p w14:paraId="5C017290" w14:textId="6EBF0E6E" w:rsidR="00047AF8" w:rsidRPr="006D52E3" w:rsidRDefault="008655F3" w:rsidP="006D52E3">
      <w:pPr>
        <w:spacing w:line="360" w:lineRule="auto"/>
        <w:jc w:val="both"/>
        <w:rPr>
          <w:rFonts w:cs="Arial"/>
          <w:sz w:val="22"/>
        </w:rPr>
      </w:pPr>
      <w:bookmarkStart w:id="3" w:name="_Toc215139103"/>
      <w:r w:rsidRPr="006D52E3">
        <w:rPr>
          <w:rFonts w:cs="Arial"/>
          <w:b/>
          <w:bCs/>
          <w:sz w:val="22"/>
        </w:rPr>
        <w:t>Findings:</w:t>
      </w:r>
      <w:r w:rsidRPr="006D52E3">
        <w:rPr>
          <w:rFonts w:cs="Arial"/>
          <w:sz w:val="22"/>
        </w:rPr>
        <w:t xml:space="preserve"> </w:t>
      </w:r>
      <w:r w:rsidR="000C650C" w:rsidRPr="006D52E3">
        <w:rPr>
          <w:rFonts w:cs="Arial"/>
          <w:sz w:val="22"/>
        </w:rPr>
        <w:t xml:space="preserve"> The </w:t>
      </w:r>
      <w:r w:rsidR="000C650C" w:rsidRPr="006D52E3">
        <w:rPr>
          <w:rFonts w:cs="Arial"/>
          <w:sz w:val="22"/>
        </w:rPr>
        <w:t>findings show</w:t>
      </w:r>
      <w:r w:rsidR="000C650C" w:rsidRPr="006D52E3">
        <w:rPr>
          <w:rFonts w:cs="Arial"/>
          <w:sz w:val="22"/>
        </w:rPr>
        <w:t xml:space="preserve"> that stigma is still the biggest barrier, with workers worried about reputational damage, career restrictions, or confidentiality violations. Decisions about disclosure are also influenced by professional identities and occupational roles, especially in academic and medical fields.</w:t>
      </w:r>
      <w:r w:rsidR="000C650C" w:rsidRPr="006D52E3">
        <w:rPr>
          <w:rFonts w:cs="Arial"/>
          <w:sz w:val="22"/>
        </w:rPr>
        <w:t xml:space="preserve"> </w:t>
      </w:r>
      <w:r w:rsidR="009606DB" w:rsidRPr="006D52E3">
        <w:rPr>
          <w:rFonts w:cs="Arial"/>
          <w:sz w:val="22"/>
        </w:rPr>
        <w:t>Conversely, supportive leadership, robust confidentiality measures, and inclusive workplace practices were found to facilitate openness and improve well-being</w:t>
      </w:r>
      <w:bookmarkStart w:id="4" w:name="_Toc215139104"/>
      <w:bookmarkEnd w:id="3"/>
      <w:r w:rsidR="00047AF8" w:rsidRPr="006D52E3">
        <w:rPr>
          <w:rFonts w:cs="Arial"/>
          <w:sz w:val="22"/>
        </w:rPr>
        <w:t>.</w:t>
      </w:r>
    </w:p>
    <w:p w14:paraId="1D4E2A06" w14:textId="3EDA8230" w:rsidR="009C4B4F" w:rsidRPr="006D52E3" w:rsidRDefault="008655F3" w:rsidP="006D52E3">
      <w:pPr>
        <w:spacing w:line="360" w:lineRule="auto"/>
        <w:jc w:val="both"/>
        <w:rPr>
          <w:sz w:val="22"/>
        </w:rPr>
      </w:pPr>
      <w:r w:rsidRPr="006D52E3">
        <w:rPr>
          <w:rFonts w:cs="Arial"/>
          <w:b/>
          <w:bCs/>
          <w:sz w:val="22"/>
        </w:rPr>
        <w:t>Conclusion:</w:t>
      </w:r>
      <w:r w:rsidRPr="006D52E3">
        <w:rPr>
          <w:rFonts w:cs="Arial"/>
          <w:sz w:val="22"/>
        </w:rPr>
        <w:t xml:space="preserve"> </w:t>
      </w:r>
      <w:r w:rsidR="009606DB" w:rsidRPr="006D52E3">
        <w:rPr>
          <w:rFonts w:cs="Arial"/>
          <w:sz w:val="22"/>
        </w:rPr>
        <w:t>The study concludes that disclosure outcomes are highly dependent on organisational context. Recommendations include embedding anti</w:t>
      </w:r>
      <w:r w:rsidR="009606DB" w:rsidRPr="006D52E3">
        <w:rPr>
          <w:rFonts w:ascii="Cambria Math" w:hAnsi="Cambria Math" w:cs="Cambria Math"/>
          <w:sz w:val="22"/>
        </w:rPr>
        <w:t>‑</w:t>
      </w:r>
      <w:r w:rsidR="009606DB" w:rsidRPr="006D52E3">
        <w:rPr>
          <w:rFonts w:cs="Arial"/>
          <w:sz w:val="22"/>
        </w:rPr>
        <w:t xml:space="preserve">stigma initiatives, reinforcing confidentiality safeguards, and implementing supportive policies to create psychologically safe environments that protect employee </w:t>
      </w:r>
      <w:r w:rsidR="00711A75" w:rsidRPr="006D52E3">
        <w:rPr>
          <w:rFonts w:cs="Arial"/>
          <w:sz w:val="22"/>
        </w:rPr>
        <w:t>well-being</w:t>
      </w:r>
      <w:r w:rsidR="009606DB" w:rsidRPr="006D52E3">
        <w:rPr>
          <w:rFonts w:cs="Arial"/>
          <w:sz w:val="22"/>
        </w:rPr>
        <w:t xml:space="preserve"> and sustain workforce productivity</w:t>
      </w:r>
      <w:r w:rsidR="009606DB" w:rsidRPr="006D52E3">
        <w:rPr>
          <w:sz w:val="22"/>
        </w:rPr>
        <w:t>.</w:t>
      </w:r>
      <w:bookmarkEnd w:id="4"/>
    </w:p>
    <w:p w14:paraId="12D76753" w14:textId="4D22DAEB" w:rsidR="00B87E75" w:rsidRPr="006D52E3" w:rsidRDefault="00F7158B" w:rsidP="006D52E3">
      <w:pPr>
        <w:pStyle w:val="Heading1"/>
        <w:rPr>
          <w:color w:val="auto"/>
          <w:sz w:val="22"/>
        </w:rPr>
      </w:pPr>
      <w:bookmarkStart w:id="5" w:name="_Toc215133452"/>
      <w:bookmarkStart w:id="6" w:name="_Toc215139105"/>
      <w:bookmarkStart w:id="7" w:name="_Toc215140037"/>
      <w:r w:rsidRPr="006D52E3">
        <w:rPr>
          <w:color w:val="auto"/>
          <w:sz w:val="22"/>
        </w:rPr>
        <w:t>1</w:t>
      </w:r>
      <w:r w:rsidR="00DD7729" w:rsidRPr="006D52E3">
        <w:rPr>
          <w:color w:val="auto"/>
          <w:sz w:val="22"/>
        </w:rPr>
        <w:t>.</w:t>
      </w:r>
      <w:r w:rsidR="00962694" w:rsidRPr="006D52E3">
        <w:rPr>
          <w:color w:val="auto"/>
          <w:sz w:val="22"/>
        </w:rPr>
        <w:t xml:space="preserve"> </w:t>
      </w:r>
      <w:r w:rsidR="00B87E75" w:rsidRPr="006D52E3">
        <w:rPr>
          <w:color w:val="auto"/>
          <w:sz w:val="22"/>
        </w:rPr>
        <w:t>Introduction</w:t>
      </w:r>
      <w:bookmarkEnd w:id="5"/>
      <w:bookmarkEnd w:id="6"/>
      <w:bookmarkEnd w:id="7"/>
    </w:p>
    <w:p w14:paraId="2CACE0C0" w14:textId="45F3810A" w:rsidR="00CF64EE" w:rsidRPr="006D52E3" w:rsidRDefault="00CF64EE" w:rsidP="006D52E3">
      <w:pPr>
        <w:spacing w:line="360" w:lineRule="auto"/>
        <w:jc w:val="both"/>
        <w:rPr>
          <w:sz w:val="22"/>
        </w:rPr>
      </w:pPr>
      <w:r w:rsidRPr="00CF64EE">
        <w:rPr>
          <w:sz w:val="22"/>
        </w:rPr>
        <w:t xml:space="preserve">The disclosure of mental health issues in UK workplaces </w:t>
      </w:r>
      <w:r w:rsidRPr="006D52E3">
        <w:rPr>
          <w:sz w:val="22"/>
        </w:rPr>
        <w:t>relates to</w:t>
      </w:r>
      <w:r w:rsidRPr="00CF64EE">
        <w:rPr>
          <w:sz w:val="22"/>
        </w:rPr>
        <w:t xml:space="preserve"> physical activity and general well-being. According to recent research, 72% of employees with mental health disorders believe that exercise keeps them healthy and minimises their probability of missing </w:t>
      </w:r>
      <w:r w:rsidRPr="00CF64EE">
        <w:rPr>
          <w:sz w:val="22"/>
        </w:rPr>
        <w:lastRenderedPageBreak/>
        <w:t>work. However, just 16% of these employees reach the required levels of physical exercise, suggesting considerable hurdles to involvement despite knowing the advantages.</w:t>
      </w:r>
    </w:p>
    <w:p w14:paraId="67DB60F1" w14:textId="33739D54" w:rsidR="00962694" w:rsidRPr="006D52E3" w:rsidRDefault="00DF197D" w:rsidP="006D52E3">
      <w:pPr>
        <w:spacing w:line="360" w:lineRule="auto"/>
        <w:jc w:val="both"/>
        <w:rPr>
          <w:sz w:val="22"/>
        </w:rPr>
      </w:pPr>
      <w:r w:rsidRPr="006D52E3">
        <w:rPr>
          <w:sz w:val="22"/>
        </w:rPr>
        <w:t xml:space="preserve">Additionally, more than half believe that companies should offer access to fitness facilities, with subsidised or inclusive options being </w:t>
      </w:r>
      <w:r w:rsidR="00711A75" w:rsidRPr="006D52E3">
        <w:rPr>
          <w:sz w:val="22"/>
        </w:rPr>
        <w:t>vital</w:t>
      </w:r>
      <w:r w:rsidRPr="006D52E3">
        <w:rPr>
          <w:sz w:val="22"/>
        </w:rPr>
        <w:t xml:space="preserve">. Disclosure remains challenging since not all employees feel comfortable revealing their mental health status; however, increased </w:t>
      </w:r>
      <w:r w:rsidR="00CF64EE" w:rsidRPr="006D52E3">
        <w:rPr>
          <w:sz w:val="22"/>
        </w:rPr>
        <w:t>support, such</w:t>
      </w:r>
      <w:r w:rsidRPr="006D52E3">
        <w:rPr>
          <w:sz w:val="22"/>
        </w:rPr>
        <w:t xml:space="preserve"> as workplace physical activity programmes</w:t>
      </w:r>
      <w:r w:rsidR="00CF64EE" w:rsidRPr="006D52E3">
        <w:rPr>
          <w:sz w:val="22"/>
        </w:rPr>
        <w:t xml:space="preserve">, </w:t>
      </w:r>
      <w:r w:rsidRPr="006D52E3">
        <w:rPr>
          <w:sz w:val="22"/>
        </w:rPr>
        <w:t>can foster openness and help manage mental health more effectively in professional settings. This research aims to explore the impact of physical activity on the mental health of adults in the UK. Physical activity includes any form of exercise, such as walking or running, while mental health encompasses overall well-being.</w:t>
      </w:r>
    </w:p>
    <w:p w14:paraId="4769E53A" w14:textId="16177B20" w:rsidR="00962694" w:rsidRPr="006D52E3" w:rsidRDefault="001D7C03" w:rsidP="006D52E3">
      <w:pPr>
        <w:pStyle w:val="Heading2"/>
        <w:rPr>
          <w:color w:val="auto"/>
          <w:sz w:val="22"/>
          <w:szCs w:val="22"/>
        </w:rPr>
      </w:pPr>
      <w:bookmarkStart w:id="8" w:name="_Toc215139107"/>
      <w:bookmarkStart w:id="9" w:name="_Toc215140038"/>
      <w:r w:rsidRPr="006D52E3">
        <w:rPr>
          <w:color w:val="auto"/>
          <w:sz w:val="22"/>
          <w:szCs w:val="22"/>
        </w:rPr>
        <w:t>D</w:t>
      </w:r>
      <w:r w:rsidR="00B87E75" w:rsidRPr="006D52E3">
        <w:rPr>
          <w:color w:val="auto"/>
          <w:sz w:val="22"/>
          <w:szCs w:val="22"/>
        </w:rPr>
        <w:t>efinition</w:t>
      </w:r>
      <w:r w:rsidRPr="006D52E3">
        <w:rPr>
          <w:color w:val="auto"/>
          <w:sz w:val="22"/>
          <w:szCs w:val="22"/>
        </w:rPr>
        <w:t xml:space="preserve"> of main concepts</w:t>
      </w:r>
      <w:bookmarkEnd w:id="8"/>
      <w:bookmarkEnd w:id="9"/>
      <w:r w:rsidR="0026393A" w:rsidRPr="006D52E3">
        <w:rPr>
          <w:color w:val="auto"/>
          <w:sz w:val="22"/>
          <w:szCs w:val="22"/>
        </w:rPr>
        <w:t xml:space="preserve"> </w:t>
      </w:r>
    </w:p>
    <w:p w14:paraId="6BD644BA" w14:textId="77777777" w:rsidR="008655F3" w:rsidRPr="006D52E3" w:rsidRDefault="008655F3" w:rsidP="006D52E3">
      <w:pPr>
        <w:pStyle w:val="ListParagraph"/>
        <w:spacing w:line="360" w:lineRule="auto"/>
        <w:rPr>
          <w:sz w:val="22"/>
        </w:rPr>
      </w:pPr>
    </w:p>
    <w:p w14:paraId="4A1F083A" w14:textId="3C061645" w:rsidR="00DF3F99" w:rsidRPr="006D52E3" w:rsidRDefault="0003134B" w:rsidP="006D52E3">
      <w:pPr>
        <w:spacing w:line="360" w:lineRule="auto"/>
        <w:jc w:val="both"/>
        <w:rPr>
          <w:sz w:val="22"/>
        </w:rPr>
      </w:pPr>
      <w:r w:rsidRPr="006D52E3">
        <w:rPr>
          <w:sz w:val="22"/>
        </w:rPr>
        <w:t xml:space="preserve">This study aims to explore Barriers to disclosing Mental Health issues in UK Workplaces. In recent years, mental health problems in the UK have increased, with many people reporting depression and anxiety at work. </w:t>
      </w:r>
      <w:r w:rsidR="00DF3F99" w:rsidRPr="006D52E3">
        <w:rPr>
          <w:sz w:val="22"/>
        </w:rPr>
        <w:t>This study aims to explore Barriers to disclosing Mental Health issues in UK Workplaces. In recent years, mental health problems in the UK have increased, with many people reporting depression and anxiety at work</w:t>
      </w:r>
      <w:r w:rsidR="009B3294" w:rsidRPr="006D52E3">
        <w:rPr>
          <w:sz w:val="22"/>
        </w:rPr>
        <w:t>.</w:t>
      </w:r>
    </w:p>
    <w:p w14:paraId="17D44432" w14:textId="76C20832" w:rsidR="00DF3F99" w:rsidRPr="006D52E3" w:rsidRDefault="00DF3F99" w:rsidP="006D52E3">
      <w:pPr>
        <w:spacing w:line="360" w:lineRule="auto"/>
        <w:jc w:val="both"/>
        <w:rPr>
          <w:sz w:val="22"/>
        </w:rPr>
      </w:pPr>
      <w:r w:rsidRPr="006D52E3">
        <w:rPr>
          <w:sz w:val="22"/>
        </w:rPr>
        <w:t xml:space="preserve">Mental health issues such as anxiety, depression, and stress are increasingly prevalent in UK workplaces, yet disclosure remains a significant challenge. </w:t>
      </w:r>
      <w:r w:rsidR="00072096" w:rsidRPr="006D52E3">
        <w:rPr>
          <w:sz w:val="22"/>
        </w:rPr>
        <w:t>According</w:t>
      </w:r>
      <w:r w:rsidRPr="006D52E3">
        <w:rPr>
          <w:sz w:val="22"/>
        </w:rPr>
        <w:t xml:space="preserve"> to the Health and Safety Executive (HSE), 776,000 workers reported work-related stress, depression, or anxiety in 2023/24, accounting for nearly half of all work-related ill health cases. These conditions contributed to 16.4 million lost working days, highlighting their profound impact on workforce productivity and </w:t>
      </w:r>
      <w:r w:rsidR="009B3294" w:rsidRPr="006D52E3">
        <w:rPr>
          <w:sz w:val="22"/>
        </w:rPr>
        <w:t>well-being</w:t>
      </w:r>
      <w:r w:rsidRPr="006D52E3">
        <w:rPr>
          <w:sz w:val="22"/>
        </w:rPr>
        <w:t xml:space="preserve"> (Health and Safety Executive, 2025). Despite growing awareness, many employees hesitate to disclose mental health struggles due to stigma, fear of discrimination, and lack of institutional support. The Department for Work and Pensions (DWP) notes that fear of job loss and reputational damage are key barriers to disclosure, particularly in high-pressure sectors (Department for Work and Pensions, 2025).</w:t>
      </w:r>
    </w:p>
    <w:p w14:paraId="70720B58" w14:textId="0C68DF20" w:rsidR="00DF3F99" w:rsidRPr="006D52E3" w:rsidRDefault="00DF3F99" w:rsidP="006D52E3">
      <w:pPr>
        <w:spacing w:line="360" w:lineRule="auto"/>
        <w:jc w:val="both"/>
        <w:rPr>
          <w:sz w:val="22"/>
        </w:rPr>
      </w:pPr>
      <w:r w:rsidRPr="006D52E3">
        <w:rPr>
          <w:sz w:val="22"/>
        </w:rPr>
        <w:t xml:space="preserve">Anxiety is defined by the NHS as a persistent feeling of worry or fear that can interfere with daily life. It often manifests through physical symptoms such as restlessness, fatigue, and difficulty concentrating (NHS, 2025a). Depression, according to the NHS, involves prolonged sadness, loss of interest in activities, and cognitive impairments such as poor concentration and feelings of worthlessness (NHS, 2025b). Stress, while not a mental health condition itself, is described by the Mental Health Foundation as the </w:t>
      </w:r>
      <w:r w:rsidR="006301C5">
        <w:rPr>
          <w:sz w:val="22"/>
        </w:rPr>
        <w:t>body's</w:t>
      </w:r>
      <w:r w:rsidRPr="006D52E3">
        <w:rPr>
          <w:sz w:val="22"/>
        </w:rPr>
        <w:t xml:space="preserve"> response to pressure or threat. Chronic stress can lead to anxiety or depression and is associated with symptoms like irritability, sleep disturbances, and difficulty coping (Mental Health Foundation, 2025).</w:t>
      </w:r>
    </w:p>
    <w:p w14:paraId="594C093D" w14:textId="0EBC22D3" w:rsidR="00814A9E" w:rsidRPr="006D52E3" w:rsidRDefault="00814A9E" w:rsidP="006D52E3">
      <w:pPr>
        <w:pStyle w:val="Heading2"/>
        <w:rPr>
          <w:color w:val="auto"/>
          <w:sz w:val="22"/>
          <w:szCs w:val="22"/>
        </w:rPr>
      </w:pPr>
      <w:bookmarkStart w:id="10" w:name="_Toc215140039"/>
      <w:r w:rsidRPr="006D52E3">
        <w:rPr>
          <w:color w:val="auto"/>
          <w:sz w:val="22"/>
          <w:szCs w:val="22"/>
        </w:rPr>
        <w:lastRenderedPageBreak/>
        <w:t>Rationale of the research</w:t>
      </w:r>
      <w:bookmarkEnd w:id="10"/>
    </w:p>
    <w:p w14:paraId="1A96B824" w14:textId="77777777" w:rsidR="008655F3" w:rsidRPr="006D52E3" w:rsidRDefault="008655F3" w:rsidP="006D52E3">
      <w:pPr>
        <w:spacing w:line="360" w:lineRule="auto"/>
        <w:rPr>
          <w:sz w:val="22"/>
        </w:rPr>
      </w:pPr>
    </w:p>
    <w:p w14:paraId="0A591662" w14:textId="21257874" w:rsidR="00DF3F99" w:rsidRPr="006D52E3" w:rsidRDefault="00815C15" w:rsidP="006D52E3">
      <w:pPr>
        <w:spacing w:line="360" w:lineRule="auto"/>
        <w:jc w:val="both"/>
        <w:rPr>
          <w:sz w:val="22"/>
        </w:rPr>
      </w:pPr>
      <w:r w:rsidRPr="006D52E3">
        <w:rPr>
          <w:sz w:val="22"/>
        </w:rPr>
        <w:t xml:space="preserve">UK workplace stigma around mental health discourages people from disclosing, which can harm worker well-being and job performance (Brohan et al., 2010; Evans-Lacko et al., 2016). Building supportive </w:t>
      </w:r>
      <w:r w:rsidR="0076398E" w:rsidRPr="006D52E3">
        <w:rPr>
          <w:sz w:val="22"/>
        </w:rPr>
        <w:t>organisational</w:t>
      </w:r>
      <w:r w:rsidRPr="006D52E3">
        <w:rPr>
          <w:sz w:val="22"/>
        </w:rPr>
        <w:t xml:space="preserve"> policies and culture is highly essential. Well-being at work is increasingly important for sustainable employability and mental health, especially in response to issues like an </w:t>
      </w:r>
      <w:r w:rsidR="009B3294" w:rsidRPr="006D52E3">
        <w:rPr>
          <w:sz w:val="22"/>
        </w:rPr>
        <w:t>ageing</w:t>
      </w:r>
      <w:r w:rsidRPr="006D52E3">
        <w:rPr>
          <w:sz w:val="22"/>
        </w:rPr>
        <w:t xml:space="preserve"> population, </w:t>
      </w:r>
      <w:r w:rsidR="0076398E" w:rsidRPr="006D52E3">
        <w:rPr>
          <w:sz w:val="22"/>
        </w:rPr>
        <w:t>labour</w:t>
      </w:r>
      <w:r w:rsidRPr="006D52E3">
        <w:rPr>
          <w:sz w:val="22"/>
        </w:rPr>
        <w:t xml:space="preserve"> shortages, work-life balance, and rising wages. The COVID-19 pandemic has intensified these issues, </w:t>
      </w:r>
      <w:r w:rsidR="009B3294" w:rsidRPr="006D52E3">
        <w:rPr>
          <w:sz w:val="22"/>
        </w:rPr>
        <w:t>making investing</w:t>
      </w:r>
      <w:r w:rsidRPr="006D52E3">
        <w:rPr>
          <w:sz w:val="22"/>
        </w:rPr>
        <w:t xml:space="preserve"> in employee health and well-being an even more critical concern. </w:t>
      </w:r>
      <w:proofErr w:type="spellStart"/>
      <w:r w:rsidRPr="006D52E3">
        <w:rPr>
          <w:sz w:val="22"/>
        </w:rPr>
        <w:t>Bogaers</w:t>
      </w:r>
      <w:proofErr w:type="spellEnd"/>
      <w:r w:rsidRPr="006D52E3">
        <w:rPr>
          <w:sz w:val="22"/>
        </w:rPr>
        <w:t xml:space="preserve">, R. et al. (2023) note that Evans-Lacko et </w:t>
      </w:r>
      <w:r w:rsidR="006301C5">
        <w:rPr>
          <w:sz w:val="22"/>
        </w:rPr>
        <w:t>al.'s</w:t>
      </w:r>
      <w:r w:rsidRPr="006D52E3">
        <w:rPr>
          <w:sz w:val="22"/>
        </w:rPr>
        <w:t xml:space="preserve"> research examines challenges around disclosing mental health issues in UK workplaces, with stigma, fear of discrimination, and workplace culture being major obstacles. </w:t>
      </w:r>
    </w:p>
    <w:p w14:paraId="4884D4D2" w14:textId="309CEBD7" w:rsidR="00CD33A8" w:rsidRPr="006D52E3" w:rsidRDefault="00CD33A8" w:rsidP="006D52E3">
      <w:pPr>
        <w:pStyle w:val="Heading4"/>
        <w:spacing w:line="360" w:lineRule="auto"/>
        <w:jc w:val="both"/>
        <w:rPr>
          <w:color w:val="auto"/>
          <w:sz w:val="22"/>
        </w:rPr>
      </w:pPr>
      <w:bookmarkStart w:id="11" w:name="_Toc215140040"/>
      <w:r w:rsidRPr="006D52E3">
        <w:rPr>
          <w:rStyle w:val="Heading2Char"/>
          <w:color w:val="auto"/>
          <w:sz w:val="22"/>
          <w:szCs w:val="22"/>
        </w:rPr>
        <w:t>Review question</w:t>
      </w:r>
      <w:bookmarkEnd w:id="11"/>
    </w:p>
    <w:p w14:paraId="5559C204" w14:textId="611AA436" w:rsidR="00DF3F99" w:rsidRPr="006D52E3" w:rsidRDefault="00DF3F99" w:rsidP="006D52E3">
      <w:pPr>
        <w:spacing w:line="360" w:lineRule="auto"/>
        <w:jc w:val="both"/>
        <w:rPr>
          <w:sz w:val="22"/>
        </w:rPr>
      </w:pPr>
      <w:r w:rsidRPr="006D52E3">
        <w:rPr>
          <w:sz w:val="22"/>
        </w:rPr>
        <w:t>What are barriers to the Disclosure of Mental Health in UK Workplaces?</w:t>
      </w:r>
    </w:p>
    <w:p w14:paraId="14BF3272" w14:textId="5C62773A" w:rsidR="0026393A" w:rsidRPr="006D52E3" w:rsidRDefault="0026393A" w:rsidP="006D52E3">
      <w:pPr>
        <w:spacing w:line="360" w:lineRule="auto"/>
        <w:jc w:val="both"/>
        <w:rPr>
          <w:sz w:val="22"/>
        </w:rPr>
      </w:pPr>
      <w:r w:rsidRPr="006D52E3">
        <w:rPr>
          <w:sz w:val="22"/>
        </w:rPr>
        <w:t xml:space="preserve">Objectives </w:t>
      </w:r>
    </w:p>
    <w:p w14:paraId="2369EF53" w14:textId="62976BE5" w:rsidR="00DF3F99" w:rsidRPr="006D52E3" w:rsidRDefault="00DF3F99" w:rsidP="006D52E3">
      <w:pPr>
        <w:spacing w:line="360" w:lineRule="auto"/>
        <w:jc w:val="both"/>
        <w:rPr>
          <w:sz w:val="22"/>
        </w:rPr>
      </w:pPr>
      <w:r w:rsidRPr="006D52E3">
        <w:rPr>
          <w:sz w:val="22"/>
        </w:rPr>
        <w:t xml:space="preserve">- Define </w:t>
      </w:r>
      <w:r w:rsidR="006301C5">
        <w:rPr>
          <w:sz w:val="22"/>
        </w:rPr>
        <w:t xml:space="preserve">the </w:t>
      </w:r>
      <w:r w:rsidRPr="006D52E3">
        <w:rPr>
          <w:sz w:val="22"/>
        </w:rPr>
        <w:t xml:space="preserve">process of </w:t>
      </w:r>
      <w:bookmarkStart w:id="12" w:name="_Hlk215736298"/>
      <w:r w:rsidR="006D52E3">
        <w:rPr>
          <w:sz w:val="22"/>
        </w:rPr>
        <w:t xml:space="preserve">the </w:t>
      </w:r>
      <w:r w:rsidRPr="006D52E3">
        <w:rPr>
          <w:sz w:val="22"/>
        </w:rPr>
        <w:t>Disclosure of Mental Health Issues among Working Adults in UK Workplaces</w:t>
      </w:r>
    </w:p>
    <w:bookmarkEnd w:id="12"/>
    <w:p w14:paraId="320EF85A" w14:textId="77777777" w:rsidR="00DF3F99" w:rsidRPr="006D52E3" w:rsidRDefault="00DF3F99" w:rsidP="006D52E3">
      <w:pPr>
        <w:spacing w:line="360" w:lineRule="auto"/>
        <w:jc w:val="both"/>
        <w:rPr>
          <w:sz w:val="22"/>
        </w:rPr>
      </w:pPr>
      <w:r w:rsidRPr="006D52E3">
        <w:rPr>
          <w:sz w:val="22"/>
        </w:rPr>
        <w:t xml:space="preserve">- Describe barriers </w:t>
      </w:r>
      <w:bookmarkStart w:id="13" w:name="_Hlk214531624"/>
      <w:r w:rsidRPr="006D52E3">
        <w:rPr>
          <w:sz w:val="22"/>
        </w:rPr>
        <w:t>to the Disclosure of Mental Health among UK adults in the workplace</w:t>
      </w:r>
      <w:bookmarkEnd w:id="13"/>
    </w:p>
    <w:p w14:paraId="52010A5E" w14:textId="2236D0DD" w:rsidR="0026393A" w:rsidRPr="006D52E3" w:rsidRDefault="00DF3F99" w:rsidP="006D52E3">
      <w:pPr>
        <w:spacing w:line="360" w:lineRule="auto"/>
        <w:jc w:val="both"/>
        <w:rPr>
          <w:sz w:val="22"/>
        </w:rPr>
      </w:pPr>
      <w:r w:rsidRPr="006D52E3">
        <w:rPr>
          <w:sz w:val="22"/>
        </w:rPr>
        <w:t>- Offer recommendations to enhance the Disclosure of Mental Health in the UK workplace.</w:t>
      </w:r>
    </w:p>
    <w:p w14:paraId="1E288BAE" w14:textId="77777777" w:rsidR="008655F3" w:rsidRPr="006D52E3" w:rsidRDefault="008655F3" w:rsidP="006D52E3">
      <w:pPr>
        <w:spacing w:line="360" w:lineRule="auto"/>
        <w:jc w:val="both"/>
        <w:rPr>
          <w:sz w:val="22"/>
        </w:rPr>
      </w:pPr>
    </w:p>
    <w:p w14:paraId="3A538631" w14:textId="77777777" w:rsidR="008655F3" w:rsidRPr="006D52E3" w:rsidRDefault="008655F3" w:rsidP="006D52E3">
      <w:pPr>
        <w:pStyle w:val="Heading1"/>
        <w:rPr>
          <w:color w:val="auto"/>
          <w:sz w:val="22"/>
        </w:rPr>
      </w:pPr>
      <w:bookmarkStart w:id="14" w:name="_Toc215139106"/>
      <w:bookmarkStart w:id="15" w:name="_Toc215140041"/>
      <w:r w:rsidRPr="006D52E3">
        <w:rPr>
          <w:color w:val="auto"/>
          <w:sz w:val="22"/>
        </w:rPr>
        <w:t>2.Background</w:t>
      </w:r>
      <w:bookmarkEnd w:id="14"/>
      <w:bookmarkEnd w:id="15"/>
    </w:p>
    <w:p w14:paraId="314FC9B0" w14:textId="77777777" w:rsidR="008655F3" w:rsidRPr="006D52E3" w:rsidRDefault="008655F3" w:rsidP="006D52E3">
      <w:pPr>
        <w:spacing w:line="360" w:lineRule="auto"/>
        <w:jc w:val="both"/>
        <w:rPr>
          <w:rFonts w:cs="Arial"/>
          <w:sz w:val="22"/>
        </w:rPr>
      </w:pPr>
    </w:p>
    <w:p w14:paraId="5CF92E24" w14:textId="4645D393" w:rsidR="008655F3" w:rsidRPr="006D52E3" w:rsidRDefault="008655F3" w:rsidP="006D52E3">
      <w:pPr>
        <w:spacing w:line="360" w:lineRule="auto"/>
        <w:jc w:val="both"/>
        <w:rPr>
          <w:rFonts w:cs="Arial"/>
          <w:sz w:val="22"/>
        </w:rPr>
      </w:pPr>
      <w:r w:rsidRPr="006D52E3">
        <w:rPr>
          <w:rFonts w:cs="Arial"/>
          <w:sz w:val="22"/>
        </w:rPr>
        <w:t>Revealing mental health challenges within professional settings in the United Kingdom remains a multifaceted and frequently problematic process. Although statutory frameworks and organisational policies are intended to safeguard employees, numerous obstacles continue to inhibit disclosure. These include enduring stigma, apprehension regarding career progression, anxieties about confidentiality, and insufficient awareness of legal entitlements</w:t>
      </w:r>
      <w:r w:rsidR="00762D81" w:rsidRPr="006D52E3">
        <w:rPr>
          <w:rFonts w:cs="Arial"/>
          <w:sz w:val="22"/>
        </w:rPr>
        <w:t xml:space="preserve"> Henderson et al.</w:t>
      </w:r>
      <w:r w:rsidR="006301C5">
        <w:rPr>
          <w:rFonts w:cs="Arial"/>
          <w:sz w:val="22"/>
        </w:rPr>
        <w:t xml:space="preserve">, </w:t>
      </w:r>
      <w:r w:rsidR="00762D81" w:rsidRPr="006D52E3">
        <w:rPr>
          <w:rFonts w:cs="Arial"/>
          <w:sz w:val="22"/>
        </w:rPr>
        <w:t xml:space="preserve">2013). </w:t>
      </w:r>
    </w:p>
    <w:p w14:paraId="5E6C06AC" w14:textId="6AF163A9" w:rsidR="008655F3" w:rsidRPr="006D52E3" w:rsidRDefault="008655F3" w:rsidP="006D52E3">
      <w:pPr>
        <w:spacing w:line="360" w:lineRule="auto"/>
        <w:jc w:val="both"/>
        <w:rPr>
          <w:rFonts w:cs="Arial"/>
          <w:sz w:val="22"/>
        </w:rPr>
      </w:pPr>
      <w:r w:rsidRPr="006D52E3">
        <w:rPr>
          <w:rFonts w:cs="Arial"/>
          <w:sz w:val="22"/>
        </w:rPr>
        <w:t xml:space="preserve">One of the most prominent impediments is the persistence of stigma and discriminatory attitudes. Despite heightened public awareness, mental health conditions are often misconstrued, prompting employees to fear adverse </w:t>
      </w:r>
      <w:r w:rsidR="006301C5">
        <w:rPr>
          <w:rFonts w:cs="Arial"/>
          <w:sz w:val="22"/>
        </w:rPr>
        <w:t>judgments</w:t>
      </w:r>
      <w:r w:rsidRPr="006D52E3">
        <w:rPr>
          <w:rFonts w:cs="Arial"/>
          <w:sz w:val="22"/>
        </w:rPr>
        <w:t xml:space="preserve"> or assumptions about their </w:t>
      </w:r>
      <w:r w:rsidR="006301C5">
        <w:rPr>
          <w:rFonts w:cs="Arial"/>
          <w:sz w:val="22"/>
        </w:rPr>
        <w:t>capabilities</w:t>
      </w:r>
      <w:r w:rsidRPr="006D52E3">
        <w:rPr>
          <w:rFonts w:cs="Arial"/>
          <w:sz w:val="22"/>
        </w:rPr>
        <w:t xml:space="preserve">. </w:t>
      </w:r>
      <w:bookmarkStart w:id="16" w:name="_Hlk215140103"/>
      <w:r w:rsidRPr="006D52E3">
        <w:rPr>
          <w:rFonts w:cs="Arial"/>
          <w:sz w:val="22"/>
        </w:rPr>
        <w:t xml:space="preserve">Henderson et al. (2013) </w:t>
      </w:r>
      <w:bookmarkEnd w:id="16"/>
      <w:r w:rsidRPr="006D52E3">
        <w:rPr>
          <w:rFonts w:cs="Arial"/>
          <w:sz w:val="22"/>
        </w:rPr>
        <w:t xml:space="preserve">underline that stigma constitutes a major deterrent to disclosure, with individuals concerned about marginalisation or being overlooked for </w:t>
      </w:r>
      <w:r w:rsidRPr="006D52E3">
        <w:rPr>
          <w:rFonts w:cs="Arial"/>
          <w:sz w:val="22"/>
        </w:rPr>
        <w:lastRenderedPageBreak/>
        <w:t xml:space="preserve">advancement. Such perceptions can prevent staff from accessing support that could otherwise enhance both </w:t>
      </w:r>
      <w:r w:rsidR="006301C5">
        <w:rPr>
          <w:rFonts w:cs="Arial"/>
          <w:sz w:val="22"/>
        </w:rPr>
        <w:t>well-being</w:t>
      </w:r>
      <w:r w:rsidRPr="006D52E3">
        <w:rPr>
          <w:rFonts w:cs="Arial"/>
          <w:sz w:val="22"/>
        </w:rPr>
        <w:t xml:space="preserve"> and productivity. More recent evidence suggests that occupational roles themselves influence attitudes, with certain professions exhibiting stronger resistance to disclosure (Cheung et al., 2025).</w:t>
      </w:r>
    </w:p>
    <w:p w14:paraId="7148EE64" w14:textId="77777777" w:rsidR="008655F3" w:rsidRPr="006D52E3" w:rsidRDefault="008655F3" w:rsidP="006D52E3">
      <w:pPr>
        <w:spacing w:line="360" w:lineRule="auto"/>
        <w:jc w:val="both"/>
        <w:rPr>
          <w:rFonts w:cs="Arial"/>
          <w:sz w:val="22"/>
        </w:rPr>
      </w:pPr>
      <w:r w:rsidRPr="006D52E3">
        <w:rPr>
          <w:rFonts w:cs="Arial"/>
          <w:sz w:val="22"/>
        </w:rPr>
        <w:t>Closely linked to stigma is the apprehension of detrimental career consequences. Employees frequently worry that disclosure may compromise job security or future opportunities. Mind (2020) reports that many workers hesitate to disclose due to uncertainty about managerial responses, fearing exclusion from projects or being labelled unreliable. This concern is intensified in organisations where mental health awareness training is limited, leaving staff unsure whether disclosure will result in assistance or disadvantage. Fox et al. (2024) similarly found that academics often conceal distress owing to reputational concerns and confidentiality issues, particularly in competitive environments dominated by performance metrics.</w:t>
      </w:r>
    </w:p>
    <w:p w14:paraId="15EE607A" w14:textId="77777777" w:rsidR="008655F3" w:rsidRPr="006D52E3" w:rsidRDefault="008655F3" w:rsidP="006D52E3">
      <w:pPr>
        <w:spacing w:line="360" w:lineRule="auto"/>
        <w:jc w:val="both"/>
        <w:rPr>
          <w:rFonts w:cs="Arial"/>
          <w:sz w:val="22"/>
        </w:rPr>
      </w:pPr>
      <w:r w:rsidRPr="006D52E3">
        <w:rPr>
          <w:rFonts w:cs="Arial"/>
          <w:sz w:val="22"/>
        </w:rPr>
        <w:t>Confidentiality represents another critical barrier. Employees may be reluctant to divulge sensitive information if they are uncertain about how it will be managed. Under the Data Protection Act 2018 and UK GDPR, mental health data is categorised as “special category information,” requiring stringent safeguards (Information Commissioner’s Office, 2021). The Safeguarding Vulnerable Groups Act 2006 further reinforces employers’ obligations to protect vulnerable adults. Nevertheless, mistrust persists, especially in smaller organisations where anonymity is harder to maintain. Weatherstone et al. (2022) note that even mental health professionals often conceal difficulties, fearing breaches of confidentiality and damage to credibility.</w:t>
      </w:r>
    </w:p>
    <w:p w14:paraId="74F7DC64" w14:textId="7A754597" w:rsidR="008655F3" w:rsidRPr="006D52E3" w:rsidRDefault="008655F3" w:rsidP="006D52E3">
      <w:pPr>
        <w:spacing w:line="360" w:lineRule="auto"/>
        <w:jc w:val="both"/>
        <w:rPr>
          <w:rFonts w:cs="Arial"/>
          <w:sz w:val="22"/>
        </w:rPr>
      </w:pPr>
      <w:r w:rsidRPr="006D52E3">
        <w:rPr>
          <w:rFonts w:cs="Arial"/>
          <w:sz w:val="22"/>
        </w:rPr>
        <w:t>Legislation such as the Equality Act 2010 provides a protective framework, recognising many mental health conditions as disabilities and obliging employers to implement reasonable adjustments to prevent discrimination (</w:t>
      </w:r>
      <w:proofErr w:type="spellStart"/>
      <w:r w:rsidRPr="006D52E3">
        <w:rPr>
          <w:rFonts w:cs="Arial"/>
          <w:sz w:val="22"/>
        </w:rPr>
        <w:t>Acas</w:t>
      </w:r>
      <w:proofErr w:type="spellEnd"/>
      <w:r w:rsidRPr="006D52E3">
        <w:rPr>
          <w:rFonts w:cs="Arial"/>
          <w:sz w:val="22"/>
        </w:rPr>
        <w:t xml:space="preserve">, 2022). </w:t>
      </w:r>
      <w:r w:rsidR="006D52E3" w:rsidRPr="006D52E3">
        <w:rPr>
          <w:rFonts w:cs="Arial"/>
          <w:sz w:val="22"/>
        </w:rPr>
        <w:t>However,</w:t>
      </w:r>
      <w:r w:rsidRPr="006D52E3">
        <w:rPr>
          <w:rFonts w:cs="Arial"/>
          <w:sz w:val="22"/>
        </w:rPr>
        <w:t xml:space="preserve"> awareness of these rights remains limited. Employees may not realise their condition qualifies under the Act, or they may doubt whether employers will enact adjustments effectively. This disjunction between statutory protection and workplace practice generates uncertainty, discouraging disclosure even when legal safeguards exist. Richard et al. (2025) argue that disclosure outcomes are highly contingent upon organisational context, with supportive environments enabling positive impacts while unsupportive cultures perpetuate silence.</w:t>
      </w:r>
    </w:p>
    <w:p w14:paraId="63CEF1BF" w14:textId="77777777" w:rsidR="008655F3" w:rsidRPr="006D52E3" w:rsidRDefault="008655F3" w:rsidP="006D52E3">
      <w:pPr>
        <w:spacing w:line="360" w:lineRule="auto"/>
        <w:jc w:val="both"/>
        <w:rPr>
          <w:rFonts w:cs="Arial"/>
          <w:sz w:val="22"/>
        </w:rPr>
      </w:pPr>
      <w:r w:rsidRPr="006D52E3">
        <w:rPr>
          <w:rFonts w:cs="Arial"/>
          <w:sz w:val="22"/>
        </w:rPr>
        <w:t xml:space="preserve">Organisational culture is therefore decisive. The NHS (2023) emphasises that supportive workplaces, where managers actively promote openness and wellbeing, are more likely to encourage disclosure. Likewise, CIPD (2022) stress that HR practices and leadership commitment are fundamental in cultivating trust. Without visible leadership and consistent implementation, policies risk remaining symbolic rather than substantive. Evidence indicates </w:t>
      </w:r>
      <w:r w:rsidRPr="006D52E3">
        <w:rPr>
          <w:rFonts w:cs="Arial"/>
          <w:sz w:val="22"/>
        </w:rPr>
        <w:lastRenderedPageBreak/>
        <w:t>that supportive management and inclusive spaces can transform disclosure from a perceived risk into a pathway to wellbeing and productivity. Conversely, unsupportive cultures perpetuate stigma and silence, undermining both individual health and organisational resilience.</w:t>
      </w:r>
    </w:p>
    <w:p w14:paraId="151D0B53" w14:textId="616EAB49" w:rsidR="008655F3" w:rsidRPr="006D52E3" w:rsidRDefault="00072096" w:rsidP="006D52E3">
      <w:pPr>
        <w:spacing w:line="360" w:lineRule="auto"/>
        <w:jc w:val="both"/>
        <w:rPr>
          <w:rFonts w:cs="Arial"/>
          <w:sz w:val="22"/>
        </w:rPr>
      </w:pPr>
      <w:r w:rsidRPr="006D52E3">
        <w:rPr>
          <w:rFonts w:cs="Arial"/>
          <w:sz w:val="22"/>
        </w:rPr>
        <w:t xml:space="preserve">The graphic </w:t>
      </w:r>
      <w:r w:rsidR="006301C5">
        <w:rPr>
          <w:rFonts w:cs="Arial"/>
          <w:sz w:val="22"/>
        </w:rPr>
        <w:t>below</w:t>
      </w:r>
      <w:r w:rsidRPr="006D52E3">
        <w:rPr>
          <w:rFonts w:cs="Arial"/>
          <w:sz w:val="22"/>
        </w:rPr>
        <w:t xml:space="preserve"> </w:t>
      </w:r>
      <w:r w:rsidR="006D52E3" w:rsidRPr="006D52E3">
        <w:rPr>
          <w:rFonts w:cs="Arial"/>
          <w:sz w:val="22"/>
        </w:rPr>
        <w:t>shows</w:t>
      </w:r>
      <w:r w:rsidRPr="006D52E3">
        <w:rPr>
          <w:rFonts w:cs="Arial"/>
          <w:sz w:val="22"/>
        </w:rPr>
        <w:t xml:space="preserve"> us the </w:t>
      </w:r>
      <w:r w:rsidR="006301C5">
        <w:rPr>
          <w:rFonts w:cs="Arial"/>
          <w:sz w:val="22"/>
        </w:rPr>
        <w:t>percentage</w:t>
      </w:r>
      <w:r w:rsidRPr="006D52E3">
        <w:rPr>
          <w:rFonts w:cs="Arial"/>
          <w:sz w:val="22"/>
        </w:rPr>
        <w:t xml:space="preserve"> of </w:t>
      </w:r>
      <w:r w:rsidR="006301C5">
        <w:rPr>
          <w:rFonts w:cs="Arial"/>
          <w:sz w:val="22"/>
        </w:rPr>
        <w:t>workers</w:t>
      </w:r>
      <w:r w:rsidRPr="006D52E3">
        <w:rPr>
          <w:rFonts w:cs="Arial"/>
          <w:sz w:val="22"/>
        </w:rPr>
        <w:t xml:space="preserve"> reporting mental health </w:t>
      </w:r>
      <w:r w:rsidR="006301C5">
        <w:rPr>
          <w:rFonts w:cs="Arial"/>
          <w:sz w:val="22"/>
        </w:rPr>
        <w:t>concerns</w:t>
      </w:r>
      <w:r w:rsidRPr="006D52E3">
        <w:rPr>
          <w:rFonts w:cs="Arial"/>
          <w:sz w:val="22"/>
        </w:rPr>
        <w:t xml:space="preserve"> in </w:t>
      </w:r>
      <w:r w:rsidR="006301C5">
        <w:rPr>
          <w:rFonts w:cs="Arial"/>
          <w:sz w:val="22"/>
        </w:rPr>
        <w:t xml:space="preserve">the </w:t>
      </w:r>
      <w:r w:rsidRPr="006D52E3">
        <w:rPr>
          <w:rFonts w:cs="Arial"/>
          <w:sz w:val="22"/>
        </w:rPr>
        <w:t>UK.</w:t>
      </w:r>
    </w:p>
    <w:p w14:paraId="164827F3" w14:textId="77777777" w:rsidR="008655F3" w:rsidRPr="006D52E3" w:rsidRDefault="008655F3" w:rsidP="006D52E3">
      <w:pPr>
        <w:spacing w:line="360" w:lineRule="auto"/>
        <w:jc w:val="both"/>
        <w:rPr>
          <w:rFonts w:cs="Arial"/>
          <w:sz w:val="22"/>
        </w:rPr>
      </w:pPr>
      <w:r w:rsidRPr="006D52E3">
        <w:rPr>
          <w:rFonts w:cs="Arial"/>
          <w:noProof/>
          <w:sz w:val="22"/>
        </w:rPr>
        <w:drawing>
          <wp:inline distT="0" distB="0" distL="0" distR="0" wp14:anchorId="2180EF25" wp14:editId="3228CB5C">
            <wp:extent cx="5730875" cy="2232660"/>
            <wp:effectExtent l="0" t="0" r="3175" b="0"/>
            <wp:docPr id="890427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t="28187"/>
                    <a:stretch>
                      <a:fillRect/>
                    </a:stretch>
                  </pic:blipFill>
                  <pic:spPr bwMode="auto">
                    <a:xfrm>
                      <a:off x="0" y="0"/>
                      <a:ext cx="5730875" cy="2232660"/>
                    </a:xfrm>
                    <a:prstGeom prst="rect">
                      <a:avLst/>
                    </a:prstGeom>
                    <a:noFill/>
                    <a:ln>
                      <a:noFill/>
                    </a:ln>
                    <a:extLst>
                      <a:ext uri="{53640926-AAD7-44D8-BBD7-CCE9431645EC}">
                        <a14:shadowObscured xmlns:a14="http://schemas.microsoft.com/office/drawing/2010/main"/>
                      </a:ext>
                    </a:extLst>
                  </pic:spPr>
                </pic:pic>
              </a:graphicData>
            </a:graphic>
          </wp:inline>
        </w:drawing>
      </w:r>
    </w:p>
    <w:p w14:paraId="693162FA" w14:textId="77777777" w:rsidR="008655F3" w:rsidRPr="006D52E3" w:rsidRDefault="008655F3" w:rsidP="006D52E3">
      <w:pPr>
        <w:spacing w:line="360" w:lineRule="auto"/>
        <w:jc w:val="both"/>
        <w:rPr>
          <w:rFonts w:cs="Arial"/>
          <w:sz w:val="22"/>
        </w:rPr>
      </w:pPr>
    </w:p>
    <w:p w14:paraId="26AEF886" w14:textId="77777777" w:rsidR="008655F3" w:rsidRPr="006D52E3" w:rsidRDefault="008655F3" w:rsidP="006D52E3">
      <w:pPr>
        <w:spacing w:line="360" w:lineRule="auto"/>
        <w:jc w:val="both"/>
        <w:rPr>
          <w:rFonts w:cs="Arial"/>
          <w:sz w:val="22"/>
        </w:rPr>
      </w:pPr>
      <w:r w:rsidRPr="006D52E3">
        <w:rPr>
          <w:rFonts w:cs="Arial"/>
          <w:sz w:val="22"/>
        </w:rPr>
        <w:t xml:space="preserve">Rojas Colloridi, C. (2024) </w:t>
      </w:r>
    </w:p>
    <w:p w14:paraId="1524F169" w14:textId="77777777" w:rsidR="008655F3" w:rsidRPr="006D52E3" w:rsidRDefault="008655F3" w:rsidP="006D52E3">
      <w:pPr>
        <w:spacing w:line="360" w:lineRule="auto"/>
        <w:jc w:val="both"/>
        <w:rPr>
          <w:rFonts w:cs="Arial"/>
          <w:sz w:val="22"/>
        </w:rPr>
      </w:pPr>
    </w:p>
    <w:p w14:paraId="60B2CDC3" w14:textId="484E8585" w:rsidR="00B87E75" w:rsidRPr="006D52E3" w:rsidRDefault="008655F3" w:rsidP="006D52E3">
      <w:pPr>
        <w:pStyle w:val="Heading1"/>
        <w:jc w:val="both"/>
        <w:rPr>
          <w:color w:val="auto"/>
          <w:sz w:val="22"/>
        </w:rPr>
      </w:pPr>
      <w:bookmarkStart w:id="17" w:name="_Toc215133454"/>
      <w:bookmarkStart w:id="18" w:name="_Toc215140042"/>
      <w:r w:rsidRPr="006D52E3">
        <w:rPr>
          <w:color w:val="auto"/>
          <w:sz w:val="22"/>
        </w:rPr>
        <w:t>3</w:t>
      </w:r>
      <w:r w:rsidR="00962694" w:rsidRPr="006D52E3">
        <w:rPr>
          <w:color w:val="auto"/>
          <w:sz w:val="22"/>
        </w:rPr>
        <w:t xml:space="preserve"> </w:t>
      </w:r>
      <w:r w:rsidR="00B87E75" w:rsidRPr="006D52E3">
        <w:rPr>
          <w:color w:val="auto"/>
          <w:sz w:val="22"/>
        </w:rPr>
        <w:t>Method</w:t>
      </w:r>
      <w:r w:rsidR="003E4ECF" w:rsidRPr="006D52E3">
        <w:rPr>
          <w:color w:val="auto"/>
          <w:sz w:val="22"/>
        </w:rPr>
        <w:t>s</w:t>
      </w:r>
      <w:bookmarkEnd w:id="17"/>
      <w:bookmarkEnd w:id="18"/>
    </w:p>
    <w:p w14:paraId="281EB824" w14:textId="77777777" w:rsidR="00DF3F99" w:rsidRPr="006D52E3" w:rsidRDefault="00DF3F99" w:rsidP="006D52E3">
      <w:pPr>
        <w:pStyle w:val="Heading2"/>
        <w:jc w:val="both"/>
        <w:rPr>
          <w:rFonts w:cs="Arial"/>
          <w:color w:val="auto"/>
          <w:sz w:val="22"/>
          <w:szCs w:val="22"/>
        </w:rPr>
      </w:pPr>
      <w:bookmarkStart w:id="19" w:name="_Toc215140043"/>
      <w:r w:rsidRPr="006D52E3">
        <w:rPr>
          <w:rFonts w:cs="Arial"/>
          <w:color w:val="auto"/>
          <w:sz w:val="22"/>
          <w:szCs w:val="22"/>
        </w:rPr>
        <w:t>Research Design</w:t>
      </w:r>
      <w:bookmarkEnd w:id="19"/>
    </w:p>
    <w:p w14:paraId="1A011DCF" w14:textId="435279EE" w:rsidR="00DF3F99" w:rsidRPr="006D52E3" w:rsidRDefault="00DF3F99" w:rsidP="006D52E3">
      <w:pPr>
        <w:spacing w:line="360" w:lineRule="auto"/>
        <w:jc w:val="both"/>
        <w:rPr>
          <w:rFonts w:cs="Arial"/>
          <w:sz w:val="22"/>
        </w:rPr>
      </w:pPr>
      <w:r w:rsidRPr="006D52E3">
        <w:rPr>
          <w:rFonts w:cs="Arial"/>
          <w:sz w:val="22"/>
        </w:rPr>
        <w:t xml:space="preserve">This study will </w:t>
      </w:r>
      <w:r w:rsidR="0048459C" w:rsidRPr="006D52E3">
        <w:rPr>
          <w:rFonts w:cs="Arial"/>
          <w:sz w:val="22"/>
        </w:rPr>
        <w:t>utilise</w:t>
      </w:r>
      <w:r w:rsidRPr="006D52E3">
        <w:rPr>
          <w:rFonts w:cs="Arial"/>
          <w:sz w:val="22"/>
        </w:rPr>
        <w:t xml:space="preserve"> a secondary research method, which is a peer-reviewed article scoping </w:t>
      </w:r>
      <w:r w:rsidR="006301C5" w:rsidRPr="006D52E3">
        <w:rPr>
          <w:rFonts w:cs="Arial"/>
          <w:sz w:val="22"/>
        </w:rPr>
        <w:t>review. It</w:t>
      </w:r>
      <w:r w:rsidRPr="006D52E3">
        <w:rPr>
          <w:rFonts w:cs="Arial"/>
          <w:sz w:val="22"/>
        </w:rPr>
        <w:t xml:space="preserve"> entails critically assessing and </w:t>
      </w:r>
      <w:r w:rsidR="0048459C" w:rsidRPr="006D52E3">
        <w:rPr>
          <w:rFonts w:cs="Arial"/>
          <w:sz w:val="22"/>
        </w:rPr>
        <w:t>synthesising</w:t>
      </w:r>
      <w:r w:rsidRPr="006D52E3">
        <w:rPr>
          <w:rFonts w:cs="Arial"/>
          <w:sz w:val="22"/>
        </w:rPr>
        <w:t xml:space="preserve"> evidence from already published research without gathering new data. Four to five peer-reviewed journal articles will be </w:t>
      </w:r>
      <w:r w:rsidR="0048459C" w:rsidRPr="006D52E3">
        <w:rPr>
          <w:rFonts w:cs="Arial"/>
          <w:sz w:val="22"/>
        </w:rPr>
        <w:t>utilised</w:t>
      </w:r>
      <w:r w:rsidRPr="006D52E3">
        <w:rPr>
          <w:rFonts w:cs="Arial"/>
          <w:sz w:val="22"/>
        </w:rPr>
        <w:t xml:space="preserve"> to gather the needed data. A scoping review is a method applied in the </w:t>
      </w:r>
      <w:r w:rsidR="0048459C" w:rsidRPr="006D52E3">
        <w:rPr>
          <w:rFonts w:cs="Arial"/>
          <w:sz w:val="22"/>
        </w:rPr>
        <w:t>summarisation</w:t>
      </w:r>
      <w:r w:rsidRPr="006D52E3">
        <w:rPr>
          <w:rFonts w:cs="Arial"/>
          <w:sz w:val="22"/>
        </w:rPr>
        <w:t xml:space="preserve"> of research evidence, particularly for mapping broad topics and determining emerging evidence (Peterson et al., 2017).</w:t>
      </w:r>
      <w:r w:rsidR="006D70B7" w:rsidRPr="006D52E3">
        <w:rPr>
          <w:rFonts w:cs="Arial"/>
          <w:sz w:val="22"/>
        </w:rPr>
        <w:t>In this study, secondary research will be employed, which entails analysing existing findings from peer-reviewed journal articles without conducting new data collection</w:t>
      </w:r>
      <w:r w:rsidR="00815C15" w:rsidRPr="006D52E3">
        <w:rPr>
          <w:rFonts w:cs="Arial"/>
          <w:sz w:val="22"/>
        </w:rPr>
        <w:t xml:space="preserve"> “</w:t>
      </w:r>
      <w:r w:rsidR="006D70B7" w:rsidRPr="006D52E3">
        <w:rPr>
          <w:rFonts w:cs="Arial"/>
          <w:sz w:val="22"/>
        </w:rPr>
        <w:t>.</w:t>
      </w:r>
      <w:r w:rsidR="00815C15" w:rsidRPr="006D52E3">
        <w:rPr>
          <w:rFonts w:cs="Arial"/>
          <w:sz w:val="22"/>
        </w:rPr>
        <w:t>BURKE, S., POTTIER, P., MACARTNEY, E.L., DROBNIAK, S.M., LAGISZ, M., AINSWORTH, T. and NAKAGAWA, S., 2022. Mapping literature reviews on coral health: Protocol for a review map, critical appraisal and bibliometric analysis. Ecological Solutions and Evidence, 3(4).”</w:t>
      </w:r>
    </w:p>
    <w:p w14:paraId="73858B00" w14:textId="08ED12BC" w:rsidR="006D70B7" w:rsidRPr="006D52E3" w:rsidRDefault="006D70B7" w:rsidP="006D52E3">
      <w:pPr>
        <w:spacing w:line="360" w:lineRule="auto"/>
        <w:jc w:val="both"/>
        <w:rPr>
          <w:rFonts w:cs="Arial"/>
          <w:sz w:val="22"/>
        </w:rPr>
      </w:pPr>
      <w:r w:rsidRPr="006D52E3">
        <w:rPr>
          <w:rFonts w:cs="Arial"/>
          <w:sz w:val="22"/>
        </w:rPr>
        <w:t>A scoping review is an approach used to explore and integrate information from various sources</w:t>
      </w:r>
      <w:r w:rsidR="00815C15" w:rsidRPr="006D52E3">
        <w:rPr>
          <w:rFonts w:cs="Arial"/>
          <w:sz w:val="22"/>
        </w:rPr>
        <w:t xml:space="preserve">.  </w:t>
      </w:r>
    </w:p>
    <w:p w14:paraId="37E13DA1" w14:textId="77777777" w:rsidR="00DF3F99" w:rsidRPr="006D52E3" w:rsidRDefault="00DF3F99" w:rsidP="006D52E3">
      <w:pPr>
        <w:pStyle w:val="Heading2"/>
        <w:jc w:val="both"/>
        <w:rPr>
          <w:rFonts w:cs="Arial"/>
          <w:color w:val="auto"/>
          <w:sz w:val="22"/>
          <w:szCs w:val="22"/>
        </w:rPr>
      </w:pPr>
      <w:bookmarkStart w:id="20" w:name="_Toc215140044"/>
      <w:r w:rsidRPr="006D52E3">
        <w:rPr>
          <w:rFonts w:cs="Arial"/>
          <w:color w:val="auto"/>
          <w:sz w:val="22"/>
          <w:szCs w:val="22"/>
        </w:rPr>
        <w:lastRenderedPageBreak/>
        <w:t>Databases to use</w:t>
      </w:r>
      <w:bookmarkEnd w:id="20"/>
    </w:p>
    <w:p w14:paraId="57062281" w14:textId="77777777" w:rsidR="00DF3F99" w:rsidRPr="006D52E3" w:rsidRDefault="00DF3F99" w:rsidP="006D52E3">
      <w:pPr>
        <w:spacing w:line="360" w:lineRule="auto"/>
        <w:jc w:val="both"/>
        <w:rPr>
          <w:rFonts w:cs="Arial"/>
          <w:sz w:val="22"/>
        </w:rPr>
      </w:pPr>
      <w:r w:rsidRPr="006D52E3">
        <w:rPr>
          <w:rFonts w:cs="Arial"/>
          <w:sz w:val="22"/>
        </w:rPr>
        <w:t>- PubMed</w:t>
      </w:r>
    </w:p>
    <w:p w14:paraId="2166809D" w14:textId="77777777" w:rsidR="00DF3F99" w:rsidRPr="006D52E3" w:rsidRDefault="00DF3F99" w:rsidP="006D52E3">
      <w:pPr>
        <w:spacing w:line="360" w:lineRule="auto"/>
        <w:jc w:val="both"/>
        <w:rPr>
          <w:rFonts w:cs="Arial"/>
          <w:sz w:val="22"/>
        </w:rPr>
      </w:pPr>
      <w:r w:rsidRPr="006D52E3">
        <w:rPr>
          <w:rFonts w:cs="Arial"/>
          <w:sz w:val="22"/>
        </w:rPr>
        <w:t>- ProQuest</w:t>
      </w:r>
    </w:p>
    <w:p w14:paraId="7460C107" w14:textId="77777777" w:rsidR="00DF3F99" w:rsidRPr="006D52E3" w:rsidRDefault="00DF3F99" w:rsidP="006D52E3">
      <w:pPr>
        <w:spacing w:line="360" w:lineRule="auto"/>
        <w:jc w:val="both"/>
        <w:rPr>
          <w:rFonts w:cs="Arial"/>
          <w:sz w:val="22"/>
        </w:rPr>
      </w:pPr>
      <w:r w:rsidRPr="006D52E3">
        <w:rPr>
          <w:rFonts w:cs="Arial"/>
          <w:sz w:val="22"/>
        </w:rPr>
        <w:t>- Google Scholar</w:t>
      </w:r>
    </w:p>
    <w:p w14:paraId="3EDA1A03" w14:textId="77777777" w:rsidR="00DF3F99" w:rsidRPr="006D52E3" w:rsidRDefault="00DF3F99" w:rsidP="006D52E3">
      <w:pPr>
        <w:spacing w:line="360" w:lineRule="auto"/>
        <w:jc w:val="both"/>
        <w:rPr>
          <w:rFonts w:cs="Arial"/>
          <w:sz w:val="22"/>
        </w:rPr>
      </w:pPr>
      <w:r w:rsidRPr="006D52E3">
        <w:rPr>
          <w:rFonts w:cs="Arial"/>
          <w:sz w:val="22"/>
        </w:rPr>
        <w:t>- UWTSD Library</w:t>
      </w:r>
    </w:p>
    <w:p w14:paraId="5024B14B" w14:textId="77777777" w:rsidR="00DF3F99" w:rsidRPr="006D52E3" w:rsidRDefault="00DF3F99" w:rsidP="006D52E3">
      <w:pPr>
        <w:pStyle w:val="Heading2"/>
        <w:jc w:val="both"/>
        <w:rPr>
          <w:rFonts w:cs="Arial"/>
          <w:color w:val="auto"/>
          <w:sz w:val="22"/>
          <w:szCs w:val="22"/>
        </w:rPr>
      </w:pPr>
      <w:bookmarkStart w:id="21" w:name="_Toc215140045"/>
      <w:r w:rsidRPr="006D52E3">
        <w:rPr>
          <w:rFonts w:cs="Arial"/>
          <w:color w:val="auto"/>
          <w:sz w:val="22"/>
          <w:szCs w:val="22"/>
        </w:rPr>
        <w:t>Keywords:</w:t>
      </w:r>
      <w:bookmarkEnd w:id="21"/>
    </w:p>
    <w:p w14:paraId="2AB259AC" w14:textId="77777777" w:rsidR="00DF3F99" w:rsidRPr="006D52E3" w:rsidRDefault="00DF3F99" w:rsidP="006D52E3">
      <w:pPr>
        <w:spacing w:line="360" w:lineRule="auto"/>
        <w:jc w:val="both"/>
        <w:rPr>
          <w:rFonts w:cs="Arial"/>
          <w:sz w:val="22"/>
        </w:rPr>
      </w:pPr>
      <w:r w:rsidRPr="006D52E3">
        <w:rPr>
          <w:rFonts w:cs="Arial"/>
          <w:sz w:val="22"/>
        </w:rPr>
        <w:t>"Mental health disclosure", "Workplace mental health workforce", "Employee wellbeing", "Organisational stigma", "psychological safety", "Occupational stress", "Workplace discrimination".</w:t>
      </w:r>
    </w:p>
    <w:p w14:paraId="1726E3A5" w14:textId="77777777" w:rsidR="00DF3F99" w:rsidRPr="006D52E3" w:rsidRDefault="00DF3F99" w:rsidP="006D52E3">
      <w:pPr>
        <w:pStyle w:val="Heading2"/>
        <w:jc w:val="both"/>
        <w:rPr>
          <w:rFonts w:cs="Arial"/>
          <w:color w:val="auto"/>
          <w:sz w:val="22"/>
          <w:szCs w:val="22"/>
        </w:rPr>
      </w:pPr>
      <w:bookmarkStart w:id="22" w:name="_Toc215140046"/>
      <w:r w:rsidRPr="006D52E3">
        <w:rPr>
          <w:rFonts w:cs="Arial"/>
          <w:color w:val="auto"/>
          <w:sz w:val="22"/>
          <w:szCs w:val="22"/>
        </w:rPr>
        <w:t>Inclusion Criteria</w:t>
      </w:r>
      <w:bookmarkEnd w:id="22"/>
    </w:p>
    <w:p w14:paraId="49F7E158" w14:textId="77777777" w:rsidR="00DF3F99" w:rsidRPr="006D52E3" w:rsidRDefault="00DF3F99" w:rsidP="006D52E3">
      <w:pPr>
        <w:spacing w:line="360" w:lineRule="auto"/>
        <w:jc w:val="both"/>
        <w:rPr>
          <w:rFonts w:cs="Arial"/>
          <w:sz w:val="22"/>
        </w:rPr>
      </w:pPr>
      <w:r w:rsidRPr="006D52E3">
        <w:rPr>
          <w:rFonts w:cs="Arial"/>
          <w:sz w:val="22"/>
        </w:rPr>
        <w:t>- English language research between 2015 and 2025</w:t>
      </w:r>
    </w:p>
    <w:p w14:paraId="458CD3D8" w14:textId="77777777" w:rsidR="00DF3F99" w:rsidRPr="006D52E3" w:rsidRDefault="00DF3F99" w:rsidP="006D52E3">
      <w:pPr>
        <w:spacing w:line="360" w:lineRule="auto"/>
        <w:jc w:val="both"/>
        <w:rPr>
          <w:rFonts w:cs="Arial"/>
          <w:sz w:val="22"/>
        </w:rPr>
      </w:pPr>
      <w:r w:rsidRPr="006D52E3">
        <w:rPr>
          <w:rFonts w:cs="Arial"/>
          <w:sz w:val="22"/>
        </w:rPr>
        <w:t>- Primary and secondary research studies</w:t>
      </w:r>
    </w:p>
    <w:p w14:paraId="46A7EE5E" w14:textId="77777777" w:rsidR="00DF3F99" w:rsidRPr="006D52E3" w:rsidRDefault="00DF3F99" w:rsidP="006D52E3">
      <w:pPr>
        <w:spacing w:line="360" w:lineRule="auto"/>
        <w:jc w:val="both"/>
        <w:rPr>
          <w:rFonts w:cs="Arial"/>
          <w:sz w:val="22"/>
        </w:rPr>
      </w:pPr>
      <w:r w:rsidRPr="006D52E3">
        <w:rPr>
          <w:rFonts w:cs="Arial"/>
          <w:sz w:val="22"/>
        </w:rPr>
        <w:t>- Research studies on the issue of mental health disclosure in the UK</w:t>
      </w:r>
    </w:p>
    <w:p w14:paraId="33707161" w14:textId="77777777" w:rsidR="00DF3F99" w:rsidRPr="006D52E3" w:rsidRDefault="00DF3F99" w:rsidP="006D52E3">
      <w:pPr>
        <w:pStyle w:val="Heading2"/>
        <w:jc w:val="both"/>
        <w:rPr>
          <w:rFonts w:cs="Arial"/>
          <w:color w:val="auto"/>
          <w:sz w:val="22"/>
          <w:szCs w:val="22"/>
        </w:rPr>
      </w:pPr>
      <w:bookmarkStart w:id="23" w:name="_Toc215140047"/>
      <w:r w:rsidRPr="006D52E3">
        <w:rPr>
          <w:rFonts w:cs="Arial"/>
          <w:color w:val="auto"/>
          <w:sz w:val="22"/>
          <w:szCs w:val="22"/>
        </w:rPr>
        <w:t>Exclusion Criteria</w:t>
      </w:r>
      <w:bookmarkEnd w:id="23"/>
    </w:p>
    <w:p w14:paraId="7BBA58EC" w14:textId="77777777" w:rsidR="00DF3F99" w:rsidRPr="006D52E3" w:rsidRDefault="00DF3F99" w:rsidP="006D52E3">
      <w:pPr>
        <w:spacing w:line="360" w:lineRule="auto"/>
        <w:jc w:val="both"/>
        <w:rPr>
          <w:rFonts w:cs="Arial"/>
          <w:sz w:val="22"/>
        </w:rPr>
      </w:pPr>
      <w:r w:rsidRPr="006D52E3">
        <w:rPr>
          <w:rFonts w:cs="Arial"/>
          <w:sz w:val="22"/>
        </w:rPr>
        <w:t>- Journal, website</w:t>
      </w:r>
    </w:p>
    <w:p w14:paraId="36F248E6" w14:textId="77777777" w:rsidR="00DF3F99" w:rsidRPr="006D52E3" w:rsidRDefault="00DF3F99" w:rsidP="006D52E3">
      <w:pPr>
        <w:spacing w:line="360" w:lineRule="auto"/>
        <w:jc w:val="both"/>
        <w:rPr>
          <w:rFonts w:cs="Arial"/>
          <w:sz w:val="22"/>
        </w:rPr>
      </w:pPr>
      <w:r w:rsidRPr="006D52E3">
        <w:rPr>
          <w:rFonts w:cs="Arial"/>
          <w:sz w:val="22"/>
        </w:rPr>
        <w:t>- Research on children or adolescents</w:t>
      </w:r>
    </w:p>
    <w:p w14:paraId="07E38071" w14:textId="77777777" w:rsidR="00DF3F99" w:rsidRPr="006D52E3" w:rsidRDefault="00DF3F99" w:rsidP="006D52E3">
      <w:pPr>
        <w:spacing w:line="360" w:lineRule="auto"/>
        <w:jc w:val="both"/>
        <w:rPr>
          <w:rFonts w:cs="Arial"/>
          <w:sz w:val="22"/>
        </w:rPr>
      </w:pPr>
      <w:r w:rsidRPr="006D52E3">
        <w:rPr>
          <w:rFonts w:cs="Arial"/>
          <w:sz w:val="22"/>
        </w:rPr>
        <w:t>- Research studies conducted outside the UK</w:t>
      </w:r>
    </w:p>
    <w:p w14:paraId="3DC31D35" w14:textId="58324B72" w:rsidR="00DF3F99" w:rsidRPr="006D52E3" w:rsidRDefault="00DF3F99" w:rsidP="006D52E3">
      <w:pPr>
        <w:spacing w:line="360" w:lineRule="auto"/>
        <w:jc w:val="both"/>
        <w:rPr>
          <w:rFonts w:cs="Arial"/>
          <w:sz w:val="22"/>
        </w:rPr>
      </w:pPr>
      <w:r w:rsidRPr="006D52E3">
        <w:rPr>
          <w:rFonts w:cs="Arial"/>
          <w:sz w:val="22"/>
        </w:rPr>
        <w:t xml:space="preserve">- Documents that are not in English or published </w:t>
      </w:r>
      <w:r w:rsidR="009B3294" w:rsidRPr="006D52E3">
        <w:rPr>
          <w:rFonts w:cs="Arial"/>
          <w:sz w:val="22"/>
        </w:rPr>
        <w:t>before</w:t>
      </w:r>
      <w:r w:rsidRPr="006D52E3">
        <w:rPr>
          <w:rFonts w:cs="Arial"/>
          <w:sz w:val="22"/>
        </w:rPr>
        <w:t xml:space="preserve"> 2015</w:t>
      </w:r>
    </w:p>
    <w:p w14:paraId="01444FE7" w14:textId="7A73B55C" w:rsidR="00DF3F99" w:rsidRPr="006D52E3" w:rsidRDefault="00DF3F99" w:rsidP="006D52E3">
      <w:pPr>
        <w:spacing w:line="360" w:lineRule="auto"/>
        <w:jc w:val="both"/>
        <w:rPr>
          <w:rFonts w:cs="Arial"/>
          <w:sz w:val="22"/>
        </w:rPr>
      </w:pPr>
      <w:r w:rsidRPr="006D52E3">
        <w:rPr>
          <w:rFonts w:cs="Arial"/>
          <w:sz w:val="22"/>
        </w:rPr>
        <w:t xml:space="preserve">- Research that </w:t>
      </w:r>
      <w:r w:rsidR="009B3294" w:rsidRPr="006D52E3">
        <w:rPr>
          <w:rFonts w:cs="Arial"/>
          <w:sz w:val="22"/>
        </w:rPr>
        <w:t>does not apply</w:t>
      </w:r>
      <w:r w:rsidRPr="006D52E3">
        <w:rPr>
          <w:rFonts w:cs="Arial"/>
          <w:sz w:val="22"/>
        </w:rPr>
        <w:t xml:space="preserve"> to the topic of research</w:t>
      </w:r>
    </w:p>
    <w:p w14:paraId="1B6765FD" w14:textId="77777777" w:rsidR="008655F3" w:rsidRPr="006D52E3" w:rsidRDefault="00DF3F99" w:rsidP="006D52E3">
      <w:pPr>
        <w:pStyle w:val="Heading2"/>
        <w:jc w:val="both"/>
        <w:rPr>
          <w:rFonts w:cs="Arial"/>
          <w:color w:val="auto"/>
          <w:sz w:val="22"/>
          <w:szCs w:val="22"/>
        </w:rPr>
      </w:pPr>
      <w:bookmarkStart w:id="24" w:name="_Toc215140048"/>
      <w:r w:rsidRPr="006D52E3">
        <w:rPr>
          <w:rFonts w:cs="Arial"/>
          <w:color w:val="auto"/>
          <w:sz w:val="22"/>
          <w:szCs w:val="22"/>
        </w:rPr>
        <w:t>Data analysis:</w:t>
      </w:r>
      <w:bookmarkEnd w:id="24"/>
      <w:r w:rsidRPr="006D52E3">
        <w:rPr>
          <w:rFonts w:cs="Arial"/>
          <w:color w:val="auto"/>
          <w:sz w:val="22"/>
          <w:szCs w:val="22"/>
        </w:rPr>
        <w:t xml:space="preserve"> </w:t>
      </w:r>
    </w:p>
    <w:p w14:paraId="34B9F5A2" w14:textId="1D6DE142" w:rsidR="00DF3F99" w:rsidRPr="006D52E3" w:rsidRDefault="00DF3F99" w:rsidP="006D52E3">
      <w:pPr>
        <w:spacing w:line="360" w:lineRule="auto"/>
        <w:jc w:val="both"/>
        <w:rPr>
          <w:rFonts w:cs="Arial"/>
          <w:sz w:val="22"/>
        </w:rPr>
      </w:pPr>
      <w:r w:rsidRPr="006D52E3">
        <w:rPr>
          <w:rFonts w:cs="Arial"/>
          <w:sz w:val="22"/>
        </w:rPr>
        <w:t>Thematic analysis will be conducted.</w:t>
      </w:r>
    </w:p>
    <w:p w14:paraId="5D1121D7" w14:textId="77777777" w:rsidR="00DF3F99" w:rsidRPr="006D52E3" w:rsidRDefault="00DF3F99" w:rsidP="006D52E3">
      <w:pPr>
        <w:spacing w:line="360" w:lineRule="auto"/>
        <w:jc w:val="both"/>
        <w:rPr>
          <w:rFonts w:cs="Arial"/>
          <w:sz w:val="22"/>
        </w:rPr>
      </w:pPr>
      <w:r w:rsidRPr="006D52E3">
        <w:rPr>
          <w:rFonts w:cs="Arial"/>
          <w:sz w:val="22"/>
        </w:rPr>
        <w:t>The main points of the chosen articles will be collated into themes.</w:t>
      </w:r>
    </w:p>
    <w:p w14:paraId="754C2036" w14:textId="7CAC2BE7" w:rsidR="00DF3F99" w:rsidRPr="006D52E3" w:rsidRDefault="00DF3F99" w:rsidP="006D52E3">
      <w:pPr>
        <w:pStyle w:val="Heading2"/>
        <w:jc w:val="both"/>
        <w:rPr>
          <w:rFonts w:cs="Arial"/>
          <w:color w:val="auto"/>
          <w:sz w:val="22"/>
          <w:szCs w:val="22"/>
        </w:rPr>
      </w:pPr>
      <w:r w:rsidRPr="006D52E3">
        <w:rPr>
          <w:rFonts w:cs="Arial"/>
          <w:color w:val="auto"/>
          <w:sz w:val="22"/>
          <w:szCs w:val="22"/>
        </w:rPr>
        <w:t xml:space="preserve"> </w:t>
      </w:r>
      <w:bookmarkStart w:id="25" w:name="_Toc215140049"/>
      <w:r w:rsidRPr="006D52E3">
        <w:rPr>
          <w:rFonts w:cs="Arial"/>
          <w:color w:val="auto"/>
          <w:sz w:val="22"/>
          <w:szCs w:val="22"/>
        </w:rPr>
        <w:t>Ethical issues:</w:t>
      </w:r>
      <w:bookmarkEnd w:id="25"/>
    </w:p>
    <w:p w14:paraId="67D2A69F" w14:textId="60F5109F" w:rsidR="008655F3" w:rsidRPr="006D52E3" w:rsidRDefault="00DF3F99" w:rsidP="006D52E3">
      <w:pPr>
        <w:spacing w:line="360" w:lineRule="auto"/>
        <w:jc w:val="both"/>
        <w:rPr>
          <w:rFonts w:cs="Arial"/>
          <w:sz w:val="22"/>
        </w:rPr>
      </w:pPr>
      <w:r w:rsidRPr="006D52E3">
        <w:rPr>
          <w:rFonts w:cs="Arial"/>
          <w:sz w:val="22"/>
        </w:rPr>
        <w:t>The project is based on secondary data, and ethical use is ensured by proper referencing, usage of public data, transparency, fairness, and upholding intellectual property.</w:t>
      </w:r>
      <w:r w:rsidR="008655F3" w:rsidRPr="006D52E3">
        <w:rPr>
          <w:rFonts w:cs="Arial"/>
          <w:sz w:val="22"/>
        </w:rPr>
        <w:t xml:space="preserve"> The report provides accurate information (BHBIA, 2020). </w:t>
      </w:r>
    </w:p>
    <w:p w14:paraId="4E251CF3" w14:textId="77777777" w:rsidR="008655F3" w:rsidRPr="006D52E3" w:rsidRDefault="008655F3" w:rsidP="006D52E3">
      <w:pPr>
        <w:spacing w:line="360" w:lineRule="auto"/>
        <w:jc w:val="both"/>
        <w:rPr>
          <w:rFonts w:cs="Arial"/>
          <w:sz w:val="22"/>
        </w:rPr>
      </w:pPr>
    </w:p>
    <w:p w14:paraId="2C91DC04" w14:textId="77777777" w:rsidR="008655F3" w:rsidRPr="006D52E3" w:rsidRDefault="008655F3" w:rsidP="006D52E3">
      <w:pPr>
        <w:spacing w:line="360" w:lineRule="auto"/>
        <w:jc w:val="both"/>
        <w:rPr>
          <w:rFonts w:cs="Arial"/>
          <w:sz w:val="22"/>
        </w:rPr>
      </w:pPr>
    </w:p>
    <w:p w14:paraId="3CBA178D" w14:textId="77777777" w:rsidR="008655F3" w:rsidRPr="006D52E3" w:rsidRDefault="008655F3" w:rsidP="006D52E3">
      <w:pPr>
        <w:spacing w:line="360" w:lineRule="auto"/>
        <w:jc w:val="both"/>
        <w:rPr>
          <w:rFonts w:cs="Arial"/>
          <w:sz w:val="22"/>
        </w:rPr>
      </w:pPr>
    </w:p>
    <w:p w14:paraId="3D3064EE" w14:textId="77777777" w:rsidR="008655F3" w:rsidRPr="006D52E3" w:rsidRDefault="008655F3" w:rsidP="006D52E3">
      <w:pPr>
        <w:spacing w:line="360" w:lineRule="auto"/>
        <w:jc w:val="both"/>
        <w:rPr>
          <w:rFonts w:cs="Arial"/>
          <w:sz w:val="22"/>
        </w:rPr>
      </w:pPr>
    </w:p>
    <w:p w14:paraId="118183DF" w14:textId="77777777" w:rsidR="008655F3" w:rsidRPr="006D52E3" w:rsidRDefault="008655F3" w:rsidP="006D52E3">
      <w:pPr>
        <w:spacing w:line="360" w:lineRule="auto"/>
        <w:jc w:val="both"/>
        <w:rPr>
          <w:rFonts w:cs="Arial"/>
          <w:sz w:val="22"/>
        </w:rPr>
      </w:pPr>
    </w:p>
    <w:p w14:paraId="72C3CAB6" w14:textId="7803041E" w:rsidR="008655F3" w:rsidRPr="006D52E3" w:rsidRDefault="008655F3" w:rsidP="006D52E3">
      <w:pPr>
        <w:pStyle w:val="Heading1"/>
        <w:jc w:val="both"/>
        <w:rPr>
          <w:color w:val="auto"/>
          <w:sz w:val="22"/>
        </w:rPr>
      </w:pPr>
      <w:bookmarkStart w:id="26" w:name="_Toc215140050"/>
      <w:r w:rsidRPr="006D52E3">
        <w:rPr>
          <w:color w:val="auto"/>
          <w:sz w:val="22"/>
        </w:rPr>
        <w:t>4 Results:</w:t>
      </w:r>
      <w:bookmarkEnd w:id="26"/>
    </w:p>
    <w:p w14:paraId="3FE125B2" w14:textId="4709776B" w:rsidR="008655F3" w:rsidRPr="006D52E3" w:rsidRDefault="008655F3" w:rsidP="006D52E3">
      <w:pPr>
        <w:spacing w:line="360" w:lineRule="auto"/>
        <w:jc w:val="both"/>
        <w:rPr>
          <w:rFonts w:cs="Arial"/>
          <w:sz w:val="22"/>
        </w:rPr>
      </w:pPr>
      <w:r w:rsidRPr="006D52E3">
        <w:rPr>
          <w:rFonts w:cs="Arial"/>
          <w:sz w:val="22"/>
        </w:rPr>
        <w:t>The table shows the key features of the analyses contained in this scoping review.</w:t>
      </w:r>
    </w:p>
    <w:p w14:paraId="31D8C30E" w14:textId="77777777" w:rsidR="008655F3" w:rsidRPr="006D52E3" w:rsidRDefault="008655F3" w:rsidP="006D52E3">
      <w:pPr>
        <w:spacing w:line="360" w:lineRule="auto"/>
        <w:jc w:val="both"/>
        <w:rPr>
          <w:rFonts w:cs="Arial"/>
          <w:sz w:val="22"/>
        </w:rPr>
      </w:pPr>
    </w:p>
    <w:p w14:paraId="3923820A" w14:textId="77777777" w:rsidR="008655F3" w:rsidRPr="006D52E3" w:rsidRDefault="008655F3" w:rsidP="006D52E3">
      <w:pPr>
        <w:spacing w:line="360" w:lineRule="auto"/>
        <w:jc w:val="both"/>
        <w:rPr>
          <w:rFonts w:cs="Arial"/>
          <w:sz w:val="22"/>
        </w:rPr>
      </w:pPr>
    </w:p>
    <w:p w14:paraId="206A9771" w14:textId="77777777" w:rsidR="008655F3" w:rsidRPr="006D52E3" w:rsidRDefault="008655F3" w:rsidP="006D52E3">
      <w:pPr>
        <w:spacing w:line="360" w:lineRule="auto"/>
        <w:jc w:val="both"/>
        <w:rPr>
          <w:rFonts w:cs="Arial"/>
          <w:sz w:val="22"/>
        </w:rPr>
      </w:pPr>
    </w:p>
    <w:p w14:paraId="2E29FB85" w14:textId="77777777" w:rsidR="008655F3" w:rsidRPr="006D52E3" w:rsidRDefault="008655F3" w:rsidP="006D52E3">
      <w:pPr>
        <w:spacing w:line="360" w:lineRule="auto"/>
        <w:jc w:val="both"/>
        <w:rPr>
          <w:rFonts w:cs="Arial"/>
          <w:sz w:val="22"/>
        </w:rPr>
      </w:pPr>
    </w:p>
    <w:tbl>
      <w:tblPr>
        <w:tblStyle w:val="TableGrid"/>
        <w:tblpPr w:leftFromText="180" w:rightFromText="180" w:vertAnchor="text" w:horzAnchor="margin" w:tblpY="-1439"/>
        <w:tblW w:w="0" w:type="auto"/>
        <w:tblLook w:val="04A0" w:firstRow="1" w:lastRow="0" w:firstColumn="1" w:lastColumn="0" w:noHBand="0" w:noVBand="1"/>
      </w:tblPr>
      <w:tblGrid>
        <w:gridCol w:w="2254"/>
        <w:gridCol w:w="2254"/>
        <w:gridCol w:w="2254"/>
        <w:gridCol w:w="2254"/>
      </w:tblGrid>
      <w:tr w:rsidR="006D52E3" w:rsidRPr="006D52E3" w14:paraId="60984919" w14:textId="77777777" w:rsidTr="00A40318">
        <w:trPr>
          <w:trHeight w:val="1266"/>
        </w:trPr>
        <w:tc>
          <w:tcPr>
            <w:tcW w:w="2254" w:type="dxa"/>
          </w:tcPr>
          <w:p w14:paraId="6A3EDB89" w14:textId="77777777" w:rsidR="008467D8" w:rsidRPr="006D52E3" w:rsidRDefault="008467D8" w:rsidP="006D52E3">
            <w:pPr>
              <w:spacing w:line="360" w:lineRule="auto"/>
              <w:jc w:val="both"/>
              <w:rPr>
                <w:rFonts w:cs="Arial"/>
                <w:sz w:val="22"/>
              </w:rPr>
            </w:pPr>
            <w:r w:rsidRPr="006D52E3">
              <w:rPr>
                <w:rFonts w:cs="Arial"/>
                <w:sz w:val="22"/>
              </w:rPr>
              <w:lastRenderedPageBreak/>
              <w:t>Authors/and publication year</w:t>
            </w:r>
          </w:p>
        </w:tc>
        <w:tc>
          <w:tcPr>
            <w:tcW w:w="2254" w:type="dxa"/>
          </w:tcPr>
          <w:p w14:paraId="087917F3" w14:textId="77777777" w:rsidR="008467D8" w:rsidRPr="006D52E3" w:rsidRDefault="008467D8" w:rsidP="006D52E3">
            <w:pPr>
              <w:spacing w:line="360" w:lineRule="auto"/>
              <w:jc w:val="both"/>
              <w:rPr>
                <w:rFonts w:cs="Arial"/>
                <w:sz w:val="22"/>
              </w:rPr>
            </w:pPr>
            <w:r w:rsidRPr="006D52E3">
              <w:rPr>
                <w:rFonts w:cs="Arial"/>
                <w:sz w:val="22"/>
              </w:rPr>
              <w:t>Aim</w:t>
            </w:r>
          </w:p>
        </w:tc>
        <w:tc>
          <w:tcPr>
            <w:tcW w:w="2254" w:type="dxa"/>
          </w:tcPr>
          <w:p w14:paraId="28987E73" w14:textId="77777777" w:rsidR="008467D8" w:rsidRPr="006D52E3" w:rsidRDefault="008467D8" w:rsidP="006D52E3">
            <w:pPr>
              <w:spacing w:line="360" w:lineRule="auto"/>
              <w:jc w:val="both"/>
              <w:rPr>
                <w:rFonts w:cs="Arial"/>
                <w:sz w:val="22"/>
              </w:rPr>
            </w:pPr>
            <w:r w:rsidRPr="006D52E3">
              <w:rPr>
                <w:rFonts w:cs="Arial"/>
                <w:sz w:val="22"/>
              </w:rPr>
              <w:t xml:space="preserve">Methodology and methods </w:t>
            </w:r>
          </w:p>
        </w:tc>
        <w:tc>
          <w:tcPr>
            <w:tcW w:w="2254" w:type="dxa"/>
          </w:tcPr>
          <w:p w14:paraId="7D37CBF4" w14:textId="77777777" w:rsidR="008467D8" w:rsidRPr="006D52E3" w:rsidRDefault="008467D8" w:rsidP="006D52E3">
            <w:pPr>
              <w:spacing w:line="360" w:lineRule="auto"/>
              <w:jc w:val="both"/>
              <w:rPr>
                <w:rFonts w:cs="Arial"/>
                <w:sz w:val="22"/>
              </w:rPr>
            </w:pPr>
            <w:r w:rsidRPr="006D52E3">
              <w:rPr>
                <w:rFonts w:cs="Arial"/>
                <w:sz w:val="22"/>
              </w:rPr>
              <w:t>Findings</w:t>
            </w:r>
          </w:p>
        </w:tc>
      </w:tr>
      <w:tr w:rsidR="006D52E3" w:rsidRPr="006D52E3" w14:paraId="79EAC915" w14:textId="77777777" w:rsidTr="008467D8">
        <w:tc>
          <w:tcPr>
            <w:tcW w:w="2254" w:type="dxa"/>
          </w:tcPr>
          <w:p w14:paraId="4D392EDB" w14:textId="060D93CA" w:rsidR="008467D8" w:rsidRPr="006D52E3" w:rsidRDefault="008467D8" w:rsidP="006D52E3">
            <w:pPr>
              <w:spacing w:line="360" w:lineRule="auto"/>
              <w:jc w:val="both"/>
              <w:rPr>
                <w:rFonts w:cs="Arial"/>
                <w:sz w:val="22"/>
              </w:rPr>
            </w:pPr>
            <w:r w:rsidRPr="006D52E3">
              <w:rPr>
                <w:rFonts w:cs="Arial"/>
                <w:sz w:val="22"/>
              </w:rPr>
              <w:t>1.</w:t>
            </w:r>
            <w:r w:rsidR="009B3294" w:rsidRPr="006D52E3">
              <w:rPr>
                <w:rFonts w:cs="Arial"/>
                <w:sz w:val="22"/>
              </w:rPr>
              <w:t xml:space="preserve"> </w:t>
            </w:r>
            <w:r w:rsidRPr="006D52E3">
              <w:rPr>
                <w:rFonts w:cs="Arial"/>
                <w:sz w:val="22"/>
              </w:rPr>
              <w:t>Cheung,</w:t>
            </w:r>
            <w:r w:rsidR="009B3294" w:rsidRPr="006D52E3">
              <w:rPr>
                <w:rFonts w:cs="Arial"/>
                <w:sz w:val="22"/>
              </w:rPr>
              <w:t xml:space="preserve"> </w:t>
            </w:r>
            <w:r w:rsidRPr="006D52E3">
              <w:rPr>
                <w:rFonts w:cs="Arial"/>
                <w:sz w:val="22"/>
              </w:rPr>
              <w:t>G., Ronaldson,</w:t>
            </w:r>
            <w:r w:rsidR="009B3294" w:rsidRPr="006D52E3">
              <w:rPr>
                <w:rFonts w:cs="Arial"/>
                <w:sz w:val="22"/>
              </w:rPr>
              <w:t xml:space="preserve"> </w:t>
            </w:r>
            <w:r w:rsidRPr="006D52E3">
              <w:rPr>
                <w:rFonts w:cs="Arial"/>
                <w:sz w:val="22"/>
              </w:rPr>
              <w:t>A. and Henderson,</w:t>
            </w:r>
            <w:r w:rsidR="009B3294" w:rsidRPr="006D52E3">
              <w:rPr>
                <w:rFonts w:cs="Arial"/>
                <w:sz w:val="22"/>
              </w:rPr>
              <w:t xml:space="preserve"> </w:t>
            </w:r>
            <w:r w:rsidRPr="006D52E3">
              <w:rPr>
                <w:rFonts w:cs="Arial"/>
                <w:sz w:val="22"/>
              </w:rPr>
              <w:t>C.</w:t>
            </w:r>
          </w:p>
          <w:p w14:paraId="25C75B2E" w14:textId="77777777" w:rsidR="008467D8" w:rsidRPr="006D52E3" w:rsidRDefault="008467D8" w:rsidP="006D52E3">
            <w:pPr>
              <w:spacing w:line="360" w:lineRule="auto"/>
              <w:jc w:val="both"/>
              <w:rPr>
                <w:rFonts w:cs="Arial"/>
                <w:sz w:val="22"/>
              </w:rPr>
            </w:pPr>
            <w:r w:rsidRPr="006D52E3">
              <w:rPr>
                <w:rFonts w:cs="Arial"/>
                <w:sz w:val="22"/>
              </w:rPr>
              <w:t>(2025)</w:t>
            </w:r>
          </w:p>
        </w:tc>
        <w:tc>
          <w:tcPr>
            <w:tcW w:w="2254" w:type="dxa"/>
          </w:tcPr>
          <w:p w14:paraId="6C01C275" w14:textId="77777777" w:rsidR="008467D8" w:rsidRPr="006D52E3" w:rsidRDefault="008467D8" w:rsidP="006D52E3">
            <w:pPr>
              <w:spacing w:line="360" w:lineRule="auto"/>
              <w:jc w:val="both"/>
              <w:rPr>
                <w:rFonts w:cs="Arial"/>
                <w:sz w:val="22"/>
              </w:rPr>
            </w:pPr>
            <w:r w:rsidRPr="006D52E3">
              <w:rPr>
                <w:rFonts w:cs="Arial"/>
                <w:sz w:val="22"/>
              </w:rPr>
              <w:t>To examine how occupational roles influence attitudes and stigma towards mental health in the UK workplace.</w:t>
            </w:r>
          </w:p>
        </w:tc>
        <w:tc>
          <w:tcPr>
            <w:tcW w:w="2254" w:type="dxa"/>
          </w:tcPr>
          <w:p w14:paraId="0C20E9F8" w14:textId="58D4B92F" w:rsidR="008467D8" w:rsidRPr="006D52E3" w:rsidRDefault="008467D8" w:rsidP="006D52E3">
            <w:pPr>
              <w:spacing w:line="360" w:lineRule="auto"/>
              <w:jc w:val="both"/>
              <w:rPr>
                <w:rFonts w:cs="Arial"/>
                <w:sz w:val="22"/>
              </w:rPr>
            </w:pPr>
            <w:r w:rsidRPr="006D52E3">
              <w:rPr>
                <w:rFonts w:cs="Arial"/>
                <w:sz w:val="22"/>
              </w:rPr>
              <w:t xml:space="preserve">Quantitative study using logistic and linear regression on </w:t>
            </w:r>
            <w:r w:rsidR="009B3294" w:rsidRPr="006D52E3">
              <w:rPr>
                <w:rFonts w:cs="Arial"/>
                <w:sz w:val="22"/>
              </w:rPr>
              <w:t xml:space="preserve">the </w:t>
            </w:r>
            <w:r w:rsidRPr="006D52E3">
              <w:rPr>
                <w:rFonts w:cs="Arial"/>
                <w:sz w:val="22"/>
              </w:rPr>
              <w:t>British Social Attitudes 2015 survey data.</w:t>
            </w:r>
          </w:p>
          <w:p w14:paraId="1A8DFF0A" w14:textId="520E335F" w:rsidR="008467D8" w:rsidRPr="006D52E3" w:rsidRDefault="008467D8" w:rsidP="006D52E3">
            <w:pPr>
              <w:spacing w:line="360" w:lineRule="auto"/>
              <w:jc w:val="both"/>
              <w:rPr>
                <w:rFonts w:cs="Arial"/>
                <w:sz w:val="22"/>
              </w:rPr>
            </w:pPr>
            <w:r w:rsidRPr="006D52E3">
              <w:rPr>
                <w:rFonts w:cs="Arial"/>
                <w:sz w:val="22"/>
              </w:rPr>
              <w:t>Sample size:3034 participants</w:t>
            </w:r>
          </w:p>
        </w:tc>
        <w:tc>
          <w:tcPr>
            <w:tcW w:w="2254" w:type="dxa"/>
          </w:tcPr>
          <w:p w14:paraId="547DD1E9" w14:textId="77777777" w:rsidR="008467D8" w:rsidRPr="006D52E3" w:rsidRDefault="008467D8" w:rsidP="006D52E3">
            <w:pPr>
              <w:spacing w:line="360" w:lineRule="auto"/>
              <w:jc w:val="both"/>
              <w:rPr>
                <w:rFonts w:cs="Arial"/>
                <w:sz w:val="22"/>
              </w:rPr>
            </w:pPr>
            <w:r w:rsidRPr="006D52E3">
              <w:rPr>
                <w:rFonts w:cs="Arial"/>
                <w:sz w:val="22"/>
              </w:rPr>
              <w:t xml:space="preserve">Workers in lower supervisory and routine roles were less likely to support mental health disclosure or return to work policies, with major differences in stigma </w:t>
            </w:r>
            <w:proofErr w:type="gramStart"/>
            <w:r w:rsidRPr="006D52E3">
              <w:rPr>
                <w:rFonts w:cs="Arial"/>
                <w:sz w:val="22"/>
              </w:rPr>
              <w:t>levels,  but</w:t>
            </w:r>
            <w:proofErr w:type="gramEnd"/>
            <w:r w:rsidRPr="006D52E3">
              <w:rPr>
                <w:rFonts w:cs="Arial"/>
                <w:sz w:val="22"/>
              </w:rPr>
              <w:t xml:space="preserve"> attitudes varied significantly. Highlights the need for tailored mental health policies in smaller organisations.</w:t>
            </w:r>
          </w:p>
        </w:tc>
      </w:tr>
      <w:tr w:rsidR="006D52E3" w:rsidRPr="006D52E3" w14:paraId="4D61F888" w14:textId="77777777" w:rsidTr="008467D8">
        <w:tc>
          <w:tcPr>
            <w:tcW w:w="2254" w:type="dxa"/>
          </w:tcPr>
          <w:p w14:paraId="3F312AFB" w14:textId="4EFA341D" w:rsidR="008467D8" w:rsidRPr="006D52E3" w:rsidRDefault="008467D8" w:rsidP="006D52E3">
            <w:pPr>
              <w:spacing w:line="360" w:lineRule="auto"/>
              <w:jc w:val="both"/>
              <w:rPr>
                <w:rFonts w:cs="Arial"/>
                <w:sz w:val="22"/>
              </w:rPr>
            </w:pPr>
            <w:r w:rsidRPr="006D52E3">
              <w:rPr>
                <w:rFonts w:cs="Arial"/>
                <w:sz w:val="22"/>
              </w:rPr>
              <w:t>2.</w:t>
            </w:r>
            <w:r w:rsidR="009B3294" w:rsidRPr="006D52E3">
              <w:rPr>
                <w:rFonts w:cs="Arial"/>
                <w:sz w:val="22"/>
              </w:rPr>
              <w:t xml:space="preserve"> </w:t>
            </w:r>
            <w:r w:rsidRPr="006D52E3">
              <w:rPr>
                <w:rFonts w:cs="Arial"/>
                <w:sz w:val="22"/>
              </w:rPr>
              <w:t xml:space="preserve">Weatherstone and </w:t>
            </w:r>
            <w:proofErr w:type="gramStart"/>
            <w:r w:rsidRPr="006D52E3">
              <w:rPr>
                <w:rFonts w:cs="Arial"/>
                <w:sz w:val="22"/>
              </w:rPr>
              <w:t>Dodd(</w:t>
            </w:r>
            <w:proofErr w:type="gramEnd"/>
            <w:r w:rsidRPr="006D52E3">
              <w:rPr>
                <w:rFonts w:cs="Arial"/>
                <w:sz w:val="22"/>
              </w:rPr>
              <w:t>2022)</w:t>
            </w:r>
          </w:p>
        </w:tc>
        <w:tc>
          <w:tcPr>
            <w:tcW w:w="2254" w:type="dxa"/>
          </w:tcPr>
          <w:p w14:paraId="5C4ABEDE" w14:textId="2A52B718" w:rsidR="008467D8" w:rsidRPr="006D52E3" w:rsidRDefault="008467D8" w:rsidP="006D52E3">
            <w:pPr>
              <w:spacing w:line="360" w:lineRule="auto"/>
              <w:jc w:val="both"/>
              <w:rPr>
                <w:rFonts w:cs="Arial"/>
                <w:sz w:val="22"/>
              </w:rPr>
            </w:pPr>
            <w:r w:rsidRPr="006D52E3">
              <w:rPr>
                <w:rFonts w:cs="Arial"/>
                <w:sz w:val="22"/>
              </w:rPr>
              <w:t>To understand how mental health professionals in the UK experience and navigate their own mental health challenges at work.</w:t>
            </w:r>
          </w:p>
        </w:tc>
        <w:tc>
          <w:tcPr>
            <w:tcW w:w="2254" w:type="dxa"/>
          </w:tcPr>
          <w:p w14:paraId="0587985D" w14:textId="77777777" w:rsidR="008467D8" w:rsidRPr="006D52E3" w:rsidRDefault="008467D8" w:rsidP="006D52E3">
            <w:pPr>
              <w:spacing w:line="360" w:lineRule="auto"/>
              <w:jc w:val="both"/>
              <w:rPr>
                <w:rFonts w:cs="Arial"/>
                <w:sz w:val="22"/>
              </w:rPr>
            </w:pPr>
            <w:r w:rsidRPr="006D52E3">
              <w:rPr>
                <w:rFonts w:cs="Arial"/>
                <w:sz w:val="22"/>
              </w:rPr>
              <w:t>Mixed-methods study combining a survey of 108 participants and focus groups, with half of the sample working in mental health services.</w:t>
            </w:r>
          </w:p>
          <w:p w14:paraId="3A8922C4" w14:textId="0F483124" w:rsidR="008467D8" w:rsidRPr="006D52E3" w:rsidRDefault="008467D8" w:rsidP="006D52E3">
            <w:pPr>
              <w:spacing w:line="360" w:lineRule="auto"/>
              <w:jc w:val="both"/>
              <w:rPr>
                <w:rFonts w:cs="Arial"/>
                <w:sz w:val="22"/>
              </w:rPr>
            </w:pPr>
            <w:r w:rsidRPr="006D52E3">
              <w:rPr>
                <w:rFonts w:cs="Arial"/>
                <w:sz w:val="22"/>
              </w:rPr>
              <w:t>Sample size:108 participants.</w:t>
            </w:r>
          </w:p>
        </w:tc>
        <w:tc>
          <w:tcPr>
            <w:tcW w:w="2254" w:type="dxa"/>
          </w:tcPr>
          <w:p w14:paraId="3A07840F" w14:textId="7B75A93B" w:rsidR="008467D8" w:rsidRPr="006D52E3" w:rsidRDefault="008467D8" w:rsidP="006D52E3">
            <w:pPr>
              <w:spacing w:line="360" w:lineRule="auto"/>
              <w:jc w:val="both"/>
              <w:rPr>
                <w:rFonts w:cs="Arial"/>
                <w:sz w:val="22"/>
              </w:rPr>
            </w:pPr>
            <w:r w:rsidRPr="006D52E3">
              <w:rPr>
                <w:rFonts w:cs="Arial"/>
                <w:sz w:val="22"/>
              </w:rPr>
              <w:t xml:space="preserve">Mental Health professionals often feel caught between their role as carer and their own well-being. While they generally showed lower stigma, younger male professionals reported more barriers to disclosure.  Many participants described feeling judged or unsupported when </w:t>
            </w:r>
            <w:proofErr w:type="gramStart"/>
            <w:r w:rsidR="00F20B49" w:rsidRPr="006D52E3">
              <w:rPr>
                <w:rFonts w:cs="Arial"/>
                <w:sz w:val="22"/>
              </w:rPr>
              <w:t>opening</w:t>
            </w:r>
            <w:r w:rsidRPr="006D52E3">
              <w:rPr>
                <w:rFonts w:cs="Arial"/>
                <w:sz w:val="22"/>
              </w:rPr>
              <w:t xml:space="preserve"> </w:t>
            </w:r>
            <w:r w:rsidR="009B3294" w:rsidRPr="006D52E3">
              <w:rPr>
                <w:rFonts w:cs="Arial"/>
                <w:sz w:val="22"/>
              </w:rPr>
              <w:t>up</w:t>
            </w:r>
            <w:proofErr w:type="gramEnd"/>
            <w:r w:rsidR="009B3294" w:rsidRPr="006D52E3">
              <w:rPr>
                <w:rFonts w:cs="Arial"/>
                <w:sz w:val="22"/>
              </w:rPr>
              <w:t xml:space="preserve"> </w:t>
            </w:r>
            <w:r w:rsidRPr="006D52E3">
              <w:rPr>
                <w:rFonts w:cs="Arial"/>
                <w:sz w:val="22"/>
              </w:rPr>
              <w:t xml:space="preserve">about their mental health, highlighting the urgent need for a </w:t>
            </w:r>
            <w:r w:rsidRPr="006D52E3">
              <w:rPr>
                <w:rFonts w:cs="Arial"/>
                <w:sz w:val="22"/>
              </w:rPr>
              <w:lastRenderedPageBreak/>
              <w:t>safer, more compassionate workplace culture.</w:t>
            </w:r>
          </w:p>
        </w:tc>
      </w:tr>
      <w:tr w:rsidR="006D52E3" w:rsidRPr="006D52E3" w14:paraId="173089B1" w14:textId="77777777" w:rsidTr="008467D8">
        <w:tc>
          <w:tcPr>
            <w:tcW w:w="2254" w:type="dxa"/>
          </w:tcPr>
          <w:p w14:paraId="42886561" w14:textId="77777777" w:rsidR="008467D8" w:rsidRPr="006D52E3" w:rsidRDefault="008467D8" w:rsidP="006D52E3">
            <w:pPr>
              <w:spacing w:line="360" w:lineRule="auto"/>
              <w:jc w:val="both"/>
              <w:rPr>
                <w:rFonts w:cs="Arial"/>
                <w:sz w:val="22"/>
              </w:rPr>
            </w:pPr>
            <w:r w:rsidRPr="006D52E3">
              <w:rPr>
                <w:rFonts w:cs="Arial"/>
                <w:sz w:val="22"/>
              </w:rPr>
              <w:lastRenderedPageBreak/>
              <w:t>3.</w:t>
            </w:r>
          </w:p>
          <w:p w14:paraId="05A60A44" w14:textId="77777777" w:rsidR="008467D8" w:rsidRPr="006D52E3" w:rsidRDefault="008467D8" w:rsidP="006D52E3">
            <w:pPr>
              <w:spacing w:line="360" w:lineRule="auto"/>
              <w:jc w:val="both"/>
              <w:rPr>
                <w:rFonts w:cs="Arial"/>
                <w:sz w:val="22"/>
              </w:rPr>
            </w:pPr>
            <w:r w:rsidRPr="006D52E3">
              <w:rPr>
                <w:rFonts w:cs="Arial"/>
                <w:sz w:val="22"/>
              </w:rPr>
              <w:t>Fox, J., Gasper, R., and Anghel, R. (2024)</w:t>
            </w:r>
          </w:p>
        </w:tc>
        <w:tc>
          <w:tcPr>
            <w:tcW w:w="2254" w:type="dxa"/>
          </w:tcPr>
          <w:p w14:paraId="4DE485E1" w14:textId="77777777" w:rsidR="008467D8" w:rsidRPr="006D52E3" w:rsidRDefault="008467D8" w:rsidP="006D52E3">
            <w:pPr>
              <w:spacing w:line="360" w:lineRule="auto"/>
              <w:jc w:val="both"/>
              <w:rPr>
                <w:rFonts w:cs="Arial"/>
                <w:sz w:val="22"/>
              </w:rPr>
            </w:pPr>
            <w:r w:rsidRPr="006D52E3">
              <w:rPr>
                <w:rFonts w:cs="Arial"/>
                <w:sz w:val="22"/>
              </w:rPr>
              <w:t xml:space="preserve">To </w:t>
            </w:r>
            <w:bookmarkStart w:id="27" w:name="_Hlk214530356"/>
            <w:r w:rsidRPr="006D52E3">
              <w:rPr>
                <w:rFonts w:cs="Arial"/>
                <w:sz w:val="22"/>
              </w:rPr>
              <w:t>understand how university staff in the UK decide whether to talk about their mental health struggles at work, and what influences that choice.</w:t>
            </w:r>
            <w:bookmarkEnd w:id="27"/>
          </w:p>
        </w:tc>
        <w:tc>
          <w:tcPr>
            <w:tcW w:w="2254" w:type="dxa"/>
          </w:tcPr>
          <w:p w14:paraId="315C0679" w14:textId="77777777" w:rsidR="008467D8" w:rsidRPr="006D52E3" w:rsidRDefault="008467D8" w:rsidP="006D52E3">
            <w:pPr>
              <w:spacing w:line="360" w:lineRule="auto"/>
              <w:jc w:val="both"/>
              <w:rPr>
                <w:rFonts w:cs="Arial"/>
                <w:sz w:val="22"/>
              </w:rPr>
            </w:pPr>
            <w:r w:rsidRPr="006D52E3">
              <w:rPr>
                <w:rFonts w:cs="Arial"/>
                <w:sz w:val="22"/>
              </w:rPr>
              <w:t>A qualitative study based on anonymous online surveys. 31 academics shared their personal experiences through open-ended questions. Researchers used thematic analysis to identify patterns.</w:t>
            </w:r>
          </w:p>
          <w:p w14:paraId="52F0E4E6" w14:textId="236040AF" w:rsidR="008467D8" w:rsidRPr="006D52E3" w:rsidRDefault="008467D8" w:rsidP="006D52E3">
            <w:pPr>
              <w:spacing w:line="360" w:lineRule="auto"/>
              <w:jc w:val="both"/>
              <w:rPr>
                <w:rFonts w:cs="Arial"/>
                <w:sz w:val="22"/>
              </w:rPr>
            </w:pPr>
            <w:r w:rsidRPr="006D52E3">
              <w:rPr>
                <w:rFonts w:cs="Arial"/>
                <w:sz w:val="22"/>
              </w:rPr>
              <w:t xml:space="preserve">Sample size:31 UK-based </w:t>
            </w:r>
            <w:r w:rsidR="009B3294" w:rsidRPr="006D52E3">
              <w:rPr>
                <w:rFonts w:cs="Arial"/>
                <w:sz w:val="22"/>
              </w:rPr>
              <w:t>academics</w:t>
            </w:r>
            <w:r w:rsidR="004D2FD4" w:rsidRPr="006D52E3">
              <w:rPr>
                <w:rFonts w:cs="Arial"/>
                <w:sz w:val="22"/>
              </w:rPr>
              <w:t>.</w:t>
            </w:r>
          </w:p>
        </w:tc>
        <w:tc>
          <w:tcPr>
            <w:tcW w:w="2254" w:type="dxa"/>
          </w:tcPr>
          <w:p w14:paraId="7E8A356D" w14:textId="77777777" w:rsidR="008467D8" w:rsidRPr="006D52E3" w:rsidRDefault="008467D8" w:rsidP="006D52E3">
            <w:pPr>
              <w:spacing w:line="360" w:lineRule="auto"/>
              <w:jc w:val="both"/>
              <w:rPr>
                <w:rFonts w:cs="Arial"/>
                <w:sz w:val="22"/>
              </w:rPr>
            </w:pPr>
            <w:r w:rsidRPr="006D52E3">
              <w:rPr>
                <w:rFonts w:cs="Arial"/>
                <w:sz w:val="22"/>
              </w:rPr>
              <w:t>Many academics felt torn between their professional image and personal well-being. Fear of being judged or facing career setbacks often stopped them from speaking up. Supportive managers made a big difference. The study highlights the need for universities to create safer, more understanding environments and consistent mental health support.</w:t>
            </w:r>
          </w:p>
        </w:tc>
      </w:tr>
    </w:tbl>
    <w:p w14:paraId="581C99BF" w14:textId="4B40565F" w:rsidR="00B87E75" w:rsidRPr="006D52E3" w:rsidRDefault="00B87E75" w:rsidP="006D52E3">
      <w:pPr>
        <w:pStyle w:val="Heading5"/>
        <w:spacing w:line="360" w:lineRule="auto"/>
        <w:jc w:val="both"/>
        <w:rPr>
          <w:rFonts w:ascii="Arial" w:hAnsi="Arial" w:cs="Arial"/>
          <w:color w:val="auto"/>
          <w:sz w:val="22"/>
        </w:rPr>
      </w:pPr>
    </w:p>
    <w:p w14:paraId="388D0E7D" w14:textId="77777777" w:rsidR="008655F3" w:rsidRPr="006D52E3" w:rsidRDefault="008655F3" w:rsidP="006D52E3">
      <w:pPr>
        <w:spacing w:line="360" w:lineRule="auto"/>
        <w:jc w:val="both"/>
        <w:rPr>
          <w:rFonts w:cs="Arial"/>
          <w:sz w:val="22"/>
        </w:rPr>
      </w:pPr>
    </w:p>
    <w:p w14:paraId="542AE841" w14:textId="77777777" w:rsidR="00F0198E" w:rsidRPr="006D52E3" w:rsidRDefault="00F0198E" w:rsidP="006D52E3">
      <w:pPr>
        <w:spacing w:line="360" w:lineRule="auto"/>
        <w:jc w:val="both"/>
        <w:rPr>
          <w:rFonts w:cs="Arial"/>
          <w:sz w:val="22"/>
        </w:rPr>
      </w:pPr>
    </w:p>
    <w:tbl>
      <w:tblPr>
        <w:tblStyle w:val="TableGrid"/>
        <w:tblW w:w="0" w:type="auto"/>
        <w:tblLook w:val="04A0" w:firstRow="1" w:lastRow="0" w:firstColumn="1" w:lastColumn="0" w:noHBand="0" w:noVBand="1"/>
      </w:tblPr>
      <w:tblGrid>
        <w:gridCol w:w="1555"/>
        <w:gridCol w:w="7461"/>
      </w:tblGrid>
      <w:tr w:rsidR="006D52E3" w:rsidRPr="006D52E3" w14:paraId="277A4BD2" w14:textId="77777777" w:rsidTr="00D163E4">
        <w:tc>
          <w:tcPr>
            <w:tcW w:w="9016" w:type="dxa"/>
            <w:gridSpan w:val="2"/>
          </w:tcPr>
          <w:p w14:paraId="14E4C585" w14:textId="5D233CCA" w:rsidR="00F20B49" w:rsidRPr="006D52E3" w:rsidRDefault="00F20B49" w:rsidP="006D52E3">
            <w:pPr>
              <w:pStyle w:val="Heading2"/>
              <w:jc w:val="both"/>
              <w:rPr>
                <w:rFonts w:cs="Arial"/>
                <w:color w:val="auto"/>
                <w:sz w:val="22"/>
                <w:szCs w:val="22"/>
              </w:rPr>
            </w:pPr>
            <w:bookmarkStart w:id="28" w:name="_Toc215140051"/>
            <w:r w:rsidRPr="006D52E3">
              <w:rPr>
                <w:rFonts w:cs="Arial"/>
                <w:color w:val="auto"/>
                <w:sz w:val="22"/>
                <w:szCs w:val="22"/>
              </w:rPr>
              <w:t>Themes</w:t>
            </w:r>
            <w:bookmarkEnd w:id="28"/>
          </w:p>
        </w:tc>
      </w:tr>
      <w:tr w:rsidR="006D52E3" w:rsidRPr="006D52E3" w14:paraId="4220754A" w14:textId="77777777" w:rsidTr="00F20B49">
        <w:tc>
          <w:tcPr>
            <w:tcW w:w="1555" w:type="dxa"/>
          </w:tcPr>
          <w:p w14:paraId="19BB7C3A" w14:textId="543D0003" w:rsidR="00F0198E" w:rsidRPr="006D52E3" w:rsidRDefault="00F0198E" w:rsidP="006D52E3">
            <w:pPr>
              <w:spacing w:line="360" w:lineRule="auto"/>
              <w:jc w:val="both"/>
              <w:rPr>
                <w:rFonts w:cs="Arial"/>
                <w:sz w:val="22"/>
              </w:rPr>
            </w:pPr>
            <w:bookmarkStart w:id="29" w:name="_Hlk213931474"/>
            <w:r w:rsidRPr="006D52E3">
              <w:rPr>
                <w:rFonts w:cs="Arial"/>
                <w:sz w:val="22"/>
              </w:rPr>
              <w:t>Theme1</w:t>
            </w:r>
          </w:p>
        </w:tc>
        <w:tc>
          <w:tcPr>
            <w:tcW w:w="7461" w:type="dxa"/>
          </w:tcPr>
          <w:p w14:paraId="489974BE" w14:textId="297D2528" w:rsidR="00F0198E" w:rsidRPr="006D52E3" w:rsidRDefault="00F0198E" w:rsidP="006D52E3">
            <w:pPr>
              <w:spacing w:line="360" w:lineRule="auto"/>
              <w:jc w:val="both"/>
              <w:rPr>
                <w:rFonts w:cs="Arial"/>
                <w:sz w:val="22"/>
              </w:rPr>
            </w:pPr>
            <w:r w:rsidRPr="006D52E3">
              <w:rPr>
                <w:rFonts w:cs="Arial"/>
                <w:sz w:val="22"/>
              </w:rPr>
              <w:t xml:space="preserve">Stigma and </w:t>
            </w:r>
            <w:r w:rsidR="00F20B49" w:rsidRPr="006D52E3">
              <w:rPr>
                <w:rFonts w:cs="Arial"/>
                <w:sz w:val="22"/>
              </w:rPr>
              <w:t>fear of judgment</w:t>
            </w:r>
          </w:p>
        </w:tc>
      </w:tr>
      <w:tr w:rsidR="00DD7729" w:rsidRPr="006D52E3" w14:paraId="0C90A1A9" w14:textId="77777777" w:rsidTr="00F20B49">
        <w:tc>
          <w:tcPr>
            <w:tcW w:w="1555" w:type="dxa"/>
          </w:tcPr>
          <w:p w14:paraId="724070AC" w14:textId="5CFF4659" w:rsidR="00F0198E" w:rsidRPr="006D52E3" w:rsidRDefault="00F0198E" w:rsidP="006D52E3">
            <w:pPr>
              <w:spacing w:line="360" w:lineRule="auto"/>
              <w:jc w:val="both"/>
              <w:rPr>
                <w:rFonts w:cs="Arial"/>
                <w:sz w:val="22"/>
              </w:rPr>
            </w:pPr>
            <w:bookmarkStart w:id="30" w:name="_Hlk213931559"/>
            <w:bookmarkEnd w:id="29"/>
            <w:r w:rsidRPr="006D52E3">
              <w:rPr>
                <w:rFonts w:cs="Arial"/>
                <w:sz w:val="22"/>
              </w:rPr>
              <w:t>Theme2</w:t>
            </w:r>
          </w:p>
        </w:tc>
        <w:tc>
          <w:tcPr>
            <w:tcW w:w="7461" w:type="dxa"/>
          </w:tcPr>
          <w:p w14:paraId="2D2F59B1" w14:textId="3778CAF8" w:rsidR="00F0198E" w:rsidRPr="006D52E3" w:rsidRDefault="00DE4DB7" w:rsidP="006D52E3">
            <w:pPr>
              <w:spacing w:line="360" w:lineRule="auto"/>
              <w:jc w:val="both"/>
              <w:rPr>
                <w:rFonts w:cs="Arial"/>
                <w:sz w:val="22"/>
              </w:rPr>
            </w:pPr>
            <w:r w:rsidRPr="006D52E3">
              <w:rPr>
                <w:rFonts w:cs="Arial"/>
                <w:sz w:val="22"/>
              </w:rPr>
              <w:t>Supportive management and inclusive space</w:t>
            </w:r>
          </w:p>
        </w:tc>
      </w:tr>
    </w:tbl>
    <w:p w14:paraId="4EB1DFD2" w14:textId="77777777" w:rsidR="00F0198E" w:rsidRPr="006D52E3" w:rsidRDefault="00F0198E" w:rsidP="006D52E3">
      <w:pPr>
        <w:spacing w:line="360" w:lineRule="auto"/>
        <w:jc w:val="both"/>
        <w:rPr>
          <w:rFonts w:cs="Arial"/>
          <w:sz w:val="22"/>
        </w:rPr>
      </w:pPr>
    </w:p>
    <w:bookmarkEnd w:id="30"/>
    <w:p w14:paraId="24558E17" w14:textId="77777777" w:rsidR="004D2FD4" w:rsidRPr="006D52E3" w:rsidRDefault="004D2FD4" w:rsidP="006D52E3">
      <w:pPr>
        <w:pStyle w:val="Heading3"/>
        <w:spacing w:line="360" w:lineRule="auto"/>
        <w:jc w:val="both"/>
        <w:rPr>
          <w:rFonts w:cs="Arial"/>
          <w:sz w:val="22"/>
          <w:szCs w:val="22"/>
        </w:rPr>
      </w:pPr>
    </w:p>
    <w:p w14:paraId="0B23C560" w14:textId="5ED8868B" w:rsidR="00F0198E" w:rsidRPr="006D52E3" w:rsidRDefault="009B3294" w:rsidP="006D52E3">
      <w:pPr>
        <w:pStyle w:val="Heading3"/>
        <w:spacing w:line="360" w:lineRule="auto"/>
        <w:jc w:val="both"/>
        <w:rPr>
          <w:rFonts w:cs="Arial"/>
          <w:sz w:val="22"/>
          <w:szCs w:val="22"/>
        </w:rPr>
      </w:pPr>
      <w:bookmarkStart w:id="31" w:name="_Toc215140052"/>
      <w:r w:rsidRPr="006D52E3">
        <w:rPr>
          <w:rFonts w:cs="Arial"/>
          <w:sz w:val="22"/>
          <w:szCs w:val="22"/>
        </w:rPr>
        <w:t>Theme 1:</w:t>
      </w:r>
      <w:r w:rsidR="00F20B49" w:rsidRPr="006D52E3">
        <w:rPr>
          <w:rFonts w:cs="Arial"/>
          <w:sz w:val="22"/>
          <w:szCs w:val="22"/>
        </w:rPr>
        <w:t xml:space="preserve"> Stigma and fear of judgment</w:t>
      </w:r>
      <w:bookmarkEnd w:id="31"/>
    </w:p>
    <w:p w14:paraId="33F098DE" w14:textId="2AD188EF" w:rsidR="004D2E1B" w:rsidRPr="006D52E3" w:rsidRDefault="009B3294" w:rsidP="006D52E3">
      <w:pPr>
        <w:spacing w:line="360" w:lineRule="auto"/>
        <w:jc w:val="both"/>
        <w:rPr>
          <w:rFonts w:cs="Arial"/>
          <w:sz w:val="22"/>
        </w:rPr>
      </w:pPr>
      <w:r w:rsidRPr="006D52E3">
        <w:rPr>
          <w:rFonts w:cs="Arial"/>
          <w:sz w:val="22"/>
        </w:rPr>
        <w:t xml:space="preserve">According to Weatherstone and Dodd (2022), who investigated how UK mental health practitioners manage their own mental health at work, with 108 participants, they discovered </w:t>
      </w:r>
      <w:r w:rsidRPr="006D52E3">
        <w:rPr>
          <w:rFonts w:cs="Arial"/>
          <w:sz w:val="22"/>
        </w:rPr>
        <w:lastRenderedPageBreak/>
        <w:t>that stigma was a key barrier to disclosure, particularly among younger male staff. Many people felt condemned or unsupported, and they battled with the emotional tension between their caring responsibilities and their personal well-being.</w:t>
      </w:r>
    </w:p>
    <w:p w14:paraId="102CC298" w14:textId="06733E7D" w:rsidR="008C2641" w:rsidRPr="006D52E3" w:rsidRDefault="008C2641" w:rsidP="006D52E3">
      <w:pPr>
        <w:spacing w:line="360" w:lineRule="auto"/>
        <w:jc w:val="both"/>
        <w:rPr>
          <w:rFonts w:cs="Arial"/>
          <w:sz w:val="22"/>
        </w:rPr>
      </w:pPr>
      <w:r w:rsidRPr="006D52E3">
        <w:rPr>
          <w:rFonts w:cs="Arial"/>
          <w:sz w:val="22"/>
        </w:rPr>
        <w:t>Fox and colleagues (2024) took a close look at 31 UK academics and found something interesting. Many of them kept quiet about their struggles because they worried people would judge them or it might hurt their careers. There was this constant push and pull</w:t>
      </w:r>
      <w:r w:rsidRPr="006D52E3">
        <w:rPr>
          <w:rFonts w:cs="Arial"/>
          <w:sz w:val="22"/>
        </w:rPr>
        <w:t xml:space="preserve">; </w:t>
      </w:r>
      <w:r w:rsidRPr="006D52E3">
        <w:rPr>
          <w:rFonts w:cs="Arial"/>
          <w:sz w:val="22"/>
        </w:rPr>
        <w:t xml:space="preserve">they wanted to look professional, but at the same time, they were dealing with real mental health issues. Cheung and team (2025) noticed something similar with British workers. Stigma still gets in the way, making it tough for people to talk openly about mental health. They also pointed out that people in lower-skilled jobs were even less likely to </w:t>
      </w:r>
      <w:proofErr w:type="gramStart"/>
      <w:r w:rsidRPr="006D52E3">
        <w:rPr>
          <w:rFonts w:cs="Arial"/>
          <w:sz w:val="22"/>
        </w:rPr>
        <w:t xml:space="preserve">open </w:t>
      </w:r>
      <w:r w:rsidR="006301C5">
        <w:rPr>
          <w:rFonts w:cs="Arial"/>
          <w:sz w:val="22"/>
        </w:rPr>
        <w:t>up</w:t>
      </w:r>
      <w:proofErr w:type="gramEnd"/>
      <w:r w:rsidR="006301C5">
        <w:rPr>
          <w:rFonts w:cs="Arial"/>
          <w:sz w:val="22"/>
        </w:rPr>
        <w:t xml:space="preserve"> </w:t>
      </w:r>
      <w:r w:rsidRPr="006D52E3">
        <w:rPr>
          <w:rFonts w:cs="Arial"/>
          <w:sz w:val="22"/>
        </w:rPr>
        <w:t>about what they</w:t>
      </w:r>
      <w:r w:rsidRPr="006D52E3">
        <w:rPr>
          <w:rFonts w:cs="Arial"/>
          <w:sz w:val="22"/>
        </w:rPr>
        <w:t xml:space="preserve"> are</w:t>
      </w:r>
      <w:r w:rsidRPr="006D52E3">
        <w:rPr>
          <w:rFonts w:cs="Arial"/>
          <w:sz w:val="22"/>
        </w:rPr>
        <w:t xml:space="preserve"> going through.</w:t>
      </w:r>
    </w:p>
    <w:p w14:paraId="7CEEB91F" w14:textId="77777777" w:rsidR="008C2641" w:rsidRPr="006D52E3" w:rsidRDefault="008C2641" w:rsidP="006D52E3">
      <w:pPr>
        <w:spacing w:line="360" w:lineRule="auto"/>
        <w:jc w:val="both"/>
        <w:rPr>
          <w:rFonts w:cs="Arial"/>
          <w:sz w:val="22"/>
        </w:rPr>
      </w:pPr>
    </w:p>
    <w:p w14:paraId="1E06A78A" w14:textId="522C1618" w:rsidR="00F20B49" w:rsidRPr="006D52E3" w:rsidRDefault="004D2FD4" w:rsidP="006D52E3">
      <w:pPr>
        <w:pStyle w:val="Heading3"/>
        <w:spacing w:line="360" w:lineRule="auto"/>
        <w:jc w:val="both"/>
        <w:rPr>
          <w:rFonts w:cs="Arial"/>
          <w:sz w:val="22"/>
          <w:szCs w:val="22"/>
        </w:rPr>
      </w:pPr>
      <w:bookmarkStart w:id="32" w:name="_Toc215140053"/>
      <w:r w:rsidRPr="006D52E3">
        <w:rPr>
          <w:rFonts w:cs="Arial"/>
          <w:sz w:val="22"/>
          <w:szCs w:val="22"/>
        </w:rPr>
        <w:t>T</w:t>
      </w:r>
      <w:r w:rsidR="00F20B49" w:rsidRPr="006D52E3">
        <w:rPr>
          <w:rFonts w:cs="Arial"/>
          <w:sz w:val="22"/>
          <w:szCs w:val="22"/>
        </w:rPr>
        <w:t>heme2</w:t>
      </w:r>
      <w:bookmarkEnd w:id="32"/>
      <w:r w:rsidR="00F20B49" w:rsidRPr="006D52E3">
        <w:rPr>
          <w:rFonts w:cs="Arial"/>
          <w:sz w:val="22"/>
          <w:szCs w:val="22"/>
        </w:rPr>
        <w:tab/>
      </w:r>
    </w:p>
    <w:p w14:paraId="4907749F" w14:textId="37B689D4" w:rsidR="009E25C0" w:rsidRPr="006D52E3" w:rsidRDefault="00F20B49" w:rsidP="006D52E3">
      <w:pPr>
        <w:spacing w:line="360" w:lineRule="auto"/>
        <w:jc w:val="both"/>
        <w:rPr>
          <w:rFonts w:cs="Arial"/>
          <w:sz w:val="22"/>
        </w:rPr>
      </w:pPr>
      <w:r w:rsidRPr="006D52E3">
        <w:rPr>
          <w:rFonts w:cs="Arial"/>
          <w:sz w:val="22"/>
        </w:rPr>
        <w:t xml:space="preserve">Fox et.al.  </w:t>
      </w:r>
      <w:r w:rsidR="004D2FD4" w:rsidRPr="006D52E3">
        <w:rPr>
          <w:rFonts w:cs="Arial"/>
          <w:sz w:val="22"/>
        </w:rPr>
        <w:t xml:space="preserve">2024 </w:t>
      </w:r>
      <w:r w:rsidR="008D6FDB" w:rsidRPr="006D52E3">
        <w:rPr>
          <w:rFonts w:cs="Arial"/>
          <w:sz w:val="22"/>
        </w:rPr>
        <w:t xml:space="preserve">conducted </w:t>
      </w:r>
      <w:r w:rsidR="006301C5" w:rsidRPr="006D52E3">
        <w:rPr>
          <w:rFonts w:cs="Arial"/>
          <w:sz w:val="22"/>
        </w:rPr>
        <w:t>research</w:t>
      </w:r>
      <w:r w:rsidR="008D6FDB" w:rsidRPr="006D52E3">
        <w:rPr>
          <w:rFonts w:cs="Arial"/>
          <w:sz w:val="22"/>
        </w:rPr>
        <w:t xml:space="preserve"> </w:t>
      </w:r>
      <w:r w:rsidR="009E25C0" w:rsidRPr="006D52E3">
        <w:rPr>
          <w:rFonts w:cs="Arial"/>
          <w:sz w:val="22"/>
        </w:rPr>
        <w:t>to understand factors leading university staff in the UK to decide whether to talk about their mental health struggles at work, and what influences that choice. They</w:t>
      </w:r>
      <w:r w:rsidR="009B3294" w:rsidRPr="006D52E3">
        <w:rPr>
          <w:rFonts w:cs="Arial"/>
          <w:sz w:val="22"/>
        </w:rPr>
        <w:t xml:space="preserve"> show</w:t>
      </w:r>
      <w:r w:rsidRPr="006D52E3">
        <w:rPr>
          <w:rFonts w:cs="Arial"/>
          <w:sz w:val="22"/>
        </w:rPr>
        <w:t xml:space="preserve"> that </w:t>
      </w:r>
      <w:r w:rsidR="004D2FD4" w:rsidRPr="006D52E3">
        <w:rPr>
          <w:rFonts w:cs="Arial"/>
          <w:sz w:val="22"/>
        </w:rPr>
        <w:t>mental</w:t>
      </w:r>
      <w:r w:rsidRPr="006D52E3">
        <w:rPr>
          <w:rFonts w:cs="Arial"/>
          <w:sz w:val="22"/>
        </w:rPr>
        <w:t xml:space="preserve"> health </w:t>
      </w:r>
      <w:r w:rsidR="004D2FD4" w:rsidRPr="006D52E3">
        <w:rPr>
          <w:rFonts w:cs="Arial"/>
          <w:sz w:val="22"/>
        </w:rPr>
        <w:t>disclosure</w:t>
      </w:r>
      <w:r w:rsidRPr="006D52E3">
        <w:rPr>
          <w:rFonts w:cs="Arial"/>
          <w:sz w:val="22"/>
        </w:rPr>
        <w:t xml:space="preserve"> was associated </w:t>
      </w:r>
      <w:r w:rsidR="009B3294" w:rsidRPr="006D52E3">
        <w:rPr>
          <w:rFonts w:cs="Arial"/>
          <w:sz w:val="22"/>
        </w:rPr>
        <w:t>with</w:t>
      </w:r>
      <w:r w:rsidRPr="006D52E3">
        <w:rPr>
          <w:rFonts w:cs="Arial"/>
          <w:sz w:val="22"/>
        </w:rPr>
        <w:t xml:space="preserve"> conflict </w:t>
      </w:r>
      <w:r w:rsidR="009B3294" w:rsidRPr="006D52E3">
        <w:rPr>
          <w:rFonts w:cs="Arial"/>
          <w:sz w:val="22"/>
        </w:rPr>
        <w:t>with</w:t>
      </w:r>
      <w:r w:rsidRPr="006D52E3">
        <w:rPr>
          <w:rFonts w:cs="Arial"/>
          <w:sz w:val="22"/>
        </w:rPr>
        <w:t xml:space="preserve"> professional </w:t>
      </w:r>
      <w:r w:rsidR="004D2FD4" w:rsidRPr="006D52E3">
        <w:rPr>
          <w:rFonts w:cs="Arial"/>
          <w:sz w:val="22"/>
        </w:rPr>
        <w:t>identity</w:t>
      </w:r>
      <w:r w:rsidR="009E25C0" w:rsidRPr="006D52E3">
        <w:rPr>
          <w:rFonts w:cs="Arial"/>
          <w:sz w:val="22"/>
        </w:rPr>
        <w:t xml:space="preserve">, and </w:t>
      </w:r>
      <w:r w:rsidR="00DE4DB7" w:rsidRPr="006D52E3">
        <w:rPr>
          <w:rFonts w:cs="Arial"/>
          <w:sz w:val="22"/>
        </w:rPr>
        <w:t xml:space="preserve">mental health disclosure </w:t>
      </w:r>
      <w:r w:rsidR="004D2FD4" w:rsidRPr="006D52E3">
        <w:rPr>
          <w:rFonts w:cs="Arial"/>
          <w:sz w:val="22"/>
        </w:rPr>
        <w:t>made a big difference</w:t>
      </w:r>
      <w:r w:rsidR="009E25C0" w:rsidRPr="006D52E3">
        <w:rPr>
          <w:rFonts w:cs="Arial"/>
          <w:sz w:val="22"/>
        </w:rPr>
        <w:t xml:space="preserve"> in the perception of their professional identity</w:t>
      </w:r>
      <w:r w:rsidR="004D2FD4" w:rsidRPr="006D52E3">
        <w:rPr>
          <w:rFonts w:cs="Arial"/>
          <w:sz w:val="22"/>
        </w:rPr>
        <w:t>. The study highlights the need for universities to create safer, more understanding environments and consistent mental health support.</w:t>
      </w:r>
      <w:r w:rsidR="009E25C0" w:rsidRPr="006D52E3">
        <w:rPr>
          <w:rFonts w:cs="Arial"/>
          <w:sz w:val="22"/>
        </w:rPr>
        <w:t xml:space="preserve"> </w:t>
      </w:r>
    </w:p>
    <w:p w14:paraId="2749CABE" w14:textId="50B0DB71" w:rsidR="00355993" w:rsidRPr="006D52E3" w:rsidRDefault="009E25C0" w:rsidP="006D52E3">
      <w:pPr>
        <w:spacing w:line="360" w:lineRule="auto"/>
        <w:jc w:val="both"/>
        <w:rPr>
          <w:rFonts w:cs="Arial"/>
          <w:sz w:val="22"/>
        </w:rPr>
      </w:pPr>
      <w:r w:rsidRPr="006D52E3">
        <w:rPr>
          <w:rFonts w:cs="Arial"/>
          <w:sz w:val="22"/>
        </w:rPr>
        <w:t>Overall, all three</w:t>
      </w:r>
      <w:r w:rsidR="00F0198E" w:rsidRPr="006D52E3">
        <w:rPr>
          <w:rFonts w:cs="Arial"/>
          <w:sz w:val="22"/>
        </w:rPr>
        <w:t xml:space="preserve"> studies highlight how stigma and professional identity conflict shape decisions around mental health disclosure, despite differences in sample size and professional context.</w:t>
      </w:r>
    </w:p>
    <w:p w14:paraId="0B299BAA" w14:textId="77777777" w:rsidR="00B87E75" w:rsidRPr="006D52E3" w:rsidRDefault="00B87E75" w:rsidP="006D52E3">
      <w:pPr>
        <w:pStyle w:val="Heading2"/>
        <w:jc w:val="both"/>
        <w:rPr>
          <w:rFonts w:cs="Arial"/>
          <w:color w:val="auto"/>
          <w:sz w:val="22"/>
          <w:szCs w:val="22"/>
        </w:rPr>
      </w:pPr>
    </w:p>
    <w:p w14:paraId="5C43254D" w14:textId="4706FDC9" w:rsidR="00B87E75" w:rsidRPr="006D52E3" w:rsidRDefault="008655F3" w:rsidP="006D52E3">
      <w:pPr>
        <w:pStyle w:val="Heading2"/>
        <w:jc w:val="both"/>
        <w:rPr>
          <w:rFonts w:cs="Arial"/>
          <w:color w:val="auto"/>
          <w:sz w:val="22"/>
          <w:szCs w:val="22"/>
        </w:rPr>
      </w:pPr>
      <w:bookmarkStart w:id="33" w:name="_Toc215133456"/>
      <w:bookmarkStart w:id="34" w:name="_Toc215140054"/>
      <w:r w:rsidRPr="006D52E3">
        <w:rPr>
          <w:rFonts w:cs="Arial"/>
          <w:color w:val="auto"/>
          <w:sz w:val="22"/>
          <w:szCs w:val="22"/>
        </w:rPr>
        <w:t>5</w:t>
      </w:r>
      <w:r w:rsidR="00B87E75" w:rsidRPr="006D52E3">
        <w:rPr>
          <w:rFonts w:cs="Arial"/>
          <w:color w:val="auto"/>
          <w:sz w:val="22"/>
          <w:szCs w:val="22"/>
        </w:rPr>
        <w:t xml:space="preserve"> Discussion</w:t>
      </w:r>
      <w:bookmarkEnd w:id="33"/>
      <w:bookmarkEnd w:id="34"/>
    </w:p>
    <w:p w14:paraId="2A41455A" w14:textId="1E49AE17" w:rsidR="00D163E4" w:rsidRPr="006D52E3" w:rsidRDefault="00BA58D9" w:rsidP="006D52E3">
      <w:pPr>
        <w:spacing w:line="360" w:lineRule="auto"/>
        <w:jc w:val="both"/>
        <w:rPr>
          <w:rFonts w:cs="Arial"/>
          <w:sz w:val="22"/>
        </w:rPr>
      </w:pPr>
      <w:bookmarkStart w:id="35" w:name="_Hlk214527095"/>
      <w:r w:rsidRPr="006D52E3">
        <w:rPr>
          <w:rFonts w:cs="Arial"/>
          <w:sz w:val="22"/>
        </w:rPr>
        <w:t xml:space="preserve">Does disclosure </w:t>
      </w:r>
      <w:r w:rsidRPr="006D52E3">
        <w:rPr>
          <w:rFonts w:cs="Arial"/>
          <w:sz w:val="22"/>
        </w:rPr>
        <w:t>help</w:t>
      </w:r>
      <w:r w:rsidRPr="006D52E3">
        <w:rPr>
          <w:rFonts w:cs="Arial"/>
          <w:sz w:val="22"/>
        </w:rPr>
        <w:t xml:space="preserve"> people in UK workplaces, or does it hold them back? The evidence points both ways. On the plus side, telling managers about a condition can open the door to workplace adjustments, early help, and less burnout</w:t>
      </w:r>
      <w:r w:rsidRPr="006D52E3">
        <w:rPr>
          <w:rFonts w:cs="Arial"/>
          <w:sz w:val="22"/>
        </w:rPr>
        <w:t xml:space="preserve">, </w:t>
      </w:r>
      <w:r w:rsidRPr="006D52E3">
        <w:rPr>
          <w:rFonts w:cs="Arial"/>
          <w:sz w:val="22"/>
        </w:rPr>
        <w:t xml:space="preserve">especially when management </w:t>
      </w:r>
      <w:r w:rsidRPr="006D52E3">
        <w:rPr>
          <w:rFonts w:cs="Arial"/>
          <w:sz w:val="22"/>
        </w:rPr>
        <w:t>steps</w:t>
      </w:r>
      <w:r w:rsidRPr="006D52E3">
        <w:rPr>
          <w:rFonts w:cs="Arial"/>
          <w:sz w:val="22"/>
        </w:rPr>
        <w:t xml:space="preserve"> up. But the flip side is hard to ignore. </w:t>
      </w:r>
      <w:r w:rsidRPr="006D52E3">
        <w:rPr>
          <w:rFonts w:cs="Arial"/>
          <w:sz w:val="22"/>
        </w:rPr>
        <w:t>Stigma</w:t>
      </w:r>
      <w:r w:rsidRPr="006D52E3">
        <w:rPr>
          <w:rFonts w:cs="Arial"/>
          <w:sz w:val="22"/>
        </w:rPr>
        <w:t xml:space="preserve"> worries about identity, and real career risks often tip the scales against disclosure. Cheung et al. (2025), Weatherstone and Dodd (2022), and Fox et al. (2024) all land in the same ballpark: yes, openness brings support and reasonable adjustments, but fear of backlash keeps many people quiet. Stigma and fear of judgment stand out as the biggest hurdles. Cheung et al. (2025) dig deeper and show that your job itself shapes how you think about mental health</w:t>
      </w:r>
      <w:r w:rsidRPr="006D52E3">
        <w:rPr>
          <w:rFonts w:cs="Arial"/>
          <w:sz w:val="22"/>
        </w:rPr>
        <w:t xml:space="preserve">; </w:t>
      </w:r>
      <w:r w:rsidRPr="006D52E3">
        <w:rPr>
          <w:rFonts w:cs="Arial"/>
          <w:sz w:val="22"/>
        </w:rPr>
        <w:t xml:space="preserve">some professions are just more closed-minded, </w:t>
      </w:r>
      <w:r w:rsidRPr="006D52E3">
        <w:rPr>
          <w:rFonts w:cs="Arial"/>
          <w:sz w:val="22"/>
        </w:rPr>
        <w:lastRenderedPageBreak/>
        <w:t>with higher stigma and more reluctance to speak up. So, workplace culture and your role do</w:t>
      </w:r>
      <w:r w:rsidRPr="006D52E3">
        <w:rPr>
          <w:rFonts w:cs="Arial"/>
          <w:sz w:val="22"/>
        </w:rPr>
        <w:t xml:space="preserve"> not</w:t>
      </w:r>
      <w:r w:rsidRPr="006D52E3">
        <w:rPr>
          <w:rFonts w:cs="Arial"/>
          <w:sz w:val="22"/>
        </w:rPr>
        <w:t xml:space="preserve"> just influence your </w:t>
      </w:r>
      <w:r w:rsidRPr="006D52E3">
        <w:rPr>
          <w:rFonts w:cs="Arial"/>
          <w:sz w:val="22"/>
        </w:rPr>
        <w:t>decision; they</w:t>
      </w:r>
      <w:r w:rsidRPr="006D52E3">
        <w:rPr>
          <w:rFonts w:cs="Arial"/>
          <w:sz w:val="22"/>
        </w:rPr>
        <w:t xml:space="preserve"> practically define it.</w:t>
      </w:r>
      <w:r w:rsidR="00711A75" w:rsidRPr="006D52E3">
        <w:rPr>
          <w:rFonts w:cs="Arial"/>
          <w:sz w:val="22"/>
        </w:rPr>
        <w:t xml:space="preserve"> Disclosure among UK academics is influenced by organisational pressures and workplace culture. Fox et al. (2024) found that identity conflict, heavy workloads, and concerns about confidentiality discourage openness, with systemic factors such as performance metrics and insecure contracts heightening fears of reputational or career damage. The broader social environment is therefore vital, as managerial support and organisational culture heavily impact disclosure choices. NHS Employers (2024) similarly stresses that clear policies, supportive initiatives, and trained managers create psychologically safe environments, whereas unsupportive management or doubts about confidentiality diminish the chances of disclosure.</w:t>
      </w:r>
    </w:p>
    <w:p w14:paraId="4C4C7C14" w14:textId="2E639E31" w:rsidR="004D2E1B" w:rsidRPr="006D52E3" w:rsidRDefault="00711A75" w:rsidP="006D52E3">
      <w:pPr>
        <w:spacing w:line="360" w:lineRule="auto"/>
        <w:jc w:val="both"/>
        <w:rPr>
          <w:rFonts w:cs="Arial"/>
          <w:sz w:val="22"/>
        </w:rPr>
      </w:pPr>
      <w:r w:rsidRPr="006D52E3">
        <w:rPr>
          <w:rFonts w:cs="Arial"/>
          <w:sz w:val="22"/>
        </w:rPr>
        <w:t xml:space="preserve">Peer culture also matters. Inclusive and collegial teams can normalise </w:t>
      </w:r>
      <w:r w:rsidR="004D2E1B" w:rsidRPr="006D52E3">
        <w:rPr>
          <w:rFonts w:cs="Arial"/>
          <w:sz w:val="22"/>
        </w:rPr>
        <w:t>help-seeking</w:t>
      </w:r>
      <w:r w:rsidRPr="006D52E3">
        <w:rPr>
          <w:rFonts w:cs="Arial"/>
          <w:sz w:val="22"/>
        </w:rPr>
        <w:t xml:space="preserve">, while competitive or </w:t>
      </w:r>
      <w:r w:rsidR="004D2E1B" w:rsidRPr="006D52E3">
        <w:rPr>
          <w:rFonts w:cs="Arial"/>
          <w:sz w:val="22"/>
        </w:rPr>
        <w:t>high-pressure</w:t>
      </w:r>
      <w:r w:rsidRPr="006D52E3">
        <w:rPr>
          <w:rFonts w:cs="Arial"/>
          <w:sz w:val="22"/>
        </w:rPr>
        <w:t xml:space="preserve"> environments heighten reputational risks. For instance, another research by Brohan et al.’s systematic review (2012) found that stigma and discrimination remain central barriers, with disclosure decisions often shaped by anticipated reactions from colleagues and managers. </w:t>
      </w:r>
      <w:r w:rsidR="004D2E1B" w:rsidRPr="006D52E3">
        <w:rPr>
          <w:rFonts w:cs="Arial"/>
          <w:sz w:val="22"/>
        </w:rPr>
        <w:t>Recent evidence shows that organisational climate plays a big role in whether people feel safe or at risk when disclosing information. Supportive management and inclusive cultures make disclosure easier. Fox et al. (2024) argue that real change takes more than just encouragement</w:t>
      </w:r>
      <w:r w:rsidR="004D2E1B" w:rsidRPr="006D52E3">
        <w:rPr>
          <w:rFonts w:cs="Arial"/>
          <w:sz w:val="22"/>
        </w:rPr>
        <w:t xml:space="preserve">; </w:t>
      </w:r>
      <w:r w:rsidR="004D2E1B" w:rsidRPr="006D52E3">
        <w:rPr>
          <w:rFonts w:cs="Arial"/>
          <w:sz w:val="22"/>
        </w:rPr>
        <w:t>it means tackling bigger issues like workload and job security to lower the personal costs of speaking up.</w:t>
      </w:r>
    </w:p>
    <w:p w14:paraId="774F1694" w14:textId="1A217B30" w:rsidR="00D163E4" w:rsidRPr="006D52E3" w:rsidRDefault="00711A75" w:rsidP="006D52E3">
      <w:pPr>
        <w:spacing w:line="360" w:lineRule="auto"/>
        <w:jc w:val="both"/>
        <w:rPr>
          <w:rFonts w:cs="Arial"/>
          <w:sz w:val="22"/>
        </w:rPr>
      </w:pPr>
      <w:r w:rsidRPr="006D52E3">
        <w:rPr>
          <w:rFonts w:cs="Arial"/>
          <w:sz w:val="22"/>
        </w:rPr>
        <w:t xml:space="preserve">These </w:t>
      </w:r>
      <w:r w:rsidR="004D2E1B" w:rsidRPr="006D52E3">
        <w:rPr>
          <w:rFonts w:cs="Arial"/>
          <w:sz w:val="22"/>
        </w:rPr>
        <w:t>conclusions</w:t>
      </w:r>
      <w:r w:rsidRPr="006D52E3">
        <w:rPr>
          <w:rFonts w:cs="Arial"/>
          <w:sz w:val="22"/>
        </w:rPr>
        <w:t xml:space="preserve"> </w:t>
      </w:r>
      <w:r w:rsidR="004D2E1B" w:rsidRPr="006D52E3">
        <w:rPr>
          <w:rFonts w:cs="Arial"/>
          <w:sz w:val="22"/>
        </w:rPr>
        <w:t>indicate</w:t>
      </w:r>
      <w:r w:rsidRPr="006D52E3">
        <w:rPr>
          <w:rFonts w:cs="Arial"/>
          <w:sz w:val="22"/>
        </w:rPr>
        <w:t xml:space="preserve"> that disclosure is most </w:t>
      </w:r>
      <w:r w:rsidR="004D2E1B" w:rsidRPr="006D52E3">
        <w:rPr>
          <w:rFonts w:cs="Arial"/>
          <w:sz w:val="22"/>
        </w:rPr>
        <w:t>favourable</w:t>
      </w:r>
      <w:r w:rsidRPr="006D52E3">
        <w:rPr>
          <w:rFonts w:cs="Arial"/>
          <w:sz w:val="22"/>
        </w:rPr>
        <w:t xml:space="preserve"> when organisations </w:t>
      </w:r>
      <w:r w:rsidR="004D2E1B" w:rsidRPr="006D52E3">
        <w:rPr>
          <w:rFonts w:cs="Arial"/>
          <w:sz w:val="22"/>
        </w:rPr>
        <w:t>dynamically</w:t>
      </w:r>
      <w:r w:rsidRPr="006D52E3">
        <w:rPr>
          <w:rFonts w:cs="Arial"/>
          <w:sz w:val="22"/>
        </w:rPr>
        <w:t xml:space="preserve"> </w:t>
      </w:r>
      <w:r w:rsidR="004D2E1B" w:rsidRPr="006D52E3">
        <w:rPr>
          <w:rFonts w:cs="Arial"/>
          <w:sz w:val="22"/>
        </w:rPr>
        <w:t>support</w:t>
      </w:r>
      <w:r w:rsidRPr="006D52E3">
        <w:rPr>
          <w:rFonts w:cs="Arial"/>
          <w:sz w:val="22"/>
        </w:rPr>
        <w:t xml:space="preserve"> </w:t>
      </w:r>
      <w:r w:rsidR="004D2E1B" w:rsidRPr="006D52E3">
        <w:rPr>
          <w:rFonts w:cs="Arial"/>
          <w:sz w:val="22"/>
        </w:rPr>
        <w:t>mental</w:t>
      </w:r>
      <w:r w:rsidRPr="006D52E3">
        <w:rPr>
          <w:rFonts w:cs="Arial"/>
          <w:sz w:val="22"/>
        </w:rPr>
        <w:t xml:space="preserve"> safety and inclusivity. NHS Employers (2024) offers </w:t>
      </w:r>
      <w:r w:rsidR="004D2E1B" w:rsidRPr="006D52E3">
        <w:rPr>
          <w:rFonts w:cs="Arial"/>
          <w:sz w:val="22"/>
        </w:rPr>
        <w:t>reasonable</w:t>
      </w:r>
      <w:r w:rsidRPr="006D52E3">
        <w:rPr>
          <w:rFonts w:cs="Arial"/>
          <w:sz w:val="22"/>
        </w:rPr>
        <w:t xml:space="preserve"> </w:t>
      </w:r>
      <w:r w:rsidR="004D2E1B" w:rsidRPr="006D52E3">
        <w:rPr>
          <w:rFonts w:cs="Arial"/>
          <w:sz w:val="22"/>
        </w:rPr>
        <w:t>regulation</w:t>
      </w:r>
      <w:r w:rsidRPr="006D52E3">
        <w:rPr>
          <w:rFonts w:cs="Arial"/>
          <w:sz w:val="22"/>
        </w:rPr>
        <w:t xml:space="preserve"> on </w:t>
      </w:r>
      <w:r w:rsidR="006301C5">
        <w:rPr>
          <w:rFonts w:cs="Arial"/>
          <w:sz w:val="22"/>
        </w:rPr>
        <w:t>developing</w:t>
      </w:r>
      <w:r w:rsidRPr="006D52E3">
        <w:rPr>
          <w:rFonts w:cs="Arial"/>
          <w:sz w:val="22"/>
        </w:rPr>
        <w:t xml:space="preserve"> </w:t>
      </w:r>
      <w:r w:rsidR="004D2E1B" w:rsidRPr="006D52E3">
        <w:rPr>
          <w:rFonts w:cs="Arial"/>
          <w:sz w:val="22"/>
        </w:rPr>
        <w:t>helpful</w:t>
      </w:r>
      <w:r w:rsidRPr="006D52E3">
        <w:rPr>
          <w:rFonts w:cs="Arial"/>
          <w:sz w:val="22"/>
        </w:rPr>
        <w:t xml:space="preserve"> </w:t>
      </w:r>
      <w:r w:rsidR="004D2E1B" w:rsidRPr="006D52E3">
        <w:rPr>
          <w:rFonts w:cs="Arial"/>
          <w:sz w:val="22"/>
        </w:rPr>
        <w:t>surroundings</w:t>
      </w:r>
      <w:r w:rsidRPr="006D52E3">
        <w:rPr>
          <w:rFonts w:cs="Arial"/>
          <w:sz w:val="22"/>
        </w:rPr>
        <w:t xml:space="preserve">, </w:t>
      </w:r>
      <w:r w:rsidR="006301C5">
        <w:rPr>
          <w:rFonts w:cs="Arial"/>
          <w:sz w:val="22"/>
        </w:rPr>
        <w:t>emphasising</w:t>
      </w:r>
      <w:r w:rsidRPr="006D52E3">
        <w:rPr>
          <w:rFonts w:cs="Arial"/>
          <w:sz w:val="22"/>
        </w:rPr>
        <w:t xml:space="preserve"> the importance of </w:t>
      </w:r>
      <w:r w:rsidR="006301C5">
        <w:rPr>
          <w:rFonts w:cs="Arial"/>
          <w:sz w:val="22"/>
        </w:rPr>
        <w:t xml:space="preserve">the </w:t>
      </w:r>
      <w:r w:rsidR="004D2E1B" w:rsidRPr="006D52E3">
        <w:rPr>
          <w:rFonts w:cs="Arial"/>
          <w:sz w:val="22"/>
        </w:rPr>
        <w:t>organisation</w:t>
      </w:r>
      <w:r w:rsidRPr="006D52E3">
        <w:rPr>
          <w:rFonts w:cs="Arial"/>
          <w:sz w:val="22"/>
        </w:rPr>
        <w:t xml:space="preserve"> in </w:t>
      </w:r>
      <w:r w:rsidR="004D2E1B" w:rsidRPr="006D52E3">
        <w:rPr>
          <w:rFonts w:cs="Arial"/>
          <w:sz w:val="22"/>
        </w:rPr>
        <w:t>permitting</w:t>
      </w:r>
      <w:r w:rsidRPr="006D52E3">
        <w:rPr>
          <w:rFonts w:cs="Arial"/>
          <w:sz w:val="22"/>
        </w:rPr>
        <w:t xml:space="preserve"> safe disclosure.</w:t>
      </w:r>
    </w:p>
    <w:p w14:paraId="30222659" w14:textId="77777777" w:rsidR="00D163E4" w:rsidRPr="006D52E3" w:rsidRDefault="00D163E4" w:rsidP="006D52E3">
      <w:pPr>
        <w:pStyle w:val="Heading2"/>
        <w:jc w:val="both"/>
        <w:rPr>
          <w:rFonts w:cs="Arial"/>
          <w:color w:val="auto"/>
          <w:sz w:val="22"/>
          <w:szCs w:val="22"/>
        </w:rPr>
      </w:pPr>
      <w:bookmarkStart w:id="36" w:name="_Toc215140055"/>
      <w:r w:rsidRPr="006D52E3">
        <w:rPr>
          <w:rFonts w:cs="Arial"/>
          <w:color w:val="auto"/>
          <w:sz w:val="22"/>
          <w:szCs w:val="22"/>
        </w:rPr>
        <w:t>Importance for Health and Social Care (HSC)</w:t>
      </w:r>
      <w:bookmarkEnd w:id="36"/>
    </w:p>
    <w:p w14:paraId="131194F8" w14:textId="6D11358E" w:rsidR="00711A75" w:rsidRPr="006D52E3" w:rsidRDefault="00711A75" w:rsidP="006D52E3">
      <w:pPr>
        <w:spacing w:line="360" w:lineRule="auto"/>
        <w:jc w:val="both"/>
        <w:rPr>
          <w:rFonts w:cs="Arial"/>
          <w:sz w:val="22"/>
        </w:rPr>
      </w:pPr>
      <w:r w:rsidRPr="006D52E3">
        <w:rPr>
          <w:rFonts w:cs="Arial"/>
          <w:sz w:val="22"/>
        </w:rPr>
        <w:t>The Equality Act 2010 sets out clear protections for people with mental health conditions, treating many of these as disabilities and requiring employers to make reasonable adjustments to prevent discrimination (</w:t>
      </w:r>
      <w:proofErr w:type="spellStart"/>
      <w:r w:rsidRPr="006D52E3">
        <w:rPr>
          <w:rFonts w:cs="Arial"/>
          <w:sz w:val="22"/>
        </w:rPr>
        <w:t>Acas</w:t>
      </w:r>
      <w:proofErr w:type="spellEnd"/>
      <w:r w:rsidRPr="006D52E3">
        <w:rPr>
          <w:rFonts w:cs="Arial"/>
          <w:sz w:val="22"/>
        </w:rPr>
        <w:t>, 2022). Still, many employees do</w:t>
      </w:r>
      <w:r w:rsidRPr="006D52E3">
        <w:rPr>
          <w:rFonts w:cs="Arial"/>
          <w:sz w:val="22"/>
        </w:rPr>
        <w:t xml:space="preserve"> not</w:t>
      </w:r>
      <w:r w:rsidRPr="006D52E3">
        <w:rPr>
          <w:rFonts w:cs="Arial"/>
          <w:sz w:val="22"/>
        </w:rPr>
        <w:t xml:space="preserve"> know their rights. Some are</w:t>
      </w:r>
      <w:r w:rsidRPr="006D52E3">
        <w:rPr>
          <w:rFonts w:cs="Arial"/>
          <w:sz w:val="22"/>
        </w:rPr>
        <w:t xml:space="preserve"> not </w:t>
      </w:r>
      <w:r w:rsidRPr="006D52E3">
        <w:rPr>
          <w:rFonts w:cs="Arial"/>
          <w:sz w:val="22"/>
        </w:rPr>
        <w:t xml:space="preserve">even sure their condition counts under the Act, or they don’t trust employers to follow through with real changes. This gap between what the law promises and what </w:t>
      </w:r>
      <w:r w:rsidRPr="006D52E3">
        <w:rPr>
          <w:rFonts w:cs="Arial"/>
          <w:sz w:val="22"/>
        </w:rPr>
        <w:t>happens</w:t>
      </w:r>
      <w:r w:rsidRPr="006D52E3">
        <w:rPr>
          <w:rFonts w:cs="Arial"/>
          <w:sz w:val="22"/>
        </w:rPr>
        <w:t xml:space="preserve"> at work leaves people uncertain, and that uncertainty keeps many from speaking up about their mental health</w:t>
      </w:r>
      <w:r w:rsidRPr="006D52E3">
        <w:rPr>
          <w:rFonts w:cs="Arial"/>
          <w:sz w:val="22"/>
        </w:rPr>
        <w:t xml:space="preserve">, </w:t>
      </w:r>
      <w:r w:rsidRPr="006D52E3">
        <w:rPr>
          <w:rFonts w:cs="Arial"/>
          <w:sz w:val="22"/>
        </w:rPr>
        <w:t xml:space="preserve">even though the law is supposed to protect them. Richard et al. (2025) </w:t>
      </w:r>
      <w:r w:rsidRPr="006D52E3">
        <w:rPr>
          <w:rFonts w:cs="Arial"/>
          <w:sz w:val="22"/>
        </w:rPr>
        <w:t>indicate</w:t>
      </w:r>
      <w:r w:rsidRPr="006D52E3">
        <w:rPr>
          <w:rFonts w:cs="Arial"/>
          <w:sz w:val="22"/>
        </w:rPr>
        <w:t xml:space="preserve"> that whether disclosure helps or hurts really depends on the workplace culture. In supportive organisations, people see positive outcomes. In places where the culture is cold or indifferent, people stay quiet.</w:t>
      </w:r>
    </w:p>
    <w:p w14:paraId="20A1BA47" w14:textId="01513136" w:rsidR="00711A75" w:rsidRPr="006D52E3" w:rsidRDefault="00711A75" w:rsidP="006D52E3">
      <w:pPr>
        <w:spacing w:line="360" w:lineRule="auto"/>
        <w:jc w:val="both"/>
        <w:rPr>
          <w:rFonts w:cs="Arial"/>
          <w:sz w:val="22"/>
        </w:rPr>
      </w:pPr>
      <w:r w:rsidRPr="006D52E3">
        <w:rPr>
          <w:rFonts w:cs="Arial"/>
          <w:sz w:val="22"/>
        </w:rPr>
        <w:lastRenderedPageBreak/>
        <w:t xml:space="preserve">Culture matters, plain and simple. The NHS (2023) highlights that when managers encourage openness and genuinely care about staff wellbeing, employees become more willing to disclose mental health conditions. CIPD (2022) backs this up, saying HR and leadership need to show real commitment if they want to build trust. Without leaders who </w:t>
      </w:r>
      <w:r w:rsidRPr="006D52E3">
        <w:rPr>
          <w:rFonts w:cs="Arial"/>
          <w:sz w:val="22"/>
        </w:rPr>
        <w:t>lead</w:t>
      </w:r>
      <w:r w:rsidRPr="006D52E3">
        <w:rPr>
          <w:rFonts w:cs="Arial"/>
          <w:sz w:val="22"/>
        </w:rPr>
        <w:t xml:space="preserve"> and policies that get put into practice, all the rules and guidelines end up just for show. The evidence is clear: supportive managers and inclusive environments turn disclosure into something </w:t>
      </w:r>
      <w:r w:rsidRPr="006D52E3">
        <w:rPr>
          <w:rFonts w:cs="Arial"/>
          <w:sz w:val="22"/>
        </w:rPr>
        <w:t>positive, a</w:t>
      </w:r>
      <w:r w:rsidRPr="006D52E3">
        <w:rPr>
          <w:rFonts w:cs="Arial"/>
          <w:sz w:val="22"/>
        </w:rPr>
        <w:t xml:space="preserve"> way to improve wellbeing and boost productivity. But when workplaces do</w:t>
      </w:r>
      <w:r w:rsidRPr="006D52E3">
        <w:rPr>
          <w:rFonts w:cs="Arial"/>
          <w:sz w:val="22"/>
        </w:rPr>
        <w:t xml:space="preserve"> not</w:t>
      </w:r>
      <w:r w:rsidRPr="006D52E3">
        <w:rPr>
          <w:rFonts w:cs="Arial"/>
          <w:sz w:val="22"/>
        </w:rPr>
        <w:t xml:space="preserve"> support their people, stigma sticks around, silence grows, and both individuals and organisations lose out.</w:t>
      </w:r>
    </w:p>
    <w:p w14:paraId="31B76A60" w14:textId="1A71DF04" w:rsidR="002C0D9D" w:rsidRPr="006D52E3" w:rsidRDefault="002C0D9D" w:rsidP="006D52E3">
      <w:pPr>
        <w:spacing w:line="360" w:lineRule="auto"/>
        <w:jc w:val="both"/>
        <w:rPr>
          <w:rFonts w:cs="Arial"/>
          <w:sz w:val="22"/>
        </w:rPr>
      </w:pPr>
      <w:r w:rsidRPr="006D52E3">
        <w:rPr>
          <w:rFonts w:cs="Arial"/>
          <w:sz w:val="22"/>
        </w:rPr>
        <w:t>Cheung et al. (2025) found that what people do for work shapes how they think about mental health. Some jobs come with more stigma, and people in those roles hesitate to talk about their struggles. Weatherstone and Dodd (2022) point out something similar among mental health professionals. Even they often hide their own problems, worried that others will see them as less capable or even hypocritical. Fox et al. (2024) dig into the academic world and see plenty of identity conflict, overwhelming workloads, and worries about keeping things confidential. The pressure ramps up because of things like performance metrics and unstable contracts, so people fear for their reputations. Brohan et al. (2012) make it clea</w:t>
      </w:r>
      <w:r w:rsidRPr="006D52E3">
        <w:rPr>
          <w:rFonts w:cs="Arial"/>
          <w:sz w:val="22"/>
        </w:rPr>
        <w:t xml:space="preserve">r, </w:t>
      </w:r>
      <w:r w:rsidRPr="006D52E3">
        <w:rPr>
          <w:rFonts w:cs="Arial"/>
          <w:sz w:val="22"/>
        </w:rPr>
        <w:t xml:space="preserve">what coworkers and managers might say or do </w:t>
      </w:r>
      <w:r w:rsidRPr="006D52E3">
        <w:rPr>
          <w:rFonts w:cs="Arial"/>
          <w:sz w:val="22"/>
        </w:rPr>
        <w:t>keeps</w:t>
      </w:r>
      <w:r w:rsidRPr="006D52E3">
        <w:rPr>
          <w:rFonts w:cs="Arial"/>
          <w:sz w:val="22"/>
        </w:rPr>
        <w:t xml:space="preserve"> many from speaking up. </w:t>
      </w:r>
      <w:r w:rsidRPr="006D52E3">
        <w:rPr>
          <w:rFonts w:cs="Arial"/>
          <w:sz w:val="22"/>
        </w:rPr>
        <w:t>All</w:t>
      </w:r>
      <w:r w:rsidRPr="006D52E3">
        <w:rPr>
          <w:rFonts w:cs="Arial"/>
          <w:sz w:val="22"/>
        </w:rPr>
        <w:t xml:space="preserve"> this underlines just how much workplace culture really matters</w:t>
      </w:r>
      <w:r w:rsidR="006301C5">
        <w:rPr>
          <w:rFonts w:cs="Arial"/>
          <w:sz w:val="22"/>
        </w:rPr>
        <w:t>.</w:t>
      </w:r>
    </w:p>
    <w:p w14:paraId="7AB1A342" w14:textId="3A01CE21" w:rsidR="002C0D9D" w:rsidRPr="006D52E3" w:rsidRDefault="002C0D9D" w:rsidP="006D52E3">
      <w:pPr>
        <w:spacing w:line="360" w:lineRule="auto"/>
        <w:jc w:val="both"/>
        <w:rPr>
          <w:rFonts w:cs="Arial"/>
          <w:sz w:val="22"/>
        </w:rPr>
      </w:pPr>
      <w:r w:rsidRPr="006D52E3">
        <w:rPr>
          <w:rFonts w:cs="Arial"/>
          <w:sz w:val="22"/>
        </w:rPr>
        <w:t xml:space="preserve">Recent research digs even deeper into this topic. </w:t>
      </w:r>
      <w:proofErr w:type="spellStart"/>
      <w:r w:rsidRPr="006D52E3">
        <w:rPr>
          <w:rFonts w:cs="Arial"/>
          <w:sz w:val="22"/>
        </w:rPr>
        <w:t>Lyubykh</w:t>
      </w:r>
      <w:proofErr w:type="spellEnd"/>
      <w:r w:rsidRPr="006D52E3">
        <w:rPr>
          <w:rFonts w:cs="Arial"/>
          <w:sz w:val="22"/>
        </w:rPr>
        <w:t xml:space="preserve"> et al. (2025) found that when </w:t>
      </w:r>
      <w:r w:rsidRPr="006D52E3">
        <w:rPr>
          <w:rFonts w:cs="Arial"/>
          <w:sz w:val="22"/>
        </w:rPr>
        <w:t>organisations</w:t>
      </w:r>
      <w:r w:rsidRPr="006D52E3">
        <w:rPr>
          <w:rFonts w:cs="Arial"/>
          <w:sz w:val="22"/>
        </w:rPr>
        <w:t xml:space="preserve"> step up with clear policies, train their managers well, and </w:t>
      </w:r>
      <w:r w:rsidRPr="006D52E3">
        <w:rPr>
          <w:rFonts w:cs="Arial"/>
          <w:sz w:val="22"/>
        </w:rPr>
        <w:t>show</w:t>
      </w:r>
      <w:r w:rsidRPr="006D52E3">
        <w:rPr>
          <w:rFonts w:cs="Arial"/>
          <w:sz w:val="22"/>
        </w:rPr>
        <w:t xml:space="preserve"> they care about wellbeing, people who disclose mental health issues often see real </w:t>
      </w:r>
      <w:r w:rsidRPr="006D52E3">
        <w:rPr>
          <w:rFonts w:cs="Arial"/>
          <w:sz w:val="22"/>
        </w:rPr>
        <w:t>benefits, like</w:t>
      </w:r>
      <w:r w:rsidRPr="006D52E3">
        <w:rPr>
          <w:rFonts w:cs="Arial"/>
          <w:sz w:val="22"/>
        </w:rPr>
        <w:t xml:space="preserve"> better job performance and sticking around longer. Fox et al. (2024) back this up from another angle, saying we need big-picture changes to cut down on the personal risks that come with disclosure. On the other hand, </w:t>
      </w:r>
      <w:proofErr w:type="spellStart"/>
      <w:r w:rsidRPr="006D52E3">
        <w:rPr>
          <w:rFonts w:cs="Arial"/>
          <w:sz w:val="22"/>
        </w:rPr>
        <w:t>Elraz</w:t>
      </w:r>
      <w:proofErr w:type="spellEnd"/>
      <w:r w:rsidRPr="006D52E3">
        <w:rPr>
          <w:rFonts w:cs="Arial"/>
          <w:sz w:val="22"/>
        </w:rPr>
        <w:t xml:space="preserve"> (2018) looks at stigma and how it seeps into the way people see themselves and talk about mental illness. Employees tend to absorb these negative stories, which pushes them to stay quiet and creates inner conflict. Weatherstone and Dodd (2022) pick up this thread too, pointing out that stigma does</w:t>
      </w:r>
      <w:r w:rsidRPr="006D52E3">
        <w:rPr>
          <w:rFonts w:cs="Arial"/>
          <w:sz w:val="22"/>
        </w:rPr>
        <w:t xml:space="preserve"> not</w:t>
      </w:r>
      <w:r w:rsidRPr="006D52E3">
        <w:rPr>
          <w:rFonts w:cs="Arial"/>
          <w:sz w:val="22"/>
        </w:rPr>
        <w:t xml:space="preserve"> just come from others at work</w:t>
      </w:r>
      <w:r w:rsidRPr="006D52E3">
        <w:rPr>
          <w:rFonts w:cs="Arial"/>
          <w:sz w:val="22"/>
        </w:rPr>
        <w:t xml:space="preserve">, but </w:t>
      </w:r>
      <w:r w:rsidRPr="006D52E3">
        <w:rPr>
          <w:rFonts w:cs="Arial"/>
          <w:sz w:val="22"/>
        </w:rPr>
        <w:t>messes with people’s own self-perception.</w:t>
      </w:r>
      <w:r w:rsidRPr="006D52E3">
        <w:rPr>
          <w:rFonts w:cs="Arial"/>
          <w:sz w:val="22"/>
        </w:rPr>
        <w:t xml:space="preserve"> Put</w:t>
      </w:r>
      <w:r w:rsidRPr="006D52E3">
        <w:rPr>
          <w:rFonts w:cs="Arial"/>
          <w:sz w:val="22"/>
        </w:rPr>
        <w:t xml:space="preserve"> simply, these studies show that organisational culture, strong support from managers, and identity expectations all play a part in whether people choose to disclose. When organisations </w:t>
      </w:r>
      <w:r w:rsidR="006301C5" w:rsidRPr="006D52E3">
        <w:rPr>
          <w:rFonts w:cs="Arial"/>
          <w:sz w:val="22"/>
        </w:rPr>
        <w:t>build</w:t>
      </w:r>
      <w:r w:rsidRPr="006D52E3">
        <w:rPr>
          <w:rFonts w:cs="Arial"/>
          <w:sz w:val="22"/>
        </w:rPr>
        <w:t xml:space="preserve"> psychological safety into daily </w:t>
      </w:r>
      <w:r w:rsidRPr="006D52E3">
        <w:rPr>
          <w:rFonts w:cs="Arial"/>
          <w:sz w:val="22"/>
        </w:rPr>
        <w:t>routines and</w:t>
      </w:r>
      <w:r w:rsidRPr="006D52E3">
        <w:rPr>
          <w:rFonts w:cs="Arial"/>
          <w:sz w:val="22"/>
        </w:rPr>
        <w:t xml:space="preserve"> push back against the habits that keep people </w:t>
      </w:r>
      <w:r w:rsidRPr="006D52E3">
        <w:rPr>
          <w:rFonts w:cs="Arial"/>
          <w:sz w:val="22"/>
        </w:rPr>
        <w:t>quiet, disclosure</w:t>
      </w:r>
      <w:r w:rsidRPr="006D52E3">
        <w:rPr>
          <w:rFonts w:cs="Arial"/>
          <w:sz w:val="22"/>
        </w:rPr>
        <w:t xml:space="preserve"> really helps. It boosts wellbeing and makes the whole organisation more resilient. Without those changes, disclosure stays risky, and its benefits never fully reach people or the organisation.</w:t>
      </w:r>
    </w:p>
    <w:p w14:paraId="5F3E583C" w14:textId="77777777" w:rsidR="00D163E4" w:rsidRPr="006D52E3" w:rsidRDefault="00D163E4" w:rsidP="006D52E3">
      <w:pPr>
        <w:pStyle w:val="Heading2"/>
        <w:jc w:val="both"/>
        <w:rPr>
          <w:rFonts w:cs="Arial"/>
          <w:color w:val="auto"/>
          <w:sz w:val="22"/>
          <w:szCs w:val="22"/>
        </w:rPr>
      </w:pPr>
      <w:bookmarkStart w:id="37" w:name="_Toc215140056"/>
      <w:r w:rsidRPr="006D52E3">
        <w:rPr>
          <w:rFonts w:cs="Arial"/>
          <w:color w:val="auto"/>
          <w:sz w:val="22"/>
          <w:szCs w:val="22"/>
        </w:rPr>
        <w:lastRenderedPageBreak/>
        <w:t>Limitations of the Research</w:t>
      </w:r>
      <w:bookmarkEnd w:id="37"/>
    </w:p>
    <w:p w14:paraId="24E8C273" w14:textId="29F8D4B5" w:rsidR="00D163E4" w:rsidRPr="006D52E3" w:rsidRDefault="00D163E4" w:rsidP="006D52E3">
      <w:pPr>
        <w:spacing w:line="360" w:lineRule="auto"/>
        <w:jc w:val="both"/>
        <w:rPr>
          <w:rFonts w:cs="Arial"/>
          <w:sz w:val="22"/>
        </w:rPr>
      </w:pPr>
      <w:r w:rsidRPr="006D52E3">
        <w:rPr>
          <w:rFonts w:cs="Arial"/>
          <w:sz w:val="22"/>
        </w:rPr>
        <w:t>S</w:t>
      </w:r>
      <w:r w:rsidR="00762D81" w:rsidRPr="006D52E3">
        <w:rPr>
          <w:rFonts w:cs="Arial"/>
          <w:sz w:val="22"/>
        </w:rPr>
        <w:t>ome</w:t>
      </w:r>
      <w:r w:rsidRPr="006D52E3">
        <w:rPr>
          <w:rFonts w:cs="Arial"/>
          <w:sz w:val="22"/>
        </w:rPr>
        <w:t xml:space="preserve"> limitations must be acknowledged. </w:t>
      </w:r>
      <w:r w:rsidR="00244B37" w:rsidRPr="006D52E3">
        <w:rPr>
          <w:rFonts w:cs="Arial"/>
          <w:sz w:val="22"/>
        </w:rPr>
        <w:t xml:space="preserve">The main limitation of this study is the secondary research approach, which limits the researcher’s first-hand insight into the topic. The small sample size used in this study might also undermine the generalizability of the findings.  </w:t>
      </w:r>
    </w:p>
    <w:p w14:paraId="53740443" w14:textId="77777777" w:rsidR="008655F3" w:rsidRPr="006D52E3" w:rsidRDefault="008655F3" w:rsidP="006D52E3">
      <w:pPr>
        <w:spacing w:line="360" w:lineRule="auto"/>
        <w:jc w:val="both"/>
        <w:rPr>
          <w:rFonts w:cs="Arial"/>
          <w:sz w:val="22"/>
        </w:rPr>
      </w:pPr>
    </w:p>
    <w:p w14:paraId="6DBC958B" w14:textId="7D765EA1" w:rsidR="00CD33A8" w:rsidRPr="006D52E3" w:rsidRDefault="008655F3" w:rsidP="006D52E3">
      <w:pPr>
        <w:pStyle w:val="Heading1"/>
        <w:jc w:val="both"/>
        <w:rPr>
          <w:color w:val="auto"/>
          <w:sz w:val="22"/>
        </w:rPr>
      </w:pPr>
      <w:bookmarkStart w:id="38" w:name="_Toc215133457"/>
      <w:bookmarkStart w:id="39" w:name="_Toc215140057"/>
      <w:bookmarkEnd w:id="35"/>
      <w:r w:rsidRPr="006D52E3">
        <w:rPr>
          <w:color w:val="auto"/>
          <w:sz w:val="22"/>
        </w:rPr>
        <w:t>6</w:t>
      </w:r>
      <w:r w:rsidR="00B87E75" w:rsidRPr="006D52E3">
        <w:rPr>
          <w:color w:val="auto"/>
          <w:sz w:val="22"/>
        </w:rPr>
        <w:t>. Conclusion</w:t>
      </w:r>
      <w:r w:rsidR="00CD33A8" w:rsidRPr="006D52E3">
        <w:rPr>
          <w:color w:val="auto"/>
          <w:sz w:val="22"/>
        </w:rPr>
        <w:t xml:space="preserve"> and Recommendations.</w:t>
      </w:r>
      <w:bookmarkEnd w:id="38"/>
      <w:bookmarkEnd w:id="39"/>
    </w:p>
    <w:p w14:paraId="05E5C606" w14:textId="7E3065C9" w:rsidR="00CC527D" w:rsidRPr="006D52E3" w:rsidRDefault="00CC527D" w:rsidP="006D52E3">
      <w:pPr>
        <w:spacing w:line="360" w:lineRule="auto"/>
        <w:jc w:val="both"/>
        <w:rPr>
          <w:rFonts w:cs="Arial"/>
          <w:sz w:val="22"/>
        </w:rPr>
      </w:pPr>
    </w:p>
    <w:p w14:paraId="1B44A2DF" w14:textId="131BEE81" w:rsidR="00CC527D" w:rsidRPr="006D52E3" w:rsidRDefault="00CC527D" w:rsidP="006D52E3">
      <w:pPr>
        <w:spacing w:line="360" w:lineRule="auto"/>
        <w:jc w:val="both"/>
        <w:rPr>
          <w:rFonts w:cs="Arial"/>
          <w:sz w:val="22"/>
        </w:rPr>
      </w:pPr>
      <w:r w:rsidRPr="006D52E3">
        <w:rPr>
          <w:rFonts w:cs="Arial"/>
          <w:sz w:val="22"/>
        </w:rPr>
        <w:t xml:space="preserve">To conclude, the disclosure of mental health difficulties in UK workplaces is shaped by two main themes: stigma and fear of judgement, and supportive management and inclusive organisational culture. While disclosure can bring clear benefits, such as access to reasonable adjustments, early intervention, and improved </w:t>
      </w:r>
      <w:r w:rsidR="00DE4A4C" w:rsidRPr="006D52E3">
        <w:rPr>
          <w:rFonts w:cs="Arial"/>
          <w:sz w:val="22"/>
        </w:rPr>
        <w:t>well-being</w:t>
      </w:r>
      <w:r w:rsidRPr="006D52E3">
        <w:rPr>
          <w:rFonts w:cs="Arial"/>
          <w:sz w:val="22"/>
        </w:rPr>
        <w:t>, these are often undermined by stigma and unsupportive workplace cultures.</w:t>
      </w:r>
    </w:p>
    <w:p w14:paraId="40937BDC" w14:textId="564402FF" w:rsidR="00BF51D1" w:rsidRPr="006D52E3" w:rsidRDefault="00BF51D1" w:rsidP="006D52E3">
      <w:pPr>
        <w:spacing w:line="360" w:lineRule="auto"/>
        <w:jc w:val="both"/>
        <w:rPr>
          <w:rFonts w:cs="Arial"/>
          <w:sz w:val="22"/>
        </w:rPr>
      </w:pPr>
      <w:r w:rsidRPr="006D52E3">
        <w:rPr>
          <w:rFonts w:cs="Arial"/>
          <w:sz w:val="22"/>
        </w:rPr>
        <w:t>Several UK studies make it clear: deciding whether to disclose mental health struggles at work is</w:t>
      </w:r>
      <w:r w:rsidRPr="006D52E3">
        <w:rPr>
          <w:rFonts w:cs="Arial"/>
          <w:sz w:val="22"/>
        </w:rPr>
        <w:t xml:space="preserve"> </w:t>
      </w:r>
      <w:r w:rsidR="00DE4A4C" w:rsidRPr="006D52E3">
        <w:rPr>
          <w:rFonts w:cs="Arial"/>
          <w:sz w:val="22"/>
        </w:rPr>
        <w:t>not simple</w:t>
      </w:r>
      <w:r w:rsidRPr="006D52E3">
        <w:rPr>
          <w:rFonts w:cs="Arial"/>
          <w:sz w:val="22"/>
        </w:rPr>
        <w:t xml:space="preserve">. Your job, your sense of professional identity, and how much support you get from managers all matter. Take employees in roles where everyone expects you to be </w:t>
      </w:r>
      <w:r w:rsidRPr="006D52E3">
        <w:rPr>
          <w:rFonts w:cs="Arial"/>
          <w:sz w:val="22"/>
        </w:rPr>
        <w:t>tough</w:t>
      </w:r>
      <w:r w:rsidR="00DE4A4C" w:rsidRPr="006D52E3">
        <w:rPr>
          <w:rFonts w:cs="Arial"/>
          <w:sz w:val="22"/>
        </w:rPr>
        <w:t>,</w:t>
      </w:r>
      <w:r w:rsidRPr="006D52E3">
        <w:rPr>
          <w:rFonts w:cs="Arial"/>
          <w:sz w:val="22"/>
        </w:rPr>
        <w:t xml:space="preserve"> admitting</w:t>
      </w:r>
      <w:r w:rsidRPr="006D52E3">
        <w:rPr>
          <w:rFonts w:cs="Arial"/>
          <w:sz w:val="22"/>
        </w:rPr>
        <w:t xml:space="preserve"> you’re struggling feels like breaking an unspoken rule. People stay quiet. So, disclosure is</w:t>
      </w:r>
      <w:r w:rsidR="00DE4A4C" w:rsidRPr="006D52E3">
        <w:rPr>
          <w:rFonts w:cs="Arial"/>
          <w:sz w:val="22"/>
        </w:rPr>
        <w:t xml:space="preserve"> not just</w:t>
      </w:r>
      <w:r w:rsidRPr="006D52E3">
        <w:rPr>
          <w:rFonts w:cs="Arial"/>
          <w:sz w:val="22"/>
        </w:rPr>
        <w:t xml:space="preserve"> a personal decision. It</w:t>
      </w:r>
      <w:r w:rsidR="00DE4A4C" w:rsidRPr="006D52E3">
        <w:rPr>
          <w:rFonts w:cs="Arial"/>
          <w:sz w:val="22"/>
        </w:rPr>
        <w:t xml:space="preserve"> is </w:t>
      </w:r>
      <w:r w:rsidRPr="006D52E3">
        <w:rPr>
          <w:rFonts w:cs="Arial"/>
          <w:sz w:val="22"/>
        </w:rPr>
        <w:t>tangled up in the unwritten rules and pressures that shape the whole workplace.</w:t>
      </w:r>
    </w:p>
    <w:p w14:paraId="3732CAD2" w14:textId="6106A49A" w:rsidR="00DE4A4C" w:rsidRPr="006D52E3" w:rsidRDefault="00DE4A4C" w:rsidP="006D52E3">
      <w:pPr>
        <w:spacing w:line="360" w:lineRule="auto"/>
        <w:jc w:val="both"/>
        <w:rPr>
          <w:rFonts w:cs="Arial"/>
          <w:sz w:val="22"/>
        </w:rPr>
      </w:pPr>
      <w:r w:rsidRPr="006D52E3">
        <w:rPr>
          <w:rFonts w:cs="Arial"/>
          <w:sz w:val="22"/>
        </w:rPr>
        <w:t xml:space="preserve">This matters a lot in health and social care. When staff feel supported, patients get safer, better </w:t>
      </w:r>
      <w:r w:rsidRPr="006D52E3">
        <w:rPr>
          <w:rFonts w:cs="Arial"/>
          <w:sz w:val="22"/>
        </w:rPr>
        <w:t>care simple</w:t>
      </w:r>
      <w:r w:rsidRPr="006D52E3">
        <w:rPr>
          <w:rFonts w:cs="Arial"/>
          <w:sz w:val="22"/>
        </w:rPr>
        <w:t xml:space="preserve"> as that. But stigma still hangs around, and it keeps people silent about what they</w:t>
      </w:r>
      <w:r w:rsidRPr="006D52E3">
        <w:rPr>
          <w:rFonts w:cs="Arial"/>
          <w:sz w:val="22"/>
        </w:rPr>
        <w:t xml:space="preserve"> are</w:t>
      </w:r>
      <w:r w:rsidRPr="006D52E3">
        <w:rPr>
          <w:rFonts w:cs="Arial"/>
          <w:sz w:val="22"/>
        </w:rPr>
        <w:t xml:space="preserve"> going through. If we want to keep talented staff and deliver the best care, we </w:t>
      </w:r>
      <w:r w:rsidRPr="006D52E3">
        <w:rPr>
          <w:rFonts w:cs="Arial"/>
          <w:sz w:val="22"/>
        </w:rPr>
        <w:t>must</w:t>
      </w:r>
      <w:r w:rsidRPr="006D52E3">
        <w:rPr>
          <w:rFonts w:cs="Arial"/>
          <w:sz w:val="22"/>
        </w:rPr>
        <w:t xml:space="preserve"> push past that old stigma. An open, welcoming culture is</w:t>
      </w:r>
      <w:r w:rsidRPr="006D52E3">
        <w:rPr>
          <w:rFonts w:cs="Arial"/>
          <w:sz w:val="22"/>
        </w:rPr>
        <w:t xml:space="preserve"> not </w:t>
      </w:r>
      <w:r w:rsidRPr="006D52E3">
        <w:rPr>
          <w:rFonts w:cs="Arial"/>
          <w:sz w:val="22"/>
        </w:rPr>
        <w:t>just a bonus. It</w:t>
      </w:r>
      <w:r w:rsidRPr="006D52E3">
        <w:rPr>
          <w:rFonts w:cs="Arial"/>
          <w:sz w:val="22"/>
        </w:rPr>
        <w:t xml:space="preserve"> is </w:t>
      </w:r>
      <w:r w:rsidRPr="006D52E3">
        <w:rPr>
          <w:rFonts w:cs="Arial"/>
          <w:sz w:val="22"/>
        </w:rPr>
        <w:t>essential.</w:t>
      </w:r>
    </w:p>
    <w:p w14:paraId="53699E70" w14:textId="68C6396F" w:rsidR="00DE4A4C" w:rsidRPr="006D52E3" w:rsidRDefault="00DE4A4C" w:rsidP="006D52E3">
      <w:pPr>
        <w:spacing w:line="360" w:lineRule="auto"/>
        <w:jc w:val="both"/>
        <w:rPr>
          <w:rFonts w:cs="Arial"/>
          <w:sz w:val="22"/>
        </w:rPr>
      </w:pPr>
      <w:r w:rsidRPr="006D52E3">
        <w:rPr>
          <w:rFonts w:cs="Arial"/>
          <w:sz w:val="22"/>
        </w:rPr>
        <w:t xml:space="preserve">At the end of the day, disclosure only works when </w:t>
      </w:r>
      <w:r w:rsidRPr="006D52E3">
        <w:rPr>
          <w:rFonts w:cs="Arial"/>
          <w:sz w:val="22"/>
        </w:rPr>
        <w:t>organisations</w:t>
      </w:r>
      <w:r w:rsidRPr="006D52E3">
        <w:rPr>
          <w:rFonts w:cs="Arial"/>
          <w:sz w:val="22"/>
        </w:rPr>
        <w:t xml:space="preserve"> stop treating it like a box to check and </w:t>
      </w:r>
      <w:r w:rsidRPr="006D52E3">
        <w:rPr>
          <w:rFonts w:cs="Arial"/>
          <w:sz w:val="22"/>
        </w:rPr>
        <w:t>make</w:t>
      </w:r>
      <w:r w:rsidRPr="006D52E3">
        <w:rPr>
          <w:rFonts w:cs="Arial"/>
          <w:sz w:val="22"/>
        </w:rPr>
        <w:t xml:space="preserve"> psychological safety part of daily life. That means putting real effort into fighting stigma, protecting confidentiality, and making sure leaders </w:t>
      </w:r>
      <w:r w:rsidRPr="006D52E3">
        <w:rPr>
          <w:rFonts w:cs="Arial"/>
          <w:sz w:val="22"/>
        </w:rPr>
        <w:t>show</w:t>
      </w:r>
      <w:r w:rsidRPr="006D52E3">
        <w:rPr>
          <w:rFonts w:cs="Arial"/>
          <w:sz w:val="22"/>
        </w:rPr>
        <w:t xml:space="preserve"> they care. Without all that, disclosure just stays on the surface. People do</w:t>
      </w:r>
      <w:r w:rsidRPr="006D52E3">
        <w:rPr>
          <w:rFonts w:cs="Arial"/>
          <w:sz w:val="22"/>
        </w:rPr>
        <w:t xml:space="preserve"> not </w:t>
      </w:r>
      <w:r w:rsidRPr="006D52E3">
        <w:rPr>
          <w:rFonts w:cs="Arial"/>
          <w:sz w:val="22"/>
        </w:rPr>
        <w:t>get the support they need, and everyone misses out on the real benefits.</w:t>
      </w:r>
    </w:p>
    <w:p w14:paraId="396CBE61" w14:textId="77777777" w:rsidR="00DE4A4C" w:rsidRPr="006D52E3" w:rsidRDefault="00DE4A4C" w:rsidP="006D52E3">
      <w:pPr>
        <w:pStyle w:val="Heading1"/>
        <w:jc w:val="both"/>
        <w:rPr>
          <w:color w:val="auto"/>
          <w:sz w:val="22"/>
        </w:rPr>
      </w:pPr>
      <w:bookmarkStart w:id="40" w:name="_Toc215140058"/>
    </w:p>
    <w:p w14:paraId="223FB9C3" w14:textId="77777777" w:rsidR="00DE4A4C" w:rsidRPr="006D52E3" w:rsidRDefault="00DE4A4C" w:rsidP="006D52E3">
      <w:pPr>
        <w:pStyle w:val="Heading1"/>
        <w:jc w:val="both"/>
        <w:rPr>
          <w:color w:val="auto"/>
          <w:sz w:val="22"/>
        </w:rPr>
      </w:pPr>
    </w:p>
    <w:p w14:paraId="2D4020D3" w14:textId="77777777" w:rsidR="00DE4A4C" w:rsidRPr="006D52E3" w:rsidRDefault="00DE4A4C" w:rsidP="006D52E3">
      <w:pPr>
        <w:pStyle w:val="Heading1"/>
        <w:jc w:val="both"/>
        <w:rPr>
          <w:color w:val="auto"/>
          <w:sz w:val="22"/>
        </w:rPr>
      </w:pPr>
    </w:p>
    <w:p w14:paraId="1A4DFB0B" w14:textId="01C63DDE" w:rsidR="002F03B3" w:rsidRPr="006D52E3" w:rsidRDefault="00D876DC" w:rsidP="006D52E3">
      <w:pPr>
        <w:pStyle w:val="Heading1"/>
        <w:jc w:val="both"/>
        <w:rPr>
          <w:color w:val="auto"/>
          <w:sz w:val="22"/>
        </w:rPr>
      </w:pPr>
      <w:r w:rsidRPr="006D52E3">
        <w:rPr>
          <w:color w:val="auto"/>
          <w:sz w:val="22"/>
        </w:rPr>
        <w:t xml:space="preserve">Recommendation </w:t>
      </w:r>
      <w:r w:rsidR="002F03B3" w:rsidRPr="006D52E3">
        <w:rPr>
          <w:color w:val="auto"/>
          <w:sz w:val="22"/>
        </w:rPr>
        <w:t>for Promoting Mental Health Disclosure in UK Workplaces</w:t>
      </w:r>
      <w:bookmarkEnd w:id="40"/>
    </w:p>
    <w:p w14:paraId="12C61115" w14:textId="7BABB171" w:rsidR="002F03B3" w:rsidRPr="006D52E3" w:rsidRDefault="002F03B3" w:rsidP="006D52E3">
      <w:pPr>
        <w:spacing w:line="360" w:lineRule="auto"/>
        <w:jc w:val="both"/>
        <w:rPr>
          <w:rFonts w:cs="Arial"/>
          <w:sz w:val="22"/>
        </w:rPr>
      </w:pPr>
      <w:r w:rsidRPr="006D52E3">
        <w:rPr>
          <w:rFonts w:cs="Arial"/>
          <w:sz w:val="22"/>
        </w:rPr>
        <w:t>Promote an anti</w:t>
      </w:r>
      <w:r w:rsidRPr="006D52E3">
        <w:rPr>
          <w:rFonts w:ascii="Cambria Math" w:hAnsi="Cambria Math" w:cs="Cambria Math"/>
          <w:sz w:val="22"/>
        </w:rPr>
        <w:t>‑</w:t>
      </w:r>
      <w:r w:rsidRPr="006D52E3">
        <w:rPr>
          <w:rFonts w:cs="Arial"/>
          <w:sz w:val="22"/>
        </w:rPr>
        <w:t>stigma culture</w:t>
      </w:r>
      <w:r w:rsidR="006301C5">
        <w:rPr>
          <w:rFonts w:cs="Arial"/>
          <w:sz w:val="22"/>
        </w:rPr>
        <w:t>.</w:t>
      </w:r>
    </w:p>
    <w:p w14:paraId="51348F7C" w14:textId="77777777" w:rsidR="00DE4A4C" w:rsidRPr="006D52E3" w:rsidRDefault="00DE4A4C" w:rsidP="006D52E3">
      <w:pPr>
        <w:pStyle w:val="ListParagraph"/>
        <w:numPr>
          <w:ilvl w:val="0"/>
          <w:numId w:val="5"/>
        </w:numPr>
        <w:spacing w:line="360" w:lineRule="auto"/>
        <w:jc w:val="both"/>
        <w:rPr>
          <w:rFonts w:cs="Arial"/>
          <w:sz w:val="22"/>
        </w:rPr>
      </w:pPr>
      <w:r w:rsidRPr="006D52E3">
        <w:rPr>
          <w:rFonts w:cs="Arial"/>
          <w:sz w:val="22"/>
        </w:rPr>
        <w:t xml:space="preserve">Awareness campaigns and training break down stereotypes and get people talking more openly about mental health (Brohan et al., 2012). </w:t>
      </w:r>
    </w:p>
    <w:p w14:paraId="60A294B0" w14:textId="77777777" w:rsidR="00DE4A4C" w:rsidRPr="006D52E3" w:rsidRDefault="00DE4A4C" w:rsidP="006D52E3">
      <w:pPr>
        <w:pStyle w:val="ListParagraph"/>
        <w:numPr>
          <w:ilvl w:val="0"/>
          <w:numId w:val="5"/>
        </w:numPr>
        <w:spacing w:line="360" w:lineRule="auto"/>
        <w:jc w:val="both"/>
        <w:rPr>
          <w:rFonts w:cs="Arial"/>
          <w:sz w:val="22"/>
        </w:rPr>
      </w:pPr>
      <w:r w:rsidRPr="006D52E3">
        <w:rPr>
          <w:rFonts w:cs="Arial"/>
          <w:sz w:val="22"/>
        </w:rPr>
        <w:t xml:space="preserve">When senior leaders speak honestly about their own experiences, it chips away at stigma and makes others feel safer to share (Cheung et al., 2025). </w:t>
      </w:r>
    </w:p>
    <w:p w14:paraId="1F62BA9A" w14:textId="5D4894FD" w:rsidR="00DE4A4C" w:rsidRPr="006D52E3" w:rsidRDefault="00DE4A4C" w:rsidP="006D52E3">
      <w:pPr>
        <w:pStyle w:val="ListParagraph"/>
        <w:numPr>
          <w:ilvl w:val="0"/>
          <w:numId w:val="5"/>
        </w:numPr>
        <w:spacing w:line="360" w:lineRule="auto"/>
        <w:jc w:val="both"/>
        <w:rPr>
          <w:rFonts w:cs="Arial"/>
          <w:sz w:val="22"/>
        </w:rPr>
      </w:pPr>
      <w:r w:rsidRPr="006D52E3">
        <w:rPr>
          <w:rFonts w:cs="Arial"/>
          <w:sz w:val="22"/>
        </w:rPr>
        <w:t xml:space="preserve">Trust matters. </w:t>
      </w:r>
      <w:r w:rsidR="00BA58D9" w:rsidRPr="006D52E3">
        <w:rPr>
          <w:rFonts w:cs="Arial"/>
          <w:sz w:val="22"/>
        </w:rPr>
        <w:t>Organisations</w:t>
      </w:r>
      <w:r w:rsidRPr="006D52E3">
        <w:rPr>
          <w:rFonts w:cs="Arial"/>
          <w:sz w:val="22"/>
        </w:rPr>
        <w:t xml:space="preserve"> need clear protocols</w:t>
      </w:r>
      <w:r w:rsidR="00BA58D9" w:rsidRPr="006D52E3">
        <w:rPr>
          <w:rFonts w:cs="Arial"/>
          <w:sz w:val="22"/>
        </w:rPr>
        <w:t>,</w:t>
      </w:r>
      <w:r w:rsidRPr="006D52E3">
        <w:rPr>
          <w:rFonts w:cs="Arial"/>
          <w:sz w:val="22"/>
        </w:rPr>
        <w:t xml:space="preserve"> so staff know their disclosures won’t be mishandled (NHS Employers, 2024). </w:t>
      </w:r>
    </w:p>
    <w:p w14:paraId="6A9318CB" w14:textId="77777777" w:rsidR="00BA58D9" w:rsidRPr="006D52E3" w:rsidRDefault="00DE4A4C" w:rsidP="006D52E3">
      <w:pPr>
        <w:pStyle w:val="ListParagraph"/>
        <w:numPr>
          <w:ilvl w:val="0"/>
          <w:numId w:val="5"/>
        </w:numPr>
        <w:spacing w:line="360" w:lineRule="auto"/>
        <w:jc w:val="both"/>
        <w:rPr>
          <w:rFonts w:cs="Arial"/>
          <w:sz w:val="22"/>
        </w:rPr>
      </w:pPr>
      <w:r w:rsidRPr="006D52E3">
        <w:rPr>
          <w:rFonts w:cs="Arial"/>
          <w:sz w:val="22"/>
        </w:rPr>
        <w:t>Managers who understand confidentiality can protect that trust and handle sensitive information properly (Fox et al., 2024).</w:t>
      </w:r>
    </w:p>
    <w:p w14:paraId="6E5E6AA9" w14:textId="57C6395A" w:rsidR="00DE4A4C" w:rsidRPr="006D52E3" w:rsidRDefault="00DE4A4C" w:rsidP="006D52E3">
      <w:pPr>
        <w:pStyle w:val="ListParagraph"/>
        <w:numPr>
          <w:ilvl w:val="0"/>
          <w:numId w:val="5"/>
        </w:numPr>
        <w:spacing w:line="360" w:lineRule="auto"/>
        <w:jc w:val="both"/>
        <w:rPr>
          <w:rFonts w:cs="Arial"/>
          <w:sz w:val="22"/>
        </w:rPr>
      </w:pPr>
      <w:r w:rsidRPr="006D52E3">
        <w:rPr>
          <w:rFonts w:cs="Arial"/>
          <w:sz w:val="22"/>
        </w:rPr>
        <w:t xml:space="preserve"> It also helps to offer several ways for people to come forward—whether it’s through wellbeing officers or anonymous reporting—so everyone has a safe path to disclosure (Weatherstone et al., 2022).</w:t>
      </w:r>
    </w:p>
    <w:p w14:paraId="199D0D94" w14:textId="77777777" w:rsidR="00DE4A4C" w:rsidRPr="006D52E3" w:rsidRDefault="00DE4A4C" w:rsidP="006D52E3">
      <w:pPr>
        <w:spacing w:line="360" w:lineRule="auto"/>
        <w:jc w:val="both"/>
        <w:rPr>
          <w:rFonts w:cs="Arial"/>
          <w:sz w:val="22"/>
        </w:rPr>
      </w:pPr>
    </w:p>
    <w:p w14:paraId="665DAAB4" w14:textId="77777777" w:rsidR="00DE4A4C" w:rsidRPr="006D52E3" w:rsidRDefault="00DE4A4C" w:rsidP="006D52E3">
      <w:pPr>
        <w:spacing w:line="360" w:lineRule="auto"/>
        <w:jc w:val="both"/>
        <w:rPr>
          <w:rFonts w:cs="Arial"/>
          <w:sz w:val="22"/>
        </w:rPr>
      </w:pPr>
    </w:p>
    <w:p w14:paraId="3E6D2449" w14:textId="77777777" w:rsidR="00DE4A4C" w:rsidRPr="006D52E3" w:rsidRDefault="00DE4A4C" w:rsidP="006D52E3">
      <w:pPr>
        <w:spacing w:line="360" w:lineRule="auto"/>
        <w:jc w:val="both"/>
        <w:rPr>
          <w:rFonts w:cs="Arial"/>
          <w:sz w:val="22"/>
        </w:rPr>
      </w:pPr>
    </w:p>
    <w:p w14:paraId="2A1821D5" w14:textId="4D037D8C" w:rsidR="002F03B3" w:rsidRPr="006D52E3" w:rsidRDefault="002F03B3" w:rsidP="006D52E3">
      <w:pPr>
        <w:spacing w:line="360" w:lineRule="auto"/>
        <w:jc w:val="both"/>
        <w:rPr>
          <w:rFonts w:cs="Arial"/>
          <w:sz w:val="22"/>
        </w:rPr>
      </w:pPr>
      <w:r w:rsidRPr="006D52E3">
        <w:rPr>
          <w:rFonts w:cs="Arial"/>
          <w:sz w:val="22"/>
        </w:rPr>
        <w:t>Encourage disclosure through supportive policies</w:t>
      </w:r>
      <w:r w:rsidR="006301C5">
        <w:rPr>
          <w:rFonts w:cs="Arial"/>
          <w:sz w:val="22"/>
        </w:rPr>
        <w:t>.</w:t>
      </w:r>
    </w:p>
    <w:p w14:paraId="4A6D0721" w14:textId="00805B0B" w:rsidR="00BA58D9" w:rsidRPr="006D52E3" w:rsidRDefault="00BA58D9" w:rsidP="006D52E3">
      <w:pPr>
        <w:pStyle w:val="ListParagraph"/>
        <w:numPr>
          <w:ilvl w:val="0"/>
          <w:numId w:val="6"/>
        </w:numPr>
        <w:spacing w:line="360" w:lineRule="auto"/>
        <w:jc w:val="both"/>
        <w:rPr>
          <w:rFonts w:cs="Arial"/>
          <w:sz w:val="22"/>
        </w:rPr>
      </w:pPr>
      <w:r w:rsidRPr="006D52E3">
        <w:rPr>
          <w:rFonts w:cs="Arial"/>
          <w:sz w:val="22"/>
        </w:rPr>
        <w:t xml:space="preserve">Supportive policies open the door for people to speak up. When </w:t>
      </w:r>
      <w:r w:rsidRPr="006D52E3">
        <w:rPr>
          <w:rFonts w:cs="Arial"/>
          <w:sz w:val="22"/>
        </w:rPr>
        <w:t>organisations guarantee</w:t>
      </w:r>
      <w:r w:rsidRPr="006D52E3">
        <w:rPr>
          <w:rFonts w:cs="Arial"/>
          <w:sz w:val="22"/>
        </w:rPr>
        <w:t xml:space="preserve"> reasonable adjustments and flexible work, employees feel safer disclosing their needs (Fox et al., 2024). </w:t>
      </w:r>
    </w:p>
    <w:p w14:paraId="39BEE961" w14:textId="0972D532" w:rsidR="00BA58D9" w:rsidRPr="006D52E3" w:rsidRDefault="00BA58D9" w:rsidP="006D52E3">
      <w:pPr>
        <w:pStyle w:val="ListParagraph"/>
        <w:numPr>
          <w:ilvl w:val="0"/>
          <w:numId w:val="6"/>
        </w:numPr>
        <w:spacing w:line="360" w:lineRule="auto"/>
        <w:jc w:val="both"/>
        <w:rPr>
          <w:rFonts w:cs="Arial"/>
          <w:sz w:val="22"/>
        </w:rPr>
      </w:pPr>
      <w:r w:rsidRPr="006D52E3">
        <w:rPr>
          <w:rFonts w:cs="Arial"/>
          <w:sz w:val="22"/>
        </w:rPr>
        <w:t>Strong protections against discrimination give people confidence that w</w:t>
      </w:r>
      <w:r w:rsidRPr="006D52E3">
        <w:rPr>
          <w:rFonts w:cs="Arial"/>
          <w:sz w:val="22"/>
        </w:rPr>
        <w:t xml:space="preserve">e </w:t>
      </w:r>
      <w:r w:rsidR="006301C5">
        <w:rPr>
          <w:rFonts w:cs="Arial"/>
          <w:sz w:val="22"/>
        </w:rPr>
        <w:t>are</w:t>
      </w:r>
      <w:r w:rsidRPr="006D52E3">
        <w:rPr>
          <w:rFonts w:cs="Arial"/>
          <w:sz w:val="22"/>
        </w:rPr>
        <w:t xml:space="preserve"> not </w:t>
      </w:r>
      <w:r w:rsidR="006301C5">
        <w:rPr>
          <w:rFonts w:cs="Arial"/>
          <w:sz w:val="22"/>
        </w:rPr>
        <w:t>holding</w:t>
      </w:r>
      <w:r w:rsidRPr="006D52E3">
        <w:rPr>
          <w:rFonts w:cs="Arial"/>
          <w:sz w:val="22"/>
        </w:rPr>
        <w:t xml:space="preserve"> back their careers (Cheung et al., 2025). </w:t>
      </w:r>
    </w:p>
    <w:p w14:paraId="00A3DFD6" w14:textId="01B08923" w:rsidR="00DD7729" w:rsidRPr="006D52E3" w:rsidRDefault="00BA58D9" w:rsidP="006D52E3">
      <w:pPr>
        <w:pStyle w:val="ListParagraph"/>
        <w:numPr>
          <w:ilvl w:val="0"/>
          <w:numId w:val="6"/>
        </w:numPr>
        <w:spacing w:line="360" w:lineRule="auto"/>
        <w:jc w:val="both"/>
        <w:rPr>
          <w:rFonts w:cs="Arial"/>
          <w:sz w:val="22"/>
        </w:rPr>
      </w:pPr>
      <w:r w:rsidRPr="006D52E3">
        <w:rPr>
          <w:rFonts w:cs="Arial"/>
          <w:sz w:val="22"/>
        </w:rPr>
        <w:t>Consistent reminders about rights and available support make disclosure a normal part of workplace life (NHS Employers, 2024)</w:t>
      </w:r>
      <w:r w:rsidRPr="006D52E3">
        <w:rPr>
          <w:rFonts w:cs="Arial"/>
          <w:sz w:val="22"/>
        </w:rPr>
        <w:t>.</w:t>
      </w:r>
    </w:p>
    <w:p w14:paraId="2480C7EC" w14:textId="77777777" w:rsidR="008655F3" w:rsidRDefault="008655F3" w:rsidP="006D52E3">
      <w:pPr>
        <w:pStyle w:val="Heading1"/>
        <w:ind w:left="0"/>
        <w:jc w:val="both"/>
        <w:rPr>
          <w:sz w:val="22"/>
        </w:rPr>
      </w:pPr>
    </w:p>
    <w:p w14:paraId="356285FE" w14:textId="77777777" w:rsidR="005A7ACD" w:rsidRDefault="005A7ACD" w:rsidP="005A7ACD"/>
    <w:p w14:paraId="6A0619AA" w14:textId="77777777" w:rsidR="005A7ACD" w:rsidRPr="005A7ACD" w:rsidRDefault="005A7ACD" w:rsidP="005A7ACD"/>
    <w:p w14:paraId="33F8F0BD" w14:textId="11632B4C" w:rsidR="00B87E75" w:rsidRPr="006D52E3" w:rsidRDefault="00B87E75" w:rsidP="006D52E3">
      <w:pPr>
        <w:pStyle w:val="Heading1"/>
        <w:ind w:left="0"/>
        <w:jc w:val="both"/>
        <w:rPr>
          <w:sz w:val="22"/>
        </w:rPr>
      </w:pPr>
      <w:bookmarkStart w:id="41" w:name="_Toc215140059"/>
      <w:r w:rsidRPr="006D52E3">
        <w:rPr>
          <w:sz w:val="22"/>
        </w:rPr>
        <w:lastRenderedPageBreak/>
        <w:t>References</w:t>
      </w:r>
      <w:bookmarkEnd w:id="41"/>
    </w:p>
    <w:p w14:paraId="7230F9AF" w14:textId="77777777" w:rsidR="000537B2" w:rsidRPr="006D52E3" w:rsidRDefault="000537B2" w:rsidP="006D52E3">
      <w:pPr>
        <w:spacing w:line="360" w:lineRule="auto"/>
        <w:jc w:val="both"/>
        <w:rPr>
          <w:rFonts w:cs="Arial"/>
          <w:sz w:val="22"/>
        </w:rPr>
      </w:pPr>
    </w:p>
    <w:p w14:paraId="2A61C228" w14:textId="77777777" w:rsidR="005A7ACD" w:rsidRPr="006D52E3" w:rsidRDefault="005A7ACD" w:rsidP="006D52E3">
      <w:pPr>
        <w:spacing w:line="360" w:lineRule="auto"/>
        <w:jc w:val="both"/>
        <w:rPr>
          <w:rFonts w:cs="Arial"/>
          <w:sz w:val="22"/>
        </w:rPr>
      </w:pPr>
    </w:p>
    <w:p w14:paraId="0362451D" w14:textId="77777777" w:rsidR="005A7ACD" w:rsidRPr="006D52E3" w:rsidRDefault="005A7ACD" w:rsidP="006D52E3">
      <w:pPr>
        <w:spacing w:line="360" w:lineRule="auto"/>
        <w:jc w:val="both"/>
        <w:rPr>
          <w:rFonts w:cs="Arial"/>
          <w:i/>
          <w:iCs/>
          <w:sz w:val="22"/>
        </w:rPr>
      </w:pPr>
    </w:p>
    <w:p w14:paraId="260925D1" w14:textId="0DB99B15" w:rsidR="005A7ACD" w:rsidRDefault="005A7ACD" w:rsidP="006D52E3">
      <w:pPr>
        <w:spacing w:line="360" w:lineRule="auto"/>
        <w:jc w:val="both"/>
        <w:rPr>
          <w:rFonts w:cs="Arial"/>
          <w:sz w:val="22"/>
        </w:rPr>
      </w:pPr>
      <w:proofErr w:type="spellStart"/>
      <w:r w:rsidRPr="006D52E3">
        <w:rPr>
          <w:rFonts w:cs="Arial"/>
          <w:sz w:val="22"/>
        </w:rPr>
        <w:t>Acas</w:t>
      </w:r>
      <w:proofErr w:type="spellEnd"/>
      <w:r w:rsidRPr="006D52E3">
        <w:rPr>
          <w:rFonts w:cs="Arial"/>
          <w:sz w:val="22"/>
        </w:rPr>
        <w:t xml:space="preserve"> (2022) </w:t>
      </w:r>
      <w:r w:rsidRPr="006D52E3">
        <w:rPr>
          <w:rFonts w:cs="Arial"/>
          <w:i/>
          <w:iCs/>
          <w:sz w:val="22"/>
        </w:rPr>
        <w:t xml:space="preserve">Mental health and the law at work. </w:t>
      </w:r>
      <w:r w:rsidRPr="006D52E3">
        <w:rPr>
          <w:rFonts w:cs="Arial"/>
          <w:sz w:val="22"/>
        </w:rPr>
        <w:t>Available at: https://www.acas.org.uk/mental-health-and-the-law-at-work (Accessed: 20 November 2025).</w:t>
      </w:r>
    </w:p>
    <w:p w14:paraId="48987CB3" w14:textId="2A5F5F37" w:rsidR="00560456" w:rsidRPr="00560456" w:rsidRDefault="00560456" w:rsidP="006D52E3">
      <w:pPr>
        <w:spacing w:line="360" w:lineRule="auto"/>
        <w:jc w:val="both"/>
        <w:rPr>
          <w:rFonts w:cs="Arial"/>
          <w:sz w:val="22"/>
        </w:rPr>
      </w:pPr>
      <w:proofErr w:type="spellStart"/>
      <w:r w:rsidRPr="00560456">
        <w:rPr>
          <w:rFonts w:cs="Arial"/>
          <w:sz w:val="22"/>
        </w:rPr>
        <w:t>Bogaers</w:t>
      </w:r>
      <w:proofErr w:type="spellEnd"/>
      <w:r w:rsidRPr="00560456">
        <w:rPr>
          <w:rFonts w:cs="Arial"/>
          <w:sz w:val="22"/>
        </w:rPr>
        <w:t xml:space="preserve">, R., et al. (2023) </w:t>
      </w:r>
      <w:r w:rsidRPr="00B60A8F">
        <w:rPr>
          <w:rFonts w:cs="Arial"/>
          <w:i/>
          <w:iCs/>
          <w:sz w:val="22"/>
        </w:rPr>
        <w:t xml:space="preserve">Workplace mental health disclosure, sustainable employability and well-being at work: a cross-sectional study among military personnel with mental illness. </w:t>
      </w:r>
      <w:r w:rsidRPr="00560456">
        <w:rPr>
          <w:rFonts w:cs="Arial"/>
          <w:sz w:val="22"/>
        </w:rPr>
        <w:t>Journal of Occupational Rehabilitation, 33(2), pp. 399–413.</w:t>
      </w:r>
    </w:p>
    <w:p w14:paraId="40E8DEF2" w14:textId="77777777" w:rsidR="005A7ACD" w:rsidRDefault="005A7ACD" w:rsidP="006D52E3">
      <w:pPr>
        <w:spacing w:line="360" w:lineRule="auto"/>
        <w:jc w:val="both"/>
        <w:rPr>
          <w:rFonts w:cs="Arial"/>
          <w:sz w:val="22"/>
        </w:rPr>
      </w:pPr>
      <w:r w:rsidRPr="006D52E3">
        <w:rPr>
          <w:rFonts w:cs="Arial"/>
          <w:sz w:val="22"/>
        </w:rPr>
        <w:t>Brohan, E., Henderson, C., Wheat, K., et al. (2012) ‘</w:t>
      </w:r>
      <w:r w:rsidRPr="00B60A8F">
        <w:rPr>
          <w:rFonts w:cs="Arial"/>
          <w:i/>
          <w:iCs/>
          <w:sz w:val="22"/>
        </w:rPr>
        <w:t>Systematic review of beliefs, behaviours and influencing factors associated with disclosure of a mental health problem in the workplace’</w:t>
      </w:r>
      <w:r w:rsidRPr="006D52E3">
        <w:rPr>
          <w:rFonts w:cs="Arial"/>
          <w:sz w:val="22"/>
        </w:rPr>
        <w:t xml:space="preserve">, </w:t>
      </w:r>
      <w:r w:rsidRPr="006D52E3">
        <w:rPr>
          <w:rFonts w:cs="Arial"/>
          <w:i/>
          <w:iCs/>
          <w:sz w:val="22"/>
        </w:rPr>
        <w:t>BMC Psychiatry</w:t>
      </w:r>
      <w:r w:rsidRPr="006D52E3">
        <w:rPr>
          <w:rFonts w:cs="Arial"/>
          <w:sz w:val="22"/>
        </w:rPr>
        <w:t>, 12(11).</w:t>
      </w:r>
    </w:p>
    <w:p w14:paraId="6B68132A" w14:textId="1354F89D" w:rsidR="00560456" w:rsidRDefault="00560456" w:rsidP="006D52E3">
      <w:pPr>
        <w:spacing w:line="360" w:lineRule="auto"/>
        <w:jc w:val="both"/>
        <w:rPr>
          <w:rFonts w:cs="Arial"/>
          <w:sz w:val="22"/>
        </w:rPr>
      </w:pPr>
      <w:r w:rsidRPr="00560456">
        <w:rPr>
          <w:rFonts w:cs="Arial"/>
          <w:sz w:val="22"/>
        </w:rPr>
        <w:t xml:space="preserve">Cheung, G., Ronaldson, A. and Henderson, C. (2025) </w:t>
      </w:r>
      <w:r w:rsidRPr="00291803">
        <w:rPr>
          <w:rFonts w:cs="Arial"/>
          <w:i/>
          <w:iCs/>
          <w:sz w:val="22"/>
        </w:rPr>
        <w:t>Relationships between occupation, attitudes towards mental health problems in the workplace and mental health stigma</w:t>
      </w:r>
      <w:r w:rsidRPr="00560456">
        <w:rPr>
          <w:rFonts w:cs="Arial"/>
          <w:sz w:val="22"/>
        </w:rPr>
        <w:t>. Social Psychiatry and Psychiatric Epidemiology, 60(10), pp. 2301–2310.</w:t>
      </w:r>
    </w:p>
    <w:p w14:paraId="6BACC336" w14:textId="65E4922B" w:rsidR="00560456" w:rsidRDefault="00560456" w:rsidP="00560456">
      <w:pPr>
        <w:spacing w:line="360" w:lineRule="auto"/>
        <w:jc w:val="both"/>
        <w:rPr>
          <w:rFonts w:cs="Arial"/>
          <w:sz w:val="22"/>
        </w:rPr>
      </w:pPr>
      <w:r w:rsidRPr="00560456">
        <w:rPr>
          <w:rFonts w:cs="Arial"/>
          <w:sz w:val="22"/>
        </w:rPr>
        <w:t xml:space="preserve">CIPD (2022) </w:t>
      </w:r>
      <w:r w:rsidRPr="00291803">
        <w:rPr>
          <w:rFonts w:cs="Arial"/>
          <w:i/>
          <w:iCs/>
          <w:sz w:val="22"/>
        </w:rPr>
        <w:t>Health and wellbeing at work survey report.</w:t>
      </w:r>
      <w:r w:rsidRPr="00560456">
        <w:rPr>
          <w:rFonts w:cs="Arial"/>
          <w:sz w:val="22"/>
        </w:rPr>
        <w:t xml:space="preserve"> London: Chartered Institute of Personnel and Development. Available at: https://www.cipd.org/en/knowledge/reports/health-wellbeing-work/ (Accessed: 20 November 2025).</w:t>
      </w:r>
    </w:p>
    <w:p w14:paraId="547924D7" w14:textId="4B76B604" w:rsidR="00560456" w:rsidRPr="006D52E3" w:rsidRDefault="00560456" w:rsidP="00560456">
      <w:pPr>
        <w:spacing w:line="360" w:lineRule="auto"/>
        <w:jc w:val="both"/>
        <w:rPr>
          <w:rFonts w:cs="Arial"/>
          <w:sz w:val="22"/>
        </w:rPr>
      </w:pPr>
      <w:r w:rsidRPr="00560456">
        <w:rPr>
          <w:rFonts w:cs="Arial"/>
          <w:sz w:val="22"/>
        </w:rPr>
        <w:t xml:space="preserve">Fox, J., Gasper, R. and Anghel, R. (2024) </w:t>
      </w:r>
      <w:r w:rsidRPr="00291803">
        <w:rPr>
          <w:rFonts w:cs="Arial"/>
          <w:i/>
          <w:iCs/>
          <w:sz w:val="22"/>
        </w:rPr>
        <w:t>When UK academics decide to disclose mental distress to employers in the HEI workplace: identity conflict, organisational context and the need for systemic change</w:t>
      </w:r>
      <w:r w:rsidRPr="00560456">
        <w:rPr>
          <w:rFonts w:cs="Arial"/>
          <w:sz w:val="22"/>
        </w:rPr>
        <w:t>. Journal of Further and Higher Education, 48(7), pp. 683–699.</w:t>
      </w:r>
    </w:p>
    <w:p w14:paraId="502CD7F4" w14:textId="77777777" w:rsidR="005A7ACD" w:rsidRPr="006D52E3" w:rsidRDefault="005A7ACD" w:rsidP="006D52E3">
      <w:pPr>
        <w:spacing w:line="360" w:lineRule="auto"/>
        <w:jc w:val="both"/>
        <w:rPr>
          <w:rFonts w:cs="Arial"/>
          <w:sz w:val="22"/>
        </w:rPr>
      </w:pPr>
      <w:r w:rsidRPr="006D52E3">
        <w:rPr>
          <w:rFonts w:cs="Arial"/>
          <w:sz w:val="22"/>
        </w:rPr>
        <w:t>Grey, N.S., Davies, H. and Snowden, R.J. (2020) ‘</w:t>
      </w:r>
      <w:r w:rsidRPr="00291803">
        <w:rPr>
          <w:rFonts w:cs="Arial"/>
          <w:i/>
          <w:iCs/>
          <w:sz w:val="22"/>
        </w:rPr>
        <w:t>Reducing stigma and increasing workplace productivity due to mental health difficulties’,</w:t>
      </w:r>
      <w:r w:rsidRPr="006D52E3">
        <w:rPr>
          <w:rFonts w:cs="Arial"/>
          <w:sz w:val="22"/>
        </w:rPr>
        <w:t xml:space="preserve"> </w:t>
      </w:r>
      <w:r w:rsidRPr="006D52E3">
        <w:rPr>
          <w:rFonts w:cs="Arial"/>
          <w:i/>
          <w:iCs/>
          <w:sz w:val="22"/>
        </w:rPr>
        <w:t>BMC Public Health</w:t>
      </w:r>
      <w:r w:rsidRPr="006D52E3">
        <w:rPr>
          <w:rFonts w:cs="Arial"/>
          <w:sz w:val="22"/>
        </w:rPr>
        <w:t>, 20, pp. 1–9. Available at: https://www.proquest.com/docview/2414896068 (Accessed: 19 October 2025).</w:t>
      </w:r>
    </w:p>
    <w:p w14:paraId="63659510" w14:textId="77777777" w:rsidR="005A7ACD" w:rsidRPr="006D52E3" w:rsidRDefault="005A7ACD" w:rsidP="006D52E3">
      <w:pPr>
        <w:spacing w:line="360" w:lineRule="auto"/>
        <w:jc w:val="both"/>
        <w:rPr>
          <w:rFonts w:cs="Arial"/>
          <w:sz w:val="22"/>
        </w:rPr>
      </w:pPr>
      <w:r w:rsidRPr="006D52E3">
        <w:rPr>
          <w:rFonts w:cs="Arial"/>
          <w:sz w:val="22"/>
        </w:rPr>
        <w:t xml:space="preserve">Health and Safety Executive (2025) </w:t>
      </w:r>
      <w:r w:rsidRPr="006D52E3">
        <w:rPr>
          <w:rFonts w:cs="Arial"/>
          <w:i/>
          <w:iCs/>
          <w:sz w:val="22"/>
        </w:rPr>
        <w:t>Mental health conditions, work and the workplace.</w:t>
      </w:r>
      <w:r w:rsidRPr="006D52E3">
        <w:rPr>
          <w:rFonts w:cs="Arial"/>
          <w:sz w:val="22"/>
        </w:rPr>
        <w:t xml:space="preserve"> Available at: https://www.hse.gov.uk/stress/mental-health-overview.htm (Accessed: 19 October 2025).</w:t>
      </w:r>
    </w:p>
    <w:p w14:paraId="4B147675" w14:textId="77777777" w:rsidR="005A7ACD" w:rsidRPr="006D52E3" w:rsidRDefault="005A7ACD" w:rsidP="006D52E3">
      <w:pPr>
        <w:spacing w:line="360" w:lineRule="auto"/>
        <w:jc w:val="both"/>
        <w:rPr>
          <w:rFonts w:cs="Arial"/>
          <w:sz w:val="22"/>
        </w:rPr>
      </w:pPr>
      <w:r w:rsidRPr="006D52E3">
        <w:rPr>
          <w:rFonts w:cs="Arial"/>
          <w:sz w:val="22"/>
        </w:rPr>
        <w:t>Henderson, C., Evans-Lacko, S. and Thornicroft, G. (2013) ‘</w:t>
      </w:r>
      <w:r w:rsidRPr="00291803">
        <w:rPr>
          <w:rFonts w:cs="Arial"/>
          <w:i/>
          <w:iCs/>
          <w:sz w:val="22"/>
        </w:rPr>
        <w:t>Mental illness stigma, help seeking, and public health programs’</w:t>
      </w:r>
      <w:r w:rsidRPr="006D52E3">
        <w:rPr>
          <w:rFonts w:cs="Arial"/>
          <w:sz w:val="22"/>
        </w:rPr>
        <w:t xml:space="preserve">, </w:t>
      </w:r>
      <w:r w:rsidRPr="006D52E3">
        <w:rPr>
          <w:rFonts w:cs="Arial"/>
          <w:i/>
          <w:iCs/>
          <w:sz w:val="22"/>
        </w:rPr>
        <w:t>American Journal of Public Health,</w:t>
      </w:r>
      <w:r w:rsidRPr="006D52E3">
        <w:rPr>
          <w:rFonts w:cs="Arial"/>
          <w:sz w:val="22"/>
        </w:rPr>
        <w:t xml:space="preserve"> 103(5), pp. 777–780.</w:t>
      </w:r>
    </w:p>
    <w:p w14:paraId="11A97AF5" w14:textId="77777777" w:rsidR="00291803" w:rsidRDefault="00291803" w:rsidP="006D52E3">
      <w:pPr>
        <w:spacing w:line="360" w:lineRule="auto"/>
        <w:jc w:val="both"/>
        <w:rPr>
          <w:rFonts w:cs="Arial"/>
          <w:sz w:val="22"/>
        </w:rPr>
      </w:pPr>
    </w:p>
    <w:p w14:paraId="58CE5FDE" w14:textId="4BA3255E" w:rsidR="00291803" w:rsidRDefault="00291803" w:rsidP="006D52E3">
      <w:pPr>
        <w:spacing w:line="360" w:lineRule="auto"/>
        <w:jc w:val="both"/>
        <w:rPr>
          <w:rFonts w:cs="Arial"/>
          <w:sz w:val="22"/>
        </w:rPr>
      </w:pPr>
      <w:r w:rsidRPr="00291803">
        <w:rPr>
          <w:rFonts w:cs="Arial"/>
          <w:sz w:val="22"/>
        </w:rPr>
        <w:lastRenderedPageBreak/>
        <w:t xml:space="preserve">Information Commissioner’s Office (2021) </w:t>
      </w:r>
      <w:r w:rsidRPr="00291803">
        <w:rPr>
          <w:rFonts w:cs="Arial"/>
          <w:i/>
          <w:iCs/>
          <w:sz w:val="22"/>
        </w:rPr>
        <w:t>Guide to the UK General Data Protection Regulation (UK G</w:t>
      </w:r>
      <w:r w:rsidRPr="00291803">
        <w:rPr>
          <w:rFonts w:cs="Arial"/>
          <w:sz w:val="22"/>
        </w:rPr>
        <w:t>DPR). Available at: https://ico.org.uk/for-organisations/uk-gdpr-guidance/ (Accessed: 20 November 2025).</w:t>
      </w:r>
    </w:p>
    <w:p w14:paraId="0DD3192E" w14:textId="2DDED642" w:rsidR="005A7ACD" w:rsidRPr="006D52E3" w:rsidRDefault="005A7ACD" w:rsidP="006D52E3">
      <w:pPr>
        <w:spacing w:line="360" w:lineRule="auto"/>
        <w:jc w:val="both"/>
        <w:rPr>
          <w:rFonts w:cs="Arial"/>
          <w:sz w:val="22"/>
        </w:rPr>
      </w:pPr>
      <w:r w:rsidRPr="006D52E3">
        <w:rPr>
          <w:rFonts w:cs="Arial"/>
          <w:sz w:val="22"/>
        </w:rPr>
        <w:t xml:space="preserve">Kavanagh, N. and Heffernan, M. (2023) ‘Mental health disclosure in the workplace – An interpretative phenomenological analysis of the employee experience’, </w:t>
      </w:r>
      <w:r w:rsidRPr="006D52E3">
        <w:rPr>
          <w:rFonts w:cs="Arial"/>
          <w:i/>
          <w:iCs/>
          <w:sz w:val="22"/>
        </w:rPr>
        <w:t xml:space="preserve">Irish Journal of Management, </w:t>
      </w:r>
      <w:r w:rsidRPr="006D52E3">
        <w:rPr>
          <w:rFonts w:cs="Arial"/>
          <w:sz w:val="22"/>
        </w:rPr>
        <w:t>42(2), pp. 140–159.</w:t>
      </w:r>
    </w:p>
    <w:p w14:paraId="7679C1DD" w14:textId="77777777" w:rsidR="005A7ACD" w:rsidRPr="006D52E3" w:rsidRDefault="005A7ACD" w:rsidP="006D52E3">
      <w:pPr>
        <w:spacing w:line="360" w:lineRule="auto"/>
        <w:jc w:val="both"/>
        <w:rPr>
          <w:rFonts w:cs="Arial"/>
          <w:sz w:val="22"/>
        </w:rPr>
      </w:pPr>
      <w:r w:rsidRPr="006D52E3">
        <w:rPr>
          <w:rFonts w:cs="Arial"/>
          <w:sz w:val="22"/>
        </w:rPr>
        <w:t xml:space="preserve">Mind (2020) </w:t>
      </w:r>
      <w:r w:rsidRPr="006D52E3">
        <w:rPr>
          <w:rFonts w:cs="Arial"/>
          <w:i/>
          <w:iCs/>
          <w:sz w:val="22"/>
        </w:rPr>
        <w:t>Telling your employer about your mental health problem</w:t>
      </w:r>
      <w:r w:rsidRPr="006D52E3">
        <w:rPr>
          <w:rFonts w:cs="Arial"/>
          <w:sz w:val="22"/>
        </w:rPr>
        <w:t>. London: Mind. Available at: https://www.mind.org.uk/information-support/legal-rights/discrimination/telling-your-employer/ (Accessed: 20 November 2025).</w:t>
      </w:r>
    </w:p>
    <w:p w14:paraId="380F386B" w14:textId="77777777" w:rsidR="005A7ACD" w:rsidRPr="006D52E3" w:rsidRDefault="005A7ACD" w:rsidP="006D52E3">
      <w:pPr>
        <w:spacing w:line="360" w:lineRule="auto"/>
        <w:jc w:val="both"/>
        <w:rPr>
          <w:rFonts w:cs="Arial"/>
          <w:sz w:val="22"/>
        </w:rPr>
      </w:pPr>
      <w:r w:rsidRPr="006D52E3">
        <w:rPr>
          <w:rFonts w:cs="Arial"/>
          <w:sz w:val="22"/>
        </w:rPr>
        <w:t xml:space="preserve">NHS (2023) </w:t>
      </w:r>
      <w:r w:rsidRPr="006D52E3">
        <w:rPr>
          <w:rFonts w:cs="Arial"/>
          <w:i/>
          <w:iCs/>
          <w:sz w:val="22"/>
        </w:rPr>
        <w:t>Supporting mental health in the workplace</w:t>
      </w:r>
      <w:r w:rsidRPr="006D52E3">
        <w:rPr>
          <w:rFonts w:cs="Arial"/>
          <w:sz w:val="22"/>
        </w:rPr>
        <w:t>. London: NHS. Available at: https://www.nhs.uk/mental-health/workplace-support/ (Accessed: 20 November 2025).</w:t>
      </w:r>
    </w:p>
    <w:p w14:paraId="3AF42189" w14:textId="77777777" w:rsidR="005A7ACD" w:rsidRPr="006D52E3" w:rsidRDefault="005A7ACD" w:rsidP="006D52E3">
      <w:pPr>
        <w:spacing w:line="360" w:lineRule="auto"/>
        <w:jc w:val="both"/>
        <w:rPr>
          <w:rFonts w:cs="Arial"/>
          <w:sz w:val="22"/>
        </w:rPr>
      </w:pPr>
      <w:r w:rsidRPr="006D52E3">
        <w:rPr>
          <w:rFonts w:cs="Arial"/>
          <w:sz w:val="22"/>
        </w:rPr>
        <w:t xml:space="preserve">NHS Employers (2024) </w:t>
      </w:r>
      <w:r w:rsidRPr="006D52E3">
        <w:rPr>
          <w:rFonts w:cs="Arial"/>
          <w:i/>
          <w:iCs/>
          <w:sz w:val="22"/>
        </w:rPr>
        <w:t>Mental health in the workplace</w:t>
      </w:r>
      <w:r w:rsidRPr="006D52E3">
        <w:rPr>
          <w:rFonts w:cs="Arial"/>
          <w:sz w:val="22"/>
        </w:rPr>
        <w:t>. Available at: https://www.nhsemployers.org (Accessed: 20 November 2025).</w:t>
      </w:r>
    </w:p>
    <w:p w14:paraId="42B7553E" w14:textId="0ECC69D0" w:rsidR="005A7ACD" w:rsidRPr="006D52E3" w:rsidRDefault="00560456" w:rsidP="006D52E3">
      <w:pPr>
        <w:spacing w:line="360" w:lineRule="auto"/>
        <w:jc w:val="both"/>
        <w:rPr>
          <w:rFonts w:cs="Arial"/>
          <w:sz w:val="22"/>
        </w:rPr>
      </w:pPr>
      <w:r w:rsidRPr="00560456">
        <w:rPr>
          <w:rFonts w:cs="Arial"/>
          <w:sz w:val="22"/>
        </w:rPr>
        <w:t xml:space="preserve">Peterson, J., et al. (2017) </w:t>
      </w:r>
      <w:r w:rsidRPr="00291803">
        <w:rPr>
          <w:rFonts w:cs="Arial"/>
          <w:i/>
          <w:iCs/>
          <w:sz w:val="22"/>
        </w:rPr>
        <w:t>Understanding scoping reviews: definition, purpose, and process. Journal of the American Academy of Nurse Practition</w:t>
      </w:r>
      <w:r w:rsidRPr="00560456">
        <w:rPr>
          <w:rFonts w:cs="Arial"/>
          <w:sz w:val="22"/>
        </w:rPr>
        <w:t>ers, 29(1), pp. 12–16.</w:t>
      </w:r>
    </w:p>
    <w:p w14:paraId="0E4E0883" w14:textId="77777777" w:rsidR="005A7ACD" w:rsidRPr="006D52E3" w:rsidRDefault="005A7ACD" w:rsidP="006D52E3">
      <w:pPr>
        <w:spacing w:line="360" w:lineRule="auto"/>
        <w:jc w:val="both"/>
        <w:rPr>
          <w:rFonts w:cs="Arial"/>
          <w:sz w:val="22"/>
        </w:rPr>
      </w:pPr>
      <w:r w:rsidRPr="006D52E3">
        <w:rPr>
          <w:rFonts w:cs="Arial"/>
          <w:sz w:val="22"/>
        </w:rPr>
        <w:t xml:space="preserve">Poddar, A. and </w:t>
      </w:r>
      <w:proofErr w:type="spellStart"/>
      <w:r w:rsidRPr="006D52E3">
        <w:rPr>
          <w:rFonts w:cs="Arial"/>
          <w:sz w:val="22"/>
        </w:rPr>
        <w:t>Chhajer</w:t>
      </w:r>
      <w:proofErr w:type="spellEnd"/>
      <w:r w:rsidRPr="006D52E3">
        <w:rPr>
          <w:rFonts w:cs="Arial"/>
          <w:sz w:val="22"/>
        </w:rPr>
        <w:t>, R. (2024) ‘</w:t>
      </w:r>
      <w:r w:rsidRPr="00291803">
        <w:rPr>
          <w:rFonts w:cs="Arial"/>
          <w:i/>
          <w:iCs/>
          <w:sz w:val="22"/>
        </w:rPr>
        <w:t>Detection and disclosure of workplace mental health challenges: an exploratory study from India’</w:t>
      </w:r>
      <w:r w:rsidRPr="006D52E3">
        <w:rPr>
          <w:rFonts w:cs="Arial"/>
          <w:i/>
          <w:iCs/>
          <w:sz w:val="22"/>
        </w:rPr>
        <w:t>, BMC Public Health</w:t>
      </w:r>
      <w:r w:rsidRPr="006D52E3">
        <w:rPr>
          <w:rFonts w:cs="Arial"/>
          <w:sz w:val="22"/>
        </w:rPr>
        <w:t>, 24, pp. 1–14.</w:t>
      </w:r>
    </w:p>
    <w:p w14:paraId="62A94D06" w14:textId="77777777" w:rsidR="005A7ACD" w:rsidRPr="006D52E3" w:rsidRDefault="005A7ACD" w:rsidP="006D52E3">
      <w:pPr>
        <w:spacing w:line="360" w:lineRule="auto"/>
        <w:jc w:val="both"/>
        <w:rPr>
          <w:rFonts w:cs="Arial"/>
          <w:sz w:val="22"/>
        </w:rPr>
      </w:pPr>
      <w:r w:rsidRPr="006D52E3">
        <w:rPr>
          <w:rFonts w:cs="Arial"/>
          <w:sz w:val="22"/>
        </w:rPr>
        <w:t xml:space="preserve">Richard, C., Corbière, M., Fiset-Renaud, H., et al. (2025) ‘Disclosure impact of mental health conditions in the workplace: a scoping review’, </w:t>
      </w:r>
      <w:r w:rsidRPr="006D52E3">
        <w:rPr>
          <w:rFonts w:cs="Arial"/>
          <w:i/>
          <w:iCs/>
          <w:sz w:val="22"/>
        </w:rPr>
        <w:t>Journal of Occupational</w:t>
      </w:r>
      <w:r w:rsidRPr="006D52E3">
        <w:rPr>
          <w:rFonts w:cs="Arial"/>
          <w:sz w:val="22"/>
        </w:rPr>
        <w:t xml:space="preserve"> Rehabilitation.</w:t>
      </w:r>
    </w:p>
    <w:p w14:paraId="13FCCB4E" w14:textId="77777777" w:rsidR="005A7ACD" w:rsidRPr="006D52E3" w:rsidRDefault="005A7ACD" w:rsidP="006D52E3">
      <w:pPr>
        <w:spacing w:line="360" w:lineRule="auto"/>
        <w:jc w:val="both"/>
        <w:rPr>
          <w:rFonts w:cs="Arial"/>
          <w:sz w:val="22"/>
        </w:rPr>
      </w:pPr>
      <w:r w:rsidRPr="006D52E3">
        <w:rPr>
          <w:rFonts w:cs="Arial"/>
          <w:sz w:val="22"/>
        </w:rPr>
        <w:t>Rojas Colloridi, C. (2024)</w:t>
      </w:r>
      <w:r>
        <w:rPr>
          <w:rFonts w:cs="Arial"/>
          <w:sz w:val="22"/>
        </w:rPr>
        <w:t>.</w:t>
      </w:r>
      <w:r w:rsidRPr="006D52E3">
        <w:rPr>
          <w:rFonts w:cs="Arial"/>
          <w:sz w:val="22"/>
        </w:rPr>
        <w:t xml:space="preserve"> </w:t>
      </w:r>
      <w:r w:rsidRPr="006D52E3">
        <w:rPr>
          <w:rFonts w:cs="Arial"/>
          <w:i/>
          <w:iCs/>
          <w:sz w:val="22"/>
        </w:rPr>
        <w:t>Mental health in the workplace: The definitive guide. SMB Guide</w:t>
      </w:r>
      <w:r w:rsidRPr="006D52E3">
        <w:rPr>
          <w:rFonts w:cs="Arial"/>
          <w:sz w:val="22"/>
        </w:rPr>
        <w:t>. Available at: https://www.smbguide.com/mental-health-in-the-workplace/ (Accessed: 27 November 2025).</w:t>
      </w:r>
    </w:p>
    <w:p w14:paraId="641026EE" w14:textId="77777777" w:rsidR="005A7ACD" w:rsidRPr="006D52E3" w:rsidRDefault="005A7ACD" w:rsidP="006D52E3">
      <w:pPr>
        <w:spacing w:line="360" w:lineRule="auto"/>
        <w:jc w:val="both"/>
        <w:rPr>
          <w:rFonts w:cs="Arial"/>
          <w:i/>
          <w:iCs/>
          <w:sz w:val="22"/>
        </w:rPr>
      </w:pPr>
      <w:r w:rsidRPr="006D52E3">
        <w:rPr>
          <w:rFonts w:cs="Arial"/>
          <w:sz w:val="22"/>
        </w:rPr>
        <w:t xml:space="preserve">Ronaldson, A. and Henderson, C. (2025) </w:t>
      </w:r>
      <w:r w:rsidRPr="00291803">
        <w:rPr>
          <w:rFonts w:cs="Arial"/>
          <w:i/>
          <w:iCs/>
          <w:sz w:val="22"/>
        </w:rPr>
        <w:t xml:space="preserve">Tracking the continued growth of mental illness stigma in </w:t>
      </w:r>
      <w:proofErr w:type="spellStart"/>
      <w:r w:rsidRPr="00291803">
        <w:rPr>
          <w:rFonts w:cs="Arial"/>
          <w:i/>
          <w:iCs/>
          <w:sz w:val="22"/>
        </w:rPr>
        <w:t>England.Statista</w:t>
      </w:r>
      <w:proofErr w:type="spellEnd"/>
      <w:r w:rsidRPr="00291803">
        <w:rPr>
          <w:rFonts w:cs="Arial"/>
          <w:i/>
          <w:iCs/>
          <w:sz w:val="22"/>
        </w:rPr>
        <w:t xml:space="preserve"> </w:t>
      </w:r>
      <w:r w:rsidRPr="006D52E3">
        <w:rPr>
          <w:rFonts w:cs="Arial"/>
          <w:i/>
          <w:iCs/>
          <w:sz w:val="22"/>
        </w:rPr>
        <w:t>(2021)</w:t>
      </w:r>
      <w:r>
        <w:rPr>
          <w:rFonts w:cs="Arial"/>
          <w:i/>
          <w:iCs/>
          <w:sz w:val="22"/>
        </w:rPr>
        <w:t>.</w:t>
      </w:r>
      <w:r w:rsidRPr="006D52E3">
        <w:rPr>
          <w:rFonts w:cs="Arial"/>
          <w:i/>
          <w:iCs/>
          <w:sz w:val="22"/>
        </w:rPr>
        <w:t xml:space="preserve"> Causes of stress at work in the United Kingdom in 2021 [Online]. Available at: https://www.statista.com/statistics/1134031/causes-of-stress-at-work-in-the-uk/ (Accessed: 20 November 2025).​</w:t>
      </w:r>
    </w:p>
    <w:p w14:paraId="5AB2701F" w14:textId="77777777" w:rsidR="005A7ACD" w:rsidRPr="006D52E3" w:rsidRDefault="005A7ACD" w:rsidP="006D52E3">
      <w:pPr>
        <w:spacing w:line="360" w:lineRule="auto"/>
        <w:jc w:val="both"/>
        <w:rPr>
          <w:rFonts w:cs="Arial"/>
          <w:i/>
          <w:iCs/>
          <w:sz w:val="22"/>
        </w:rPr>
      </w:pPr>
      <w:r w:rsidRPr="006D52E3">
        <w:rPr>
          <w:rFonts w:cs="Arial"/>
          <w:i/>
          <w:iCs/>
          <w:sz w:val="22"/>
        </w:rPr>
        <w:t>Statista. (2021). Causes of stress at work in the United Kingdom in 2021. https://www.statista.com/statistics/1134031/causes-of-stress-at-work-in-the-uk/​</w:t>
      </w:r>
    </w:p>
    <w:p w14:paraId="0A84322D" w14:textId="77777777" w:rsidR="005A7ACD" w:rsidRPr="006D52E3" w:rsidRDefault="005A7ACD" w:rsidP="006D52E3">
      <w:pPr>
        <w:spacing w:line="360" w:lineRule="auto"/>
        <w:jc w:val="both"/>
        <w:rPr>
          <w:rFonts w:cs="Arial"/>
          <w:sz w:val="22"/>
        </w:rPr>
      </w:pPr>
      <w:r w:rsidRPr="006D52E3">
        <w:rPr>
          <w:rFonts w:cs="Arial"/>
          <w:sz w:val="22"/>
        </w:rPr>
        <w:t xml:space="preserve">UK Government (2006) </w:t>
      </w:r>
      <w:r w:rsidRPr="006D52E3">
        <w:rPr>
          <w:rFonts w:cs="Arial"/>
          <w:i/>
          <w:iCs/>
          <w:sz w:val="22"/>
        </w:rPr>
        <w:t>Safeguarding Vulnerable Groups Act 2006</w:t>
      </w:r>
      <w:r w:rsidRPr="006D52E3">
        <w:rPr>
          <w:rFonts w:cs="Arial"/>
          <w:sz w:val="22"/>
        </w:rPr>
        <w:t>. Available at: https://www.legislation.gov.uk/ukpga/2006/47/contents (Accessed: 20 November 2025).</w:t>
      </w:r>
    </w:p>
    <w:p w14:paraId="0C85A4D1" w14:textId="77777777" w:rsidR="005A7ACD" w:rsidRPr="006D52E3" w:rsidRDefault="005A7ACD" w:rsidP="006D52E3">
      <w:pPr>
        <w:spacing w:line="360" w:lineRule="auto"/>
        <w:jc w:val="both"/>
        <w:rPr>
          <w:rFonts w:cs="Arial"/>
          <w:sz w:val="22"/>
        </w:rPr>
      </w:pPr>
      <w:r w:rsidRPr="006D52E3">
        <w:rPr>
          <w:rFonts w:cs="Arial"/>
          <w:sz w:val="22"/>
        </w:rPr>
        <w:t xml:space="preserve">UK Government (2010) </w:t>
      </w:r>
      <w:r w:rsidRPr="006D52E3">
        <w:rPr>
          <w:rFonts w:cs="Arial"/>
          <w:i/>
          <w:iCs/>
          <w:sz w:val="22"/>
        </w:rPr>
        <w:t>Equality Act 2010</w:t>
      </w:r>
      <w:r w:rsidRPr="006D52E3">
        <w:rPr>
          <w:rFonts w:cs="Arial"/>
          <w:sz w:val="22"/>
        </w:rPr>
        <w:t>. Available at: https://www.legislation.gov.uk/ukpga/2010/15/contents (Accessed: 20 November 2025).</w:t>
      </w:r>
    </w:p>
    <w:p w14:paraId="7E10AFCD" w14:textId="77777777" w:rsidR="005A7ACD" w:rsidRPr="006D52E3" w:rsidRDefault="005A7ACD" w:rsidP="006D52E3">
      <w:pPr>
        <w:spacing w:line="360" w:lineRule="auto"/>
        <w:jc w:val="both"/>
        <w:rPr>
          <w:rFonts w:cs="Arial"/>
          <w:sz w:val="22"/>
        </w:rPr>
      </w:pPr>
      <w:r w:rsidRPr="006D52E3">
        <w:rPr>
          <w:rFonts w:cs="Arial"/>
          <w:sz w:val="22"/>
        </w:rPr>
        <w:lastRenderedPageBreak/>
        <w:t xml:space="preserve">UK Government (2018) </w:t>
      </w:r>
      <w:r w:rsidRPr="00291803">
        <w:rPr>
          <w:rFonts w:cs="Arial"/>
          <w:i/>
          <w:iCs/>
          <w:sz w:val="22"/>
        </w:rPr>
        <w:t>Data Protection Act 2018.</w:t>
      </w:r>
      <w:r w:rsidRPr="006D52E3">
        <w:rPr>
          <w:rFonts w:cs="Arial"/>
          <w:sz w:val="22"/>
        </w:rPr>
        <w:t xml:space="preserve"> Available at: https://www.legislation.gov.uk/ukpga/2018/12/contents (Accessed: 20 November 2025).</w:t>
      </w:r>
    </w:p>
    <w:p w14:paraId="1A9499E3" w14:textId="340B5FC3" w:rsidR="00291803" w:rsidRDefault="00291803" w:rsidP="006D52E3">
      <w:pPr>
        <w:spacing w:line="360" w:lineRule="auto"/>
        <w:jc w:val="both"/>
        <w:rPr>
          <w:rFonts w:cs="Arial"/>
          <w:sz w:val="22"/>
        </w:rPr>
      </w:pPr>
      <w:r w:rsidRPr="00291803">
        <w:rPr>
          <w:rFonts w:cs="Arial"/>
          <w:sz w:val="22"/>
        </w:rPr>
        <w:t xml:space="preserve">Van De Voorde, K., Paauwe, J. and Van Veldhoven, M. (2012) </w:t>
      </w:r>
      <w:r w:rsidRPr="00291803">
        <w:rPr>
          <w:rFonts w:cs="Arial"/>
          <w:i/>
          <w:iCs/>
          <w:sz w:val="22"/>
        </w:rPr>
        <w:t>Employee well-being and the HRM–organisational performance relationship</w:t>
      </w:r>
      <w:r w:rsidRPr="00291803">
        <w:rPr>
          <w:rFonts w:cs="Arial"/>
          <w:sz w:val="22"/>
        </w:rPr>
        <w:t>: a review of quantitative studies. International Journal of Management Reviews, 14(4), pp. 391–407.</w:t>
      </w:r>
    </w:p>
    <w:p w14:paraId="5534B721" w14:textId="61692A9C" w:rsidR="005A7ACD" w:rsidRPr="006D52E3" w:rsidRDefault="005A7ACD" w:rsidP="006D52E3">
      <w:pPr>
        <w:spacing w:line="360" w:lineRule="auto"/>
        <w:jc w:val="both"/>
        <w:rPr>
          <w:rFonts w:cs="Arial"/>
          <w:sz w:val="22"/>
        </w:rPr>
      </w:pPr>
      <w:r w:rsidRPr="006D52E3">
        <w:rPr>
          <w:rFonts w:cs="Arial"/>
          <w:sz w:val="22"/>
        </w:rPr>
        <w:t>Weatherstone, S. and Dodd, L. (2022) ‘</w:t>
      </w:r>
      <w:r w:rsidRPr="00291803">
        <w:rPr>
          <w:rFonts w:cs="Arial"/>
          <w:i/>
          <w:iCs/>
          <w:sz w:val="22"/>
        </w:rPr>
        <w:t>Experiencing mental health when treating others: stigma, perception and employment’</w:t>
      </w:r>
      <w:r w:rsidRPr="006D52E3">
        <w:rPr>
          <w:rFonts w:cs="Arial"/>
          <w:sz w:val="22"/>
        </w:rPr>
        <w:t xml:space="preserve">, </w:t>
      </w:r>
      <w:r w:rsidRPr="006D52E3">
        <w:rPr>
          <w:rFonts w:cs="Arial"/>
          <w:i/>
          <w:iCs/>
          <w:sz w:val="22"/>
        </w:rPr>
        <w:t>European Journal of Mental Health,</w:t>
      </w:r>
      <w:r w:rsidRPr="006D52E3">
        <w:rPr>
          <w:rFonts w:cs="Arial"/>
          <w:sz w:val="22"/>
        </w:rPr>
        <w:t xml:space="preserve"> 17(3), pp. 5–22. doi:10.5708/EJMH.17.2022.3.1.</w:t>
      </w:r>
    </w:p>
    <w:p w14:paraId="62623F1C" w14:textId="77777777" w:rsidR="005A7ACD" w:rsidRPr="00047AF8" w:rsidRDefault="005A7ACD" w:rsidP="006D52E3">
      <w:pPr>
        <w:spacing w:line="360" w:lineRule="auto"/>
        <w:jc w:val="both"/>
        <w:rPr>
          <w:rFonts w:cs="Arial"/>
          <w:sz w:val="20"/>
          <w:szCs w:val="20"/>
        </w:rPr>
      </w:pPr>
      <w:r w:rsidRPr="006D52E3">
        <w:rPr>
          <w:rFonts w:cs="Arial"/>
          <w:sz w:val="22"/>
        </w:rPr>
        <w:t>White, B. (2023) ‘</w:t>
      </w:r>
      <w:r w:rsidRPr="00291803">
        <w:rPr>
          <w:rFonts w:cs="Arial"/>
          <w:i/>
          <w:iCs/>
          <w:sz w:val="22"/>
        </w:rPr>
        <w:t>Workplace mental health disclosure</w:t>
      </w:r>
      <w:r w:rsidRPr="006D52E3">
        <w:rPr>
          <w:rFonts w:cs="Arial"/>
          <w:sz w:val="22"/>
        </w:rPr>
        <w:t xml:space="preserve">: Navigating stigma and support’, </w:t>
      </w:r>
      <w:r w:rsidRPr="006D52E3">
        <w:rPr>
          <w:rFonts w:cs="Arial"/>
          <w:i/>
          <w:iCs/>
          <w:sz w:val="22"/>
        </w:rPr>
        <w:t>Qualitative Health Researc</w:t>
      </w:r>
      <w:r w:rsidRPr="00047AF8">
        <w:rPr>
          <w:rFonts w:cs="Arial"/>
          <w:i/>
          <w:iCs/>
          <w:sz w:val="20"/>
          <w:szCs w:val="20"/>
        </w:rPr>
        <w:t>h.</w:t>
      </w:r>
    </w:p>
    <w:sectPr w:rsidR="005A7ACD" w:rsidRPr="00047AF8" w:rsidSect="00E620E7">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378666" w14:textId="77777777" w:rsidR="004F72FE" w:rsidRDefault="004F72FE" w:rsidP="0097123B">
      <w:r>
        <w:separator/>
      </w:r>
    </w:p>
  </w:endnote>
  <w:endnote w:type="continuationSeparator" w:id="0">
    <w:p w14:paraId="162D1985" w14:textId="77777777" w:rsidR="004F72FE" w:rsidRDefault="004F72FE" w:rsidP="009712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7674862"/>
      <w:docPartObj>
        <w:docPartGallery w:val="Page Numbers (Bottom of Page)"/>
        <w:docPartUnique/>
      </w:docPartObj>
    </w:sdtPr>
    <w:sdtEndPr>
      <w:rPr>
        <w:noProof/>
      </w:rPr>
    </w:sdtEndPr>
    <w:sdtContent>
      <w:p w14:paraId="273D52C8" w14:textId="77777777" w:rsidR="00C56829" w:rsidRDefault="00C56829" w:rsidP="0097123B">
        <w:pPr>
          <w:pStyle w:val="Foo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rsidP="009712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77442E" w14:textId="77777777" w:rsidR="004F72FE" w:rsidRDefault="004F72FE" w:rsidP="0097123B">
      <w:r>
        <w:separator/>
      </w:r>
    </w:p>
  </w:footnote>
  <w:footnote w:type="continuationSeparator" w:id="0">
    <w:p w14:paraId="57EA6D72" w14:textId="77777777" w:rsidR="004F72FE" w:rsidRDefault="004F72FE" w:rsidP="009712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760D0"/>
    <w:multiLevelType w:val="hybridMultilevel"/>
    <w:tmpl w:val="B12A1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D4676"/>
    <w:multiLevelType w:val="hybridMultilevel"/>
    <w:tmpl w:val="7096A396"/>
    <w:lvl w:ilvl="0" w:tplc="40267B36">
      <w:start w:val="1"/>
      <w:numFmt w:val="decimal"/>
      <w:lvlText w:val="%1."/>
      <w:lvlJc w:val="left"/>
      <w:pPr>
        <w:ind w:left="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2" w15:restartNumberingAfterBreak="0">
    <w:nsid w:val="19602EB5"/>
    <w:multiLevelType w:val="hybridMultilevel"/>
    <w:tmpl w:val="B9FC6858"/>
    <w:lvl w:ilvl="0" w:tplc="0809000F">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15:restartNumberingAfterBreak="0">
    <w:nsid w:val="2B5764CD"/>
    <w:multiLevelType w:val="hybridMultilevel"/>
    <w:tmpl w:val="B4ACB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9158CE"/>
    <w:multiLevelType w:val="hybridMultilevel"/>
    <w:tmpl w:val="5D26C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C1471B"/>
    <w:multiLevelType w:val="hybridMultilevel"/>
    <w:tmpl w:val="52E0F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1769019">
    <w:abstractNumId w:val="1"/>
  </w:num>
  <w:num w:numId="2" w16cid:durableId="1961379571">
    <w:abstractNumId w:val="3"/>
  </w:num>
  <w:num w:numId="3" w16cid:durableId="2088308084">
    <w:abstractNumId w:val="5"/>
  </w:num>
  <w:num w:numId="4" w16cid:durableId="908072549">
    <w:abstractNumId w:val="2"/>
  </w:num>
  <w:num w:numId="5" w16cid:durableId="629827262">
    <w:abstractNumId w:val="4"/>
  </w:num>
  <w:num w:numId="6" w16cid:durableId="17610220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3134B"/>
    <w:rsid w:val="000367FC"/>
    <w:rsid w:val="00047AF8"/>
    <w:rsid w:val="000537B2"/>
    <w:rsid w:val="0005653F"/>
    <w:rsid w:val="000572BF"/>
    <w:rsid w:val="00061419"/>
    <w:rsid w:val="00072096"/>
    <w:rsid w:val="00074402"/>
    <w:rsid w:val="000B1EB9"/>
    <w:rsid w:val="000B57EB"/>
    <w:rsid w:val="000C650C"/>
    <w:rsid w:val="000F53B9"/>
    <w:rsid w:val="0011294F"/>
    <w:rsid w:val="001814BB"/>
    <w:rsid w:val="001C2449"/>
    <w:rsid w:val="001D7C03"/>
    <w:rsid w:val="00216C85"/>
    <w:rsid w:val="00244B37"/>
    <w:rsid w:val="0026393A"/>
    <w:rsid w:val="00273EDD"/>
    <w:rsid w:val="00274BBE"/>
    <w:rsid w:val="00291803"/>
    <w:rsid w:val="002C0D9D"/>
    <w:rsid w:val="002C3965"/>
    <w:rsid w:val="002F03B3"/>
    <w:rsid w:val="00321C4C"/>
    <w:rsid w:val="00355993"/>
    <w:rsid w:val="00371912"/>
    <w:rsid w:val="00392BBC"/>
    <w:rsid w:val="003938C4"/>
    <w:rsid w:val="003E4ECF"/>
    <w:rsid w:val="00453048"/>
    <w:rsid w:val="00465BA3"/>
    <w:rsid w:val="00474AF7"/>
    <w:rsid w:val="0048459C"/>
    <w:rsid w:val="004A736E"/>
    <w:rsid w:val="004A7BF2"/>
    <w:rsid w:val="004D2E1B"/>
    <w:rsid w:val="004D2FD4"/>
    <w:rsid w:val="004F72FE"/>
    <w:rsid w:val="0050362F"/>
    <w:rsid w:val="005036CF"/>
    <w:rsid w:val="00517DA9"/>
    <w:rsid w:val="00560456"/>
    <w:rsid w:val="005A7ACD"/>
    <w:rsid w:val="005C0C71"/>
    <w:rsid w:val="005C44BA"/>
    <w:rsid w:val="006301C5"/>
    <w:rsid w:val="00657CD2"/>
    <w:rsid w:val="006925AA"/>
    <w:rsid w:val="006D52E3"/>
    <w:rsid w:val="006D70B7"/>
    <w:rsid w:val="00702E4F"/>
    <w:rsid w:val="00711A75"/>
    <w:rsid w:val="00725177"/>
    <w:rsid w:val="00762D81"/>
    <w:rsid w:val="0076398E"/>
    <w:rsid w:val="00814A9E"/>
    <w:rsid w:val="00815C15"/>
    <w:rsid w:val="008467D8"/>
    <w:rsid w:val="008655F3"/>
    <w:rsid w:val="008875DF"/>
    <w:rsid w:val="008C2641"/>
    <w:rsid w:val="008D6FDB"/>
    <w:rsid w:val="0090040D"/>
    <w:rsid w:val="00904C8E"/>
    <w:rsid w:val="00933A35"/>
    <w:rsid w:val="009606DB"/>
    <w:rsid w:val="00962694"/>
    <w:rsid w:val="0097123B"/>
    <w:rsid w:val="00981294"/>
    <w:rsid w:val="009A10AA"/>
    <w:rsid w:val="009A2430"/>
    <w:rsid w:val="009B3294"/>
    <w:rsid w:val="009C4B4F"/>
    <w:rsid w:val="009D052C"/>
    <w:rsid w:val="009D15F1"/>
    <w:rsid w:val="009D1D1E"/>
    <w:rsid w:val="009E055C"/>
    <w:rsid w:val="009E25C0"/>
    <w:rsid w:val="00A035FD"/>
    <w:rsid w:val="00A40318"/>
    <w:rsid w:val="00AE0BC5"/>
    <w:rsid w:val="00AF5FB8"/>
    <w:rsid w:val="00B60A8F"/>
    <w:rsid w:val="00B76563"/>
    <w:rsid w:val="00B776DB"/>
    <w:rsid w:val="00B87E75"/>
    <w:rsid w:val="00BA09C7"/>
    <w:rsid w:val="00BA58D9"/>
    <w:rsid w:val="00BB517F"/>
    <w:rsid w:val="00BF4E1C"/>
    <w:rsid w:val="00BF51D1"/>
    <w:rsid w:val="00C06CA9"/>
    <w:rsid w:val="00C56829"/>
    <w:rsid w:val="00C948E5"/>
    <w:rsid w:val="00CC527D"/>
    <w:rsid w:val="00CD33A8"/>
    <w:rsid w:val="00CF64EE"/>
    <w:rsid w:val="00D163E4"/>
    <w:rsid w:val="00D212B4"/>
    <w:rsid w:val="00D72935"/>
    <w:rsid w:val="00D72BB9"/>
    <w:rsid w:val="00D73301"/>
    <w:rsid w:val="00D876DC"/>
    <w:rsid w:val="00DB6C8C"/>
    <w:rsid w:val="00DD7729"/>
    <w:rsid w:val="00DD7C41"/>
    <w:rsid w:val="00DE4A4C"/>
    <w:rsid w:val="00DE4DB7"/>
    <w:rsid w:val="00DF17E5"/>
    <w:rsid w:val="00DF197D"/>
    <w:rsid w:val="00DF3F99"/>
    <w:rsid w:val="00E567BD"/>
    <w:rsid w:val="00E569FD"/>
    <w:rsid w:val="00E620E7"/>
    <w:rsid w:val="00EB575D"/>
    <w:rsid w:val="00EC604F"/>
    <w:rsid w:val="00ED7547"/>
    <w:rsid w:val="00F0198E"/>
    <w:rsid w:val="00F20B49"/>
    <w:rsid w:val="00F25810"/>
    <w:rsid w:val="00F66E1B"/>
    <w:rsid w:val="00F7158B"/>
    <w:rsid w:val="00FD54E2"/>
    <w:rsid w:val="00FD7E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B4BA38"/>
  <w15:chartTrackingRefBased/>
  <w15:docId w15:val="{AFFD5E3B-09A7-49CB-A888-A7EF797D7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123B"/>
    <w:rPr>
      <w:rFonts w:ascii="Arial" w:hAnsi="Arial"/>
    </w:rPr>
  </w:style>
  <w:style w:type="paragraph" w:styleId="Heading1">
    <w:name w:val="heading 1"/>
    <w:basedOn w:val="Normal"/>
    <w:next w:val="Normal"/>
    <w:link w:val="Heading1Char"/>
    <w:autoRedefine/>
    <w:uiPriority w:val="9"/>
    <w:qFormat/>
    <w:rsid w:val="0097123B"/>
    <w:pPr>
      <w:keepNext/>
      <w:keepLines/>
      <w:spacing w:before="240" w:after="0" w:line="360" w:lineRule="auto"/>
      <w:ind w:left="360"/>
      <w:outlineLvl w:val="0"/>
    </w:pPr>
    <w:rPr>
      <w:rFonts w:eastAsiaTheme="majorEastAsia" w:cs="Arial"/>
      <w:b/>
      <w:bCs/>
      <w:color w:val="000000" w:themeColor="text1"/>
      <w:sz w:val="28"/>
    </w:rPr>
  </w:style>
  <w:style w:type="paragraph" w:styleId="Heading2">
    <w:name w:val="heading 2"/>
    <w:basedOn w:val="Normal"/>
    <w:next w:val="Normal"/>
    <w:link w:val="Heading2Char"/>
    <w:autoRedefine/>
    <w:uiPriority w:val="9"/>
    <w:unhideWhenUsed/>
    <w:qFormat/>
    <w:rsid w:val="008655F3"/>
    <w:pPr>
      <w:keepNext/>
      <w:keepLines/>
      <w:spacing w:before="40" w:after="0" w:line="360" w:lineRule="auto"/>
      <w:outlineLvl w:val="1"/>
    </w:pPr>
    <w:rPr>
      <w:rFonts w:eastAsiaTheme="majorEastAsia" w:cstheme="majorBidi"/>
      <w:b/>
      <w:i/>
      <w:color w:val="000000" w:themeColor="text1"/>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paragraph" w:styleId="Heading4">
    <w:name w:val="heading 4"/>
    <w:basedOn w:val="Normal"/>
    <w:next w:val="Normal"/>
    <w:link w:val="Heading4Char"/>
    <w:uiPriority w:val="9"/>
    <w:unhideWhenUsed/>
    <w:qFormat/>
    <w:rsid w:val="00DD772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6269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962694"/>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962694"/>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962694"/>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23B"/>
    <w:rPr>
      <w:rFonts w:ascii="Arial" w:eastAsiaTheme="majorEastAsia" w:hAnsi="Arial" w:cs="Arial"/>
      <w:b/>
      <w:bCs/>
      <w:color w:val="000000" w:themeColor="text1"/>
      <w:sz w:val="28"/>
    </w:rPr>
  </w:style>
  <w:style w:type="character" w:customStyle="1" w:styleId="Heading2Char">
    <w:name w:val="Heading 2 Char"/>
    <w:basedOn w:val="DefaultParagraphFont"/>
    <w:link w:val="Heading2"/>
    <w:uiPriority w:val="9"/>
    <w:rsid w:val="008655F3"/>
    <w:rPr>
      <w:rFonts w:ascii="Arial" w:eastAsiaTheme="majorEastAsia" w:hAnsi="Arial" w:cstheme="majorBidi"/>
      <w:b/>
      <w:i/>
      <w:color w:val="000000" w:themeColor="text1"/>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table" w:styleId="TableGrid">
    <w:name w:val="Table Grid"/>
    <w:basedOn w:val="TableNormal"/>
    <w:uiPriority w:val="39"/>
    <w:rsid w:val="000B1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567BD"/>
    <w:rPr>
      <w:color w:val="0563C1" w:themeColor="hyperlink"/>
      <w:u w:val="single"/>
    </w:rPr>
  </w:style>
  <w:style w:type="character" w:styleId="UnresolvedMention">
    <w:name w:val="Unresolved Mention"/>
    <w:basedOn w:val="DefaultParagraphFont"/>
    <w:uiPriority w:val="99"/>
    <w:semiHidden/>
    <w:unhideWhenUsed/>
    <w:rsid w:val="00E567BD"/>
    <w:rPr>
      <w:color w:val="605E5C"/>
      <w:shd w:val="clear" w:color="auto" w:fill="E1DFDD"/>
    </w:rPr>
  </w:style>
  <w:style w:type="paragraph" w:styleId="ListParagraph">
    <w:name w:val="List Paragraph"/>
    <w:basedOn w:val="Normal"/>
    <w:uiPriority w:val="34"/>
    <w:qFormat/>
    <w:rsid w:val="002F03B3"/>
    <w:pPr>
      <w:ind w:left="720"/>
      <w:contextualSpacing/>
    </w:pPr>
  </w:style>
  <w:style w:type="paragraph" w:styleId="TOCHeading">
    <w:name w:val="TOC Heading"/>
    <w:basedOn w:val="Heading1"/>
    <w:next w:val="Normal"/>
    <w:uiPriority w:val="39"/>
    <w:unhideWhenUsed/>
    <w:qFormat/>
    <w:rsid w:val="00C06CA9"/>
    <w:pPr>
      <w:spacing w:line="259" w:lineRule="auto"/>
      <w:outlineLvl w:val="9"/>
    </w:pPr>
    <w:rPr>
      <w:rFonts w:asciiTheme="majorHAnsi" w:hAnsiTheme="majorHAnsi" w:cstheme="majorBidi"/>
      <w:bCs w:val="0"/>
      <w:color w:val="2F5496" w:themeColor="accent1" w:themeShade="BF"/>
      <w:szCs w:val="32"/>
      <w:lang w:val="en-US"/>
    </w:rPr>
  </w:style>
  <w:style w:type="paragraph" w:styleId="TOC1">
    <w:name w:val="toc 1"/>
    <w:basedOn w:val="Normal"/>
    <w:next w:val="Normal"/>
    <w:autoRedefine/>
    <w:uiPriority w:val="39"/>
    <w:unhideWhenUsed/>
    <w:rsid w:val="009C4B4F"/>
    <w:pPr>
      <w:spacing w:after="100"/>
    </w:pPr>
  </w:style>
  <w:style w:type="character" w:customStyle="1" w:styleId="Heading4Char">
    <w:name w:val="Heading 4 Char"/>
    <w:basedOn w:val="DefaultParagraphFont"/>
    <w:link w:val="Heading4"/>
    <w:uiPriority w:val="9"/>
    <w:rsid w:val="00DD772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96269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96269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96269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962694"/>
    <w:rPr>
      <w:rFonts w:asciiTheme="majorHAnsi" w:eastAsiaTheme="majorEastAsia" w:hAnsiTheme="majorHAnsi" w:cstheme="majorBidi"/>
      <w:color w:val="272727" w:themeColor="text1" w:themeTint="D8"/>
      <w:sz w:val="21"/>
      <w:szCs w:val="21"/>
    </w:rPr>
  </w:style>
  <w:style w:type="paragraph" w:styleId="TOC2">
    <w:name w:val="toc 2"/>
    <w:basedOn w:val="Normal"/>
    <w:next w:val="Normal"/>
    <w:autoRedefine/>
    <w:uiPriority w:val="39"/>
    <w:unhideWhenUsed/>
    <w:rsid w:val="00962694"/>
    <w:pPr>
      <w:spacing w:after="100"/>
      <w:ind w:left="240"/>
    </w:pPr>
  </w:style>
  <w:style w:type="paragraph" w:styleId="TOC3">
    <w:name w:val="toc 3"/>
    <w:basedOn w:val="Normal"/>
    <w:next w:val="Normal"/>
    <w:autoRedefine/>
    <w:uiPriority w:val="39"/>
    <w:unhideWhenUsed/>
    <w:rsid w:val="0096269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A60760-60DB-4E8E-A5BD-062B0D058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5069</Words>
  <Characters>28894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Diana Kryemadhi (2024820)</cp:lastModifiedBy>
  <cp:revision>2</cp:revision>
  <dcterms:created xsi:type="dcterms:W3CDTF">2025-12-07T19:07:00Z</dcterms:created>
  <dcterms:modified xsi:type="dcterms:W3CDTF">2025-12-07T19:07:00Z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c47b81e4-3c09-47ee-9b8d-1f7bf25117cd</vt:lpwstr>
  </property>
</Properties>
</file>