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ECD62" w14:textId="02ACA550" w:rsidR="00E62A05" w:rsidRPr="00A96682" w:rsidRDefault="00E62A05" w:rsidP="00A96682">
      <w:pPr>
        <w:spacing w:line="480" w:lineRule="auto"/>
        <w:jc w:val="center"/>
        <w:rPr>
          <w:u w:val="single"/>
        </w:rPr>
      </w:pPr>
      <w:bookmarkStart w:id="0" w:name="_Hlk530155592"/>
      <w:bookmarkEnd w:id="0"/>
      <w:r>
        <w:rPr>
          <w:u w:val="single"/>
        </w:rPr>
        <w:t>James Forder HPHI5009 Essay: To what extent were the Normans united by a shared sense of identity?</w:t>
      </w:r>
    </w:p>
    <w:p w14:paraId="152D9797" w14:textId="66AD6B16" w:rsidR="00D91AEA" w:rsidRDefault="00E62A05" w:rsidP="00A96682">
      <w:pPr>
        <w:spacing w:line="480" w:lineRule="auto"/>
      </w:pPr>
      <w:r w:rsidRPr="00E62A05">
        <w:t>The questio</w:t>
      </w:r>
      <w:r>
        <w:t xml:space="preserve">n of the Norman identity is a complex one, with many contrasting views. Douglas, in his </w:t>
      </w:r>
      <w:r>
        <w:rPr>
          <w:i/>
        </w:rPr>
        <w:t>The Norman Achievement</w:t>
      </w:r>
      <w:r>
        <w:t xml:space="preserve"> for example, considers the Norman peoples to have enough similarities to be considered a distinctive group identity.</w:t>
      </w:r>
      <w:r>
        <w:rPr>
          <w:rStyle w:val="FootnoteReference"/>
        </w:rPr>
        <w:footnoteReference w:id="1"/>
      </w:r>
      <w:r>
        <w:t xml:space="preserve"> In contrast to this, Davis in </w:t>
      </w:r>
      <w:r>
        <w:rPr>
          <w:i/>
        </w:rPr>
        <w:t>The Normans and their Myth</w:t>
      </w:r>
      <w:r>
        <w:t xml:space="preserve"> considers this unified identity to be a myth designed to create the impression of a united people</w:t>
      </w:r>
      <w:r w:rsidR="00E813F3">
        <w:t xml:space="preserve"> or nation</w:t>
      </w:r>
      <w:r>
        <w:t xml:space="preserve">, referring to the different </w:t>
      </w:r>
      <w:r w:rsidR="00E813F3">
        <w:t>Norman conquests as ‘disjointed events’.</w:t>
      </w:r>
      <w:r w:rsidR="00E813F3">
        <w:rPr>
          <w:rStyle w:val="FootnoteReference"/>
        </w:rPr>
        <w:footnoteReference w:id="2"/>
      </w:r>
      <w:r w:rsidR="00E813F3">
        <w:t xml:space="preserve"> Baxter-Wolf echoes these sentiments, although claiming that Davis should have delved further into the topic.</w:t>
      </w:r>
      <w:r w:rsidR="00E813F3">
        <w:rPr>
          <w:rStyle w:val="FootnoteReference"/>
        </w:rPr>
        <w:footnoteReference w:id="3"/>
      </w:r>
      <w:r w:rsidR="00E813F3">
        <w:t xml:space="preserve"> However, the topic itself is full of issues, such as how to define identity, with a lack of consistency being one of Webber’s complaints regarding the topic.</w:t>
      </w:r>
      <w:r w:rsidR="00E813F3">
        <w:rPr>
          <w:rStyle w:val="FootnoteReference"/>
        </w:rPr>
        <w:footnoteReference w:id="4"/>
      </w:r>
      <w:r w:rsidR="00761C97">
        <w:t xml:space="preserve"> For the purposes of this essay, ‘identity’ will be defined as the ways in which the Normans perceive themselves and are perceived by others, to get as broad and versatile a framework as possible to work from. This essay will attempt to determine how different Normans were perceived and </w:t>
      </w:r>
      <w:r w:rsidR="00B01684">
        <w:t>compare</w:t>
      </w:r>
      <w:r w:rsidR="00761C97">
        <w:t xml:space="preserve"> with different times and places to establish how their identity evolves in different scenarios. </w:t>
      </w:r>
    </w:p>
    <w:p w14:paraId="25F21E02" w14:textId="65BAA433" w:rsidR="00FF6D00" w:rsidRDefault="00E0518E" w:rsidP="00A96682">
      <w:pPr>
        <w:spacing w:line="480" w:lineRule="auto"/>
      </w:pPr>
      <w:r>
        <w:t xml:space="preserve">The first issue that must be addressed is the Scandinavian aspect of the Norman identity. One of the ways in which this aspect remains in the historical sources is the somewhat subversive references to the Normans as the ‘fierce wolf’ grazing in the ‘sheep’s field’ in </w:t>
      </w:r>
      <w:proofErr w:type="spellStart"/>
      <w:r>
        <w:t>Dudo</w:t>
      </w:r>
      <w:proofErr w:type="spellEnd"/>
      <w:r>
        <w:t xml:space="preserve"> of Saint-Quentin’s account of the settlement of Normandy.</w:t>
      </w:r>
      <w:r>
        <w:rPr>
          <w:rStyle w:val="FootnoteReference"/>
        </w:rPr>
        <w:footnoteReference w:id="5"/>
      </w:r>
      <w:r>
        <w:t xml:space="preserve"> This quotation firstly evokes the image of Viking plunderers attacking and stealing from helpless civilians during raids, implying that a certain aspect of the Viking heritage of the Norman settlers remained. He is also said to have </w:t>
      </w:r>
      <w:r>
        <w:lastRenderedPageBreak/>
        <w:t xml:space="preserve">been granted an area of Brittany for plunder, further showing this continuation of Norse </w:t>
      </w:r>
      <w:r w:rsidR="003931A9">
        <w:t>lifestyle.</w:t>
      </w:r>
      <w:r w:rsidR="003931A9">
        <w:rPr>
          <w:rStyle w:val="FootnoteReference"/>
        </w:rPr>
        <w:footnoteReference w:id="6"/>
      </w:r>
      <w:r w:rsidR="003931A9">
        <w:t xml:space="preserve"> The image of the wolf is also very important in the mythology of the Scandinavian population, through the figure of Fenrir.</w:t>
      </w:r>
      <w:r w:rsidR="003931A9">
        <w:rPr>
          <w:rStyle w:val="FootnoteReference"/>
        </w:rPr>
        <w:footnoteReference w:id="7"/>
      </w:r>
      <w:r w:rsidR="003931A9">
        <w:t xml:space="preserve"> The image of the sheep is also important within Christian iconography, with the idea of the followers of the religion being a ‘flock’ for God. Therefore, this metaphor also acts in a way to add doubt as to the sincerity of Rollo’s conversion to Christianity, using the image of the pagan mythology of the wolf to represent Normans and the Christian icon of the sheep to represent the pre-existing inhabitants</w:t>
      </w:r>
      <w:r w:rsidR="00751C64">
        <w:t>, giving the impression that they continued attacking the locals after their apparent conversion</w:t>
      </w:r>
      <w:r w:rsidR="003931A9">
        <w:t xml:space="preserve">. </w:t>
      </w:r>
      <w:r w:rsidR="00355409">
        <w:t xml:space="preserve">This backs up Douglas’ point of the Normans being initially reluctant to relinquish their Norse customs and </w:t>
      </w:r>
      <w:proofErr w:type="spellStart"/>
      <w:r w:rsidR="00355409">
        <w:t>Neveux’s</w:t>
      </w:r>
      <w:proofErr w:type="spellEnd"/>
      <w:r w:rsidR="00355409">
        <w:t xml:space="preserve"> perspective that Rollo continued to act as a Viking chief in Normandy.</w:t>
      </w:r>
      <w:r w:rsidR="00355409">
        <w:rPr>
          <w:rStyle w:val="FootnoteReference"/>
        </w:rPr>
        <w:footnoteReference w:id="8"/>
      </w:r>
      <w:r w:rsidR="00355409">
        <w:t xml:space="preserve"> From this, a distinctive Norman identity did not form directly after Rollo’s acquisition of Normandy but occurred later.</w:t>
      </w:r>
    </w:p>
    <w:p w14:paraId="09B5A104" w14:textId="3FB52C0D" w:rsidR="00FA3A65" w:rsidRDefault="00FA3A65" w:rsidP="00A96682">
      <w:pPr>
        <w:spacing w:line="480" w:lineRule="auto"/>
      </w:pPr>
      <w:r>
        <w:t>A distinctive Norman identity was formed with Normandy once the Frankish and Christian customs became predominant, at the expense of their initial Scandinavian origins, which became rather lacking.</w:t>
      </w:r>
      <w:r>
        <w:rPr>
          <w:rStyle w:val="FootnoteReference"/>
        </w:rPr>
        <w:footnoteReference w:id="9"/>
      </w:r>
      <w:r>
        <w:t xml:space="preserve"> The purpose of this change of identity occurred for various reasons. The first reason is a desire to distance themselves from the ‘wolves’ that were their ancestors</w:t>
      </w:r>
      <w:r w:rsidR="00C161A1">
        <w:t>, and to associate themselves with the Christian Franks, perhaps to forge a new national identity.</w:t>
      </w:r>
      <w:r w:rsidR="00C161A1">
        <w:rPr>
          <w:rStyle w:val="FootnoteReference"/>
        </w:rPr>
        <w:footnoteReference w:id="10"/>
      </w:r>
      <w:r w:rsidR="00C161A1">
        <w:t xml:space="preserve"> This Frankish identity carries on throughout the Norman expansion, with the </w:t>
      </w:r>
      <w:r w:rsidR="00C161A1" w:rsidRPr="00C161A1">
        <w:rPr>
          <w:i/>
        </w:rPr>
        <w:t>Anglo-Saxon Chronicl</w:t>
      </w:r>
      <w:r w:rsidR="00C161A1">
        <w:t>e being unable to distinguish between the Normans and the remainder of France, referring to the Norman conquerors as ‘French’</w:t>
      </w:r>
      <w:r w:rsidR="000351D2">
        <w:t>, although Henry of Huntingdon does refer to them as ‘Normans’ in his account</w:t>
      </w:r>
      <w:r w:rsidR="00C161A1">
        <w:t>.</w:t>
      </w:r>
      <w:r w:rsidR="00C161A1">
        <w:rPr>
          <w:rStyle w:val="FootnoteReference"/>
        </w:rPr>
        <w:footnoteReference w:id="11"/>
      </w:r>
      <w:r w:rsidR="000351D2">
        <w:t xml:space="preserve"> The association with </w:t>
      </w:r>
      <w:r w:rsidR="00EE65E4">
        <w:t>the Franks</w:t>
      </w:r>
      <w:r w:rsidR="000351D2">
        <w:t xml:space="preserve"> is also </w:t>
      </w:r>
      <w:r w:rsidR="000351D2">
        <w:lastRenderedPageBreak/>
        <w:t>depicted with the fleur-de-lis on the image of Roger II of Sicily being crowned by Christ (fig. 1), as well as being evoked by Bohemund to appeal to his fellow Normans to join the First Crusade.</w:t>
      </w:r>
      <w:r w:rsidR="000351D2">
        <w:rPr>
          <w:rStyle w:val="FootnoteReference"/>
        </w:rPr>
        <w:footnoteReference w:id="12"/>
      </w:r>
      <w:r w:rsidR="00EE65E4">
        <w:t xml:space="preserve"> This shows that across the Norman territories, this Frankish identity remains a constant presence, at least initially. This may have been to establish themselves as the ‘champions of Christendom’, as </w:t>
      </w:r>
      <w:proofErr w:type="spellStart"/>
      <w:r w:rsidR="00EE65E4">
        <w:t>Albu</w:t>
      </w:r>
      <w:proofErr w:type="spellEnd"/>
      <w:r w:rsidR="00EE65E4">
        <w:t xml:space="preserve"> puts it,</w:t>
      </w:r>
      <w:r w:rsidR="00EE65E4">
        <w:rPr>
          <w:rStyle w:val="FootnoteReference"/>
        </w:rPr>
        <w:footnoteReference w:id="13"/>
      </w:r>
      <w:r w:rsidR="00C706BB">
        <w:t xml:space="preserve"> perhaps as a justification for their actions. </w:t>
      </w:r>
      <w:proofErr w:type="spellStart"/>
      <w:r w:rsidR="00C30405">
        <w:t>Neveux</w:t>
      </w:r>
      <w:proofErr w:type="spellEnd"/>
      <w:r w:rsidR="00C30405">
        <w:t xml:space="preserve"> also attributes the adoption of Frankish identity as a means of establishing their authority.</w:t>
      </w:r>
      <w:r w:rsidR="00C30405">
        <w:rPr>
          <w:rStyle w:val="FootnoteReference"/>
        </w:rPr>
        <w:footnoteReference w:id="14"/>
      </w:r>
      <w:r w:rsidR="00C30405">
        <w:t xml:space="preserve"> This makes sense, as it would be beneficial for the locals to relate to their leaders on a cultural level, as well as to make communication between Normandy and its neighbouring allies more coherent. </w:t>
      </w:r>
      <w:r w:rsidR="00C706BB">
        <w:t>Although Davis attributes the adoption of this new identity as a way of being confident in their new beliefs and customs,</w:t>
      </w:r>
      <w:r w:rsidR="00C706BB">
        <w:rPr>
          <w:rStyle w:val="FootnoteReference"/>
        </w:rPr>
        <w:footnoteReference w:id="15"/>
      </w:r>
      <w:r w:rsidR="00C706BB">
        <w:t xml:space="preserve"> I would argue that it is in fact out of a deep insecurity in their ‘barbaric, pagan’ origins that led to this usurping of their self-image. The extent to which the Normans adopted Frankish customs and identity shows a desire to disavow their ancestors ’actions, and to relieve them of the burden of drawing parallels within themselves to such behaviour.</w:t>
      </w:r>
      <w:r w:rsidR="00C30405">
        <w:t xml:space="preserve"> Overall, the Normans were in a way united both in the need to present a strong, relatable persona to better administer their local and surrounding populations, and to relieve themselves of the burden of their ancestry by diverting attention away from the more ‘barbaric’ elements of their past, and towards a recognisable Christian identity to justify their actions, both to themselves and to the rest of Christendom.</w:t>
      </w:r>
    </w:p>
    <w:p w14:paraId="2467B814" w14:textId="502E8DD7" w:rsidR="00336855" w:rsidRDefault="001B1E39" w:rsidP="00A96682">
      <w:pPr>
        <w:spacing w:line="480" w:lineRule="auto"/>
      </w:pPr>
      <w:r>
        <w:t>One element of Norman identity which is of particular importance is that of the Normans being ‘</w:t>
      </w:r>
      <w:proofErr w:type="gramStart"/>
      <w:r>
        <w:t>tricksters’</w:t>
      </w:r>
      <w:proofErr w:type="gramEnd"/>
      <w:r>
        <w:t xml:space="preserve">. This aspect of their character is presented by Henry of Huntingdon rather </w:t>
      </w:r>
      <w:r>
        <w:lastRenderedPageBreak/>
        <w:t>overtly, referring to them as ‘violent and cunning’,</w:t>
      </w:r>
      <w:r>
        <w:rPr>
          <w:rStyle w:val="FootnoteReference"/>
        </w:rPr>
        <w:footnoteReference w:id="16"/>
      </w:r>
      <w:r w:rsidR="006A6AB4">
        <w:t xml:space="preserve"> </w:t>
      </w:r>
      <w:r w:rsidR="006A6AB4">
        <w:t xml:space="preserve">and in Anna </w:t>
      </w:r>
      <w:proofErr w:type="spellStart"/>
      <w:r w:rsidR="006A6AB4">
        <w:t>Comnena’s</w:t>
      </w:r>
      <w:proofErr w:type="spellEnd"/>
      <w:r w:rsidR="006A6AB4">
        <w:t xml:space="preserve"> description of Bohemund and his swearing of allegiance to Alexius after the promise of treasure.</w:t>
      </w:r>
      <w:r w:rsidR="006A6AB4">
        <w:rPr>
          <w:rStyle w:val="FootnoteReference"/>
        </w:rPr>
        <w:footnoteReference w:id="17"/>
      </w:r>
      <w:r w:rsidR="00A47B1F">
        <w:t>It is also represented</w:t>
      </w:r>
      <w:r>
        <w:t xml:space="preserve"> more indirectly in accounts of events, such as </w:t>
      </w:r>
      <w:r w:rsidR="00F725FA">
        <w:t>the tactics at the siege of Antioch in convincing a messenger to defect</w:t>
      </w:r>
      <w:r w:rsidR="000D1BC0">
        <w:t>.</w:t>
      </w:r>
      <w:r w:rsidR="00F725FA">
        <w:rPr>
          <w:rStyle w:val="FootnoteReference"/>
        </w:rPr>
        <w:footnoteReference w:id="18"/>
      </w:r>
      <w:r w:rsidR="006A6AB4">
        <w:t xml:space="preserve"> </w:t>
      </w:r>
      <w:r w:rsidR="006A2BDD">
        <w:t xml:space="preserve">The situation of Harold’s oath to William the Conqueror could also be interpreted as an example of trickery, given the </w:t>
      </w:r>
      <w:r w:rsidR="00C013B7">
        <w:t xml:space="preserve">possibility of it being </w:t>
      </w:r>
      <w:r w:rsidR="006A2BDD">
        <w:t>taken under duress following the release of Harold from imprisonment.</w:t>
      </w:r>
      <w:r w:rsidR="006A2BDD">
        <w:rPr>
          <w:rStyle w:val="FootnoteReference"/>
        </w:rPr>
        <w:footnoteReference w:id="19"/>
      </w:r>
      <w:r w:rsidR="006A2BDD">
        <w:t xml:space="preserve"> This perception of the Normans as tricksters is either portrayed in a positive way or negatively, depending on the situation and the author in question. The </w:t>
      </w:r>
      <w:r w:rsidR="0095522E">
        <w:t>siege of Antioch for example</w:t>
      </w:r>
      <w:r w:rsidR="007E2289">
        <w:t>,</w:t>
      </w:r>
      <w:r w:rsidR="0095522E">
        <w:t xml:space="preserve"> is presented as a clever tactic by crusade chroniclers, whereas Bohemund is described by Anna </w:t>
      </w:r>
      <w:proofErr w:type="spellStart"/>
      <w:r w:rsidR="0095522E">
        <w:t>Comnena</w:t>
      </w:r>
      <w:proofErr w:type="spellEnd"/>
      <w:r w:rsidR="0095522E">
        <w:t xml:space="preserve"> as a ‘liar’.</w:t>
      </w:r>
      <w:r w:rsidR="0095522E">
        <w:rPr>
          <w:rStyle w:val="FootnoteReference"/>
        </w:rPr>
        <w:footnoteReference w:id="20"/>
      </w:r>
      <w:r w:rsidR="0095522E">
        <w:t xml:space="preserve"> Therefore, this character trait is either presented as examples of divine inspiration and piety or is a call-back to the Normans’ roots as plunderers, possibly a subversive reference to the figure of Loki</w:t>
      </w:r>
      <w:r w:rsidR="00827297">
        <w:t xml:space="preserve"> as a trickster</w:t>
      </w:r>
      <w:r w:rsidR="0095522E">
        <w:t xml:space="preserve"> in Norse mythology. This further increases the importance of the Normans convincing themselves of their Frankish identity, as they could spin this trait as</w:t>
      </w:r>
      <w:r w:rsidR="00AC6467">
        <w:t xml:space="preserve"> using intelligent tactics in their expansion of Christendom, allowing them to ignore the parallels to their origins. </w:t>
      </w:r>
      <w:proofErr w:type="spellStart"/>
      <w:r w:rsidR="00AC6467">
        <w:t>Albu</w:t>
      </w:r>
      <w:proofErr w:type="spellEnd"/>
      <w:r w:rsidR="00AC6467">
        <w:t xml:space="preserve"> puts forward the idea that this trickster nature also shows some anxiety over the Normans’ abilities as rulers, although she also</w:t>
      </w:r>
      <w:r w:rsidR="003830EC">
        <w:t xml:space="preserve"> states that this trait also created unstable communities.</w:t>
      </w:r>
      <w:r w:rsidR="003830EC">
        <w:rPr>
          <w:rStyle w:val="FootnoteReference"/>
        </w:rPr>
        <w:footnoteReference w:id="21"/>
      </w:r>
      <w:r w:rsidR="00AC6467">
        <w:t xml:space="preserve"> </w:t>
      </w:r>
      <w:r w:rsidR="003830EC">
        <w:t xml:space="preserve">However, except for England and a few small rebellions in Sicily, Norman rule was mostly stable. It certainly didn’t prevent them from effectively ruling over three distinct peoples in Sicily. Overall, although the perception of the Normans as tricksters may indeed have been a source of anxiety, it did </w:t>
      </w:r>
      <w:r w:rsidR="003830EC">
        <w:lastRenderedPageBreak/>
        <w:t xml:space="preserve">not negatively affect their ability to rule in most </w:t>
      </w:r>
      <w:r w:rsidR="002724AD">
        <w:t>situations and</w:t>
      </w:r>
      <w:r w:rsidR="003830EC">
        <w:t xml:space="preserve"> allowed the Normans to present themselves as </w:t>
      </w:r>
      <w:r w:rsidR="002724AD">
        <w:t>intelligent champions of Christendom.</w:t>
      </w:r>
    </w:p>
    <w:p w14:paraId="1ABCECC9" w14:textId="0F2006ED" w:rsidR="002724AD" w:rsidRDefault="00536F00" w:rsidP="00A96682">
      <w:pPr>
        <w:spacing w:line="480" w:lineRule="auto"/>
      </w:pPr>
      <w:r>
        <w:t xml:space="preserve">On the topic of administration, another identity associated with the Normans is that of effective rulers. While this is certainly the case in Normandy, Italy and Sicily, the question of their administrative abilities in England has been called into question. Whereas </w:t>
      </w:r>
      <w:proofErr w:type="spellStart"/>
      <w:r>
        <w:t>Neveux</w:t>
      </w:r>
      <w:proofErr w:type="spellEnd"/>
      <w:r>
        <w:t xml:space="preserve"> buys into the idea of Norman England’s effective governorship,</w:t>
      </w:r>
      <w:r>
        <w:rPr>
          <w:rStyle w:val="FootnoteReference"/>
        </w:rPr>
        <w:footnoteReference w:id="22"/>
      </w:r>
      <w:r>
        <w:t xml:space="preserve"> Warren puts forward the idea that this perception is a misconception.</w:t>
      </w:r>
      <w:r>
        <w:rPr>
          <w:rStyle w:val="FootnoteReference"/>
        </w:rPr>
        <w:footnoteReference w:id="23"/>
      </w:r>
      <w:r w:rsidR="00847DB4">
        <w:t xml:space="preserve"> One specific example is the coin minting industry, stating that people seemingly forgot about rules which had existed for generations, leading to a monetary crisis.</w:t>
      </w:r>
      <w:r w:rsidR="00847DB4">
        <w:rPr>
          <w:rStyle w:val="FootnoteReference"/>
        </w:rPr>
        <w:footnoteReference w:id="24"/>
      </w:r>
      <w:r w:rsidR="00847DB4">
        <w:t xml:space="preserve"> He also attributes the innovations in the Norman administration as a response to problems the Normans themselves created, rather than as improvements to the system, as traditionally believed.</w:t>
      </w:r>
      <w:r w:rsidR="00847DB4">
        <w:rPr>
          <w:rStyle w:val="FootnoteReference"/>
        </w:rPr>
        <w:footnoteReference w:id="25"/>
      </w:r>
      <w:r w:rsidR="00847DB4">
        <w:t xml:space="preserve"> Using these findings, it is reasonable to assume that, like in Normandy before, the Normans did not establish complete control over the local administration until a generation after their conquest. </w:t>
      </w:r>
      <w:r w:rsidR="00295F8D">
        <w:t xml:space="preserve">This shows a similarity between the </w:t>
      </w:r>
      <w:r w:rsidR="009856F8">
        <w:t xml:space="preserve">adoption of Frankish ways in a somewhat archaic manner in Normandy and the imposition of Normans into Anglo-Saxon positions of influence and administration in a similarly archaic way, showing the similar methods of conquest and adoption of other customs from the original Norman conquest. </w:t>
      </w:r>
    </w:p>
    <w:p w14:paraId="5AB67C46" w14:textId="5CD3342A" w:rsidR="009856F8" w:rsidRDefault="009856F8" w:rsidP="00A96682">
      <w:pPr>
        <w:spacing w:line="480" w:lineRule="auto"/>
      </w:pPr>
      <w:r>
        <w:t xml:space="preserve">The representation of the Normans as a singular unit in the later Anglo-Norman sources, particularly </w:t>
      </w:r>
      <w:r w:rsidR="00681BB0">
        <w:t>Henry</w:t>
      </w:r>
      <w:r>
        <w:t xml:space="preserve"> of Huntingdon and William of </w:t>
      </w:r>
      <w:proofErr w:type="spellStart"/>
      <w:r>
        <w:t>Malmesbury</w:t>
      </w:r>
      <w:proofErr w:type="spellEnd"/>
      <w:r>
        <w:t xml:space="preserve"> is particularly interesting in their possible reasoning for doing so. Both sources make references to the Anglo-Saxons as having sinned, and the Norman conquest as God’s punishment for doing so</w:t>
      </w:r>
      <w:r w:rsidR="00681BB0">
        <w:t>.</w:t>
      </w:r>
      <w:r w:rsidR="00681BB0">
        <w:rPr>
          <w:rStyle w:val="FootnoteReference"/>
        </w:rPr>
        <w:footnoteReference w:id="26"/>
      </w:r>
      <w:r>
        <w:t xml:space="preserve"> </w:t>
      </w:r>
      <w:r w:rsidR="00681BB0">
        <w:t xml:space="preserve">Van </w:t>
      </w:r>
      <w:proofErr w:type="spellStart"/>
      <w:r w:rsidR="00681BB0">
        <w:t>Houts</w:t>
      </w:r>
      <w:proofErr w:type="spellEnd"/>
      <w:r w:rsidR="00681BB0">
        <w:t xml:space="preserve"> puts </w:t>
      </w:r>
      <w:r w:rsidR="00681BB0">
        <w:lastRenderedPageBreak/>
        <w:t>forward the idea that the Anglo-Saxons were traumatised by the events of the Norman invasion, and this portrayal of the invasion as God’s punishment was a way for the English population to cope and come to terms with the shame of defeat, by depersonalising it.</w:t>
      </w:r>
      <w:r w:rsidR="00681BB0">
        <w:rPr>
          <w:rStyle w:val="FootnoteReference"/>
        </w:rPr>
        <w:footnoteReference w:id="27"/>
      </w:r>
      <w:r w:rsidR="009F4CCA">
        <w:t xml:space="preserve"> From this, it could be extended to suggest that from the English point of view, presenting the Normans as a unified group could also be a means to cope with the suffering they experienced by presenting the Normans as both ‘other’ and the </w:t>
      </w:r>
      <w:r w:rsidR="0092360A">
        <w:t>deceptive</w:t>
      </w:r>
      <w:r w:rsidR="009F4CCA">
        <w:t xml:space="preserve"> aspects of Norman character as of divine influence. This would further add to the Norman desire to be perceived as just Christians. They could also spin the brutal suppression of the Anglo-Saxon resistance as a way of helping the English to </w:t>
      </w:r>
      <w:r w:rsidR="006F4659">
        <w:t>be cleansed of their sinful ways by submitting to such divine inspiration. This would also help the Normans to overcome any guilt they may have felt towards their actions in the conquest of England. Overall, the unification of the Norman identity was as much a device used by the people they conquered to explain and cope with their defeat, as it was a means for the Normans to justify their victory.</w:t>
      </w:r>
    </w:p>
    <w:p w14:paraId="352CFEFD" w14:textId="79E1F9A4" w:rsidR="006F4659" w:rsidRDefault="006F4659" w:rsidP="00A96682">
      <w:pPr>
        <w:spacing w:line="480" w:lineRule="auto"/>
      </w:pPr>
      <w:r>
        <w:t xml:space="preserve">Another common aspect of Norman image and identity is their </w:t>
      </w:r>
      <w:r w:rsidR="00A32070">
        <w:t>ability to quickly subjugate their conquered peoples</w:t>
      </w:r>
      <w:r>
        <w:t xml:space="preserve">, particularly </w:t>
      </w:r>
      <w:proofErr w:type="gramStart"/>
      <w:r w:rsidR="00A32070">
        <w:t>through the use</w:t>
      </w:r>
      <w:r>
        <w:t xml:space="preserve"> of</w:t>
      </w:r>
      <w:proofErr w:type="gramEnd"/>
      <w:r>
        <w:t xml:space="preserve"> the castle. As Douglas points out, the erection of castles </w:t>
      </w:r>
      <w:r w:rsidR="00A32070">
        <w:t>allowed</w:t>
      </w:r>
      <w:r>
        <w:t xml:space="preserve"> the</w:t>
      </w:r>
      <w:r w:rsidR="00A32070">
        <w:t xml:space="preserve"> Normans</w:t>
      </w:r>
      <w:r>
        <w:t xml:space="preserve"> to control large populations with relatively low manpower of their own.</w:t>
      </w:r>
      <w:r>
        <w:rPr>
          <w:rStyle w:val="FootnoteReference"/>
        </w:rPr>
        <w:footnoteReference w:id="28"/>
      </w:r>
      <w:r>
        <w:t xml:space="preserve"> This strategy of consolidating their power through castle building is common to every instance of Norman expansion, from Wales to the Holy Land. Using Wales as a specific example, the building of Chepstow Castle (fig. 2) marked the first recognisable incursion from the Normans into Wales. By building such an imposing </w:t>
      </w:r>
      <w:r w:rsidR="00A32070">
        <w:t xml:space="preserve">fortress, they are staking a claim to the territory that is unmistakably Norman in origin, as the Welsh did not build castles of their own before the Norman invasion of Wales initiated. In many ways, the castle became the definitive expression of Norman power over an area, this </w:t>
      </w:r>
      <w:r w:rsidR="00A32070">
        <w:lastRenderedPageBreak/>
        <w:t>association with the Normans being an example of how they used common strategies in their conquests.</w:t>
      </w:r>
    </w:p>
    <w:p w14:paraId="6D330BDA" w14:textId="034E6D5B" w:rsidR="00A32070" w:rsidRDefault="00320021" w:rsidP="00A96682">
      <w:pPr>
        <w:spacing w:line="480" w:lineRule="auto"/>
      </w:pPr>
      <w:r>
        <w:t>The final questionable aspect in determining the unity of the Norman identity is the evolution and incorporation of different Norman leaders into the peoples of the areas they controlled. For example, Norman-Sicilian leaders adopted the dress and ambitions of Byzantine emperors (</w:t>
      </w:r>
      <w:r w:rsidR="005179F2">
        <w:t>fig. 1),</w:t>
      </w:r>
      <w:r>
        <w:t xml:space="preserve"> Anglo-Norman kings </w:t>
      </w:r>
      <w:r w:rsidR="005179F2">
        <w:t xml:space="preserve">eventually incorporated themselves into England and Normandy was eventually annexed into France. Davis presents this as an example of the Normans ‘losing their identity’, which from a certain point of view could </w:t>
      </w:r>
      <w:proofErr w:type="gramStart"/>
      <w:r w:rsidR="005179F2">
        <w:t>be seen as</w:t>
      </w:r>
      <w:proofErr w:type="gramEnd"/>
      <w:r w:rsidR="005179F2">
        <w:t xml:space="preserve"> the case, as the features that traditionally defined them ceased to be prevalent.</w:t>
      </w:r>
      <w:r w:rsidR="005179F2">
        <w:rPr>
          <w:rStyle w:val="FootnoteReference"/>
        </w:rPr>
        <w:footnoteReference w:id="29"/>
      </w:r>
      <w:r w:rsidR="005179F2">
        <w:t xml:space="preserve"> However, the very definition and purpose of the Norman identity itself, as discussed previously, was the adaptation of a new identity. Therefore, it could </w:t>
      </w:r>
      <w:r w:rsidR="001A1407">
        <w:t>be</w:t>
      </w:r>
      <w:r w:rsidR="005179F2">
        <w:t xml:space="preserve"> argued that the flexibility of their characteristics, to the point of them being unrecognisable within a few generations, is </w:t>
      </w:r>
      <w:proofErr w:type="gramStart"/>
      <w:r w:rsidR="005179F2">
        <w:t>actually a</w:t>
      </w:r>
      <w:proofErr w:type="gramEnd"/>
      <w:r w:rsidR="005179F2">
        <w:t xml:space="preserve"> fundamental part of what made the Normans a people in the first place. </w:t>
      </w:r>
      <w:r w:rsidR="00040821">
        <w:t xml:space="preserve">Davis himself points out that there is not a single contemporary reference to the ‘Normans’ </w:t>
      </w:r>
      <w:r w:rsidR="009E2243">
        <w:t>regarding</w:t>
      </w:r>
      <w:r w:rsidR="00040821">
        <w:t xml:space="preserve"> Sicily</w:t>
      </w:r>
      <w:r w:rsidR="00200612">
        <w:t>.</w:t>
      </w:r>
      <w:r w:rsidR="00200612">
        <w:rPr>
          <w:rStyle w:val="FootnoteReference"/>
        </w:rPr>
        <w:footnoteReference w:id="30"/>
      </w:r>
      <w:r w:rsidR="00691E87">
        <w:t xml:space="preserve"> </w:t>
      </w:r>
      <w:r w:rsidR="000406AB">
        <w:t xml:space="preserve">This </w:t>
      </w:r>
      <w:r w:rsidR="00C96C1F">
        <w:t xml:space="preserve">shows that the leaders of Sicily were deliberately adopting a new culture, just as their ancestors did when they adopted Frankish culture. The same is true for William the Conqueror in England, who retained many Anglo-Saxon traditions, such as the coinage system and the hundreds. Although the English experience with the Normans was initially rather brutal, this treatment was only done out of necessity due to the continuous rebellions and his intention was to be the legitimate ruler of England, as </w:t>
      </w:r>
      <w:proofErr w:type="spellStart"/>
      <w:r w:rsidR="00C96C1F">
        <w:t>Neveux</w:t>
      </w:r>
      <w:proofErr w:type="spellEnd"/>
      <w:r w:rsidR="00C96C1F">
        <w:t xml:space="preserve"> points out.</w:t>
      </w:r>
      <w:r w:rsidR="00C96C1F">
        <w:rPr>
          <w:rStyle w:val="FootnoteReference"/>
        </w:rPr>
        <w:footnoteReference w:id="31"/>
      </w:r>
      <w:r w:rsidR="00C96C1F">
        <w:t xml:space="preserve"> </w:t>
      </w:r>
      <w:r w:rsidR="001A1407">
        <w:t xml:space="preserve">William did everything he could to try to gain the support of the Anglo-Saxon nobility by attempting to gain the support of Harold through guaranteeing him a high ranking position in William’s </w:t>
      </w:r>
      <w:r w:rsidR="001A1407">
        <w:lastRenderedPageBreak/>
        <w:t>royal court.</w:t>
      </w:r>
      <w:r w:rsidR="001A1407">
        <w:rPr>
          <w:rStyle w:val="FootnoteReference"/>
        </w:rPr>
        <w:footnoteReference w:id="32"/>
      </w:r>
      <w:r w:rsidR="001A1407">
        <w:t xml:space="preserve"> Therefore, it can be assumed that if this came to pass, the Normans would have adapted to the culture and customs of the Anglo-Saxons similarly to how they did to the Frankish culture in Normandy and the Greek culture in Sicily. Due to the insecurity about their Viking past and their acknowledgement of the need to adapt to their surroundings, the Normans’ assimilation into other peoples is one of the defining features of what separates the Normans from other conquerors, and perhaps explains why they were so successful, despite their relatively small population size.</w:t>
      </w:r>
    </w:p>
    <w:p w14:paraId="5DD76BAB" w14:textId="683F0C98" w:rsidR="001A1407" w:rsidRDefault="001A1407" w:rsidP="00A96682">
      <w:pPr>
        <w:spacing w:line="480" w:lineRule="auto"/>
      </w:pPr>
      <w:r>
        <w:t>Overall, although the different groups of Normans in their territories</w:t>
      </w:r>
      <w:r w:rsidR="00477978">
        <w:t>’ characteristics may have diverged, it is exactly this adaptability and willingness to incorporate themselves among the peoples they govern that unites their conquests together. On top of this, there are many similarities in the ways they went about achieving these conquests initially, such as the use of devious tactics to gain victories and the construction of castles to consolidate their control over an area. The insecurity of the Normans’ past as Vikings and plunderers made them realise that, in order to establish themselves as an effective dynastical power, they needed to use similar approaches to gain power to what their ancestors did, but also needed to adapt to survive. Therefore, the idea that the Normans were not united by a shared sense of identity is incorrect</w:t>
      </w:r>
      <w:r w:rsidR="00A22CD1">
        <w:t xml:space="preserve">. Although, as Davis puts it, the various Norman achievements are somewhat ‘disjointed’, </w:t>
      </w:r>
      <w:r w:rsidR="00A22CD1">
        <w:rPr>
          <w:rStyle w:val="FootnoteReference"/>
        </w:rPr>
        <w:footnoteReference w:id="33"/>
      </w:r>
      <w:r w:rsidR="00A22CD1">
        <w:t xml:space="preserve"> it is in fact this disjointed nature that makes them so unique and is </w:t>
      </w:r>
      <w:r w:rsidR="00164FF3">
        <w:t>one of the main factors that define the Norman people.</w:t>
      </w:r>
    </w:p>
    <w:p w14:paraId="71E99190" w14:textId="28823DC5" w:rsidR="000351D2" w:rsidRDefault="000351D2" w:rsidP="00A96682">
      <w:pPr>
        <w:spacing w:line="480" w:lineRule="auto"/>
      </w:pPr>
    </w:p>
    <w:p w14:paraId="27887D2B" w14:textId="7088E322" w:rsidR="000351D2" w:rsidRPr="002E5785" w:rsidRDefault="002E5785" w:rsidP="00A96682">
      <w:pPr>
        <w:spacing w:line="480" w:lineRule="auto"/>
        <w:rPr>
          <w:b/>
        </w:rPr>
      </w:pPr>
      <w:r>
        <w:rPr>
          <w:b/>
        </w:rPr>
        <w:t>Word Count: 23</w:t>
      </w:r>
      <w:r w:rsidR="00A47B1F">
        <w:rPr>
          <w:b/>
        </w:rPr>
        <w:t>4</w:t>
      </w:r>
      <w:r w:rsidR="00216582">
        <w:rPr>
          <w:b/>
        </w:rPr>
        <w:t>5</w:t>
      </w:r>
    </w:p>
    <w:p w14:paraId="16DC433C" w14:textId="5918B7E0" w:rsidR="000351D2" w:rsidRPr="00A22CD1" w:rsidRDefault="000351D2" w:rsidP="00A96682">
      <w:pPr>
        <w:spacing w:line="480" w:lineRule="auto"/>
        <w:rPr>
          <w:b/>
          <w:u w:val="single"/>
        </w:rPr>
      </w:pPr>
      <w:r w:rsidRPr="00A22CD1">
        <w:rPr>
          <w:b/>
          <w:noProof/>
          <w:u w:val="single"/>
        </w:rPr>
        <w:lastRenderedPageBreak/>
        <mc:AlternateContent>
          <mc:Choice Requires="wps">
            <w:drawing>
              <wp:anchor distT="0" distB="0" distL="114300" distR="114300" simplePos="0" relativeHeight="251661312" behindDoc="0" locked="0" layoutInCell="1" allowOverlap="1" wp14:anchorId="09C84786" wp14:editId="0BFECF46">
                <wp:simplePos x="0" y="0"/>
                <wp:positionH relativeFrom="column">
                  <wp:posOffset>428625</wp:posOffset>
                </wp:positionH>
                <wp:positionV relativeFrom="paragraph">
                  <wp:posOffset>4180840</wp:posOffset>
                </wp:positionV>
                <wp:extent cx="2814320"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2814320" cy="635"/>
                        </a:xfrm>
                        <a:prstGeom prst="rect">
                          <a:avLst/>
                        </a:prstGeom>
                        <a:solidFill>
                          <a:prstClr val="white"/>
                        </a:solidFill>
                        <a:ln>
                          <a:noFill/>
                        </a:ln>
                      </wps:spPr>
                      <wps:txbx>
                        <w:txbxContent>
                          <w:p w14:paraId="1720C954" w14:textId="79FF3DE7" w:rsidR="000351D2" w:rsidRPr="001F12C7" w:rsidRDefault="000351D2" w:rsidP="000351D2">
                            <w:pPr>
                              <w:pStyle w:val="Caption"/>
                              <w:rPr>
                                <w:sz w:val="24"/>
                              </w:rPr>
                            </w:pPr>
                            <w:r>
                              <w:t xml:space="preserve">Figure </w:t>
                            </w:r>
                            <w:r>
                              <w:fldChar w:fldCharType="begin"/>
                            </w:r>
                            <w:r>
                              <w:instrText xml:space="preserve"> SEQ Figure \* ARABIC </w:instrText>
                            </w:r>
                            <w:r>
                              <w:fldChar w:fldCharType="separate"/>
                            </w:r>
                            <w:r w:rsidR="006F4659">
                              <w:rPr>
                                <w:noProof/>
                              </w:rPr>
                              <w:t>1</w:t>
                            </w:r>
                            <w:r>
                              <w:fldChar w:fldCharType="end"/>
                            </w:r>
                            <w:r>
                              <w:t xml:space="preserve"> </w:t>
                            </w:r>
                            <w:r w:rsidRPr="00F41539">
                              <w:t xml:space="preserve">Roger II Being Crowned by Christ, </w:t>
                            </w:r>
                            <w:proofErr w:type="spellStart"/>
                            <w:r w:rsidRPr="00F41539">
                              <w:t>Martorana</w:t>
                            </w:r>
                            <w:proofErr w:type="spellEnd"/>
                            <w:r w:rsidRPr="00F41539">
                              <w:t>, Palermo.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C84786" id="_x0000_t202" coordsize="21600,21600" o:spt="202" path="m,l,21600r21600,l21600,xe">
                <v:stroke joinstyle="miter"/>
                <v:path gradientshapeok="t" o:connecttype="rect"/>
              </v:shapetype>
              <v:shape id="Text Box 1" o:spid="_x0000_s1026" type="#_x0000_t202" style="position:absolute;margin-left:33.75pt;margin-top:329.2pt;width:221.6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" stroked="f">
                <v:textbox style="mso-fit-shape-to-text:t" inset="0,0,0,0">
                  <w:txbxContent>
                    <w:p w14:paraId="1720C954" w14:textId="79FF3DE7" w:rsidR="000351D2" w:rsidRPr="001F12C7" w:rsidRDefault="000351D2" w:rsidP="000351D2">
                      <w:pPr>
                        <w:pStyle w:val="Caption"/>
                        <w:rPr>
                          <w:sz w:val="24"/>
                        </w:rPr>
                      </w:pPr>
                      <w:r>
                        <w:t xml:space="preserve">Figure </w:t>
                      </w:r>
                      <w:r>
                        <w:fldChar w:fldCharType="begin"/>
                      </w:r>
                      <w:r>
                        <w:instrText xml:space="preserve"> SEQ Figure \* ARABIC </w:instrText>
                      </w:r>
                      <w:r>
                        <w:fldChar w:fldCharType="separate"/>
                      </w:r>
                      <w:r w:rsidR="006F4659">
                        <w:rPr>
                          <w:noProof/>
                        </w:rPr>
                        <w:t>1</w:t>
                      </w:r>
                      <w:r>
                        <w:fldChar w:fldCharType="end"/>
                      </w:r>
                      <w:r>
                        <w:t xml:space="preserve"> </w:t>
                      </w:r>
                      <w:r w:rsidRPr="00F41539">
                        <w:t xml:space="preserve">Roger II Being Crowned by Christ, </w:t>
                      </w:r>
                      <w:proofErr w:type="spellStart"/>
                      <w:r w:rsidRPr="00F41539">
                        <w:t>Martorana</w:t>
                      </w:r>
                      <w:proofErr w:type="spellEnd"/>
                      <w:r w:rsidRPr="00F41539">
                        <w:t>, Palermo.</w:t>
                      </w:r>
                    </w:p>
                  </w:txbxContent>
                </v:textbox>
                <w10:wrap type="square"/>
              </v:shape>
            </w:pict>
          </mc:Fallback>
        </mc:AlternateContent>
      </w:r>
      <w:r w:rsidRPr="00A22CD1">
        <w:rPr>
          <w:b/>
          <w:u w:val="single"/>
        </w:rPr>
        <w:drawing>
          <wp:anchor distT="0" distB="0" distL="114300" distR="114300" simplePos="0" relativeHeight="251659264" behindDoc="0" locked="0" layoutInCell="1" allowOverlap="1" wp14:anchorId="34ED7429" wp14:editId="148E27C2">
            <wp:simplePos x="0" y="0"/>
            <wp:positionH relativeFrom="margin">
              <wp:posOffset>428625</wp:posOffset>
            </wp:positionH>
            <wp:positionV relativeFrom="paragraph">
              <wp:posOffset>285115</wp:posOffset>
            </wp:positionV>
            <wp:extent cx="2814320" cy="3838575"/>
            <wp:effectExtent l="0" t="0" r="5080" b="0"/>
            <wp:wrapSquare wrapText="bothSides"/>
            <wp:docPr id="5" name="Picture 5" descr="http://upload.wikimedia.org/wikipedia/commons/0/04/Martorana_RogerII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upload.wikimedia.org/wikipedia/commons/0/04/Martorana_RogerII2008.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17169" cy="3842211"/>
                    </a:xfrm>
                    <a:prstGeom prst="rect">
                      <a:avLst/>
                    </a:prstGeom>
                    <a:noFill/>
                    <a:ln>
                      <a:noFill/>
                    </a:ln>
                  </pic:spPr>
                </pic:pic>
              </a:graphicData>
            </a:graphic>
            <wp14:sizeRelH relativeFrom="page">
              <wp14:pctWidth>0</wp14:pctWidth>
            </wp14:sizeRelH>
            <wp14:sizeRelV relativeFrom="page">
              <wp14:pctHeight>0</wp14:pctHeight>
            </wp14:sizeRelV>
          </wp:anchor>
        </w:drawing>
      </w:r>
      <w:r w:rsidRPr="00A22CD1">
        <w:rPr>
          <w:b/>
          <w:u w:val="single"/>
        </w:rPr>
        <w:t>Appendix</w:t>
      </w:r>
    </w:p>
    <w:p w14:paraId="2452E6D1" w14:textId="1B6D9C9F" w:rsidR="006F4659" w:rsidRPr="006F4659" w:rsidRDefault="006F4659" w:rsidP="00A96682">
      <w:pPr>
        <w:spacing w:line="480" w:lineRule="auto"/>
      </w:pPr>
    </w:p>
    <w:p w14:paraId="571E382F" w14:textId="3D5E344C" w:rsidR="006F4659" w:rsidRPr="006F4659" w:rsidRDefault="006F4659" w:rsidP="00A96682">
      <w:pPr>
        <w:spacing w:line="480" w:lineRule="auto"/>
      </w:pPr>
    </w:p>
    <w:p w14:paraId="62091D8D" w14:textId="12BF912D" w:rsidR="006F4659" w:rsidRPr="006F4659" w:rsidRDefault="006F4659" w:rsidP="00A96682">
      <w:pPr>
        <w:spacing w:line="480" w:lineRule="auto"/>
      </w:pPr>
    </w:p>
    <w:p w14:paraId="5A3134DA" w14:textId="2CC5704E" w:rsidR="006F4659" w:rsidRPr="006F4659" w:rsidRDefault="006F4659" w:rsidP="00A96682">
      <w:pPr>
        <w:spacing w:line="480" w:lineRule="auto"/>
      </w:pPr>
    </w:p>
    <w:p w14:paraId="2D722366" w14:textId="0EC4C956" w:rsidR="006F4659" w:rsidRPr="006F4659" w:rsidRDefault="006F4659" w:rsidP="00A96682">
      <w:pPr>
        <w:spacing w:line="480" w:lineRule="auto"/>
      </w:pPr>
    </w:p>
    <w:p w14:paraId="2E6CB472" w14:textId="1B5348D7" w:rsidR="006F4659" w:rsidRPr="006F4659" w:rsidRDefault="006F4659" w:rsidP="00A96682">
      <w:pPr>
        <w:spacing w:line="480" w:lineRule="auto"/>
      </w:pPr>
    </w:p>
    <w:p w14:paraId="651E2842" w14:textId="50FB691B" w:rsidR="006F4659" w:rsidRPr="006F4659" w:rsidRDefault="006F4659" w:rsidP="00A96682">
      <w:pPr>
        <w:spacing w:line="480" w:lineRule="auto"/>
      </w:pPr>
    </w:p>
    <w:p w14:paraId="57FC17AF" w14:textId="7D257D78" w:rsidR="006F4659" w:rsidRPr="006F4659" w:rsidRDefault="006F4659" w:rsidP="00A96682">
      <w:pPr>
        <w:spacing w:line="480" w:lineRule="auto"/>
      </w:pPr>
    </w:p>
    <w:p w14:paraId="224B7030" w14:textId="431BA433" w:rsidR="006F4659" w:rsidRPr="006F4659" w:rsidRDefault="006F4659" w:rsidP="00A96682">
      <w:pPr>
        <w:spacing w:line="480" w:lineRule="auto"/>
      </w:pPr>
    </w:p>
    <w:p w14:paraId="16770C4D" w14:textId="701F9C4B" w:rsidR="006F4659" w:rsidRPr="006F4659" w:rsidRDefault="006F4659" w:rsidP="00A96682">
      <w:pPr>
        <w:spacing w:line="480" w:lineRule="auto"/>
      </w:pPr>
    </w:p>
    <w:p w14:paraId="424CDF09" w14:textId="51437C7F" w:rsidR="006F4659" w:rsidRDefault="00E71754" w:rsidP="00E71754">
      <w:pPr>
        <w:spacing w:line="480" w:lineRule="auto"/>
      </w:pPr>
      <w:r>
        <w:rPr>
          <w:noProof/>
        </w:rPr>
        <w:drawing>
          <wp:inline distT="0" distB="0" distL="0" distR="0" wp14:anchorId="7ABDAD74" wp14:editId="2D6C50FC">
            <wp:extent cx="5731510" cy="2618105"/>
            <wp:effectExtent l="0" t="0" r="2540" b="0"/>
            <wp:docPr id="2" name="Picture 2" descr="File:Chepstow castleS2 stit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Chepstow castleS2 stitch.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618105"/>
                    </a:xfrm>
                    <a:prstGeom prst="rect">
                      <a:avLst/>
                    </a:prstGeom>
                    <a:noFill/>
                    <a:ln>
                      <a:noFill/>
                    </a:ln>
                  </pic:spPr>
                </pic:pic>
              </a:graphicData>
            </a:graphic>
          </wp:inline>
        </w:drawing>
      </w:r>
    </w:p>
    <w:p w14:paraId="66504C2C" w14:textId="4FE110AE" w:rsidR="006F4659" w:rsidRDefault="006F4659" w:rsidP="00A96682">
      <w:pPr>
        <w:pStyle w:val="Caption"/>
        <w:spacing w:line="480" w:lineRule="auto"/>
      </w:pPr>
      <w:r>
        <w:t xml:space="preserve">Figure </w:t>
      </w:r>
      <w:r>
        <w:fldChar w:fldCharType="begin"/>
      </w:r>
      <w:r>
        <w:instrText xml:space="preserve"> SEQ Figure \* ARABIC </w:instrText>
      </w:r>
      <w:r>
        <w:fldChar w:fldCharType="separate"/>
      </w:r>
      <w:r>
        <w:rPr>
          <w:noProof/>
        </w:rPr>
        <w:t>2</w:t>
      </w:r>
      <w:r>
        <w:fldChar w:fldCharType="end"/>
      </w:r>
      <w:r>
        <w:t xml:space="preserve">: Chepstow Castle, sourced via </w:t>
      </w:r>
      <w:r w:rsidRPr="005D0C88">
        <w:t>https://upload.wikimedia.org/wikipedia/commons/d/d4/Chepstow_castleS2_stitch.jpg</w:t>
      </w:r>
    </w:p>
    <w:p w14:paraId="58DFFD05" w14:textId="77777777" w:rsidR="00E71754" w:rsidRDefault="00E71754" w:rsidP="00A96682">
      <w:pPr>
        <w:spacing w:line="480" w:lineRule="auto"/>
      </w:pPr>
    </w:p>
    <w:p w14:paraId="5C29E742" w14:textId="5938E59B" w:rsidR="002E5785" w:rsidRDefault="002E5785" w:rsidP="00A96682">
      <w:pPr>
        <w:spacing w:line="480" w:lineRule="auto"/>
        <w:rPr>
          <w:b/>
          <w:u w:val="single"/>
        </w:rPr>
      </w:pPr>
      <w:r>
        <w:rPr>
          <w:b/>
          <w:u w:val="single"/>
        </w:rPr>
        <w:lastRenderedPageBreak/>
        <w:t>Bibliography</w:t>
      </w:r>
      <w:bookmarkStart w:id="2" w:name="_GoBack"/>
      <w:bookmarkEnd w:id="2"/>
    </w:p>
    <w:p w14:paraId="7C49796A" w14:textId="386EEAC8" w:rsidR="002E5785" w:rsidRDefault="002E5785" w:rsidP="00A96682">
      <w:pPr>
        <w:spacing w:line="480" w:lineRule="auto"/>
        <w:rPr>
          <w:b/>
          <w:u w:val="single"/>
        </w:rPr>
      </w:pPr>
      <w:r>
        <w:rPr>
          <w:b/>
          <w:u w:val="single"/>
        </w:rPr>
        <w:t>Primary Sources</w:t>
      </w:r>
    </w:p>
    <w:p w14:paraId="02E2B63E" w14:textId="0ECCADFE" w:rsidR="002E5785" w:rsidRDefault="002E5785" w:rsidP="00A96682">
      <w:pPr>
        <w:spacing w:line="480" w:lineRule="auto"/>
      </w:pPr>
      <w:r>
        <w:t xml:space="preserve">Anna </w:t>
      </w:r>
      <w:proofErr w:type="spellStart"/>
      <w:r>
        <w:t>Comnena</w:t>
      </w:r>
      <w:proofErr w:type="spellEnd"/>
      <w:r>
        <w:t xml:space="preserve">, </w:t>
      </w:r>
      <w:r>
        <w:rPr>
          <w:i/>
        </w:rPr>
        <w:t xml:space="preserve">The </w:t>
      </w:r>
      <w:proofErr w:type="spellStart"/>
      <w:r>
        <w:rPr>
          <w:i/>
        </w:rPr>
        <w:t>Alexiad</w:t>
      </w:r>
      <w:proofErr w:type="spellEnd"/>
      <w:r>
        <w:rPr>
          <w:i/>
        </w:rPr>
        <w:t xml:space="preserve"> of Anna </w:t>
      </w:r>
      <w:proofErr w:type="spellStart"/>
      <w:r>
        <w:rPr>
          <w:i/>
        </w:rPr>
        <w:t>Comnena</w:t>
      </w:r>
      <w:proofErr w:type="spellEnd"/>
      <w:r>
        <w:rPr>
          <w:i/>
        </w:rPr>
        <w:t xml:space="preserve">, </w:t>
      </w:r>
      <w:r>
        <w:t xml:space="preserve">translated by E.R.A. </w:t>
      </w:r>
      <w:proofErr w:type="spellStart"/>
      <w:r>
        <w:t>Sewter</w:t>
      </w:r>
      <w:proofErr w:type="spellEnd"/>
      <w:r>
        <w:t xml:space="preserve"> (Harmondsworth: Penguin, 1969).</w:t>
      </w:r>
    </w:p>
    <w:p w14:paraId="5D3BB4BA" w14:textId="0545BA96" w:rsidR="00BF723E" w:rsidRPr="00BF723E" w:rsidRDefault="00BF723E" w:rsidP="00A96682">
      <w:pPr>
        <w:spacing w:line="480" w:lineRule="auto"/>
      </w:pPr>
      <w:r w:rsidRPr="00BF723E">
        <w:t>‘Bayeux Tapestry’</w:t>
      </w:r>
      <w:r>
        <w:t xml:space="preserve">, </w:t>
      </w:r>
      <w:r>
        <w:rPr>
          <w:i/>
        </w:rPr>
        <w:t xml:space="preserve">Anglo-Saxon Archaeology </w:t>
      </w:r>
      <w:r>
        <w:t xml:space="preserve">[Online] Available at </w:t>
      </w:r>
      <w:hyperlink r:id="rId8" w:history="1">
        <w:r w:rsidRPr="00C329FD">
          <w:rPr>
            <w:rStyle w:val="Hyperlink"/>
          </w:rPr>
          <w:t>http://anglosaxon.archeurope.info/index.php?page=view-the-bayeux-tapestry</w:t>
        </w:r>
      </w:hyperlink>
      <w:r>
        <w:t xml:space="preserve"> (Accessed Nov 16 2018).</w:t>
      </w:r>
    </w:p>
    <w:p w14:paraId="1231D22D" w14:textId="350F99B7" w:rsidR="002E5785" w:rsidRDefault="002E5785" w:rsidP="00A96682">
      <w:pPr>
        <w:spacing w:line="480" w:lineRule="auto"/>
      </w:pPr>
      <w:proofErr w:type="spellStart"/>
      <w:r w:rsidRPr="002E5785">
        <w:t>Dudo</w:t>
      </w:r>
      <w:proofErr w:type="spellEnd"/>
      <w:r w:rsidRPr="002E5785">
        <w:t xml:space="preserve"> of St Quentin, </w:t>
      </w:r>
      <w:proofErr w:type="spellStart"/>
      <w:r w:rsidRPr="00624235">
        <w:rPr>
          <w:i/>
        </w:rPr>
        <w:t>Gesta</w:t>
      </w:r>
      <w:proofErr w:type="spellEnd"/>
      <w:r w:rsidRPr="00624235">
        <w:rPr>
          <w:i/>
        </w:rPr>
        <w:t xml:space="preserve"> </w:t>
      </w:r>
      <w:proofErr w:type="spellStart"/>
      <w:r w:rsidRPr="00624235">
        <w:rPr>
          <w:i/>
        </w:rPr>
        <w:t>Normannorum</w:t>
      </w:r>
      <w:proofErr w:type="spellEnd"/>
      <w:r w:rsidRPr="002E5785">
        <w:t xml:space="preserve">, </w:t>
      </w:r>
      <w:r w:rsidR="00D75EBD">
        <w:t>(</w:t>
      </w:r>
      <w:r w:rsidRPr="002E5785">
        <w:t xml:space="preserve">as </w:t>
      </w:r>
      <w:r w:rsidR="00D75EBD">
        <w:t>seen</w:t>
      </w:r>
      <w:r w:rsidRPr="002E5785">
        <w:t xml:space="preserve"> in course handbook</w:t>
      </w:r>
      <w:r w:rsidR="00D75EBD">
        <w:t>)</w:t>
      </w:r>
      <w:r>
        <w:t>.</w:t>
      </w:r>
    </w:p>
    <w:p w14:paraId="3218117F" w14:textId="591E1D2A" w:rsidR="003A7CDE" w:rsidRDefault="003A7CDE" w:rsidP="00A96682">
      <w:pPr>
        <w:spacing w:line="480" w:lineRule="auto"/>
      </w:pPr>
      <w:proofErr w:type="spellStart"/>
      <w:r>
        <w:rPr>
          <w:i/>
        </w:rPr>
        <w:t>Gesta</w:t>
      </w:r>
      <w:proofErr w:type="spellEnd"/>
      <w:r>
        <w:rPr>
          <w:i/>
        </w:rPr>
        <w:t xml:space="preserve"> Francorum, </w:t>
      </w:r>
      <w:r>
        <w:t xml:space="preserve">translated by August C. </w:t>
      </w:r>
      <w:proofErr w:type="spellStart"/>
      <w:r>
        <w:t>Krey</w:t>
      </w:r>
      <w:proofErr w:type="spellEnd"/>
      <w:r>
        <w:t xml:space="preserve">, </w:t>
      </w:r>
      <w:r w:rsidRPr="006A6AB4">
        <w:rPr>
          <w:i/>
        </w:rPr>
        <w:t>The First Crusade: The Accounts of Eyewitnesses and Participants</w:t>
      </w:r>
      <w:r>
        <w:rPr>
          <w:i/>
        </w:rPr>
        <w:t xml:space="preserve"> </w:t>
      </w:r>
      <w:r>
        <w:t>(Princeton: Princeton University Press, 1921)</w:t>
      </w:r>
      <w:r>
        <w:t>.</w:t>
      </w:r>
    </w:p>
    <w:p w14:paraId="7351BBBB" w14:textId="66C192EB" w:rsidR="00EF5B43" w:rsidRPr="00EF5B43" w:rsidRDefault="00EF5B43" w:rsidP="00A96682">
      <w:pPr>
        <w:spacing w:line="480" w:lineRule="auto"/>
      </w:pPr>
      <w:r>
        <w:t xml:space="preserve">Henry of Huntingdon, </w:t>
      </w:r>
      <w:r>
        <w:rPr>
          <w:i/>
        </w:rPr>
        <w:t xml:space="preserve">The History of the English People: 1000-1154, </w:t>
      </w:r>
      <w:r>
        <w:t>translated by Diana Greenway (Oxford: Oxford University Press, 2002).</w:t>
      </w:r>
    </w:p>
    <w:p w14:paraId="206986D6" w14:textId="7AC19020" w:rsidR="002E5785" w:rsidRDefault="002E5785" w:rsidP="00A96682">
      <w:pPr>
        <w:spacing w:line="480" w:lineRule="auto"/>
      </w:pPr>
      <w:r>
        <w:t xml:space="preserve">Raymond </w:t>
      </w:r>
      <w:proofErr w:type="spellStart"/>
      <w:r>
        <w:t>d’Aguilers</w:t>
      </w:r>
      <w:proofErr w:type="spellEnd"/>
      <w:r>
        <w:t xml:space="preserve">, </w:t>
      </w:r>
      <w:r w:rsidRPr="00F725FA">
        <w:rPr>
          <w:i/>
        </w:rPr>
        <w:t xml:space="preserve">Historia Francorum qui </w:t>
      </w:r>
      <w:proofErr w:type="spellStart"/>
      <w:r w:rsidRPr="00F725FA">
        <w:rPr>
          <w:i/>
        </w:rPr>
        <w:t>ceperunt</w:t>
      </w:r>
      <w:proofErr w:type="spellEnd"/>
      <w:r w:rsidRPr="00F725FA">
        <w:rPr>
          <w:i/>
        </w:rPr>
        <w:t xml:space="preserve"> </w:t>
      </w:r>
      <w:proofErr w:type="spellStart"/>
      <w:r w:rsidRPr="00F725FA">
        <w:rPr>
          <w:i/>
        </w:rPr>
        <w:t>Iherusalem</w:t>
      </w:r>
      <w:proofErr w:type="spellEnd"/>
      <w:r>
        <w:rPr>
          <w:i/>
        </w:rPr>
        <w:t xml:space="preserve">, </w:t>
      </w:r>
      <w:r>
        <w:t xml:space="preserve">translated by August C. </w:t>
      </w:r>
      <w:proofErr w:type="spellStart"/>
      <w:r>
        <w:t>Krey</w:t>
      </w:r>
      <w:proofErr w:type="spellEnd"/>
      <w:r>
        <w:t xml:space="preserve">, </w:t>
      </w:r>
      <w:r w:rsidRPr="006A6AB4">
        <w:rPr>
          <w:i/>
        </w:rPr>
        <w:t>The First Crusade: The Accounts of Eyewitnesses and Participants</w:t>
      </w:r>
      <w:r>
        <w:rPr>
          <w:i/>
        </w:rPr>
        <w:t xml:space="preserve"> </w:t>
      </w:r>
      <w:r>
        <w:t>(Princeton: Princeton University Press, 1921</w:t>
      </w:r>
      <w:r w:rsidR="00EF5B43">
        <w:t>).</w:t>
      </w:r>
    </w:p>
    <w:p w14:paraId="21BDB48F" w14:textId="39EC8B82" w:rsidR="002E5785" w:rsidRDefault="002E5785" w:rsidP="00A96682">
      <w:pPr>
        <w:spacing w:line="480" w:lineRule="auto"/>
      </w:pPr>
      <w:r>
        <w:t xml:space="preserve">Robert the Monk, </w:t>
      </w:r>
      <w:r w:rsidRPr="002E5785">
        <w:rPr>
          <w:i/>
        </w:rPr>
        <w:t xml:space="preserve">Robert the Monk's History of the First Crusade: Historia </w:t>
      </w:r>
      <w:proofErr w:type="spellStart"/>
      <w:r w:rsidRPr="002E5785">
        <w:rPr>
          <w:i/>
        </w:rPr>
        <w:t>Iherosolimitana</w:t>
      </w:r>
      <w:proofErr w:type="spellEnd"/>
      <w:r>
        <w:rPr>
          <w:i/>
        </w:rPr>
        <w:t xml:space="preserve">, </w:t>
      </w:r>
      <w:r>
        <w:t xml:space="preserve">translated by Carol </w:t>
      </w:r>
      <w:proofErr w:type="spellStart"/>
      <w:r>
        <w:t>Sweetenham</w:t>
      </w:r>
      <w:proofErr w:type="spellEnd"/>
      <w:r>
        <w:t xml:space="preserve"> (London: Routledge, 2005).</w:t>
      </w:r>
    </w:p>
    <w:p w14:paraId="42B0DB55" w14:textId="45EA34AA" w:rsidR="002E5785" w:rsidRPr="002E5785" w:rsidRDefault="002E5785" w:rsidP="00A96682">
      <w:pPr>
        <w:spacing w:line="480" w:lineRule="auto"/>
      </w:pPr>
      <w:r>
        <w:rPr>
          <w:i/>
        </w:rPr>
        <w:t xml:space="preserve">The Anglo-Saxon Chronicle, </w:t>
      </w:r>
      <w:r>
        <w:t>translated by Michael Swanton (London: Phoenix Press, 2000)</w:t>
      </w:r>
      <w:r w:rsidR="003A7CDE">
        <w:t>.</w:t>
      </w:r>
    </w:p>
    <w:p w14:paraId="331AD751" w14:textId="03EF999C" w:rsidR="002E5785" w:rsidRDefault="002E5785" w:rsidP="00A96682">
      <w:pPr>
        <w:spacing w:line="480" w:lineRule="auto"/>
      </w:pPr>
      <w:r>
        <w:rPr>
          <w:i/>
        </w:rPr>
        <w:t xml:space="preserve">The Poetic Edda, </w:t>
      </w:r>
      <w:r>
        <w:t xml:space="preserve">translated by Carolyne </w:t>
      </w:r>
      <w:proofErr w:type="spellStart"/>
      <w:r>
        <w:t>Larrington</w:t>
      </w:r>
      <w:proofErr w:type="spellEnd"/>
      <w:r>
        <w:t xml:space="preserve"> (Oxford: Oxford University Press, 2014)</w:t>
      </w:r>
      <w:r>
        <w:t>.</w:t>
      </w:r>
    </w:p>
    <w:p w14:paraId="19E4990A" w14:textId="0D08AB63" w:rsidR="00EF5B43" w:rsidRDefault="00EF5B43" w:rsidP="00A96682">
      <w:pPr>
        <w:spacing w:line="480" w:lineRule="auto"/>
      </w:pPr>
      <w:r>
        <w:t xml:space="preserve">William of </w:t>
      </w:r>
      <w:proofErr w:type="spellStart"/>
      <w:r>
        <w:t>Malmesbury</w:t>
      </w:r>
      <w:proofErr w:type="spellEnd"/>
      <w:r>
        <w:t xml:space="preserve">, </w:t>
      </w:r>
      <w:proofErr w:type="spellStart"/>
      <w:r>
        <w:rPr>
          <w:i/>
        </w:rPr>
        <w:t>Gesta</w:t>
      </w:r>
      <w:proofErr w:type="spellEnd"/>
      <w:r>
        <w:rPr>
          <w:i/>
        </w:rPr>
        <w:t xml:space="preserve"> </w:t>
      </w:r>
      <w:proofErr w:type="spellStart"/>
      <w:r>
        <w:rPr>
          <w:i/>
        </w:rPr>
        <w:t>Regum</w:t>
      </w:r>
      <w:proofErr w:type="spellEnd"/>
      <w:r>
        <w:rPr>
          <w:i/>
        </w:rPr>
        <w:t xml:space="preserve"> </w:t>
      </w:r>
      <w:proofErr w:type="spellStart"/>
      <w:r>
        <w:rPr>
          <w:i/>
        </w:rPr>
        <w:t>Anglorum</w:t>
      </w:r>
      <w:proofErr w:type="spellEnd"/>
      <w:r>
        <w:t xml:space="preserve">, </w:t>
      </w:r>
      <w:r w:rsidR="00D75EBD">
        <w:t>(</w:t>
      </w:r>
      <w:r>
        <w:t>as seen in course handbook</w:t>
      </w:r>
      <w:r w:rsidR="00D75EBD">
        <w:t>)</w:t>
      </w:r>
      <w:r>
        <w:t>.</w:t>
      </w:r>
    </w:p>
    <w:p w14:paraId="572B28D8" w14:textId="5EF59F34" w:rsidR="00BF723E" w:rsidRDefault="00BF723E" w:rsidP="00A96682">
      <w:pPr>
        <w:spacing w:line="480" w:lineRule="auto"/>
      </w:pPr>
      <w:r>
        <w:t xml:space="preserve">William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 xml:space="preserve">, </w:t>
      </w:r>
      <w:r w:rsidR="00D75EBD">
        <w:t>(</w:t>
      </w:r>
      <w:r>
        <w:t>as seen in course handbook</w:t>
      </w:r>
      <w:r w:rsidR="00D75EBD">
        <w:t>)</w:t>
      </w:r>
      <w:r>
        <w:t>.</w:t>
      </w:r>
    </w:p>
    <w:p w14:paraId="76AD6699" w14:textId="7545E813" w:rsidR="00BF723E" w:rsidRDefault="00BF723E" w:rsidP="00A96682">
      <w:pPr>
        <w:spacing w:line="480" w:lineRule="auto"/>
      </w:pPr>
    </w:p>
    <w:p w14:paraId="15E521B5" w14:textId="485155F5" w:rsidR="00BF723E" w:rsidRDefault="00BF723E" w:rsidP="00A96682">
      <w:pPr>
        <w:spacing w:line="480" w:lineRule="auto"/>
        <w:rPr>
          <w:b/>
          <w:u w:val="single"/>
        </w:rPr>
      </w:pPr>
      <w:r>
        <w:rPr>
          <w:b/>
          <w:u w:val="single"/>
        </w:rPr>
        <w:t>Modern Scholarship</w:t>
      </w:r>
    </w:p>
    <w:p w14:paraId="735B6AB9" w14:textId="6214F590" w:rsidR="00BF723E" w:rsidRDefault="00BF723E" w:rsidP="00A96682">
      <w:pPr>
        <w:spacing w:line="480" w:lineRule="auto"/>
      </w:pPr>
      <w:proofErr w:type="spellStart"/>
      <w:r>
        <w:t>Albu</w:t>
      </w:r>
      <w:proofErr w:type="spellEnd"/>
      <w:r>
        <w:t xml:space="preserve">, </w:t>
      </w:r>
      <w:r>
        <w:t xml:space="preserve">E., </w:t>
      </w:r>
      <w:r>
        <w:rPr>
          <w:i/>
        </w:rPr>
        <w:t xml:space="preserve">The Normans in their Histories: Propaganda, Myth and Subversion </w:t>
      </w:r>
      <w:r>
        <w:t>(Woodbridge: The Boydell Press, 2001)</w:t>
      </w:r>
      <w:r w:rsidR="00D75EBD">
        <w:t>.</w:t>
      </w:r>
    </w:p>
    <w:p w14:paraId="249FC663" w14:textId="2303C122" w:rsidR="00E1072D" w:rsidRDefault="00E1072D" w:rsidP="00A96682">
      <w:pPr>
        <w:spacing w:line="480" w:lineRule="auto"/>
      </w:pPr>
      <w:r>
        <w:t>Baxter-Wolf,</w:t>
      </w:r>
      <w:r>
        <w:t xml:space="preserve"> K.,</w:t>
      </w:r>
      <w:r>
        <w:t xml:space="preserve"> </w:t>
      </w:r>
      <w:r>
        <w:rPr>
          <w:i/>
        </w:rPr>
        <w:t xml:space="preserve">Making History: The Normans and their Histories in Twelfth Century Italy </w:t>
      </w:r>
      <w:r>
        <w:t>(Philadelphia: University of Pennsylvania Press, 1995)</w:t>
      </w:r>
      <w:r w:rsidR="00D75EBD">
        <w:t>.</w:t>
      </w:r>
    </w:p>
    <w:p w14:paraId="772884FD" w14:textId="5DB5D045" w:rsidR="00E1072D" w:rsidRDefault="00E1072D" w:rsidP="00A96682">
      <w:pPr>
        <w:spacing w:line="480" w:lineRule="auto"/>
      </w:pPr>
      <w:r w:rsidRPr="00E1072D">
        <w:t>Davis,</w:t>
      </w:r>
      <w:r>
        <w:t xml:space="preserve"> R.H.C.,</w:t>
      </w:r>
      <w:r w:rsidRPr="00E1072D">
        <w:t xml:space="preserve"> </w:t>
      </w:r>
      <w:r w:rsidRPr="00624235">
        <w:rPr>
          <w:i/>
        </w:rPr>
        <w:t>The Normans and their Myth</w:t>
      </w:r>
      <w:r w:rsidRPr="00E1072D">
        <w:t xml:space="preserve"> (London: Thames and Hudson, 1976)</w:t>
      </w:r>
      <w:r w:rsidR="00D75EBD">
        <w:t>.</w:t>
      </w:r>
    </w:p>
    <w:p w14:paraId="1D4905AC" w14:textId="1247422D" w:rsidR="00BF723E" w:rsidRDefault="00BF723E" w:rsidP="00A96682">
      <w:pPr>
        <w:spacing w:line="480" w:lineRule="auto"/>
      </w:pPr>
      <w:r w:rsidRPr="00BF723E">
        <w:t>Douglas,</w:t>
      </w:r>
      <w:r w:rsidR="00E1072D">
        <w:t xml:space="preserve"> D.C.,</w:t>
      </w:r>
      <w:r w:rsidRPr="00BF723E">
        <w:t xml:space="preserve"> </w:t>
      </w:r>
      <w:r w:rsidRPr="00624235">
        <w:rPr>
          <w:i/>
        </w:rPr>
        <w:t>The Norman Achievement: 1050-1100</w:t>
      </w:r>
      <w:r w:rsidRPr="00BF723E">
        <w:t xml:space="preserve"> (London: Eyre &amp; </w:t>
      </w:r>
      <w:proofErr w:type="spellStart"/>
      <w:r w:rsidRPr="00BF723E">
        <w:t>Spottiswoode</w:t>
      </w:r>
      <w:proofErr w:type="spellEnd"/>
      <w:r w:rsidRPr="00BF723E">
        <w:t>, 1969).</w:t>
      </w:r>
    </w:p>
    <w:p w14:paraId="52C276E9" w14:textId="4B7835D4" w:rsidR="00E1072D" w:rsidRDefault="00E1072D" w:rsidP="00A96682">
      <w:pPr>
        <w:spacing w:line="480" w:lineRule="auto"/>
      </w:pPr>
      <w:proofErr w:type="spellStart"/>
      <w:r>
        <w:t>Neveux</w:t>
      </w:r>
      <w:proofErr w:type="spellEnd"/>
      <w:r>
        <w:t>,</w:t>
      </w:r>
      <w:r>
        <w:t xml:space="preserve"> F.,</w:t>
      </w:r>
      <w:r>
        <w:t xml:space="preserve"> </w:t>
      </w:r>
      <w:r>
        <w:rPr>
          <w:i/>
        </w:rPr>
        <w:t xml:space="preserve">A Brief History of the Normans: The Conquests that Changed the Face of Europe, </w:t>
      </w:r>
      <w:r>
        <w:t>translated by Howard Curtis</w:t>
      </w:r>
      <w:r>
        <w:rPr>
          <w:i/>
        </w:rPr>
        <w:t xml:space="preserve"> </w:t>
      </w:r>
      <w:r>
        <w:t>(London: Robinson, 2008)</w:t>
      </w:r>
      <w:r w:rsidR="00D75EBD">
        <w:t>.</w:t>
      </w:r>
    </w:p>
    <w:p w14:paraId="172B7B31" w14:textId="4C4D45B6" w:rsidR="00383DBB" w:rsidRDefault="00383DBB" w:rsidP="00A96682">
      <w:pPr>
        <w:spacing w:line="480" w:lineRule="auto"/>
      </w:pPr>
      <w:r>
        <w:t>V</w:t>
      </w:r>
      <w:r>
        <w:t xml:space="preserve">an </w:t>
      </w:r>
      <w:proofErr w:type="spellStart"/>
      <w:r>
        <w:t>Houts</w:t>
      </w:r>
      <w:proofErr w:type="spellEnd"/>
      <w:r>
        <w:t>,</w:t>
      </w:r>
      <w:r>
        <w:t xml:space="preserve"> E.,</w:t>
      </w:r>
      <w:r>
        <w:t xml:space="preserve"> </w:t>
      </w:r>
      <w:r>
        <w:rPr>
          <w:i/>
        </w:rPr>
        <w:t xml:space="preserve">Memory and Gender in Medieval Europe, 900-1200 </w:t>
      </w:r>
      <w:r>
        <w:t>(Toronto: University of Toronto Press, 1999)</w:t>
      </w:r>
      <w:r w:rsidR="00D75EBD">
        <w:t>.</w:t>
      </w:r>
    </w:p>
    <w:p w14:paraId="6435698C" w14:textId="7477A3F4" w:rsidR="00624235" w:rsidRDefault="00624235" w:rsidP="00A96682">
      <w:pPr>
        <w:spacing w:line="480" w:lineRule="auto"/>
      </w:pPr>
      <w:r w:rsidRPr="00624235">
        <w:t>Warren,</w:t>
      </w:r>
      <w:r>
        <w:t xml:space="preserve"> W.L.,</w:t>
      </w:r>
      <w:r w:rsidRPr="00624235">
        <w:t xml:space="preserve"> ‘The Myth of Norman Administrative Efficiency: The Prothero Lecture’, </w:t>
      </w:r>
      <w:r w:rsidRPr="00624235">
        <w:rPr>
          <w:i/>
        </w:rPr>
        <w:t>Transactions of the Royal Historical Society</w:t>
      </w:r>
      <w:r w:rsidRPr="00624235">
        <w:t>, vol. 34 (1984) p.p. 113-132.</w:t>
      </w:r>
    </w:p>
    <w:p w14:paraId="5ED93FA6" w14:textId="424781D9" w:rsidR="008841E9" w:rsidRPr="00BF723E" w:rsidRDefault="008841E9" w:rsidP="00A96682">
      <w:pPr>
        <w:spacing w:line="480" w:lineRule="auto"/>
      </w:pPr>
      <w:r>
        <w:t>Webber,</w:t>
      </w:r>
      <w:r>
        <w:t xml:space="preserve"> N.,</w:t>
      </w:r>
      <w:r>
        <w:t xml:space="preserve"> </w:t>
      </w:r>
      <w:r>
        <w:rPr>
          <w:i/>
        </w:rPr>
        <w:t xml:space="preserve">The Evolution of Norman Identity: 911-1154 </w:t>
      </w:r>
      <w:r>
        <w:t>(Woodbridge: The Boydell Press, 2005)</w:t>
      </w:r>
      <w:r w:rsidR="00D75EBD">
        <w:t>.</w:t>
      </w:r>
    </w:p>
    <w:sectPr w:rsidR="008841E9" w:rsidRPr="00BF72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6BE22D" w14:textId="77777777" w:rsidR="00B1547D" w:rsidRDefault="00B1547D" w:rsidP="00E62A05">
      <w:pPr>
        <w:spacing w:after="0" w:line="240" w:lineRule="auto"/>
      </w:pPr>
      <w:r>
        <w:separator/>
      </w:r>
    </w:p>
  </w:endnote>
  <w:endnote w:type="continuationSeparator" w:id="0">
    <w:p w14:paraId="320E0D8E" w14:textId="77777777" w:rsidR="00B1547D" w:rsidRDefault="00B1547D" w:rsidP="00E62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37695" w14:textId="77777777" w:rsidR="00B1547D" w:rsidRDefault="00B1547D" w:rsidP="00E62A05">
      <w:pPr>
        <w:spacing w:after="0" w:line="240" w:lineRule="auto"/>
      </w:pPr>
      <w:r>
        <w:separator/>
      </w:r>
    </w:p>
  </w:footnote>
  <w:footnote w:type="continuationSeparator" w:id="0">
    <w:p w14:paraId="7A6E5958" w14:textId="77777777" w:rsidR="00B1547D" w:rsidRDefault="00B1547D" w:rsidP="00E62A05">
      <w:pPr>
        <w:spacing w:after="0" w:line="240" w:lineRule="auto"/>
      </w:pPr>
      <w:r>
        <w:continuationSeparator/>
      </w:r>
    </w:p>
  </w:footnote>
  <w:footnote w:id="1">
    <w:p w14:paraId="5441FE45" w14:textId="7CE70B6F" w:rsidR="00E62A05" w:rsidRPr="00E62A05" w:rsidRDefault="00E62A05">
      <w:pPr>
        <w:pStyle w:val="FootnoteText"/>
      </w:pPr>
      <w:r>
        <w:rPr>
          <w:rStyle w:val="FootnoteReference"/>
        </w:rPr>
        <w:footnoteRef/>
      </w:r>
      <w:r>
        <w:t xml:space="preserve"> </w:t>
      </w:r>
      <w:bookmarkStart w:id="1" w:name="_Hlk530154871"/>
      <w:r>
        <w:t xml:space="preserve">David C. Douglas, </w:t>
      </w:r>
      <w:r>
        <w:rPr>
          <w:i/>
        </w:rPr>
        <w:t xml:space="preserve">The Norman Achievement: 1050-1100 </w:t>
      </w:r>
      <w:r>
        <w:t xml:space="preserve">(London: Eyre &amp; </w:t>
      </w:r>
      <w:proofErr w:type="spellStart"/>
      <w:r>
        <w:t>Spottiswoode</w:t>
      </w:r>
      <w:proofErr w:type="spellEnd"/>
      <w:r>
        <w:t>, 1969)</w:t>
      </w:r>
      <w:r w:rsidR="00247158">
        <w:t xml:space="preserve"> p. 89.</w:t>
      </w:r>
    </w:p>
    <w:bookmarkEnd w:id="1"/>
  </w:footnote>
  <w:footnote w:id="2">
    <w:p w14:paraId="398939B0" w14:textId="0750DA21" w:rsidR="00E813F3" w:rsidRPr="00E813F3" w:rsidRDefault="00E813F3">
      <w:pPr>
        <w:pStyle w:val="FootnoteText"/>
      </w:pPr>
      <w:r>
        <w:rPr>
          <w:rStyle w:val="FootnoteReference"/>
        </w:rPr>
        <w:footnoteRef/>
      </w:r>
      <w:r>
        <w:t xml:space="preserve"> R.H.C. Davis, </w:t>
      </w:r>
      <w:r>
        <w:rPr>
          <w:i/>
        </w:rPr>
        <w:t xml:space="preserve">The Normans and their Myth </w:t>
      </w:r>
      <w:r>
        <w:t>(London: Thames and Hudson, 1976) p.p. 13, 16.</w:t>
      </w:r>
    </w:p>
  </w:footnote>
  <w:footnote w:id="3">
    <w:p w14:paraId="5B391A63" w14:textId="44C13D6C" w:rsidR="00E813F3" w:rsidRPr="00E813F3" w:rsidRDefault="00E813F3">
      <w:pPr>
        <w:pStyle w:val="FootnoteText"/>
      </w:pPr>
      <w:r>
        <w:rPr>
          <w:rStyle w:val="FootnoteReference"/>
        </w:rPr>
        <w:footnoteRef/>
      </w:r>
      <w:r>
        <w:t xml:space="preserve"> Kenneth Baxter-Wolf, </w:t>
      </w:r>
      <w:r>
        <w:rPr>
          <w:i/>
        </w:rPr>
        <w:t xml:space="preserve">Making History: The Normans and their Histories in Twelfth Century Italy </w:t>
      </w:r>
      <w:r>
        <w:t>(Philadelphia: University of Pennsylvania Press, 1995) p. 3.</w:t>
      </w:r>
    </w:p>
  </w:footnote>
  <w:footnote w:id="4">
    <w:p w14:paraId="74D39CE9" w14:textId="5EF95C83" w:rsidR="00E813F3" w:rsidRPr="00761C97" w:rsidRDefault="00E813F3">
      <w:pPr>
        <w:pStyle w:val="FootnoteText"/>
      </w:pPr>
      <w:r>
        <w:rPr>
          <w:rStyle w:val="FootnoteReference"/>
        </w:rPr>
        <w:footnoteRef/>
      </w:r>
      <w:r>
        <w:t xml:space="preserve"> Nick Webber, </w:t>
      </w:r>
      <w:r>
        <w:rPr>
          <w:i/>
        </w:rPr>
        <w:t>The Evolution of Norman Identity: 911-1154</w:t>
      </w:r>
      <w:r w:rsidR="00761C97">
        <w:rPr>
          <w:i/>
        </w:rPr>
        <w:t xml:space="preserve"> </w:t>
      </w:r>
      <w:r w:rsidR="00761C97">
        <w:t>(Woodbridge: The Boydell Press, 2005) p.p. 2-5.</w:t>
      </w:r>
    </w:p>
  </w:footnote>
  <w:footnote w:id="5">
    <w:p w14:paraId="19A9543F" w14:textId="5C909A97" w:rsidR="00E0518E" w:rsidRPr="00E0518E" w:rsidRDefault="00E0518E">
      <w:pPr>
        <w:pStyle w:val="FootnoteText"/>
      </w:pPr>
      <w:r>
        <w:rPr>
          <w:rStyle w:val="FootnoteReference"/>
        </w:rPr>
        <w:footnoteRef/>
      </w:r>
      <w:r>
        <w:t xml:space="preserve"> </w:t>
      </w:r>
      <w:proofErr w:type="spellStart"/>
      <w:r>
        <w:t>Dudo</w:t>
      </w:r>
      <w:proofErr w:type="spellEnd"/>
      <w:r>
        <w:t xml:space="preserve"> of St Quentin, </w:t>
      </w:r>
      <w:proofErr w:type="spellStart"/>
      <w:r>
        <w:rPr>
          <w:i/>
        </w:rPr>
        <w:t>Gesta</w:t>
      </w:r>
      <w:proofErr w:type="spellEnd"/>
      <w:r>
        <w:rPr>
          <w:i/>
        </w:rPr>
        <w:t xml:space="preserve"> </w:t>
      </w:r>
      <w:proofErr w:type="spellStart"/>
      <w:r>
        <w:rPr>
          <w:i/>
        </w:rPr>
        <w:t>Normannorum</w:t>
      </w:r>
      <w:proofErr w:type="spellEnd"/>
      <w:r>
        <w:rPr>
          <w:i/>
        </w:rPr>
        <w:t xml:space="preserve">, </w:t>
      </w:r>
      <w:r w:rsidR="00E71754">
        <w:t>(</w:t>
      </w:r>
      <w:r>
        <w:t xml:space="preserve">as </w:t>
      </w:r>
      <w:r w:rsidR="00D75EBD">
        <w:t>seen</w:t>
      </w:r>
      <w:r>
        <w:t xml:space="preserve"> in course handbook</w:t>
      </w:r>
      <w:r w:rsidR="00E71754">
        <w:t>)</w:t>
      </w:r>
      <w:r>
        <w:t>.</w:t>
      </w:r>
    </w:p>
  </w:footnote>
  <w:footnote w:id="6">
    <w:p w14:paraId="31240A0B" w14:textId="046BC216" w:rsidR="003931A9" w:rsidRPr="003931A9" w:rsidRDefault="003931A9">
      <w:pPr>
        <w:pStyle w:val="FootnoteText"/>
        <w:rPr>
          <w:i/>
        </w:rPr>
      </w:pPr>
      <w:r>
        <w:rPr>
          <w:rStyle w:val="FootnoteReference"/>
        </w:rPr>
        <w:footnoteRef/>
      </w:r>
      <w:r>
        <w:t xml:space="preserve"> </w:t>
      </w:r>
      <w:proofErr w:type="spellStart"/>
      <w:r>
        <w:t>Dudo</w:t>
      </w:r>
      <w:proofErr w:type="spellEnd"/>
      <w:r>
        <w:t xml:space="preserve">, </w:t>
      </w:r>
      <w:proofErr w:type="spellStart"/>
      <w:r>
        <w:rPr>
          <w:i/>
        </w:rPr>
        <w:t>Gesta</w:t>
      </w:r>
      <w:proofErr w:type="spellEnd"/>
      <w:r>
        <w:rPr>
          <w:i/>
        </w:rPr>
        <w:t>.</w:t>
      </w:r>
    </w:p>
  </w:footnote>
  <w:footnote w:id="7">
    <w:p w14:paraId="3BF229B1" w14:textId="00195B72" w:rsidR="003931A9" w:rsidRPr="003931A9" w:rsidRDefault="003931A9">
      <w:pPr>
        <w:pStyle w:val="FootnoteText"/>
      </w:pPr>
      <w:r>
        <w:rPr>
          <w:rStyle w:val="FootnoteReference"/>
        </w:rPr>
        <w:footnoteRef/>
      </w:r>
      <w:r>
        <w:t xml:space="preserve"> </w:t>
      </w:r>
      <w:r>
        <w:rPr>
          <w:i/>
        </w:rPr>
        <w:t xml:space="preserve">The Poetic Edda, </w:t>
      </w:r>
      <w:r>
        <w:t xml:space="preserve">translated by Carolyne </w:t>
      </w:r>
      <w:proofErr w:type="spellStart"/>
      <w:r>
        <w:t>Larrington</w:t>
      </w:r>
      <w:proofErr w:type="spellEnd"/>
      <w:r>
        <w:t xml:space="preserve"> (Oxford: Oxford University Press, 2014) p.p. 9, 44.</w:t>
      </w:r>
    </w:p>
  </w:footnote>
  <w:footnote w:id="8">
    <w:p w14:paraId="53F9B3D0" w14:textId="66DEE508" w:rsidR="00355409" w:rsidRPr="00355409" w:rsidRDefault="00355409">
      <w:pPr>
        <w:pStyle w:val="FootnoteText"/>
      </w:pPr>
      <w:r>
        <w:rPr>
          <w:rStyle w:val="FootnoteReference"/>
        </w:rPr>
        <w:footnoteRef/>
      </w:r>
      <w:r>
        <w:t xml:space="preserve"> Douglas, </w:t>
      </w:r>
      <w:r>
        <w:rPr>
          <w:i/>
        </w:rPr>
        <w:t xml:space="preserve">Norman Achievement, </w:t>
      </w:r>
      <w:r>
        <w:t xml:space="preserve">p. 24; Francois </w:t>
      </w:r>
      <w:proofErr w:type="spellStart"/>
      <w:r>
        <w:t>Neveux</w:t>
      </w:r>
      <w:proofErr w:type="spellEnd"/>
      <w:r>
        <w:t xml:space="preserve">, </w:t>
      </w:r>
      <w:r>
        <w:rPr>
          <w:i/>
        </w:rPr>
        <w:t xml:space="preserve">A Brief History of the Normans: The Conquests that Changed the Face of Europe, </w:t>
      </w:r>
      <w:r>
        <w:t>translated by Howard Curtis</w:t>
      </w:r>
      <w:r>
        <w:rPr>
          <w:i/>
        </w:rPr>
        <w:t xml:space="preserve"> </w:t>
      </w:r>
      <w:r>
        <w:t>(London: Robinson, 2008) p. 70.</w:t>
      </w:r>
    </w:p>
  </w:footnote>
  <w:footnote w:id="9">
    <w:p w14:paraId="4F6435D8" w14:textId="65DC3AD7" w:rsidR="00FA3A65" w:rsidRPr="00FA3A65" w:rsidRDefault="00FA3A65">
      <w:pPr>
        <w:pStyle w:val="FootnoteText"/>
      </w:pPr>
      <w:r>
        <w:rPr>
          <w:rStyle w:val="FootnoteReference"/>
        </w:rPr>
        <w:footnoteRef/>
      </w:r>
      <w:r>
        <w:t xml:space="preserve"> Douglas, </w:t>
      </w:r>
      <w:r>
        <w:rPr>
          <w:i/>
        </w:rPr>
        <w:t xml:space="preserve">Norman Achievement </w:t>
      </w:r>
      <w:r>
        <w:t>p. 24.</w:t>
      </w:r>
    </w:p>
  </w:footnote>
  <w:footnote w:id="10">
    <w:p w14:paraId="23C835D4" w14:textId="7993CB4D" w:rsidR="00C161A1" w:rsidRPr="00C161A1" w:rsidRDefault="00C161A1">
      <w:pPr>
        <w:pStyle w:val="FootnoteText"/>
      </w:pPr>
      <w:r>
        <w:rPr>
          <w:rStyle w:val="FootnoteReference"/>
        </w:rPr>
        <w:footnoteRef/>
      </w:r>
      <w:r>
        <w:t xml:space="preserve"> Davis, </w:t>
      </w:r>
      <w:r>
        <w:rPr>
          <w:i/>
        </w:rPr>
        <w:t xml:space="preserve">The Normans and their Myth </w:t>
      </w:r>
      <w:r>
        <w:t>p.p. 12-16.</w:t>
      </w:r>
    </w:p>
  </w:footnote>
  <w:footnote w:id="11">
    <w:p w14:paraId="73DE235E" w14:textId="362C647A" w:rsidR="00C161A1" w:rsidRPr="000351D2" w:rsidRDefault="00C161A1">
      <w:pPr>
        <w:pStyle w:val="FootnoteText"/>
      </w:pPr>
      <w:r>
        <w:rPr>
          <w:rStyle w:val="FootnoteReference"/>
        </w:rPr>
        <w:footnoteRef/>
      </w:r>
      <w:r>
        <w:t xml:space="preserve"> </w:t>
      </w:r>
      <w:proofErr w:type="gramStart"/>
      <w:r>
        <w:rPr>
          <w:i/>
        </w:rPr>
        <w:t>The Anglo-Saxon Chronicle,</w:t>
      </w:r>
      <w:proofErr w:type="gramEnd"/>
      <w:r>
        <w:rPr>
          <w:i/>
        </w:rPr>
        <w:t xml:space="preserve"> </w:t>
      </w:r>
      <w:r>
        <w:t>translated and edited by Michael Swanton (London: Phoenix Press, 2000) p. 199</w:t>
      </w:r>
      <w:r w:rsidR="000351D2">
        <w:t xml:space="preserve">; Henry of Huntingdon, </w:t>
      </w:r>
      <w:r w:rsidR="000351D2">
        <w:rPr>
          <w:i/>
        </w:rPr>
        <w:t xml:space="preserve">Historia </w:t>
      </w:r>
      <w:proofErr w:type="spellStart"/>
      <w:r w:rsidR="000351D2">
        <w:rPr>
          <w:i/>
        </w:rPr>
        <w:t>Anglorum</w:t>
      </w:r>
      <w:proofErr w:type="spellEnd"/>
      <w:r w:rsidR="001B1E39">
        <w:rPr>
          <w:i/>
        </w:rPr>
        <w:t>,</w:t>
      </w:r>
      <w:r w:rsidR="000351D2">
        <w:rPr>
          <w:i/>
        </w:rPr>
        <w:t xml:space="preserve"> </w:t>
      </w:r>
      <w:r w:rsidR="001B1E39">
        <w:t>bk.</w:t>
      </w:r>
      <w:r w:rsidR="000351D2">
        <w:t>2</w:t>
      </w:r>
      <w:r w:rsidR="00EE65E4">
        <w:t>, ch.</w:t>
      </w:r>
      <w:r w:rsidR="000351D2">
        <w:t>27.</w:t>
      </w:r>
    </w:p>
  </w:footnote>
  <w:footnote w:id="12">
    <w:p w14:paraId="19603932" w14:textId="64C6A160" w:rsidR="000351D2" w:rsidRPr="00EE65E4" w:rsidRDefault="000351D2">
      <w:pPr>
        <w:pStyle w:val="FootnoteText"/>
      </w:pPr>
      <w:r>
        <w:rPr>
          <w:rStyle w:val="FootnoteReference"/>
        </w:rPr>
        <w:footnoteRef/>
      </w:r>
      <w:r>
        <w:t xml:space="preserve"> Robert the Monk, </w:t>
      </w:r>
      <w:r w:rsidRPr="000351D2">
        <w:rPr>
          <w:i/>
        </w:rPr>
        <w:t xml:space="preserve">Historia </w:t>
      </w:r>
      <w:proofErr w:type="spellStart"/>
      <w:proofErr w:type="gramStart"/>
      <w:r w:rsidRPr="000351D2">
        <w:rPr>
          <w:i/>
        </w:rPr>
        <w:t>Iherosolimitana</w:t>
      </w:r>
      <w:proofErr w:type="spellEnd"/>
      <w:r w:rsidR="001B1E39">
        <w:rPr>
          <w:i/>
        </w:rPr>
        <w:t>,</w:t>
      </w:r>
      <w:r>
        <w:rPr>
          <w:i/>
        </w:rPr>
        <w:t>,</w:t>
      </w:r>
      <w:proofErr w:type="gramEnd"/>
      <w:r>
        <w:rPr>
          <w:i/>
        </w:rPr>
        <w:t xml:space="preserve"> </w:t>
      </w:r>
      <w:r w:rsidR="001B1E39">
        <w:t>bk.</w:t>
      </w:r>
      <w:r w:rsidR="00EE65E4">
        <w:t>2 ch.2.</w:t>
      </w:r>
    </w:p>
  </w:footnote>
  <w:footnote w:id="13">
    <w:p w14:paraId="09F8DBE6" w14:textId="5C3CC477" w:rsidR="00EE65E4" w:rsidRPr="00C706BB" w:rsidRDefault="00EE65E4">
      <w:pPr>
        <w:pStyle w:val="FootnoteText"/>
      </w:pPr>
      <w:r>
        <w:rPr>
          <w:rStyle w:val="FootnoteReference"/>
        </w:rPr>
        <w:footnoteRef/>
      </w:r>
      <w:r>
        <w:t xml:space="preserve"> Emily </w:t>
      </w:r>
      <w:proofErr w:type="spellStart"/>
      <w:r>
        <w:t>Albu</w:t>
      </w:r>
      <w:proofErr w:type="spellEnd"/>
      <w:r>
        <w:t xml:space="preserve">, </w:t>
      </w:r>
      <w:r w:rsidR="00C706BB">
        <w:rPr>
          <w:i/>
        </w:rPr>
        <w:t xml:space="preserve">The Normans in their Histories: Propaganda, Myth and Subversion </w:t>
      </w:r>
      <w:r w:rsidR="00C706BB">
        <w:t>(Woodbridge: The Boydell Press, 2001) p. 3</w:t>
      </w:r>
      <w:r w:rsidR="003922AF">
        <w:t>.</w:t>
      </w:r>
    </w:p>
  </w:footnote>
  <w:footnote w:id="14">
    <w:p w14:paraId="7F9E3B10" w14:textId="1E3909F7" w:rsidR="00C30405" w:rsidRPr="00C30405" w:rsidRDefault="00C30405">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196.</w:t>
      </w:r>
    </w:p>
  </w:footnote>
  <w:footnote w:id="15">
    <w:p w14:paraId="16523B90" w14:textId="70DB28CA" w:rsidR="00C706BB" w:rsidRPr="00C706BB" w:rsidRDefault="00C706BB">
      <w:pPr>
        <w:pStyle w:val="FootnoteText"/>
      </w:pPr>
      <w:r>
        <w:rPr>
          <w:rStyle w:val="FootnoteReference"/>
        </w:rPr>
        <w:footnoteRef/>
      </w:r>
      <w:r>
        <w:t xml:space="preserve"> Davis, </w:t>
      </w:r>
      <w:r>
        <w:rPr>
          <w:i/>
        </w:rPr>
        <w:t xml:space="preserve">The Normans and their Myth </w:t>
      </w:r>
      <w:r>
        <w:t>p. 15.</w:t>
      </w:r>
    </w:p>
  </w:footnote>
  <w:footnote w:id="16">
    <w:p w14:paraId="6FBFF4B8" w14:textId="184BD581" w:rsidR="001B1E39" w:rsidRPr="001B1E39" w:rsidRDefault="001B1E39">
      <w:pPr>
        <w:pStyle w:val="FootnoteText"/>
      </w:pPr>
      <w:r>
        <w:rPr>
          <w:rStyle w:val="FootnoteReference"/>
        </w:rPr>
        <w:footnoteRef/>
      </w:r>
      <w:r>
        <w:t xml:space="preserve"> Henry of Hunti</w:t>
      </w:r>
      <w:r w:rsidR="00F725FA">
        <w:t>n</w:t>
      </w:r>
      <w:r>
        <w:t xml:space="preserve">gdon, </w:t>
      </w:r>
      <w:r>
        <w:rPr>
          <w:i/>
        </w:rPr>
        <w:t xml:space="preserve">Historia </w:t>
      </w:r>
      <w:proofErr w:type="spellStart"/>
      <w:r>
        <w:rPr>
          <w:i/>
        </w:rPr>
        <w:t>Anglorum</w:t>
      </w:r>
      <w:proofErr w:type="spellEnd"/>
      <w:r>
        <w:rPr>
          <w:i/>
        </w:rPr>
        <w:t xml:space="preserve">, </w:t>
      </w:r>
      <w:r>
        <w:t>bk.2 ch.2.</w:t>
      </w:r>
    </w:p>
  </w:footnote>
  <w:footnote w:id="17">
    <w:p w14:paraId="4FFFAF6F" w14:textId="77777777" w:rsidR="006A6AB4" w:rsidRPr="006A6AB4" w:rsidRDefault="006A6AB4" w:rsidP="006A6AB4">
      <w:pPr>
        <w:pStyle w:val="FootnoteText"/>
      </w:pPr>
      <w:r>
        <w:rPr>
          <w:rStyle w:val="FootnoteReference"/>
        </w:rPr>
        <w:footnoteRef/>
      </w:r>
      <w:r>
        <w:t xml:space="preserve"> Anna </w:t>
      </w:r>
      <w:proofErr w:type="spellStart"/>
      <w:r>
        <w:t>Comnena</w:t>
      </w:r>
      <w:proofErr w:type="spellEnd"/>
      <w:r>
        <w:t xml:space="preserve">, </w:t>
      </w:r>
      <w:proofErr w:type="spellStart"/>
      <w:r>
        <w:rPr>
          <w:i/>
        </w:rPr>
        <w:t>Alexiad</w:t>
      </w:r>
      <w:proofErr w:type="spellEnd"/>
      <w:r>
        <w:rPr>
          <w:i/>
        </w:rPr>
        <w:t xml:space="preserve"> </w:t>
      </w:r>
      <w:r>
        <w:t>bk.10 ch.11.</w:t>
      </w:r>
    </w:p>
  </w:footnote>
  <w:footnote w:id="18">
    <w:p w14:paraId="349B1393" w14:textId="0E731E18" w:rsidR="00F725FA" w:rsidRPr="006A6AB4" w:rsidRDefault="00F725FA">
      <w:pPr>
        <w:pStyle w:val="FootnoteText"/>
      </w:pPr>
      <w:r>
        <w:rPr>
          <w:rStyle w:val="FootnoteReference"/>
        </w:rPr>
        <w:footnoteRef/>
      </w:r>
      <w:r>
        <w:t xml:space="preserve"> Raymond </w:t>
      </w:r>
      <w:proofErr w:type="spellStart"/>
      <w:r>
        <w:t>d’Aguilers</w:t>
      </w:r>
      <w:proofErr w:type="spellEnd"/>
      <w:r>
        <w:t xml:space="preserve">, </w:t>
      </w:r>
      <w:r w:rsidRPr="00F725FA">
        <w:rPr>
          <w:i/>
        </w:rPr>
        <w:t xml:space="preserve">Historia Francorum qui </w:t>
      </w:r>
      <w:proofErr w:type="spellStart"/>
      <w:r w:rsidRPr="00F725FA">
        <w:rPr>
          <w:i/>
        </w:rPr>
        <w:t>ceperunt</w:t>
      </w:r>
      <w:proofErr w:type="spellEnd"/>
      <w:r w:rsidRPr="00F725FA">
        <w:rPr>
          <w:i/>
        </w:rPr>
        <w:t xml:space="preserve"> </w:t>
      </w:r>
      <w:proofErr w:type="spellStart"/>
      <w:r w:rsidRPr="00F725FA">
        <w:rPr>
          <w:i/>
        </w:rPr>
        <w:t>Iherusalem</w:t>
      </w:r>
      <w:proofErr w:type="spellEnd"/>
      <w:r>
        <w:rPr>
          <w:i/>
        </w:rPr>
        <w:t xml:space="preserve">, </w:t>
      </w:r>
      <w:r>
        <w:t xml:space="preserve">translated by August C. </w:t>
      </w:r>
      <w:proofErr w:type="spellStart"/>
      <w:r>
        <w:t>Krey</w:t>
      </w:r>
      <w:proofErr w:type="spellEnd"/>
      <w:r>
        <w:t xml:space="preserve">, </w:t>
      </w:r>
      <w:r w:rsidR="006A6AB4" w:rsidRPr="006A6AB4">
        <w:rPr>
          <w:i/>
        </w:rPr>
        <w:t>The First Crusade: The Accounts of Eyewitnesses and Participants</w:t>
      </w:r>
      <w:r w:rsidR="006A6AB4">
        <w:rPr>
          <w:i/>
        </w:rPr>
        <w:t xml:space="preserve"> </w:t>
      </w:r>
      <w:r w:rsidR="006A6AB4">
        <w:t xml:space="preserve">(Princeton: Princeton University Press, 1921) p.p. 153-155; </w:t>
      </w:r>
      <w:proofErr w:type="spellStart"/>
      <w:r w:rsidR="006A6AB4">
        <w:rPr>
          <w:i/>
        </w:rPr>
        <w:t>Gesta</w:t>
      </w:r>
      <w:proofErr w:type="spellEnd"/>
      <w:r w:rsidR="006A6AB4">
        <w:rPr>
          <w:i/>
        </w:rPr>
        <w:t xml:space="preserve"> Francorum, </w:t>
      </w:r>
      <w:r w:rsidR="006A6AB4">
        <w:t xml:space="preserve">translated by August C. </w:t>
      </w:r>
      <w:proofErr w:type="spellStart"/>
      <w:r w:rsidR="006A6AB4">
        <w:t>Krey</w:t>
      </w:r>
      <w:proofErr w:type="spellEnd"/>
      <w:r w:rsidR="006A6AB4">
        <w:t xml:space="preserve">, </w:t>
      </w:r>
      <w:r w:rsidR="006A6AB4" w:rsidRPr="006A6AB4">
        <w:rPr>
          <w:i/>
        </w:rPr>
        <w:t>The First Crusade: The Accounts of Eyewitnesses and Participants</w:t>
      </w:r>
      <w:r w:rsidR="006A6AB4">
        <w:rPr>
          <w:i/>
        </w:rPr>
        <w:t xml:space="preserve"> </w:t>
      </w:r>
      <w:r w:rsidR="006A6AB4">
        <w:t>(Princeton: Princeton University Press, 1921)</w:t>
      </w:r>
      <w:r w:rsidR="006A6AB4">
        <w:t xml:space="preserve"> p.p. 151-153.</w:t>
      </w:r>
    </w:p>
  </w:footnote>
  <w:footnote w:id="19">
    <w:p w14:paraId="06C760E6" w14:textId="1549E1D3" w:rsidR="006A2BDD" w:rsidRPr="006A2BDD" w:rsidRDefault="006A2BDD">
      <w:pPr>
        <w:pStyle w:val="FootnoteText"/>
      </w:pPr>
      <w:r>
        <w:rPr>
          <w:rStyle w:val="FootnoteReference"/>
        </w:rPr>
        <w:footnoteRef/>
      </w:r>
      <w:r>
        <w:t xml:space="preserve"> William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Pr>
          <w:i/>
        </w:rPr>
        <w:t xml:space="preserve">, </w:t>
      </w:r>
      <w:r w:rsidR="00E71754">
        <w:t>(</w:t>
      </w:r>
      <w:r>
        <w:t>as seen in course handbook</w:t>
      </w:r>
      <w:r w:rsidR="00E71754">
        <w:t>)</w:t>
      </w:r>
      <w:r>
        <w:t xml:space="preserve">; </w:t>
      </w:r>
      <w:r>
        <w:rPr>
          <w:i/>
        </w:rPr>
        <w:t xml:space="preserve">Bayeux Tapestry, </w:t>
      </w:r>
      <w:r>
        <w:t>scenes 21-30.</w:t>
      </w:r>
    </w:p>
  </w:footnote>
  <w:footnote w:id="20">
    <w:p w14:paraId="2A82C1EC" w14:textId="51F184DF" w:rsidR="0095522E" w:rsidRPr="0095522E" w:rsidRDefault="0095522E">
      <w:pPr>
        <w:pStyle w:val="FootnoteText"/>
      </w:pPr>
      <w:r>
        <w:rPr>
          <w:rStyle w:val="FootnoteReference"/>
        </w:rPr>
        <w:footnoteRef/>
      </w:r>
      <w:r>
        <w:t xml:space="preserve"> Anna </w:t>
      </w:r>
      <w:proofErr w:type="spellStart"/>
      <w:r>
        <w:t>Comnena</w:t>
      </w:r>
      <w:proofErr w:type="spellEnd"/>
      <w:r>
        <w:t xml:space="preserve">, </w:t>
      </w:r>
      <w:proofErr w:type="spellStart"/>
      <w:r>
        <w:rPr>
          <w:i/>
        </w:rPr>
        <w:t>Alexiad</w:t>
      </w:r>
      <w:proofErr w:type="spellEnd"/>
      <w:r>
        <w:rPr>
          <w:i/>
        </w:rPr>
        <w:t xml:space="preserve">, </w:t>
      </w:r>
      <w:r>
        <w:t>bk.10 ch.11.</w:t>
      </w:r>
    </w:p>
  </w:footnote>
  <w:footnote w:id="21">
    <w:p w14:paraId="151558D3" w14:textId="6F5400B4" w:rsidR="003830EC" w:rsidRPr="003830EC" w:rsidRDefault="003830EC">
      <w:pPr>
        <w:pStyle w:val="FootnoteText"/>
      </w:pPr>
      <w:r>
        <w:rPr>
          <w:rStyle w:val="FootnoteReference"/>
        </w:rPr>
        <w:footnoteRef/>
      </w:r>
      <w:r>
        <w:t xml:space="preserve"> </w:t>
      </w:r>
      <w:proofErr w:type="spellStart"/>
      <w:r>
        <w:t>Albu</w:t>
      </w:r>
      <w:proofErr w:type="spellEnd"/>
      <w:r>
        <w:t xml:space="preserve">, </w:t>
      </w:r>
      <w:r>
        <w:rPr>
          <w:i/>
        </w:rPr>
        <w:t xml:space="preserve">Normans in their Histories </w:t>
      </w:r>
      <w:r>
        <w:t>p. 4.</w:t>
      </w:r>
    </w:p>
  </w:footnote>
  <w:footnote w:id="22">
    <w:p w14:paraId="2149B590" w14:textId="33171707" w:rsidR="00536F00" w:rsidRPr="00536F00" w:rsidRDefault="00536F00">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196-7.</w:t>
      </w:r>
    </w:p>
  </w:footnote>
  <w:footnote w:id="23">
    <w:p w14:paraId="38FFB069" w14:textId="14F2D27F" w:rsidR="00536F00" w:rsidRPr="00536F00" w:rsidRDefault="00536F00">
      <w:pPr>
        <w:pStyle w:val="FootnoteText"/>
      </w:pPr>
      <w:r>
        <w:rPr>
          <w:rStyle w:val="FootnoteReference"/>
        </w:rPr>
        <w:footnoteRef/>
      </w:r>
      <w:r>
        <w:t xml:space="preserve"> W.L. Warren, ‘The Myth of Norman Administrative Efficiency</w:t>
      </w:r>
      <w:r w:rsidR="00847DB4">
        <w:t>: The Prothero Lecture</w:t>
      </w:r>
      <w:r>
        <w:t xml:space="preserve">’, </w:t>
      </w:r>
      <w:r>
        <w:rPr>
          <w:i/>
        </w:rPr>
        <w:t xml:space="preserve">Transactions of the Royal Historical Society, </w:t>
      </w:r>
      <w:r>
        <w:t>vol. 34 (1984) p.p. 113-132.</w:t>
      </w:r>
    </w:p>
  </w:footnote>
  <w:footnote w:id="24">
    <w:p w14:paraId="20CD19CF" w14:textId="17CACAD6" w:rsidR="00847DB4" w:rsidRPr="00847DB4" w:rsidRDefault="00847DB4">
      <w:pPr>
        <w:pStyle w:val="FootnoteText"/>
      </w:pPr>
      <w:r>
        <w:rPr>
          <w:rStyle w:val="FootnoteReference"/>
        </w:rPr>
        <w:footnoteRef/>
      </w:r>
      <w:r>
        <w:t xml:space="preserve"> Warren, </w:t>
      </w:r>
      <w:r>
        <w:rPr>
          <w:i/>
        </w:rPr>
        <w:t xml:space="preserve">Myth of Norman Administrative Efficiency </w:t>
      </w:r>
      <w:r>
        <w:t>p.p. 116-8.</w:t>
      </w:r>
    </w:p>
  </w:footnote>
  <w:footnote w:id="25">
    <w:p w14:paraId="664214AF" w14:textId="59D422CC" w:rsidR="00847DB4" w:rsidRPr="00847DB4" w:rsidRDefault="00847DB4">
      <w:pPr>
        <w:pStyle w:val="FootnoteText"/>
      </w:pPr>
      <w:r>
        <w:rPr>
          <w:rStyle w:val="FootnoteReference"/>
        </w:rPr>
        <w:footnoteRef/>
      </w:r>
      <w:r>
        <w:t xml:space="preserve"> Warren, </w:t>
      </w:r>
      <w:r>
        <w:rPr>
          <w:i/>
        </w:rPr>
        <w:t xml:space="preserve">Myth of Norman Administrative Efficiency </w:t>
      </w:r>
      <w:r>
        <w:t>p.p. 115-6.</w:t>
      </w:r>
    </w:p>
  </w:footnote>
  <w:footnote w:id="26">
    <w:p w14:paraId="1373E43B" w14:textId="2FB853B0" w:rsidR="00681BB0" w:rsidRPr="00681BB0" w:rsidRDefault="00681BB0">
      <w:pPr>
        <w:pStyle w:val="FootnoteText"/>
      </w:pPr>
      <w:r>
        <w:rPr>
          <w:rStyle w:val="FootnoteReference"/>
        </w:rPr>
        <w:footnoteRef/>
      </w:r>
      <w:r>
        <w:t xml:space="preserve"> William of </w:t>
      </w:r>
      <w:proofErr w:type="spellStart"/>
      <w:r>
        <w:t>Malmesbury</w:t>
      </w:r>
      <w:proofErr w:type="spellEnd"/>
      <w:r>
        <w:t xml:space="preserve">, </w:t>
      </w:r>
      <w:proofErr w:type="spellStart"/>
      <w:r>
        <w:rPr>
          <w:i/>
        </w:rPr>
        <w:t>Gesta</w:t>
      </w:r>
      <w:proofErr w:type="spellEnd"/>
      <w:r>
        <w:rPr>
          <w:i/>
        </w:rPr>
        <w:t xml:space="preserve"> </w:t>
      </w:r>
      <w:proofErr w:type="spellStart"/>
      <w:r>
        <w:rPr>
          <w:i/>
        </w:rPr>
        <w:t>Regum</w:t>
      </w:r>
      <w:proofErr w:type="spellEnd"/>
      <w:r>
        <w:rPr>
          <w:i/>
        </w:rPr>
        <w:t xml:space="preserve"> </w:t>
      </w:r>
      <w:proofErr w:type="spellStart"/>
      <w:r>
        <w:rPr>
          <w:i/>
        </w:rPr>
        <w:t>Anglorum</w:t>
      </w:r>
      <w:proofErr w:type="spellEnd"/>
      <w:r>
        <w:t xml:space="preserve">, </w:t>
      </w:r>
      <w:r w:rsidR="00E71754">
        <w:t>(</w:t>
      </w:r>
      <w:r>
        <w:t>as seen in course handbook</w:t>
      </w:r>
      <w:r w:rsidR="00E71754">
        <w:t>)</w:t>
      </w:r>
      <w:r>
        <w:t xml:space="preserve">; Henry of Huntingdon, </w:t>
      </w:r>
      <w:r>
        <w:rPr>
          <w:i/>
        </w:rPr>
        <w:t xml:space="preserve">Historia </w:t>
      </w:r>
      <w:proofErr w:type="spellStart"/>
      <w:r>
        <w:rPr>
          <w:i/>
        </w:rPr>
        <w:t>Anglorum</w:t>
      </w:r>
      <w:proofErr w:type="spellEnd"/>
      <w:r>
        <w:t xml:space="preserve"> bk.2 ch.2, bk.2 ch.38.</w:t>
      </w:r>
    </w:p>
  </w:footnote>
  <w:footnote w:id="27">
    <w:p w14:paraId="6A3F5C0D" w14:textId="6FC9A20E" w:rsidR="00681BB0" w:rsidRPr="00681BB0" w:rsidRDefault="00681BB0">
      <w:pPr>
        <w:pStyle w:val="FootnoteText"/>
      </w:pPr>
      <w:r>
        <w:rPr>
          <w:rStyle w:val="FootnoteReference"/>
        </w:rPr>
        <w:footnoteRef/>
      </w:r>
      <w:r>
        <w:t xml:space="preserve"> Elisabeth van </w:t>
      </w:r>
      <w:proofErr w:type="spellStart"/>
      <w:r>
        <w:t>Houts</w:t>
      </w:r>
      <w:proofErr w:type="spellEnd"/>
      <w:r>
        <w:t xml:space="preserve">, </w:t>
      </w:r>
      <w:r>
        <w:rPr>
          <w:i/>
        </w:rPr>
        <w:t xml:space="preserve">Memory and Gender in Medieval Europe, 900-1200 </w:t>
      </w:r>
      <w:r>
        <w:t>(Toronto: University of Toronto Press, 1999) p.p.</w:t>
      </w:r>
      <w:r w:rsidR="00EC4FAE">
        <w:t>128-9.</w:t>
      </w:r>
    </w:p>
  </w:footnote>
  <w:footnote w:id="28">
    <w:p w14:paraId="16D9B1E0" w14:textId="236AFCB9" w:rsidR="006F4659" w:rsidRPr="006F4659" w:rsidRDefault="006F4659">
      <w:pPr>
        <w:pStyle w:val="FootnoteText"/>
      </w:pPr>
      <w:r>
        <w:rPr>
          <w:rStyle w:val="FootnoteReference"/>
        </w:rPr>
        <w:footnoteRef/>
      </w:r>
      <w:r>
        <w:t xml:space="preserve"> Douglas, </w:t>
      </w:r>
      <w:r>
        <w:rPr>
          <w:i/>
        </w:rPr>
        <w:t>The Norman Achievement</w:t>
      </w:r>
      <w:r>
        <w:t xml:space="preserve"> p. 86.</w:t>
      </w:r>
    </w:p>
  </w:footnote>
  <w:footnote w:id="29">
    <w:p w14:paraId="32E9B789" w14:textId="13653261" w:rsidR="005179F2" w:rsidRPr="005179F2" w:rsidRDefault="005179F2">
      <w:pPr>
        <w:pStyle w:val="FootnoteText"/>
      </w:pPr>
      <w:r>
        <w:rPr>
          <w:rStyle w:val="FootnoteReference"/>
        </w:rPr>
        <w:footnoteRef/>
      </w:r>
      <w:r>
        <w:t xml:space="preserve"> Davis, </w:t>
      </w:r>
      <w:r>
        <w:rPr>
          <w:i/>
        </w:rPr>
        <w:t xml:space="preserve">The Normans and their Myth </w:t>
      </w:r>
      <w:r>
        <w:t>p. 16.</w:t>
      </w:r>
    </w:p>
  </w:footnote>
  <w:footnote w:id="30">
    <w:p w14:paraId="558C8729" w14:textId="7E095530" w:rsidR="00200612" w:rsidRPr="00200612" w:rsidRDefault="00200612">
      <w:pPr>
        <w:pStyle w:val="FootnoteText"/>
      </w:pPr>
      <w:r>
        <w:rPr>
          <w:rStyle w:val="FootnoteReference"/>
        </w:rPr>
        <w:footnoteRef/>
      </w:r>
      <w:r>
        <w:t xml:space="preserve"> Davis, </w:t>
      </w:r>
      <w:r>
        <w:rPr>
          <w:i/>
        </w:rPr>
        <w:t xml:space="preserve">The Normans and their Myth </w:t>
      </w:r>
      <w:r>
        <w:t>p. 84.</w:t>
      </w:r>
    </w:p>
  </w:footnote>
  <w:footnote w:id="31">
    <w:p w14:paraId="73BE1877" w14:textId="2687BCBE" w:rsidR="00C96C1F" w:rsidRPr="00C96C1F" w:rsidRDefault="00C96C1F">
      <w:pPr>
        <w:pStyle w:val="FootnoteText"/>
      </w:pPr>
      <w:r>
        <w:rPr>
          <w:rStyle w:val="FootnoteReference"/>
        </w:rPr>
        <w:footnoteRef/>
      </w:r>
      <w:r>
        <w:t xml:space="preserve"> </w:t>
      </w:r>
      <w:proofErr w:type="spellStart"/>
      <w:r>
        <w:t>Neveux</w:t>
      </w:r>
      <w:proofErr w:type="spellEnd"/>
      <w:r>
        <w:t xml:space="preserve">, </w:t>
      </w:r>
      <w:r>
        <w:rPr>
          <w:i/>
        </w:rPr>
        <w:t xml:space="preserve">Brief History of the Normans </w:t>
      </w:r>
      <w:r>
        <w:t>p. 197.</w:t>
      </w:r>
    </w:p>
  </w:footnote>
  <w:footnote w:id="32">
    <w:p w14:paraId="3F481D19" w14:textId="09B562E7" w:rsidR="001A1407" w:rsidRDefault="001A1407">
      <w:pPr>
        <w:pStyle w:val="FootnoteText"/>
      </w:pPr>
      <w:r>
        <w:rPr>
          <w:rStyle w:val="FootnoteReference"/>
        </w:rPr>
        <w:footnoteRef/>
      </w:r>
      <w:r>
        <w:t xml:space="preserve"> Willian of Poitiers, </w:t>
      </w:r>
      <w:proofErr w:type="spellStart"/>
      <w:r w:rsidRPr="00DD323E">
        <w:rPr>
          <w:i/>
        </w:rPr>
        <w:t>Gesta</w:t>
      </w:r>
      <w:proofErr w:type="spellEnd"/>
      <w:r w:rsidRPr="00DD323E">
        <w:rPr>
          <w:i/>
        </w:rPr>
        <w:t xml:space="preserve"> </w:t>
      </w:r>
      <w:proofErr w:type="spellStart"/>
      <w:r w:rsidRPr="00DD323E">
        <w:rPr>
          <w:i/>
        </w:rPr>
        <w:t>Willelmi</w:t>
      </w:r>
      <w:proofErr w:type="spellEnd"/>
      <w:r w:rsidRPr="00DD323E">
        <w:rPr>
          <w:i/>
        </w:rPr>
        <w:t xml:space="preserve"> </w:t>
      </w:r>
      <w:proofErr w:type="spellStart"/>
      <w:r w:rsidRPr="00DD323E">
        <w:rPr>
          <w:i/>
        </w:rPr>
        <w:t>ducis</w:t>
      </w:r>
      <w:proofErr w:type="spellEnd"/>
      <w:r w:rsidRPr="00DD323E">
        <w:rPr>
          <w:i/>
        </w:rPr>
        <w:t xml:space="preserve"> </w:t>
      </w:r>
      <w:proofErr w:type="spellStart"/>
      <w:r w:rsidRPr="00DD323E">
        <w:rPr>
          <w:i/>
        </w:rPr>
        <w:t>Normannorum</w:t>
      </w:r>
      <w:proofErr w:type="spellEnd"/>
      <w:r w:rsidRPr="00DD323E">
        <w:rPr>
          <w:i/>
        </w:rPr>
        <w:t xml:space="preserve"> et </w:t>
      </w:r>
      <w:proofErr w:type="spellStart"/>
      <w:r w:rsidRPr="00DD323E">
        <w:rPr>
          <w:i/>
        </w:rPr>
        <w:t>regis</w:t>
      </w:r>
      <w:proofErr w:type="spellEnd"/>
      <w:r w:rsidRPr="00DD323E">
        <w:rPr>
          <w:i/>
        </w:rPr>
        <w:t xml:space="preserve"> </w:t>
      </w:r>
      <w:proofErr w:type="spellStart"/>
      <w:r w:rsidRPr="00DD323E">
        <w:rPr>
          <w:i/>
        </w:rPr>
        <w:t>Anglorum</w:t>
      </w:r>
      <w:proofErr w:type="spellEnd"/>
      <w:r w:rsidR="003922AF">
        <w:rPr>
          <w:i/>
        </w:rPr>
        <w:t>.</w:t>
      </w:r>
    </w:p>
  </w:footnote>
  <w:footnote w:id="33">
    <w:p w14:paraId="630F85DD" w14:textId="360E9BDA" w:rsidR="00A22CD1" w:rsidRPr="00A22CD1" w:rsidRDefault="00A22CD1">
      <w:pPr>
        <w:pStyle w:val="FootnoteText"/>
      </w:pPr>
      <w:r>
        <w:rPr>
          <w:rStyle w:val="FootnoteReference"/>
        </w:rPr>
        <w:footnoteRef/>
      </w:r>
      <w:r>
        <w:t xml:space="preserve"> Davis, </w:t>
      </w:r>
      <w:r>
        <w:rPr>
          <w:i/>
        </w:rPr>
        <w:t xml:space="preserve">The Normans and their Myth </w:t>
      </w:r>
      <w:r>
        <w:t>p. 13.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A05"/>
    <w:rsid w:val="000351D2"/>
    <w:rsid w:val="000406AB"/>
    <w:rsid w:val="00040821"/>
    <w:rsid w:val="000D1BC0"/>
    <w:rsid w:val="00164FF3"/>
    <w:rsid w:val="001A1407"/>
    <w:rsid w:val="001B1E39"/>
    <w:rsid w:val="00200612"/>
    <w:rsid w:val="0020278A"/>
    <w:rsid w:val="00216582"/>
    <w:rsid w:val="00247158"/>
    <w:rsid w:val="002724AD"/>
    <w:rsid w:val="0029205D"/>
    <w:rsid w:val="00295F8D"/>
    <w:rsid w:val="002E5785"/>
    <w:rsid w:val="00320021"/>
    <w:rsid w:val="00336855"/>
    <w:rsid w:val="00355409"/>
    <w:rsid w:val="003830EC"/>
    <w:rsid w:val="00383DBB"/>
    <w:rsid w:val="003922AF"/>
    <w:rsid w:val="003931A9"/>
    <w:rsid w:val="003A7CDE"/>
    <w:rsid w:val="00445B32"/>
    <w:rsid w:val="00477978"/>
    <w:rsid w:val="005179F2"/>
    <w:rsid w:val="00536F00"/>
    <w:rsid w:val="005E4D4C"/>
    <w:rsid w:val="00624235"/>
    <w:rsid w:val="00681BB0"/>
    <w:rsid w:val="00691E87"/>
    <w:rsid w:val="006A2BDD"/>
    <w:rsid w:val="006A6AB4"/>
    <w:rsid w:val="006F4659"/>
    <w:rsid w:val="00751C64"/>
    <w:rsid w:val="00761C97"/>
    <w:rsid w:val="007E2289"/>
    <w:rsid w:val="00827297"/>
    <w:rsid w:val="00847DB4"/>
    <w:rsid w:val="00860198"/>
    <w:rsid w:val="008704D0"/>
    <w:rsid w:val="008841E9"/>
    <w:rsid w:val="0092360A"/>
    <w:rsid w:val="0095522E"/>
    <w:rsid w:val="009856F8"/>
    <w:rsid w:val="009E2243"/>
    <w:rsid w:val="009F4CCA"/>
    <w:rsid w:val="00A22CD1"/>
    <w:rsid w:val="00A32070"/>
    <w:rsid w:val="00A47B1F"/>
    <w:rsid w:val="00A96682"/>
    <w:rsid w:val="00AC6467"/>
    <w:rsid w:val="00B01684"/>
    <w:rsid w:val="00B1547D"/>
    <w:rsid w:val="00BF723E"/>
    <w:rsid w:val="00C013B7"/>
    <w:rsid w:val="00C161A1"/>
    <w:rsid w:val="00C30405"/>
    <w:rsid w:val="00C35D03"/>
    <w:rsid w:val="00C706BB"/>
    <w:rsid w:val="00C96C1F"/>
    <w:rsid w:val="00D75EBD"/>
    <w:rsid w:val="00DE536F"/>
    <w:rsid w:val="00E0518E"/>
    <w:rsid w:val="00E1072D"/>
    <w:rsid w:val="00E62A05"/>
    <w:rsid w:val="00E71754"/>
    <w:rsid w:val="00E813F3"/>
    <w:rsid w:val="00EC4FAE"/>
    <w:rsid w:val="00EC7595"/>
    <w:rsid w:val="00ED678B"/>
    <w:rsid w:val="00EE65E4"/>
    <w:rsid w:val="00EF5B43"/>
    <w:rsid w:val="00F27AB7"/>
    <w:rsid w:val="00F725FA"/>
    <w:rsid w:val="00FA3A65"/>
    <w:rsid w:val="00FF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C9B238"/>
  <w15:chartTrackingRefBased/>
  <w15:docId w15:val="{A1A76697-DF99-4F15-85C3-FD497E1BB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62A0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62A05"/>
    <w:rPr>
      <w:sz w:val="20"/>
      <w:szCs w:val="20"/>
    </w:rPr>
  </w:style>
  <w:style w:type="character" w:styleId="FootnoteReference">
    <w:name w:val="footnote reference"/>
    <w:basedOn w:val="DefaultParagraphFont"/>
    <w:uiPriority w:val="99"/>
    <w:semiHidden/>
    <w:unhideWhenUsed/>
    <w:rsid w:val="00E62A05"/>
    <w:rPr>
      <w:vertAlign w:val="superscript"/>
    </w:rPr>
  </w:style>
  <w:style w:type="paragraph" w:styleId="Caption">
    <w:name w:val="caption"/>
    <w:basedOn w:val="Normal"/>
    <w:next w:val="Normal"/>
    <w:uiPriority w:val="35"/>
    <w:unhideWhenUsed/>
    <w:qFormat/>
    <w:rsid w:val="000351D2"/>
    <w:pPr>
      <w:spacing w:after="200" w:line="240" w:lineRule="auto"/>
    </w:pPr>
    <w:rPr>
      <w:i/>
      <w:iCs/>
      <w:color w:val="44546A" w:themeColor="text2"/>
      <w:sz w:val="18"/>
      <w:szCs w:val="18"/>
    </w:rPr>
  </w:style>
  <w:style w:type="character" w:styleId="Hyperlink">
    <w:name w:val="Hyperlink"/>
    <w:basedOn w:val="DefaultParagraphFont"/>
    <w:uiPriority w:val="99"/>
    <w:unhideWhenUsed/>
    <w:rsid w:val="00BF723E"/>
    <w:rPr>
      <w:color w:val="0563C1" w:themeColor="hyperlink"/>
      <w:u w:val="single"/>
    </w:rPr>
  </w:style>
  <w:style w:type="character" w:styleId="UnresolvedMention">
    <w:name w:val="Unresolved Mention"/>
    <w:basedOn w:val="DefaultParagraphFont"/>
    <w:uiPriority w:val="99"/>
    <w:semiHidden/>
    <w:unhideWhenUsed/>
    <w:rsid w:val="00BF72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615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anglosaxon.archeurope.info/index.php?page=view-the-bayeux-tapestry" TargetMode="Externa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352</TotalTime>
  <Pages>11</Pages>
  <Words>2585</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44</cp:revision>
  <dcterms:created xsi:type="dcterms:W3CDTF">2018-11-15T23:36:00Z</dcterms:created>
  <dcterms:modified xsi:type="dcterms:W3CDTF">2018-11-16T18:29:00Z</dcterms:modified>
</cp:coreProperties>
</file>