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12F00A6" w14:paraId="1A534B5E" wp14:textId="5C99084F">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312F00A6" w:rsidR="09EFFEAC">
        <w:rPr>
          <w:rFonts w:ascii="Calibri" w:hAnsi="Calibri" w:eastAsia="Calibri" w:cs="Calibri"/>
          <w:b w:val="1"/>
          <w:bCs w:val="1"/>
          <w:i w:val="0"/>
          <w:iCs w:val="0"/>
          <w:caps w:val="0"/>
          <w:smallCaps w:val="0"/>
          <w:noProof w:val="0"/>
          <w:color w:val="000000" w:themeColor="text1" w:themeTint="FF" w:themeShade="FF"/>
          <w:sz w:val="32"/>
          <w:szCs w:val="32"/>
          <w:lang w:val="en-GB"/>
        </w:rPr>
        <w:t>6</w:t>
      </w:r>
      <w:r w:rsidRPr="312F00A6" w:rsidR="415A5A2F">
        <w:rPr>
          <w:rFonts w:ascii="Calibri" w:hAnsi="Calibri" w:eastAsia="Calibri" w:cs="Calibri"/>
          <w:b w:val="1"/>
          <w:bCs w:val="1"/>
          <w:i w:val="0"/>
          <w:iCs w:val="0"/>
          <w:caps w:val="0"/>
          <w:smallCaps w:val="0"/>
          <w:noProof w:val="0"/>
          <w:color w:val="000000" w:themeColor="text1" w:themeTint="FF" w:themeShade="FF"/>
          <w:sz w:val="32"/>
          <w:szCs w:val="32"/>
          <w:lang w:val="en-GB"/>
        </w:rPr>
        <w:t>Student Name: Anoshia Zaheer</w:t>
      </w:r>
    </w:p>
    <w:p xmlns:wp14="http://schemas.microsoft.com/office/word/2010/wordml" w:rsidP="5012AA2D" w14:paraId="40BADFD5" wp14:textId="2510AB9D">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5012AA2D" w:rsidR="415A5A2F">
        <w:rPr>
          <w:rFonts w:ascii="Calibri" w:hAnsi="Calibri" w:eastAsia="Calibri" w:cs="Calibri"/>
          <w:b w:val="1"/>
          <w:bCs w:val="1"/>
          <w:i w:val="0"/>
          <w:iCs w:val="0"/>
          <w:caps w:val="0"/>
          <w:smallCaps w:val="0"/>
          <w:noProof w:val="0"/>
          <w:color w:val="000000" w:themeColor="text1" w:themeTint="FF" w:themeShade="FF"/>
          <w:sz w:val="32"/>
          <w:szCs w:val="32"/>
          <w:lang w:val="en-GB"/>
        </w:rPr>
        <w:t>Student Number: 2128010</w:t>
      </w:r>
    </w:p>
    <w:p xmlns:wp14="http://schemas.microsoft.com/office/word/2010/wordml" w:rsidP="5012AA2D" w14:paraId="74AB2C91" wp14:textId="01089DB7">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5012AA2D" w:rsidR="415A5A2F">
        <w:rPr>
          <w:rFonts w:ascii="Calibri" w:hAnsi="Calibri" w:eastAsia="Calibri" w:cs="Calibri"/>
          <w:b w:val="1"/>
          <w:bCs w:val="1"/>
          <w:i w:val="0"/>
          <w:iCs w:val="0"/>
          <w:caps w:val="0"/>
          <w:smallCaps w:val="0"/>
          <w:noProof w:val="0"/>
          <w:color w:val="000000" w:themeColor="text1" w:themeTint="FF" w:themeShade="FF"/>
          <w:sz w:val="32"/>
          <w:szCs w:val="32"/>
          <w:lang w:val="en-GB"/>
        </w:rPr>
        <w:t>Module Code: LCHS4006</w:t>
      </w:r>
    </w:p>
    <w:p xmlns:wp14="http://schemas.microsoft.com/office/word/2010/wordml" w:rsidP="5012AA2D" w14:paraId="07ED806C" wp14:textId="1EF15B61">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5012AA2D" w:rsidR="415A5A2F">
        <w:rPr>
          <w:rFonts w:ascii="Calibri" w:hAnsi="Calibri" w:eastAsia="Calibri" w:cs="Calibri"/>
          <w:b w:val="1"/>
          <w:bCs w:val="1"/>
          <w:i w:val="0"/>
          <w:iCs w:val="0"/>
          <w:caps w:val="0"/>
          <w:smallCaps w:val="0"/>
          <w:noProof w:val="0"/>
          <w:color w:val="000000" w:themeColor="text1" w:themeTint="FF" w:themeShade="FF"/>
          <w:sz w:val="32"/>
          <w:szCs w:val="32"/>
          <w:lang w:val="en-GB"/>
        </w:rPr>
        <w:t>Module Name: Psychology in Health and Social Care</w:t>
      </w:r>
    </w:p>
    <w:p xmlns:wp14="http://schemas.microsoft.com/office/word/2010/wordml" w:rsidP="5012AA2D" w14:paraId="512487B5" wp14:textId="1DBD9132">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5012AA2D" w:rsidR="415A5A2F">
        <w:rPr>
          <w:rFonts w:ascii="Calibri" w:hAnsi="Calibri" w:eastAsia="Calibri" w:cs="Calibri"/>
          <w:b w:val="1"/>
          <w:bCs w:val="1"/>
          <w:i w:val="0"/>
          <w:iCs w:val="0"/>
          <w:caps w:val="0"/>
          <w:smallCaps w:val="0"/>
          <w:noProof w:val="0"/>
          <w:color w:val="000000" w:themeColor="text1" w:themeTint="FF" w:themeShade="FF"/>
          <w:sz w:val="32"/>
          <w:szCs w:val="32"/>
          <w:lang w:val="en-GB"/>
        </w:rPr>
        <w:t>Lecturer Name: Dr Kenndy Obohwemu</w:t>
      </w:r>
    </w:p>
    <w:p xmlns:wp14="http://schemas.microsoft.com/office/word/2010/wordml" w:rsidP="5012AA2D" w14:paraId="300289CC" wp14:textId="2F4399A9">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5012AA2D" w:rsidR="415A5A2F">
        <w:rPr>
          <w:rFonts w:ascii="Calibri" w:hAnsi="Calibri" w:eastAsia="Calibri" w:cs="Calibri"/>
          <w:b w:val="1"/>
          <w:bCs w:val="1"/>
          <w:i w:val="0"/>
          <w:iCs w:val="0"/>
          <w:caps w:val="0"/>
          <w:smallCaps w:val="0"/>
          <w:noProof w:val="0"/>
          <w:color w:val="000000" w:themeColor="text1" w:themeTint="FF" w:themeShade="FF"/>
          <w:sz w:val="32"/>
          <w:szCs w:val="32"/>
          <w:lang w:val="en-GB"/>
        </w:rPr>
        <w:t xml:space="preserve"> </w:t>
      </w:r>
    </w:p>
    <w:p xmlns:wp14="http://schemas.microsoft.com/office/word/2010/wordml" w:rsidP="5012AA2D" w14:paraId="4F35233E" wp14:textId="34B50F8D">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5012AA2D" w14:paraId="46B8FC16" wp14:textId="1CAF162E">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012AA2D" w14:paraId="21F60857" wp14:textId="081C8C0A">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012AA2D" w14:paraId="0F80AEA5" wp14:textId="3E98A0A3">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012AA2D" w14:paraId="6563BE1A" wp14:textId="680F0B68">
      <w:pPr>
        <w:spacing w:before="0" w:beforeAutospacing="off" w:after="150" w:afterAutospacing="off"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012AA2D" w14:paraId="532F9157" wp14:textId="228C2C0C">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012AA2D" w14:paraId="0179B83B" wp14:textId="32D0737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012AA2D" w14:paraId="42FD9B51" wp14:textId="25E06CB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012AA2D" w14:paraId="382F074B" wp14:textId="647FB31E">
      <w:pPr>
        <w:keepNext w:val="1"/>
        <w:keepLines w:val="1"/>
        <w:spacing w:before="240" w:after="0" w:line="480" w:lineRule="auto"/>
        <w:ind w:left="720"/>
        <w:jc w:val="center"/>
        <w:rPr>
          <w:rFonts w:ascii="Times New Roman" w:hAnsi="Times New Roman" w:eastAsia="Times New Roman" w:cs="Times New Roman"/>
          <w:b w:val="0"/>
          <w:bCs w:val="0"/>
          <w:i w:val="0"/>
          <w:iCs w:val="0"/>
          <w:caps w:val="0"/>
          <w:smallCaps w:val="0"/>
          <w:noProof w:val="0"/>
          <w:color w:val="2F5496" w:themeColor="accent1" w:themeTint="FF" w:themeShade="BF"/>
          <w:sz w:val="32"/>
          <w:szCs w:val="32"/>
          <w:lang w:val="en-US"/>
        </w:rPr>
      </w:pPr>
      <w:r w:rsidRPr="5012AA2D" w:rsidR="415A5A2F">
        <w:rPr>
          <w:rFonts w:ascii="Calibri" w:hAnsi="Calibri" w:eastAsia="Calibri" w:cs="Calibri"/>
          <w:b w:val="1"/>
          <w:bCs w:val="1"/>
          <w:i w:val="0"/>
          <w:iCs w:val="0"/>
          <w:caps w:val="0"/>
          <w:smallCaps w:val="0"/>
          <w:noProof w:val="0"/>
          <w:color w:val="2F5496" w:themeColor="accent1" w:themeTint="FF" w:themeShade="BF"/>
          <w:sz w:val="28"/>
          <w:szCs w:val="28"/>
          <w:lang w:val="en-US"/>
        </w:rPr>
        <w:t xml:space="preserve">  </w:t>
      </w:r>
    </w:p>
    <w:p xmlns:wp14="http://schemas.microsoft.com/office/word/2010/wordml" w:rsidP="5012AA2D" w14:paraId="31DE8863" wp14:textId="44FEE62A">
      <w:pPr>
        <w:keepNext w:val="1"/>
        <w:keepLines w:val="1"/>
        <w:spacing w:before="240" w:after="0" w:line="480" w:lineRule="auto"/>
        <w:ind w:left="720"/>
        <w:jc w:val="center"/>
        <w:rPr>
          <w:rFonts w:ascii="Times New Roman" w:hAnsi="Times New Roman" w:eastAsia="Times New Roman" w:cs="Times New Roman"/>
          <w:b w:val="0"/>
          <w:bCs w:val="0"/>
          <w:i w:val="0"/>
          <w:iCs w:val="0"/>
          <w:caps w:val="0"/>
          <w:smallCaps w:val="0"/>
          <w:noProof w:val="0"/>
          <w:color w:val="2F5496" w:themeColor="accent1" w:themeTint="FF" w:themeShade="BF"/>
          <w:sz w:val="28"/>
          <w:szCs w:val="28"/>
          <w:lang w:val="en-US"/>
        </w:rPr>
      </w:pPr>
      <w:r w:rsidRPr="5012AA2D" w:rsidR="415A5A2F">
        <w:rPr>
          <w:rFonts w:ascii="Times New Roman" w:hAnsi="Times New Roman" w:eastAsia="Times New Roman" w:cs="Times New Roman"/>
          <w:b w:val="1"/>
          <w:bCs w:val="1"/>
          <w:i w:val="0"/>
          <w:iCs w:val="0"/>
          <w:caps w:val="0"/>
          <w:smallCaps w:val="0"/>
          <w:noProof w:val="0"/>
          <w:color w:val="2F5496" w:themeColor="accent1" w:themeTint="FF" w:themeShade="BF"/>
          <w:sz w:val="32"/>
          <w:szCs w:val="32"/>
          <w:lang w:val="en-US"/>
        </w:rPr>
        <w:t xml:space="preserve"> Contents</w:t>
      </w:r>
    </w:p>
    <w:p xmlns:wp14="http://schemas.microsoft.com/office/word/2010/wordml" w:rsidP="5012AA2D" w14:paraId="50C1DA83" wp14:textId="5E659CFE">
      <w:pPr>
        <w:tabs>
          <w:tab w:val="left" w:leader="none" w:pos="440"/>
          <w:tab w:val="right" w:leader="dot" w:pos="9350"/>
        </w:tabs>
        <w:spacing w:after="10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012AA2D" w:rsidR="415A5A2F">
        <w:rPr>
          <w:rFonts w:ascii="Times New Roman" w:hAnsi="Times New Roman" w:eastAsia="Times New Roman" w:cs="Times New Roman"/>
          <w:b w:val="0"/>
          <w:bCs w:val="0"/>
          <w:i w:val="0"/>
          <w:iCs w:val="0"/>
          <w:caps w:val="0"/>
          <w:smallCaps w:val="0"/>
          <w:strike w:val="0"/>
          <w:dstrike w:val="0"/>
          <w:noProof w:val="0"/>
          <w:color w:val="0563C1"/>
          <w:sz w:val="24"/>
          <w:szCs w:val="24"/>
          <w:u w:val="single"/>
          <w:lang w:val="en-GB"/>
        </w:rPr>
        <w:t xml:space="preserve"> </w:t>
      </w:r>
    </w:p>
    <w:p xmlns:wp14="http://schemas.microsoft.com/office/word/2010/wordml" w:rsidP="5012AA2D" w14:paraId="6699346C" wp14:textId="53321DE6">
      <w:pPr>
        <w:tabs>
          <w:tab w:val="left" w:leader="none" w:pos="440"/>
          <w:tab w:val="right" w:leader="dot" w:pos="9350"/>
        </w:tabs>
        <w:spacing w:after="10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012AA2D" w:rsidR="415A5A2F">
        <w:rPr>
          <w:rFonts w:ascii="Times New Roman" w:hAnsi="Times New Roman" w:eastAsia="Times New Roman" w:cs="Times New Roman"/>
          <w:b w:val="0"/>
          <w:bCs w:val="0"/>
          <w:i w:val="0"/>
          <w:iCs w:val="0"/>
          <w:caps w:val="0"/>
          <w:smallCaps w:val="0"/>
          <w:strike w:val="0"/>
          <w:dstrike w:val="0"/>
          <w:noProof w:val="0"/>
          <w:color w:val="0563C1"/>
          <w:sz w:val="24"/>
          <w:szCs w:val="24"/>
          <w:u w:val="single"/>
          <w:lang w:val="en-GB"/>
        </w:rPr>
        <w:t xml:space="preserve"> </w:t>
      </w:r>
    </w:p>
    <w:p xmlns:wp14="http://schemas.microsoft.com/office/word/2010/wordml" w:rsidP="5012AA2D" w14:paraId="4685274D" wp14:textId="1BA4EAF7">
      <w:pPr>
        <w:tabs>
          <w:tab w:val="left" w:leader="none" w:pos="880"/>
          <w:tab w:val="right" w:leader="dot" w:pos="9350"/>
        </w:tabs>
        <w:spacing w:after="100" w:line="480" w:lineRule="auto"/>
        <w:ind w:left="2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012AA2D" w:rsidR="415A5A2F">
        <w:rPr>
          <w:rFonts w:ascii="Times New Roman" w:hAnsi="Times New Roman" w:eastAsia="Times New Roman" w:cs="Times New Roman"/>
          <w:b w:val="0"/>
          <w:bCs w:val="0"/>
          <w:i w:val="0"/>
          <w:iCs w:val="0"/>
          <w:caps w:val="0"/>
          <w:smallCaps w:val="0"/>
          <w:strike w:val="0"/>
          <w:dstrike w:val="0"/>
          <w:noProof w:val="0"/>
          <w:color w:val="0563C1"/>
          <w:sz w:val="24"/>
          <w:szCs w:val="24"/>
          <w:u w:val="single"/>
          <w:lang w:val="en-GB"/>
        </w:rPr>
        <w:t xml:space="preserve"> </w:t>
      </w:r>
    </w:p>
    <w:p xmlns:wp14="http://schemas.microsoft.com/office/word/2010/wordml" w:rsidP="5012AA2D" w14:paraId="701813E6" wp14:textId="5A7D85A2">
      <w:pPr>
        <w:tabs>
          <w:tab w:val="left" w:leader="none" w:pos="440"/>
          <w:tab w:val="right" w:leader="dot" w:pos="9350"/>
        </w:tabs>
        <w:spacing w:after="10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012AA2D" w:rsidR="415A5A2F">
        <w:rPr>
          <w:rFonts w:ascii="Times New Roman" w:hAnsi="Times New Roman" w:eastAsia="Times New Roman" w:cs="Times New Roman"/>
          <w:b w:val="0"/>
          <w:bCs w:val="0"/>
          <w:i w:val="0"/>
          <w:iCs w:val="0"/>
          <w:caps w:val="0"/>
          <w:smallCaps w:val="0"/>
          <w:strike w:val="0"/>
          <w:dstrike w:val="0"/>
          <w:noProof w:val="0"/>
          <w:color w:val="0563C1"/>
          <w:sz w:val="24"/>
          <w:szCs w:val="24"/>
          <w:u w:val="single"/>
          <w:lang w:val="en-GB"/>
        </w:rPr>
        <w:t xml:space="preserve"> </w:t>
      </w:r>
    </w:p>
    <w:p xmlns:wp14="http://schemas.microsoft.com/office/word/2010/wordml" w:rsidP="5012AA2D" w14:paraId="34646BBE" wp14:textId="07D31C2D">
      <w:pPr>
        <w:tabs>
          <w:tab w:val="left" w:leader="none" w:pos="880"/>
          <w:tab w:val="right" w:leader="dot" w:pos="9350"/>
        </w:tabs>
        <w:spacing w:after="100" w:line="480" w:lineRule="auto"/>
        <w:ind w:left="2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012AA2D" w:rsidR="415A5A2F">
        <w:rPr>
          <w:rFonts w:ascii="Times New Roman" w:hAnsi="Times New Roman" w:eastAsia="Times New Roman" w:cs="Times New Roman"/>
          <w:b w:val="0"/>
          <w:bCs w:val="0"/>
          <w:i w:val="0"/>
          <w:iCs w:val="0"/>
          <w:caps w:val="0"/>
          <w:smallCaps w:val="0"/>
          <w:strike w:val="0"/>
          <w:dstrike w:val="0"/>
          <w:noProof w:val="0"/>
          <w:color w:val="0563C1"/>
          <w:sz w:val="24"/>
          <w:szCs w:val="24"/>
          <w:u w:val="single"/>
          <w:lang w:val="en-GB"/>
        </w:rPr>
        <w:t xml:space="preserve"> </w:t>
      </w:r>
    </w:p>
    <w:p xmlns:wp14="http://schemas.microsoft.com/office/word/2010/wordml" w:rsidP="5012AA2D" w14:paraId="550DCBFF" wp14:textId="3F0B11C0">
      <w:pPr>
        <w:tabs>
          <w:tab w:val="left" w:leader="none" w:pos="440"/>
          <w:tab w:val="right" w:leader="dot" w:pos="9350"/>
        </w:tabs>
        <w:spacing w:after="10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012AA2D" w:rsidR="415A5A2F">
        <w:rPr>
          <w:rFonts w:ascii="Times New Roman" w:hAnsi="Times New Roman" w:eastAsia="Times New Roman" w:cs="Times New Roman"/>
          <w:b w:val="0"/>
          <w:bCs w:val="0"/>
          <w:i w:val="0"/>
          <w:iCs w:val="0"/>
          <w:caps w:val="0"/>
          <w:smallCaps w:val="0"/>
          <w:strike w:val="0"/>
          <w:dstrike w:val="0"/>
          <w:noProof w:val="0"/>
          <w:color w:val="0563C1"/>
          <w:sz w:val="24"/>
          <w:szCs w:val="24"/>
          <w:u w:val="single"/>
          <w:lang w:val="en-GB"/>
        </w:rPr>
        <w:t xml:space="preserve"> </w:t>
      </w:r>
    </w:p>
    <w:p xmlns:wp14="http://schemas.microsoft.com/office/word/2010/wordml" w:rsidP="5012AA2D" w14:paraId="27CFEFED" wp14:textId="126FAA1B">
      <w:pPr>
        <w:tabs>
          <w:tab w:val="left" w:leader="none" w:pos="880"/>
          <w:tab w:val="right" w:leader="dot" w:pos="9350"/>
        </w:tabs>
        <w:spacing w:after="100" w:line="480" w:lineRule="auto"/>
        <w:ind w:left="2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012AA2D" w:rsidR="415A5A2F">
        <w:rPr>
          <w:rFonts w:ascii="Times New Roman" w:hAnsi="Times New Roman" w:eastAsia="Times New Roman" w:cs="Times New Roman"/>
          <w:b w:val="0"/>
          <w:bCs w:val="0"/>
          <w:i w:val="0"/>
          <w:iCs w:val="0"/>
          <w:caps w:val="0"/>
          <w:smallCaps w:val="0"/>
          <w:strike w:val="0"/>
          <w:dstrike w:val="0"/>
          <w:noProof w:val="0"/>
          <w:color w:val="0563C1"/>
          <w:sz w:val="24"/>
          <w:szCs w:val="24"/>
          <w:u w:val="single"/>
          <w:lang w:val="en-GB"/>
        </w:rPr>
        <w:t xml:space="preserve"> </w:t>
      </w:r>
    </w:p>
    <w:p xmlns:wp14="http://schemas.microsoft.com/office/word/2010/wordml" w:rsidP="5012AA2D" w14:paraId="4CC06D8C" wp14:textId="06054D9C">
      <w:pPr>
        <w:tabs>
          <w:tab w:val="left" w:leader="none" w:pos="440"/>
          <w:tab w:val="right" w:leader="dot" w:pos="9350"/>
        </w:tabs>
        <w:spacing w:after="10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012AA2D" w:rsidR="415A5A2F">
        <w:rPr>
          <w:rFonts w:ascii="Times New Roman" w:hAnsi="Times New Roman" w:eastAsia="Times New Roman" w:cs="Times New Roman"/>
          <w:b w:val="0"/>
          <w:bCs w:val="0"/>
          <w:i w:val="0"/>
          <w:iCs w:val="0"/>
          <w:caps w:val="0"/>
          <w:smallCaps w:val="0"/>
          <w:strike w:val="0"/>
          <w:dstrike w:val="0"/>
          <w:noProof w:val="0"/>
          <w:color w:val="0563C1"/>
          <w:sz w:val="24"/>
          <w:szCs w:val="24"/>
          <w:u w:val="single"/>
          <w:lang w:val="en-GB"/>
        </w:rPr>
        <w:t xml:space="preserve"> </w:t>
      </w:r>
    </w:p>
    <w:p xmlns:wp14="http://schemas.microsoft.com/office/word/2010/wordml" w:rsidP="5012AA2D" w14:paraId="57CDC453" wp14:textId="7E34C93E">
      <w:pPr>
        <w:tabs>
          <w:tab w:val="left" w:leader="none" w:pos="440"/>
          <w:tab w:val="right" w:leader="dot" w:pos="9350"/>
        </w:tabs>
        <w:spacing w:after="10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012AA2D" w:rsidR="415A5A2F">
        <w:rPr>
          <w:rFonts w:ascii="Times New Roman" w:hAnsi="Times New Roman" w:eastAsia="Times New Roman" w:cs="Times New Roman"/>
          <w:b w:val="0"/>
          <w:bCs w:val="0"/>
          <w:i w:val="0"/>
          <w:iCs w:val="0"/>
          <w:caps w:val="0"/>
          <w:smallCaps w:val="0"/>
          <w:strike w:val="0"/>
          <w:dstrike w:val="0"/>
          <w:noProof w:val="0"/>
          <w:color w:val="0563C1"/>
          <w:sz w:val="24"/>
          <w:szCs w:val="24"/>
          <w:u w:val="single"/>
          <w:lang w:val="en-GB"/>
        </w:rPr>
        <w:t xml:space="preserve"> </w:t>
      </w:r>
    </w:p>
    <w:p xmlns:wp14="http://schemas.microsoft.com/office/word/2010/wordml" w:rsidP="5012AA2D" w14:paraId="021D2F57" wp14:textId="5B218CDC">
      <w:pPr>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012AA2D" w:rsidR="415A5A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012AA2D" w:rsidR="415A5A2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xmlns:wp14="http://schemas.microsoft.com/office/word/2010/wordml" w:rsidP="5012AA2D" w14:paraId="1211DF05" wp14:textId="08B0F60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012AA2D" w14:paraId="56F020F1" wp14:textId="0D02DA4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012AA2D" w14:paraId="1934C37D" wp14:textId="5A0C43F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012AA2D" w14:paraId="119C523A" wp14:textId="23D895B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012AA2D" w14:paraId="3AC60F3D" wp14:textId="5E87A19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012AA2D" w14:paraId="4C516076" wp14:textId="6FBE5CC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012AA2D" w14:paraId="270B7160" wp14:textId="6263A7C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012AA2D" w14:paraId="054FD7AE" wp14:textId="5A1F56E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012AA2D" w14:paraId="35E6D444" wp14:textId="27697E4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012AA2D" w14:paraId="4113BD1E" wp14:textId="393EE4C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012AA2D" w14:paraId="731D6807" wp14:textId="651F86A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012AA2D" w14:paraId="5F3C3708" wp14:textId="7E93A31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012AA2D" w14:paraId="3DAC0355" wp14:textId="3C6B57B6">
      <w:pPr>
        <w:pStyle w:val="Heading1"/>
        <w:spacing w:after="160" w:line="48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5012AA2D" w:rsidR="415A5A2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Introduction</w:t>
      </w:r>
    </w:p>
    <w:p xmlns:wp14="http://schemas.microsoft.com/office/word/2010/wordml" w:rsidP="5012AA2D" w14:paraId="7A7B6662" wp14:textId="57653371">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012AA2D" w:rsidR="415A5A2F">
        <w:rPr>
          <w:rFonts w:ascii="Arial" w:hAnsi="Arial" w:eastAsia="Arial" w:cs="Arial"/>
          <w:b w:val="0"/>
          <w:bCs w:val="0"/>
          <w:i w:val="0"/>
          <w:iCs w:val="0"/>
          <w:caps w:val="0"/>
          <w:smallCaps w:val="0"/>
          <w:noProof w:val="0"/>
          <w:color w:val="000000" w:themeColor="text1" w:themeTint="FF" w:themeShade="FF"/>
          <w:sz w:val="22"/>
          <w:szCs w:val="22"/>
          <w:lang w:val="en-GB"/>
        </w:rPr>
        <w:t>Psychology is a scientific field that studies human behaviour, mental processes, and experiences. It is highly relevant to the health and social care practice because it helps professionals understand their patients’ or clients’ complex behaviours and emotions. Professionals in these fields must understand human behaviour and mental processes to provide effective care and support. By applying psychological theories, health and social care professionals can better understand how individuals respond to different situations and experiences (</w:t>
      </w:r>
      <w:r w:rsidRPr="5012AA2D" w:rsidR="415A5A2F">
        <w:rPr>
          <w:rFonts w:ascii="Arial" w:hAnsi="Arial" w:eastAsia="Arial" w:cs="Arial"/>
          <w:b w:val="0"/>
          <w:bCs w:val="0"/>
          <w:i w:val="0"/>
          <w:iCs w:val="0"/>
          <w:caps w:val="0"/>
          <w:smallCaps w:val="0"/>
          <w:noProof w:val="0"/>
          <w:color w:val="222222"/>
          <w:sz w:val="22"/>
          <w:szCs w:val="22"/>
          <w:lang w:val="en-US"/>
        </w:rPr>
        <w:t>De Kock et al., 2021)</w:t>
      </w:r>
      <w:r w:rsidRPr="5012AA2D" w:rsidR="415A5A2F">
        <w:rPr>
          <w:rFonts w:ascii="Arial" w:hAnsi="Arial" w:eastAsia="Arial" w:cs="Arial"/>
          <w:b w:val="0"/>
          <w:bCs w:val="0"/>
          <w:i w:val="0"/>
          <w:iCs w:val="0"/>
          <w:caps w:val="0"/>
          <w:smallCaps w:val="0"/>
          <w:noProof w:val="0"/>
          <w:color w:val="000000" w:themeColor="text1" w:themeTint="FF" w:themeShade="FF"/>
          <w:sz w:val="22"/>
          <w:szCs w:val="22"/>
          <w:lang w:val="en-GB"/>
        </w:rPr>
        <w:t>. This knowledge can be used to design interventions and treatment plans that are tailored to the unique needs of each patient or client. This report will discuss three psychological theories: “Erikson’s psychosocial theory, Bandura’s social learning theory, and Freud’s psychoanalytic theory,” which have practical applications in health and social care practice.</w:t>
      </w:r>
    </w:p>
    <w:p xmlns:wp14="http://schemas.microsoft.com/office/word/2010/wordml" w:rsidP="5012AA2D" w14:paraId="19BA8E4F" wp14:textId="72AAAE05">
      <w:pPr>
        <w:pStyle w:val="Heading1"/>
        <w:spacing w:after="160"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US"/>
        </w:rPr>
      </w:pPr>
      <w:r w:rsidRPr="5012AA2D" w:rsidR="415A5A2F">
        <w:rPr>
          <w:rFonts w:ascii="Arial" w:hAnsi="Arial" w:eastAsia="Arial" w:cs="Arial"/>
          <w:b w:val="1"/>
          <w:bCs w:val="1"/>
          <w:i w:val="0"/>
          <w:iCs w:val="0"/>
          <w:caps w:val="0"/>
          <w:smallCaps w:val="0"/>
          <w:noProof w:val="0"/>
          <w:color w:val="000000" w:themeColor="text1" w:themeTint="FF" w:themeShade="FF"/>
          <w:sz w:val="22"/>
          <w:szCs w:val="22"/>
          <w:lang w:val="en-GB"/>
        </w:rPr>
        <w:t xml:space="preserve">Theory 1: Erikson’s psychosocial theory </w:t>
      </w:r>
    </w:p>
    <w:p xmlns:wp14="http://schemas.microsoft.com/office/word/2010/wordml" w:rsidP="5012AA2D" w14:paraId="6C38F142" wp14:textId="00AFF59A">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012AA2D" w:rsidR="415A5A2F">
        <w:rPr>
          <w:rFonts w:ascii="Arial" w:hAnsi="Arial" w:eastAsia="Arial" w:cs="Arial"/>
          <w:b w:val="0"/>
          <w:bCs w:val="0"/>
          <w:i w:val="0"/>
          <w:iCs w:val="0"/>
          <w:caps w:val="0"/>
          <w:smallCaps w:val="0"/>
          <w:noProof w:val="0"/>
          <w:color w:val="000000" w:themeColor="text1" w:themeTint="FF" w:themeShade="FF"/>
          <w:sz w:val="22"/>
          <w:szCs w:val="22"/>
          <w:lang w:val="en-GB"/>
        </w:rPr>
        <w:t>Psychology is an essential field that plays a vital role in health and social care practice. Health and social care professionals need to understand human behaviour and mental processes to provide effective care to their patients or clients. The psychosocial theory of Erikson is important for health and social care. As individuals develop psychosocially throughout their lifetime, Erikson’s psychosocial theory posits eight stages (</w:t>
      </w:r>
      <w:r w:rsidRPr="5012AA2D" w:rsidR="415A5A2F">
        <w:rPr>
          <w:rFonts w:ascii="Arial" w:hAnsi="Arial" w:eastAsia="Arial" w:cs="Arial"/>
          <w:b w:val="0"/>
          <w:bCs w:val="0"/>
          <w:i w:val="0"/>
          <w:iCs w:val="0"/>
          <w:caps w:val="0"/>
          <w:smallCaps w:val="0"/>
          <w:noProof w:val="0"/>
          <w:color w:val="222222"/>
          <w:sz w:val="22"/>
          <w:szCs w:val="22"/>
          <w:lang w:val="en-US"/>
        </w:rPr>
        <w:t>Durrant and Ensom, 2020)</w:t>
      </w:r>
      <w:r w:rsidRPr="5012AA2D" w:rsidR="415A5A2F">
        <w:rPr>
          <w:rFonts w:ascii="Arial" w:hAnsi="Arial" w:eastAsia="Arial" w:cs="Arial"/>
          <w:b w:val="0"/>
          <w:bCs w:val="0"/>
          <w:i w:val="0"/>
          <w:iCs w:val="0"/>
          <w:caps w:val="0"/>
          <w:smallCaps w:val="0"/>
          <w:noProof w:val="0"/>
          <w:color w:val="000000" w:themeColor="text1" w:themeTint="FF" w:themeShade="FF"/>
          <w:sz w:val="22"/>
          <w:szCs w:val="22"/>
          <w:lang w:val="en-GB"/>
        </w:rPr>
        <w:t xml:space="preserve">. A crisis or conflict marks each stage, requiring individuals to resolve it to move forward. These stages include “trust vs mistrust, autonomy vs shame and doubt, initiative vs guilt, industry vs inferiority, identity vs role confusion, intimacy vs isolation, generativity vs stagnation, and integrity vs despair.” </w:t>
      </w:r>
    </w:p>
    <w:p xmlns:wp14="http://schemas.microsoft.com/office/word/2010/wordml" w:rsidP="5012AA2D" w14:paraId="3049E5E9" wp14:textId="13FBC09D">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012AA2D" w:rsidR="415A5A2F">
        <w:rPr>
          <w:rFonts w:ascii="Arial" w:hAnsi="Arial" w:eastAsia="Arial" w:cs="Arial"/>
          <w:b w:val="0"/>
          <w:bCs w:val="0"/>
          <w:i w:val="0"/>
          <w:iCs w:val="0"/>
          <w:caps w:val="0"/>
          <w:smallCaps w:val="0"/>
          <w:noProof w:val="0"/>
          <w:color w:val="000000" w:themeColor="text1" w:themeTint="FF" w:themeShade="FF"/>
          <w:sz w:val="22"/>
          <w:szCs w:val="22"/>
          <w:lang w:val="en-GB"/>
        </w:rPr>
        <w:t>The relevance of Erikson’s psychosocial theory for health and social care professionals is crucial. By understanding the challenges that individuals may face during various stages of development, professionals can design interventions and treatment plans that are tailored to the unique needs of each patient or client (</w:t>
      </w:r>
      <w:r w:rsidRPr="5012AA2D" w:rsidR="415A5A2F">
        <w:rPr>
          <w:rFonts w:ascii="Arial" w:hAnsi="Arial" w:eastAsia="Arial" w:cs="Arial"/>
          <w:b w:val="0"/>
          <w:bCs w:val="0"/>
          <w:i w:val="0"/>
          <w:iCs w:val="0"/>
          <w:caps w:val="0"/>
          <w:smallCaps w:val="0"/>
          <w:noProof w:val="0"/>
          <w:color w:val="222222"/>
          <w:sz w:val="22"/>
          <w:szCs w:val="22"/>
          <w:lang w:val="en-US"/>
        </w:rPr>
        <w:t>Pancost et al., 2022)</w:t>
      </w:r>
      <w:r w:rsidRPr="5012AA2D" w:rsidR="415A5A2F">
        <w:rPr>
          <w:rFonts w:ascii="Arial" w:hAnsi="Arial" w:eastAsia="Arial" w:cs="Arial"/>
          <w:b w:val="0"/>
          <w:bCs w:val="0"/>
          <w:i w:val="0"/>
          <w:iCs w:val="0"/>
          <w:caps w:val="0"/>
          <w:smallCaps w:val="0"/>
          <w:noProof w:val="0"/>
          <w:color w:val="000000" w:themeColor="text1" w:themeTint="FF" w:themeShade="FF"/>
          <w:sz w:val="22"/>
          <w:szCs w:val="22"/>
          <w:lang w:val="en-GB"/>
        </w:rPr>
        <w:t>. For instance, during the trust vs. mistrust stage, infants need consistent care and nurturing to develop trust in others. In contrast, adolescents struggle to develop a sense of self during identity vs. role confusion and may experiment with distinct roles and values to establish their identity.</w:t>
      </w:r>
    </w:p>
    <w:p xmlns:wp14="http://schemas.microsoft.com/office/word/2010/wordml" w:rsidP="5012AA2D" w14:paraId="3E798116" wp14:textId="17A25161">
      <w:pPr>
        <w:pStyle w:val="Heading2"/>
        <w:spacing w:after="160" w:line="48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5012AA2D" w:rsidR="415A5A2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Example</w:t>
      </w:r>
    </w:p>
    <w:p xmlns:wp14="http://schemas.microsoft.com/office/word/2010/wordml" w:rsidP="5012AA2D" w14:paraId="2FD50B8B" wp14:textId="408E868E">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012AA2D" w:rsidR="415A5A2F">
        <w:rPr>
          <w:rFonts w:ascii="Arial" w:hAnsi="Arial" w:eastAsia="Arial" w:cs="Arial"/>
          <w:b w:val="0"/>
          <w:bCs w:val="0"/>
          <w:i w:val="0"/>
          <w:iCs w:val="0"/>
          <w:caps w:val="0"/>
          <w:smallCaps w:val="0"/>
          <w:noProof w:val="0"/>
          <w:color w:val="000000" w:themeColor="text1" w:themeTint="FF" w:themeShade="FF"/>
          <w:sz w:val="22"/>
          <w:szCs w:val="22"/>
          <w:lang w:val="en-GB"/>
        </w:rPr>
        <w:t>A practical example of Erikson’s psychosocial theory in the health and social care practice is working with individuals with intellectual disabilities. These individuals may experience social and emotional development challenges, particularly during the industry vs. inferiority stage (</w:t>
      </w:r>
      <w:r w:rsidRPr="5012AA2D" w:rsidR="415A5A2F">
        <w:rPr>
          <w:rFonts w:ascii="Arial" w:hAnsi="Arial" w:eastAsia="Arial" w:cs="Arial"/>
          <w:b w:val="0"/>
          <w:bCs w:val="0"/>
          <w:i w:val="0"/>
          <w:iCs w:val="0"/>
          <w:caps w:val="0"/>
          <w:smallCaps w:val="0"/>
          <w:noProof w:val="0"/>
          <w:color w:val="222222"/>
          <w:sz w:val="22"/>
          <w:szCs w:val="22"/>
          <w:lang w:val="en-US"/>
        </w:rPr>
        <w:t>Durrant and Ensom, 2020)</w:t>
      </w:r>
      <w:r w:rsidRPr="5012AA2D" w:rsidR="415A5A2F">
        <w:rPr>
          <w:rFonts w:ascii="Arial" w:hAnsi="Arial" w:eastAsia="Arial" w:cs="Arial"/>
          <w:b w:val="0"/>
          <w:bCs w:val="0"/>
          <w:i w:val="0"/>
          <w:iCs w:val="0"/>
          <w:caps w:val="0"/>
          <w:smallCaps w:val="0"/>
          <w:noProof w:val="0"/>
          <w:color w:val="000000" w:themeColor="text1" w:themeTint="FF" w:themeShade="FF"/>
          <w:sz w:val="22"/>
          <w:szCs w:val="22"/>
          <w:lang w:val="en-GB"/>
        </w:rPr>
        <w:t>. Health and social care professionals can use Erikson’s theory to understand these individuals’ challenges and design interventions that facilitate their sense of accomplishment and competence. For instance, professionals can provide opportunities for skill development, encourage positive feedback, and promote socialization to enhance the individual’s self-esteem and sense of competence.</w:t>
      </w:r>
    </w:p>
    <w:p xmlns:wp14="http://schemas.microsoft.com/office/word/2010/wordml" w:rsidP="5012AA2D" w14:paraId="0DC9D416" wp14:textId="0616180A">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012AA2D" w:rsidR="415A5A2F">
        <w:rPr>
          <w:rFonts w:ascii="Arial" w:hAnsi="Arial" w:eastAsia="Arial" w:cs="Arial"/>
          <w:b w:val="0"/>
          <w:bCs w:val="0"/>
          <w:i w:val="0"/>
          <w:iCs w:val="0"/>
          <w:caps w:val="0"/>
          <w:smallCaps w:val="0"/>
          <w:noProof w:val="0"/>
          <w:color w:val="000000" w:themeColor="text1" w:themeTint="FF" w:themeShade="FF"/>
          <w:sz w:val="22"/>
          <w:szCs w:val="22"/>
          <w:lang w:val="en-GB"/>
        </w:rPr>
        <w:t>Another practical example of Erikson’s psychosocial theory is working with individuals with a history of substance abuse. These individuals may struggle with their sense of identity and self-worth, particularly during the intimacy vs. isolation stage. Health and social care professionals can use Erikson’s theory to understand these individuals’ challenges and design interventions promoting their self-identity and social connectedness (</w:t>
      </w:r>
      <w:r w:rsidRPr="5012AA2D" w:rsidR="415A5A2F">
        <w:rPr>
          <w:rFonts w:ascii="Arial" w:hAnsi="Arial" w:eastAsia="Arial" w:cs="Arial"/>
          <w:b w:val="0"/>
          <w:bCs w:val="0"/>
          <w:i w:val="0"/>
          <w:iCs w:val="0"/>
          <w:caps w:val="0"/>
          <w:smallCaps w:val="0"/>
          <w:noProof w:val="0"/>
          <w:color w:val="222222"/>
          <w:sz w:val="22"/>
          <w:szCs w:val="22"/>
          <w:lang w:val="en-US"/>
        </w:rPr>
        <w:t>Dezutter et al., 2019)</w:t>
      </w:r>
      <w:r w:rsidRPr="5012AA2D" w:rsidR="415A5A2F">
        <w:rPr>
          <w:rFonts w:ascii="Arial" w:hAnsi="Arial" w:eastAsia="Arial" w:cs="Arial"/>
          <w:b w:val="0"/>
          <w:bCs w:val="0"/>
          <w:i w:val="0"/>
          <w:iCs w:val="0"/>
          <w:caps w:val="0"/>
          <w:smallCaps w:val="0"/>
          <w:noProof w:val="0"/>
          <w:color w:val="000000" w:themeColor="text1" w:themeTint="FF" w:themeShade="FF"/>
          <w:sz w:val="22"/>
          <w:szCs w:val="22"/>
          <w:lang w:val="en-GB"/>
        </w:rPr>
        <w:t>. For instance, professionals can facilitate group therapy sessions, encourage positive peer interactions, and provide opportunities for skill-building activities to enhance the individual’s sense of belonging and self-identity.</w:t>
      </w:r>
    </w:p>
    <w:p xmlns:wp14="http://schemas.microsoft.com/office/word/2010/wordml" w:rsidP="5012AA2D" w14:paraId="23ECC889" wp14:textId="24B29EF5">
      <w:pPr>
        <w:pStyle w:val="Heading1"/>
        <w:spacing w:after="160" w:line="48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5012AA2D" w:rsidR="415A5A2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Theory 2: Albert Bandura’s social learning theory</w:t>
      </w:r>
    </w:p>
    <w:p xmlns:wp14="http://schemas.microsoft.com/office/word/2010/wordml" w:rsidP="5012AA2D" w14:paraId="0FEF9E0D" wp14:textId="7CD8311B">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012AA2D" w:rsidR="415A5A2F">
        <w:rPr>
          <w:rFonts w:ascii="Arial" w:hAnsi="Arial" w:eastAsia="Arial" w:cs="Arial"/>
          <w:b w:val="0"/>
          <w:bCs w:val="0"/>
          <w:i w:val="0"/>
          <w:iCs w:val="0"/>
          <w:caps w:val="0"/>
          <w:smallCaps w:val="0"/>
          <w:noProof w:val="0"/>
          <w:color w:val="000000" w:themeColor="text1" w:themeTint="FF" w:themeShade="FF"/>
          <w:sz w:val="22"/>
          <w:szCs w:val="22"/>
          <w:lang w:val="en-GB"/>
        </w:rPr>
        <w:t>According to Albert Bandura’s social learning theory, people learn by observing, modelling, and imitating others. The environment, behaviour, and cognitive processes interact continuously to facilitate learning. Bandura discussed self-efficacy, the belief that one can perform a task. For health and social care professionals, Bandura’s social learning theory is relevant in understanding how individuals learn and acquire new behaviours, attitudes, and beliefs (</w:t>
      </w:r>
      <w:r w:rsidRPr="5012AA2D" w:rsidR="415A5A2F">
        <w:rPr>
          <w:rFonts w:ascii="Arial" w:hAnsi="Arial" w:eastAsia="Arial" w:cs="Arial"/>
          <w:b w:val="0"/>
          <w:bCs w:val="0"/>
          <w:i w:val="0"/>
          <w:iCs w:val="0"/>
          <w:caps w:val="0"/>
          <w:smallCaps w:val="0"/>
          <w:noProof w:val="0"/>
          <w:color w:val="222222"/>
          <w:sz w:val="22"/>
          <w:szCs w:val="22"/>
          <w:lang w:val="en-US"/>
        </w:rPr>
        <w:t>Manjarres-Posada et al., 2020)</w:t>
      </w:r>
      <w:r w:rsidRPr="5012AA2D" w:rsidR="415A5A2F">
        <w:rPr>
          <w:rFonts w:ascii="Arial" w:hAnsi="Arial" w:eastAsia="Arial" w:cs="Arial"/>
          <w:b w:val="0"/>
          <w:bCs w:val="0"/>
          <w:i w:val="0"/>
          <w:iCs w:val="0"/>
          <w:caps w:val="0"/>
          <w:smallCaps w:val="0"/>
          <w:noProof w:val="0"/>
          <w:color w:val="000000" w:themeColor="text1" w:themeTint="FF" w:themeShade="FF"/>
          <w:sz w:val="22"/>
          <w:szCs w:val="22"/>
          <w:lang w:val="en-GB"/>
        </w:rPr>
        <w:t>. It is essential in designing interventions and treatment plans that facilitate positive behaviour change. For instance, health and social care professionals working with individuals with substance abuse issues can use Bandura’s theory to develop interventions that promote the acquisition of positive coping skills, such as problem-solving and decision-making. The relevance of Bandura’s social learning theory for health and social care professionals is that it helps them understand how to facilitate positive behaviour change in their patients or clients (</w:t>
      </w:r>
      <w:r w:rsidRPr="5012AA2D" w:rsidR="415A5A2F">
        <w:rPr>
          <w:rFonts w:ascii="Arial" w:hAnsi="Arial" w:eastAsia="Arial" w:cs="Arial"/>
          <w:b w:val="0"/>
          <w:bCs w:val="0"/>
          <w:i w:val="0"/>
          <w:iCs w:val="0"/>
          <w:caps w:val="0"/>
          <w:smallCaps w:val="0"/>
          <w:noProof w:val="0"/>
          <w:color w:val="222222"/>
          <w:sz w:val="22"/>
          <w:szCs w:val="22"/>
          <w:lang w:val="en-US"/>
        </w:rPr>
        <w:t>Yildirim et al., 2020)</w:t>
      </w:r>
      <w:r w:rsidRPr="5012AA2D" w:rsidR="415A5A2F">
        <w:rPr>
          <w:rFonts w:ascii="Arial" w:hAnsi="Arial" w:eastAsia="Arial" w:cs="Arial"/>
          <w:b w:val="0"/>
          <w:bCs w:val="0"/>
          <w:i w:val="0"/>
          <w:iCs w:val="0"/>
          <w:caps w:val="0"/>
          <w:smallCaps w:val="0"/>
          <w:noProof w:val="0"/>
          <w:color w:val="000000" w:themeColor="text1" w:themeTint="FF" w:themeShade="FF"/>
          <w:sz w:val="22"/>
          <w:szCs w:val="22"/>
          <w:lang w:val="en-GB"/>
        </w:rPr>
        <w:t>. Professionals can design interventions that promote positive behaviour change and increase self-efficacy by understanding how individuals learn and acquire new behaviours, attitudes, and beliefs. This can help individuals to develop the skills and confidence necessary to manage their conditions effectively and improve their overall well-being.</w:t>
      </w:r>
    </w:p>
    <w:p xmlns:wp14="http://schemas.microsoft.com/office/word/2010/wordml" w:rsidP="5012AA2D" w14:paraId="1155D0E2" wp14:textId="55458F3C">
      <w:pPr>
        <w:pStyle w:val="Heading2"/>
        <w:spacing w:after="160" w:line="48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5012AA2D" w:rsidR="415A5A2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Example</w:t>
      </w:r>
    </w:p>
    <w:p xmlns:wp14="http://schemas.microsoft.com/office/word/2010/wordml" w:rsidP="5012AA2D" w14:paraId="607C6E23" wp14:textId="034B96D5">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012AA2D" w:rsidR="415A5A2F">
        <w:rPr>
          <w:rFonts w:ascii="Arial" w:hAnsi="Arial" w:eastAsia="Arial" w:cs="Arial"/>
          <w:b w:val="0"/>
          <w:bCs w:val="0"/>
          <w:i w:val="0"/>
          <w:iCs w:val="0"/>
          <w:caps w:val="0"/>
          <w:smallCaps w:val="0"/>
          <w:noProof w:val="0"/>
          <w:color w:val="000000" w:themeColor="text1" w:themeTint="FF" w:themeShade="FF"/>
          <w:sz w:val="22"/>
          <w:szCs w:val="22"/>
          <w:lang w:val="en-GB"/>
        </w:rPr>
        <w:t>A practical example of Bandura’s social learning theory in the health and social care practice is working with children with developmental disorders such as autism spectrum disorder (ASD). Children with ASD often have difficulty acquiring new behaviours and skills. Health and social care professionals can use Bandura’s theory to design interventions that involve modelling and imitation to promote skill acquisition (</w:t>
      </w:r>
      <w:r w:rsidRPr="5012AA2D" w:rsidR="415A5A2F">
        <w:rPr>
          <w:rFonts w:ascii="Arial" w:hAnsi="Arial" w:eastAsia="Arial" w:cs="Arial"/>
          <w:b w:val="0"/>
          <w:bCs w:val="0"/>
          <w:i w:val="0"/>
          <w:iCs w:val="0"/>
          <w:caps w:val="0"/>
          <w:smallCaps w:val="0"/>
          <w:noProof w:val="0"/>
          <w:color w:val="222222"/>
          <w:sz w:val="22"/>
          <w:szCs w:val="22"/>
          <w:lang w:val="en-US"/>
        </w:rPr>
        <w:t>Bandura, 2023)</w:t>
      </w:r>
      <w:r w:rsidRPr="5012AA2D" w:rsidR="415A5A2F">
        <w:rPr>
          <w:rFonts w:ascii="Arial" w:hAnsi="Arial" w:eastAsia="Arial" w:cs="Arial"/>
          <w:b w:val="0"/>
          <w:bCs w:val="0"/>
          <w:i w:val="0"/>
          <w:iCs w:val="0"/>
          <w:caps w:val="0"/>
          <w:smallCaps w:val="0"/>
          <w:noProof w:val="0"/>
          <w:color w:val="000000" w:themeColor="text1" w:themeTint="FF" w:themeShade="FF"/>
          <w:sz w:val="22"/>
          <w:szCs w:val="22"/>
          <w:lang w:val="en-GB"/>
        </w:rPr>
        <w:t>. For instance, a professional can model social skills such as eye contact, turn-taking, and initiating social interactions and encourage the child to imitate these behaviours. This approach can help children with ASD develop social skills and increase their self-efficacy in social situations.</w:t>
      </w:r>
    </w:p>
    <w:p xmlns:wp14="http://schemas.microsoft.com/office/word/2010/wordml" w:rsidP="5012AA2D" w14:paraId="06915E49" wp14:textId="56A455E8">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012AA2D" w:rsidR="415A5A2F">
        <w:rPr>
          <w:rFonts w:ascii="Arial" w:hAnsi="Arial" w:eastAsia="Arial" w:cs="Arial"/>
          <w:b w:val="0"/>
          <w:bCs w:val="0"/>
          <w:i w:val="0"/>
          <w:iCs w:val="0"/>
          <w:caps w:val="0"/>
          <w:smallCaps w:val="0"/>
          <w:noProof w:val="0"/>
          <w:color w:val="000000" w:themeColor="text1" w:themeTint="FF" w:themeShade="FF"/>
          <w:sz w:val="22"/>
          <w:szCs w:val="22"/>
          <w:lang w:val="en-GB"/>
        </w:rPr>
        <w:t>Another practical example of Bandura’s social learning theory is working with individuals who have experienced trauma. Trauma can affect an individual’s ability to learn and acquire new behaviours, attitudes, and beliefs. Health and social care professionals can use Bandura’s theory to design interventions that facilitate positive behaviour change and increase self-efficacy (</w:t>
      </w:r>
      <w:r w:rsidRPr="5012AA2D" w:rsidR="415A5A2F">
        <w:rPr>
          <w:rFonts w:ascii="Arial" w:hAnsi="Arial" w:eastAsia="Arial" w:cs="Arial"/>
          <w:b w:val="0"/>
          <w:bCs w:val="0"/>
          <w:i w:val="0"/>
          <w:iCs w:val="0"/>
          <w:caps w:val="0"/>
          <w:smallCaps w:val="0"/>
          <w:noProof w:val="0"/>
          <w:color w:val="222222"/>
          <w:sz w:val="22"/>
          <w:szCs w:val="22"/>
          <w:lang w:val="en-US"/>
        </w:rPr>
        <w:t>Shodiqin and Junaidi, 2022)</w:t>
      </w:r>
      <w:r w:rsidRPr="5012AA2D" w:rsidR="415A5A2F">
        <w:rPr>
          <w:rFonts w:ascii="Arial" w:hAnsi="Arial" w:eastAsia="Arial" w:cs="Arial"/>
          <w:b w:val="0"/>
          <w:bCs w:val="0"/>
          <w:i w:val="0"/>
          <w:iCs w:val="0"/>
          <w:caps w:val="0"/>
          <w:smallCaps w:val="0"/>
          <w:noProof w:val="0"/>
          <w:color w:val="000000" w:themeColor="text1" w:themeTint="FF" w:themeShade="FF"/>
          <w:sz w:val="22"/>
          <w:szCs w:val="22"/>
          <w:lang w:val="en-GB"/>
        </w:rPr>
        <w:t>. For instance, a professional can model healthy coping skills such as deep breathing, positive self-talk, and problem-solving and encourage the individual to imitate these behaviours. This approach can help individuals who have experienced trauma develop healthy coping skills and increase their self-efficacy in managing their symptoms.</w:t>
      </w:r>
    </w:p>
    <w:p xmlns:wp14="http://schemas.microsoft.com/office/word/2010/wordml" w:rsidP="5012AA2D" w14:paraId="5CDB2099" wp14:textId="5D229897">
      <w:pPr>
        <w:pStyle w:val="Heading1"/>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US"/>
        </w:rPr>
      </w:pPr>
      <w:r w:rsidRPr="5012AA2D" w:rsidR="415A5A2F">
        <w:rPr>
          <w:rFonts w:ascii="Arial" w:hAnsi="Arial" w:eastAsia="Arial" w:cs="Arial"/>
          <w:b w:val="1"/>
          <w:bCs w:val="1"/>
          <w:i w:val="0"/>
          <w:iCs w:val="0"/>
          <w:caps w:val="0"/>
          <w:smallCaps w:val="0"/>
          <w:noProof w:val="0"/>
          <w:color w:val="000000" w:themeColor="text1" w:themeTint="FF" w:themeShade="FF"/>
          <w:sz w:val="22"/>
          <w:szCs w:val="22"/>
          <w:lang w:val="en-GB"/>
        </w:rPr>
        <w:t>Theory 3: Freud’s psychoanalytic theory</w:t>
      </w:r>
    </w:p>
    <w:p xmlns:wp14="http://schemas.microsoft.com/office/word/2010/wordml" w:rsidP="5012AA2D" w14:paraId="08C62565" wp14:textId="7C5CD6E5">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012AA2D" w:rsidR="415A5A2F">
        <w:rPr>
          <w:rFonts w:ascii="Arial" w:hAnsi="Arial" w:eastAsia="Arial" w:cs="Arial"/>
          <w:b w:val="0"/>
          <w:bCs w:val="0"/>
          <w:i w:val="0"/>
          <w:iCs w:val="0"/>
          <w:caps w:val="0"/>
          <w:smallCaps w:val="0"/>
          <w:noProof w:val="0"/>
          <w:color w:val="000000" w:themeColor="text1" w:themeTint="FF" w:themeShade="FF"/>
          <w:sz w:val="22"/>
          <w:szCs w:val="22"/>
          <w:lang w:val="en-GB"/>
        </w:rPr>
        <w:t>One of the cornerstones of the field of psychology is the psychoanalytic theory of Sigmund Freud. A key aspect of the theory is the emphasis placed on unconscious mental processes, experiences from childhood, and the role played by factors such as the “id, the ego, and the superego” in shaping behaviour. In Freud’s view, the processes of human development can be divided into five stages: “oral, anal, phallic, latent, and genital (</w:t>
      </w:r>
      <w:r w:rsidRPr="5012AA2D" w:rsidR="415A5A2F">
        <w:rPr>
          <w:rFonts w:ascii="Arial" w:hAnsi="Arial" w:eastAsia="Arial" w:cs="Arial"/>
          <w:b w:val="0"/>
          <w:bCs w:val="0"/>
          <w:i w:val="0"/>
          <w:iCs w:val="0"/>
          <w:caps w:val="0"/>
          <w:smallCaps w:val="0"/>
          <w:noProof w:val="0"/>
          <w:color w:val="222222"/>
          <w:sz w:val="22"/>
          <w:szCs w:val="22"/>
          <w:lang w:val="en-US"/>
        </w:rPr>
        <w:t>Scholom, 2023)</w:t>
      </w:r>
      <w:r w:rsidRPr="5012AA2D" w:rsidR="415A5A2F">
        <w:rPr>
          <w:rFonts w:ascii="Arial" w:hAnsi="Arial" w:eastAsia="Arial" w:cs="Arial"/>
          <w:b w:val="0"/>
          <w:bCs w:val="0"/>
          <w:i w:val="0"/>
          <w:iCs w:val="0"/>
          <w:caps w:val="0"/>
          <w:smallCaps w:val="0"/>
          <w:noProof w:val="0"/>
          <w:color w:val="000000" w:themeColor="text1" w:themeTint="FF" w:themeShade="FF"/>
          <w:sz w:val="22"/>
          <w:szCs w:val="22"/>
          <w:lang w:val="en-GB"/>
        </w:rPr>
        <w:t>”. To achieve healthy psychological development, individuals must resolve several conflicts to progress through each stage. Freud believed unresolved conflicts from early childhood significantly impact the development of maladaptive behaviours in adulthood as well as emotional issues. A number of various aspects of our psyche are represented by the id, ego, and superego, and all of these aspects interact to regulate and balance the desires, social expectations, and morals of all individuals.</w:t>
      </w:r>
    </w:p>
    <w:p xmlns:wp14="http://schemas.microsoft.com/office/word/2010/wordml" w:rsidP="5012AA2D" w14:paraId="4E956FBD" wp14:textId="28002456">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012AA2D" w14:paraId="67EB8B71" wp14:textId="4E357173">
      <w:pPr>
        <w:pStyle w:val="Heading2"/>
        <w:spacing w:after="160" w:line="48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5012AA2D" w:rsidR="415A5A2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Example</w:t>
      </w:r>
    </w:p>
    <w:p xmlns:wp14="http://schemas.microsoft.com/office/word/2010/wordml" w:rsidP="5012AA2D" w14:paraId="061AE42D" wp14:textId="21EEB070">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012AA2D" w:rsidR="415A5A2F">
        <w:rPr>
          <w:rFonts w:ascii="Arial" w:hAnsi="Arial" w:eastAsia="Arial" w:cs="Arial"/>
          <w:b w:val="0"/>
          <w:bCs w:val="0"/>
          <w:i w:val="0"/>
          <w:iCs w:val="0"/>
          <w:caps w:val="0"/>
          <w:smallCaps w:val="0"/>
          <w:noProof w:val="0"/>
          <w:color w:val="000000" w:themeColor="text1" w:themeTint="FF" w:themeShade="FF"/>
          <w:sz w:val="22"/>
          <w:szCs w:val="22"/>
          <w:lang w:val="en-GB"/>
        </w:rPr>
        <w:t xml:space="preserve">For health and social care professionals, it is imperative to understand Freud’s psychoanalytic theory. Professionals can develop more effective and targeted interventions for clients facing emotional problems and behavioural challenges if they recognize the impact of early childhood experiences and unconscious processes. Mental health counsellors, for example, may seek to identify any unresolved conflicts or traumas there may have been during a client’s childhood if they are working with someone experiencing anxiety to identify the root cause of the problem. </w:t>
      </w:r>
    </w:p>
    <w:p xmlns:wp14="http://schemas.microsoft.com/office/word/2010/wordml" w:rsidP="5012AA2D" w14:paraId="37675DA0" wp14:textId="7D496A62">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012AA2D" w:rsidR="415A5A2F">
        <w:rPr>
          <w:rFonts w:ascii="Arial" w:hAnsi="Arial" w:eastAsia="Arial" w:cs="Arial"/>
          <w:b w:val="0"/>
          <w:bCs w:val="0"/>
          <w:i w:val="0"/>
          <w:iCs w:val="0"/>
          <w:caps w:val="0"/>
          <w:smallCaps w:val="0"/>
          <w:noProof w:val="0"/>
          <w:color w:val="000000" w:themeColor="text1" w:themeTint="FF" w:themeShade="FF"/>
          <w:sz w:val="22"/>
          <w:szCs w:val="22"/>
          <w:lang w:val="en-GB"/>
        </w:rPr>
        <w:t>To help a client gain a deeper understanding of the root causes of their anxiety, a counsellor can assist him or her in gaining a deeper understanding of their early experiences, which can lead to the development of more effective coping strategies (</w:t>
      </w:r>
      <w:r w:rsidRPr="5012AA2D" w:rsidR="415A5A2F">
        <w:rPr>
          <w:rFonts w:ascii="Arial" w:hAnsi="Arial" w:eastAsia="Arial" w:cs="Arial"/>
          <w:b w:val="0"/>
          <w:bCs w:val="0"/>
          <w:i w:val="0"/>
          <w:iCs w:val="0"/>
          <w:caps w:val="0"/>
          <w:smallCaps w:val="0"/>
          <w:noProof w:val="0"/>
          <w:color w:val="222222"/>
          <w:sz w:val="22"/>
          <w:szCs w:val="22"/>
          <w:lang w:val="en-US"/>
        </w:rPr>
        <w:t>Hyman, 2020)</w:t>
      </w:r>
      <w:r w:rsidRPr="5012AA2D" w:rsidR="415A5A2F">
        <w:rPr>
          <w:rFonts w:ascii="Arial" w:hAnsi="Arial" w:eastAsia="Arial" w:cs="Arial"/>
          <w:b w:val="0"/>
          <w:bCs w:val="0"/>
          <w:i w:val="0"/>
          <w:iCs w:val="0"/>
          <w:caps w:val="0"/>
          <w:smallCaps w:val="0"/>
          <w:noProof w:val="0"/>
          <w:color w:val="000000" w:themeColor="text1" w:themeTint="FF" w:themeShade="FF"/>
          <w:sz w:val="22"/>
          <w:szCs w:val="22"/>
          <w:lang w:val="en-GB"/>
        </w:rPr>
        <w:t>. The concept of the id, which is shared by the ego and the superego, that Freud used in his writings is a useful tool for healthcare professionals assisting patients with addictions in understanding the underlying psychological factors driving the behaviour of the patient. The ability to comprehend the underlying causes of the patient’s addiction can help to develop a tailored intervention plan that addresses both the physical as well as psychological aspects of the disease.</w:t>
      </w:r>
    </w:p>
    <w:p xmlns:wp14="http://schemas.microsoft.com/office/word/2010/wordml" w:rsidP="5012AA2D" w14:paraId="2B383C3F" wp14:textId="386A8BC5">
      <w:pPr>
        <w:spacing w:after="160" w:line="480" w:lineRule="auto"/>
        <w:ind w:left="0" w:hanging="36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xmlns:wp14="http://schemas.microsoft.com/office/word/2010/wordml" w:rsidP="5012AA2D" w14:paraId="5C8F16A1" wp14:textId="37381D75">
      <w:pPr>
        <w:spacing w:after="160" w:line="480" w:lineRule="auto"/>
        <w:ind w:left="0" w:hanging="36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xmlns:wp14="http://schemas.microsoft.com/office/word/2010/wordml" w:rsidP="5012AA2D" w14:paraId="705A5F55" wp14:textId="6AF4A452">
      <w:pPr>
        <w:spacing w:after="160" w:line="480" w:lineRule="auto"/>
        <w:ind w:left="0" w:hanging="36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xmlns:wp14="http://schemas.microsoft.com/office/word/2010/wordml" w:rsidP="5012AA2D" w14:paraId="1932E93C" wp14:textId="365D900E">
      <w:pPr>
        <w:spacing w:after="160" w:line="480" w:lineRule="auto"/>
        <w:ind w:left="0" w:hanging="36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xmlns:wp14="http://schemas.microsoft.com/office/word/2010/wordml" w:rsidP="5012AA2D" w14:paraId="162EDA40" wp14:textId="5C7955BC">
      <w:pPr>
        <w:spacing w:after="160" w:line="480" w:lineRule="auto"/>
        <w:ind w:left="0" w:hanging="36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xmlns:wp14="http://schemas.microsoft.com/office/word/2010/wordml" w:rsidP="5012AA2D" w14:paraId="64CCF051" wp14:textId="2FADB7D8">
      <w:pPr>
        <w:spacing w:after="160" w:line="480" w:lineRule="auto"/>
        <w:ind w:left="0" w:hanging="36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xmlns:wp14="http://schemas.microsoft.com/office/word/2010/wordml" w:rsidP="5012AA2D" w14:paraId="34151F18" wp14:textId="182C3753">
      <w:pPr>
        <w:spacing w:after="160" w:line="480" w:lineRule="auto"/>
        <w:ind w:left="0" w:hanging="36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xmlns:wp14="http://schemas.microsoft.com/office/word/2010/wordml" w:rsidP="5012AA2D" w14:paraId="3989A9AC" wp14:textId="48570551">
      <w:pPr>
        <w:spacing w:after="160" w:line="480" w:lineRule="auto"/>
        <w:ind w:left="0" w:hanging="36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xmlns:wp14="http://schemas.microsoft.com/office/word/2010/wordml" w:rsidP="5012AA2D" w14:paraId="012573F2" wp14:textId="0B807D59">
      <w:pPr>
        <w:pStyle w:val="Heading1"/>
        <w:spacing w:after="160" w:line="48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5012AA2D" w:rsidR="415A5A2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Conclusion</w:t>
      </w:r>
    </w:p>
    <w:p xmlns:wp14="http://schemas.microsoft.com/office/word/2010/wordml" w:rsidP="5012AA2D" w14:paraId="4F510461" wp14:textId="4C9E2AD7">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012AA2D" w:rsidR="415A5A2F">
        <w:rPr>
          <w:rFonts w:ascii="Arial" w:hAnsi="Arial" w:eastAsia="Arial" w:cs="Arial"/>
          <w:b w:val="0"/>
          <w:bCs w:val="0"/>
          <w:i w:val="0"/>
          <w:iCs w:val="0"/>
          <w:caps w:val="0"/>
          <w:smallCaps w:val="0"/>
          <w:noProof w:val="0"/>
          <w:color w:val="000000" w:themeColor="text1" w:themeTint="FF" w:themeShade="FF"/>
          <w:sz w:val="22"/>
          <w:szCs w:val="22"/>
          <w:lang w:val="en-GB"/>
        </w:rPr>
        <w:t>In conclusion, psychology is a crucial field in the health and social care practice as it allows professionals to understand their patients’ or clients’ complex behaviours and emotions. Three important psychological theories apply to the health and social care practice: Erikson’s psychosocial theory, Bandura’s social learning theory, and Freud’s psychoanalytic theory. Erikson’s psychosocial theory is relevant to health and social care professionals as it helps them understand the developmental stages of individuals and design interventions that promote positive outcomes. Bandura’s social learning theory is relevant as it helps professionals understand how individuals learn and acquire new behaviours, attitudes, and beliefs and design interventions that facilitate positive behaviour change. Freud’s psychoanalytic theory aids health and social care professionals in understanding clients’ unconscious processes and early experiences, enabling tailored interventions for emotional and behavioural challenges. Practical examples of applying these theories include designing interventions for individuals with developmental disorders, trauma survivors, and individuals with chronic pain, depression, or other mental health issues. By applying these theories, health and social care professionals can design interventions that are tailored to the unique needs of each patient or client and improve their overall well-being.</w:t>
      </w:r>
    </w:p>
    <w:p xmlns:wp14="http://schemas.microsoft.com/office/word/2010/wordml" w:rsidP="5012AA2D" w14:paraId="310459CB" wp14:textId="2F933326">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012AA2D" w14:paraId="673B516A" wp14:textId="262E73E8">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012AA2D" w14:paraId="284CDBA5" wp14:textId="0B816159">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012AA2D" w14:paraId="766DCB7D" wp14:textId="1348F395">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012AA2D" w14:paraId="5F2BD2C9" wp14:textId="526C0039">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012AA2D" w14:paraId="3180F99C" wp14:textId="6E2544F6">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012AA2D" w14:paraId="2DD569AC" wp14:textId="5028E979">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012AA2D" w14:paraId="2449FA7B" wp14:textId="1684C461">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012AA2D" w14:paraId="1841A72E" wp14:textId="07D945DC">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012AA2D" w14:paraId="12D567DA" wp14:textId="35014B3C">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012AA2D" w14:paraId="3983E1CD" wp14:textId="76A96DD9">
      <w:pPr>
        <w:spacing w:after="160" w:line="480" w:lineRule="auto"/>
        <w:ind w:left="0" w:hanging="36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xmlns:wp14="http://schemas.microsoft.com/office/word/2010/wordml" w:rsidP="5012AA2D" w14:paraId="5739DE16" wp14:textId="1D0A733F">
      <w:pPr>
        <w:spacing w:after="160" w:line="480" w:lineRule="auto"/>
        <w:ind w:left="0" w:hanging="36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xmlns:wp14="http://schemas.microsoft.com/office/word/2010/wordml" w:rsidP="5012AA2D" w14:paraId="0CB0D563" wp14:textId="3260CA7F">
      <w:pPr>
        <w:spacing w:after="160" w:line="480" w:lineRule="auto"/>
        <w:ind w:left="0" w:hanging="36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xmlns:wp14="http://schemas.microsoft.com/office/word/2010/wordml" w:rsidP="5012AA2D" w14:paraId="569BFDF7" wp14:textId="32422441">
      <w:pPr>
        <w:spacing w:after="160" w:line="480" w:lineRule="auto"/>
        <w:ind w:left="0" w:hanging="36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xmlns:wp14="http://schemas.microsoft.com/office/word/2010/wordml" w:rsidP="5012AA2D" w14:paraId="0663C056" wp14:textId="05F07CC5">
      <w:pPr>
        <w:spacing w:after="160" w:line="480" w:lineRule="auto"/>
        <w:ind w:left="0" w:hanging="36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xmlns:wp14="http://schemas.microsoft.com/office/word/2010/wordml" w:rsidP="5012AA2D" w14:paraId="29C1AB36" wp14:textId="5B4E4C09">
      <w:pPr>
        <w:spacing w:after="160" w:line="480" w:lineRule="auto"/>
        <w:ind w:left="0" w:hanging="36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xmlns:wp14="http://schemas.microsoft.com/office/word/2010/wordml" w:rsidP="5012AA2D" w14:paraId="75BDDF18" wp14:textId="4565C261">
      <w:pPr>
        <w:pStyle w:val="Heading1"/>
        <w:spacing w:after="160" w:line="480" w:lineRule="auto"/>
        <w:ind w:left="0" w:hanging="36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5012AA2D" w:rsidR="415A5A2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6.References</w:t>
      </w:r>
    </w:p>
    <w:p xmlns:wp14="http://schemas.microsoft.com/office/word/2010/wordml" w:rsidP="5012AA2D" w14:paraId="74219703" wp14:textId="6BAAF4C2">
      <w:pPr>
        <w:spacing w:after="160" w:line="48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Bandura, A., 2023. </w:t>
      </w:r>
      <w:r w:rsidRPr="5012AA2D" w:rsidR="415A5A2F">
        <w:rPr>
          <w:rFonts w:ascii="Times New Roman" w:hAnsi="Times New Roman" w:eastAsia="Times New Roman" w:cs="Times New Roman"/>
          <w:b w:val="0"/>
          <w:bCs w:val="0"/>
          <w:i w:val="1"/>
          <w:iCs w:val="1"/>
          <w:caps w:val="0"/>
          <w:smallCaps w:val="0"/>
          <w:noProof w:val="0"/>
          <w:color w:val="222222"/>
          <w:sz w:val="24"/>
          <w:szCs w:val="24"/>
          <w:lang w:val="en-US"/>
        </w:rPr>
        <w:t>Social Cognitive Theory: An Agentic Perspective on Human Nature</w:t>
      </w: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 John Wiley &amp; Sons.</w:t>
      </w:r>
    </w:p>
    <w:p xmlns:wp14="http://schemas.microsoft.com/office/word/2010/wordml" w:rsidP="5012AA2D" w14:paraId="30B85305" wp14:textId="4555A5A9">
      <w:pPr>
        <w:spacing w:after="160" w:line="48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De Kock, J.H., Latham, H.A., Leslie, S.J., Grindle, M., Munoz, S.A., Ellis, L., Polson, R. and O’Malley, C.M., 2021. A rapid review of the impact of COVID-19 on the mental health of healthcare workers: implications for supporting psychological well-being. </w:t>
      </w:r>
      <w:r w:rsidRPr="5012AA2D" w:rsidR="415A5A2F">
        <w:rPr>
          <w:rFonts w:ascii="Times New Roman" w:hAnsi="Times New Roman" w:eastAsia="Times New Roman" w:cs="Times New Roman"/>
          <w:b w:val="0"/>
          <w:bCs w:val="0"/>
          <w:i w:val="1"/>
          <w:iCs w:val="1"/>
          <w:caps w:val="0"/>
          <w:smallCaps w:val="0"/>
          <w:noProof w:val="0"/>
          <w:color w:val="222222"/>
          <w:sz w:val="24"/>
          <w:szCs w:val="24"/>
          <w:lang w:val="en-US"/>
        </w:rPr>
        <w:t>BMC public health</w:t>
      </w: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 </w:t>
      </w:r>
      <w:r w:rsidRPr="5012AA2D" w:rsidR="415A5A2F">
        <w:rPr>
          <w:rFonts w:ascii="Times New Roman" w:hAnsi="Times New Roman" w:eastAsia="Times New Roman" w:cs="Times New Roman"/>
          <w:b w:val="0"/>
          <w:bCs w:val="0"/>
          <w:i w:val="1"/>
          <w:iCs w:val="1"/>
          <w:caps w:val="0"/>
          <w:smallCaps w:val="0"/>
          <w:noProof w:val="0"/>
          <w:color w:val="222222"/>
          <w:sz w:val="24"/>
          <w:szCs w:val="24"/>
          <w:lang w:val="en-US"/>
        </w:rPr>
        <w:t>21</w:t>
      </w: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(1), pp.1-18.</w:t>
      </w:r>
    </w:p>
    <w:p xmlns:wp14="http://schemas.microsoft.com/office/word/2010/wordml" w:rsidP="5012AA2D" w14:paraId="684B592C" wp14:textId="51AEB8CE">
      <w:pPr>
        <w:spacing w:after="160" w:line="48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Dezutter, J., Dewitte, L. and Schellekens, T., 2019. Forgiveness as a psychological resource in late life. </w:t>
      </w:r>
      <w:r w:rsidRPr="5012AA2D" w:rsidR="415A5A2F">
        <w:rPr>
          <w:rFonts w:ascii="Times New Roman" w:hAnsi="Times New Roman" w:eastAsia="Times New Roman" w:cs="Times New Roman"/>
          <w:b w:val="0"/>
          <w:bCs w:val="0"/>
          <w:i w:val="1"/>
          <w:iCs w:val="1"/>
          <w:caps w:val="0"/>
          <w:smallCaps w:val="0"/>
          <w:noProof w:val="0"/>
          <w:color w:val="222222"/>
          <w:sz w:val="24"/>
          <w:szCs w:val="24"/>
          <w:lang w:val="en-US"/>
        </w:rPr>
        <w:t>Tijdschrift voor gerontologie en geriatrie</w:t>
      </w: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 </w:t>
      </w:r>
      <w:r w:rsidRPr="5012AA2D" w:rsidR="415A5A2F">
        <w:rPr>
          <w:rFonts w:ascii="Times New Roman" w:hAnsi="Times New Roman" w:eastAsia="Times New Roman" w:cs="Times New Roman"/>
          <w:b w:val="0"/>
          <w:bCs w:val="0"/>
          <w:i w:val="1"/>
          <w:iCs w:val="1"/>
          <w:caps w:val="0"/>
          <w:smallCaps w:val="0"/>
          <w:noProof w:val="0"/>
          <w:color w:val="222222"/>
          <w:sz w:val="24"/>
          <w:szCs w:val="24"/>
          <w:lang w:val="en-US"/>
        </w:rPr>
        <w:t>50</w:t>
      </w: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(2).</w:t>
      </w:r>
    </w:p>
    <w:p xmlns:wp14="http://schemas.microsoft.com/office/word/2010/wordml" w:rsidP="5012AA2D" w14:paraId="304E6B3A" wp14:textId="2795EE9F">
      <w:pPr>
        <w:spacing w:after="160" w:line="48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Durrant, J.E. and Ensom, R., 2020. An Eriksonian perspective on physical punishment and Its Impacts on mental health. </w:t>
      </w:r>
      <w:r w:rsidRPr="5012AA2D" w:rsidR="415A5A2F">
        <w:rPr>
          <w:rFonts w:ascii="Times New Roman" w:hAnsi="Times New Roman" w:eastAsia="Times New Roman" w:cs="Times New Roman"/>
          <w:b w:val="0"/>
          <w:bCs w:val="0"/>
          <w:i w:val="1"/>
          <w:iCs w:val="1"/>
          <w:caps w:val="0"/>
          <w:smallCaps w:val="0"/>
          <w:noProof w:val="0"/>
          <w:color w:val="222222"/>
          <w:sz w:val="24"/>
          <w:szCs w:val="24"/>
          <w:lang w:val="en-US"/>
        </w:rPr>
        <w:t>The Psychoanalytic Study of the Child</w:t>
      </w: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 </w:t>
      </w:r>
      <w:r w:rsidRPr="5012AA2D" w:rsidR="415A5A2F">
        <w:rPr>
          <w:rFonts w:ascii="Times New Roman" w:hAnsi="Times New Roman" w:eastAsia="Times New Roman" w:cs="Times New Roman"/>
          <w:b w:val="0"/>
          <w:bCs w:val="0"/>
          <w:i w:val="1"/>
          <w:iCs w:val="1"/>
          <w:caps w:val="0"/>
          <w:smallCaps w:val="0"/>
          <w:noProof w:val="0"/>
          <w:color w:val="222222"/>
          <w:sz w:val="24"/>
          <w:szCs w:val="24"/>
          <w:lang w:val="en-US"/>
        </w:rPr>
        <w:t>73</w:t>
      </w: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(1), pp.30-45.</w:t>
      </w:r>
    </w:p>
    <w:p xmlns:wp14="http://schemas.microsoft.com/office/word/2010/wordml" w:rsidP="5012AA2D" w14:paraId="595AA113" wp14:textId="002617FB">
      <w:pPr>
        <w:spacing w:after="160" w:line="480" w:lineRule="auto"/>
        <w:rPr>
          <w:rFonts w:ascii="Times New Roman" w:hAnsi="Times New Roman" w:eastAsia="Times New Roman" w:cs="Times New Roman"/>
          <w:b w:val="0"/>
          <w:bCs w:val="0"/>
          <w:i w:val="0"/>
          <w:iCs w:val="0"/>
          <w:caps w:val="0"/>
          <w:smallCaps w:val="0"/>
          <w:noProof w:val="0"/>
          <w:color w:val="222222"/>
          <w:sz w:val="24"/>
          <w:szCs w:val="24"/>
          <w:lang w:val="en-US"/>
        </w:rPr>
      </w:pP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Hyman, M., 2020. Why psychoanalysis is not a health care profession. In </w:t>
      </w:r>
      <w:r w:rsidRPr="5012AA2D" w:rsidR="415A5A2F">
        <w:rPr>
          <w:rFonts w:ascii="Times New Roman" w:hAnsi="Times New Roman" w:eastAsia="Times New Roman" w:cs="Times New Roman"/>
          <w:b w:val="0"/>
          <w:bCs w:val="0"/>
          <w:i w:val="1"/>
          <w:iCs w:val="1"/>
          <w:caps w:val="0"/>
          <w:smallCaps w:val="0"/>
          <w:noProof w:val="0"/>
          <w:color w:val="222222"/>
          <w:sz w:val="24"/>
          <w:szCs w:val="24"/>
          <w:lang w:val="en-US"/>
        </w:rPr>
        <w:t>Psychoanalytic therapy as health care</w:t>
      </w: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 (pp. 53-63). Routledge.</w:t>
      </w:r>
    </w:p>
    <w:p xmlns:wp14="http://schemas.microsoft.com/office/word/2010/wordml" w:rsidP="5012AA2D" w14:paraId="51AEF291" wp14:textId="2FE35A4F">
      <w:pPr>
        <w:spacing w:after="160" w:line="48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Manjarres-Posada, N., Onofre-Rodríguez, D.J. and Benavides-Torres, R.A., 2020. Social cognitive theory and health care: Analysis and evaluation. </w:t>
      </w:r>
      <w:r w:rsidRPr="5012AA2D" w:rsidR="415A5A2F">
        <w:rPr>
          <w:rFonts w:ascii="Times New Roman" w:hAnsi="Times New Roman" w:eastAsia="Times New Roman" w:cs="Times New Roman"/>
          <w:b w:val="0"/>
          <w:bCs w:val="0"/>
          <w:i w:val="1"/>
          <w:iCs w:val="1"/>
          <w:caps w:val="0"/>
          <w:smallCaps w:val="0"/>
          <w:noProof w:val="0"/>
          <w:color w:val="222222"/>
          <w:sz w:val="24"/>
          <w:szCs w:val="24"/>
          <w:lang w:val="en-US"/>
        </w:rPr>
        <w:t>Int'l J. Soc. Sci. Stud.</w:t>
      </w: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 </w:t>
      </w:r>
      <w:r w:rsidRPr="5012AA2D" w:rsidR="415A5A2F">
        <w:rPr>
          <w:rFonts w:ascii="Times New Roman" w:hAnsi="Times New Roman" w:eastAsia="Times New Roman" w:cs="Times New Roman"/>
          <w:b w:val="0"/>
          <w:bCs w:val="0"/>
          <w:i w:val="1"/>
          <w:iCs w:val="1"/>
          <w:caps w:val="0"/>
          <w:smallCaps w:val="0"/>
          <w:noProof w:val="0"/>
          <w:color w:val="222222"/>
          <w:sz w:val="24"/>
          <w:szCs w:val="24"/>
          <w:lang w:val="en-US"/>
        </w:rPr>
        <w:t>8</w:t>
      </w: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 p.132.</w:t>
      </w:r>
    </w:p>
    <w:p xmlns:wp14="http://schemas.microsoft.com/office/word/2010/wordml" w:rsidP="5012AA2D" w14:paraId="41DD9575" wp14:textId="1662B4DA">
      <w:pPr>
        <w:spacing w:after="160" w:line="48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Pancost, S.L., Holowicki, A.N. and Belachew, B.S., 2022. Normal child and adolescent psychological development. </w:t>
      </w:r>
      <w:r w:rsidRPr="5012AA2D" w:rsidR="415A5A2F">
        <w:rPr>
          <w:rFonts w:ascii="Times New Roman" w:hAnsi="Times New Roman" w:eastAsia="Times New Roman" w:cs="Times New Roman"/>
          <w:b w:val="0"/>
          <w:bCs w:val="0"/>
          <w:i w:val="1"/>
          <w:iCs w:val="1"/>
          <w:caps w:val="0"/>
          <w:smallCaps w:val="0"/>
          <w:noProof w:val="0"/>
          <w:color w:val="222222"/>
          <w:sz w:val="24"/>
          <w:szCs w:val="24"/>
          <w:lang w:val="en-US"/>
        </w:rPr>
        <w:t>International Journal of Child and Adolescent Health</w:t>
      </w: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 </w:t>
      </w:r>
      <w:r w:rsidRPr="5012AA2D" w:rsidR="415A5A2F">
        <w:rPr>
          <w:rFonts w:ascii="Times New Roman" w:hAnsi="Times New Roman" w:eastAsia="Times New Roman" w:cs="Times New Roman"/>
          <w:b w:val="0"/>
          <w:bCs w:val="0"/>
          <w:i w:val="1"/>
          <w:iCs w:val="1"/>
          <w:caps w:val="0"/>
          <w:smallCaps w:val="0"/>
          <w:noProof w:val="0"/>
          <w:color w:val="222222"/>
          <w:sz w:val="24"/>
          <w:szCs w:val="24"/>
          <w:lang w:val="en-US"/>
        </w:rPr>
        <w:t>15</w:t>
      </w: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(4), pp.293-311.</w:t>
      </w:r>
    </w:p>
    <w:p xmlns:wp14="http://schemas.microsoft.com/office/word/2010/wordml" w:rsidP="5012AA2D" w14:paraId="5701C8D8" wp14:textId="6C151C76">
      <w:pPr>
        <w:spacing w:after="160" w:line="480" w:lineRule="auto"/>
        <w:rPr>
          <w:rFonts w:ascii="Times New Roman" w:hAnsi="Times New Roman" w:eastAsia="Times New Roman" w:cs="Times New Roman"/>
          <w:b w:val="0"/>
          <w:bCs w:val="0"/>
          <w:i w:val="0"/>
          <w:iCs w:val="0"/>
          <w:caps w:val="0"/>
          <w:smallCaps w:val="0"/>
          <w:noProof w:val="0"/>
          <w:color w:val="222222"/>
          <w:sz w:val="24"/>
          <w:szCs w:val="24"/>
          <w:lang w:val="en-US"/>
        </w:rPr>
      </w:pP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Scholom, A., 2023. The psycho-politics of evidence-based practice and the assault on our mental health and mental health care. </w:t>
      </w:r>
      <w:r w:rsidRPr="5012AA2D" w:rsidR="415A5A2F">
        <w:rPr>
          <w:rFonts w:ascii="Times New Roman" w:hAnsi="Times New Roman" w:eastAsia="Times New Roman" w:cs="Times New Roman"/>
          <w:b w:val="0"/>
          <w:bCs w:val="0"/>
          <w:i w:val="1"/>
          <w:iCs w:val="1"/>
          <w:caps w:val="0"/>
          <w:smallCaps w:val="0"/>
          <w:noProof w:val="0"/>
          <w:color w:val="222222"/>
          <w:sz w:val="24"/>
          <w:szCs w:val="24"/>
          <w:lang w:val="en-US"/>
        </w:rPr>
        <w:t>Advancing Psychotherapy for the Next Generation: Humanizing Mental Health Policy and Practice</w:t>
      </w: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w:t>
      </w:r>
    </w:p>
    <w:p xmlns:wp14="http://schemas.microsoft.com/office/word/2010/wordml" w:rsidP="5012AA2D" w14:paraId="72558C02" wp14:textId="0734FF17">
      <w:pPr>
        <w:spacing w:after="160" w:line="48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Shodiqin, F.A. and Junaidi, J., 2022. Implementation of Albert Bandura’s Social Learning Theory in Cultivating Clean and Healthy Life Behavior in Santri. </w:t>
      </w:r>
      <w:r w:rsidRPr="5012AA2D" w:rsidR="415A5A2F">
        <w:rPr>
          <w:rFonts w:ascii="Times New Roman" w:hAnsi="Times New Roman" w:eastAsia="Times New Roman" w:cs="Times New Roman"/>
          <w:b w:val="0"/>
          <w:bCs w:val="0"/>
          <w:i w:val="1"/>
          <w:iCs w:val="1"/>
          <w:caps w:val="0"/>
          <w:smallCaps w:val="0"/>
          <w:noProof w:val="0"/>
          <w:color w:val="222222"/>
          <w:sz w:val="24"/>
          <w:szCs w:val="24"/>
          <w:lang w:val="en-US"/>
        </w:rPr>
        <w:t>Review of Islamic Studies</w:t>
      </w: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 </w:t>
      </w:r>
      <w:r w:rsidRPr="5012AA2D" w:rsidR="415A5A2F">
        <w:rPr>
          <w:rFonts w:ascii="Times New Roman" w:hAnsi="Times New Roman" w:eastAsia="Times New Roman" w:cs="Times New Roman"/>
          <w:b w:val="0"/>
          <w:bCs w:val="0"/>
          <w:i w:val="1"/>
          <w:iCs w:val="1"/>
          <w:caps w:val="0"/>
          <w:smallCaps w:val="0"/>
          <w:noProof w:val="0"/>
          <w:color w:val="222222"/>
          <w:sz w:val="24"/>
          <w:szCs w:val="24"/>
          <w:lang w:val="en-US"/>
        </w:rPr>
        <w:t>1</w:t>
      </w: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(1), pp.7-14.</w:t>
      </w:r>
    </w:p>
    <w:p xmlns:wp14="http://schemas.microsoft.com/office/word/2010/wordml" w:rsidP="5012AA2D" w14:paraId="290E443F" wp14:textId="4E6AB9B1">
      <w:pPr>
        <w:spacing w:after="160" w:line="48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Xie, C., Li, L. and Li, Y., 2023 a. “Alive Day is the Day”: A Qualitative Study of Experiences of Learned Helplessness in Maintenance Haemodialysis Patients. </w:t>
      </w:r>
      <w:r w:rsidRPr="5012AA2D" w:rsidR="415A5A2F">
        <w:rPr>
          <w:rFonts w:ascii="Times New Roman" w:hAnsi="Times New Roman" w:eastAsia="Times New Roman" w:cs="Times New Roman"/>
          <w:b w:val="0"/>
          <w:bCs w:val="0"/>
          <w:i w:val="1"/>
          <w:iCs w:val="1"/>
          <w:caps w:val="0"/>
          <w:smallCaps w:val="0"/>
          <w:noProof w:val="0"/>
          <w:color w:val="222222"/>
          <w:sz w:val="24"/>
          <w:szCs w:val="24"/>
          <w:lang w:val="en-US"/>
        </w:rPr>
        <w:t>Risk Management and Healthcare Policy</w:t>
      </w: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 pp.231-245.</w:t>
      </w:r>
    </w:p>
    <w:p xmlns:wp14="http://schemas.microsoft.com/office/word/2010/wordml" w:rsidP="5012AA2D" w14:paraId="1755B28A" wp14:textId="442222EB">
      <w:pPr>
        <w:spacing w:after="160" w:line="48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Winterflood, H. and Climie, E.A., 2020. Learned helplessness. </w:t>
      </w:r>
      <w:r w:rsidRPr="5012AA2D" w:rsidR="415A5A2F">
        <w:rPr>
          <w:rFonts w:ascii="Times New Roman" w:hAnsi="Times New Roman" w:eastAsia="Times New Roman" w:cs="Times New Roman"/>
          <w:b w:val="0"/>
          <w:bCs w:val="0"/>
          <w:i w:val="1"/>
          <w:iCs w:val="1"/>
          <w:caps w:val="0"/>
          <w:smallCaps w:val="0"/>
          <w:noProof w:val="0"/>
          <w:color w:val="222222"/>
          <w:sz w:val="24"/>
          <w:szCs w:val="24"/>
          <w:lang w:val="en-US"/>
        </w:rPr>
        <w:t>The Wiley Encyclopedia of Personality and Individual Differences: Personality Processes and Individual Differences</w:t>
      </w: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 pp.269-274.</w:t>
      </w:r>
    </w:p>
    <w:p xmlns:wp14="http://schemas.microsoft.com/office/word/2010/wordml" w:rsidP="5012AA2D" w14:paraId="3089D144" wp14:textId="47D84D5A">
      <w:pPr>
        <w:spacing w:after="160" w:line="48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Yildirim, H., Isik, K., Gulcek, E. and Aylaz, R., 2020. Effect of the Education Which is Offered in Accordance with Bandura’s Social Learning Theory on Children’s Health Locus of Control, Perceptions and Behaviors. </w:t>
      </w:r>
      <w:r w:rsidRPr="5012AA2D" w:rsidR="415A5A2F">
        <w:rPr>
          <w:rFonts w:ascii="Times New Roman" w:hAnsi="Times New Roman" w:eastAsia="Times New Roman" w:cs="Times New Roman"/>
          <w:b w:val="0"/>
          <w:bCs w:val="0"/>
          <w:i w:val="1"/>
          <w:iCs w:val="1"/>
          <w:caps w:val="0"/>
          <w:smallCaps w:val="0"/>
          <w:noProof w:val="0"/>
          <w:color w:val="222222"/>
          <w:sz w:val="24"/>
          <w:szCs w:val="24"/>
          <w:lang w:val="en-US"/>
        </w:rPr>
        <w:t>International Journal of Caring Sciences</w:t>
      </w: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 </w:t>
      </w:r>
      <w:r w:rsidRPr="5012AA2D" w:rsidR="415A5A2F">
        <w:rPr>
          <w:rFonts w:ascii="Times New Roman" w:hAnsi="Times New Roman" w:eastAsia="Times New Roman" w:cs="Times New Roman"/>
          <w:b w:val="0"/>
          <w:bCs w:val="0"/>
          <w:i w:val="1"/>
          <w:iCs w:val="1"/>
          <w:caps w:val="0"/>
          <w:smallCaps w:val="0"/>
          <w:noProof w:val="0"/>
          <w:color w:val="222222"/>
          <w:sz w:val="24"/>
          <w:szCs w:val="24"/>
          <w:lang w:val="en-US"/>
        </w:rPr>
        <w:t>13</w:t>
      </w:r>
      <w:r w:rsidRPr="5012AA2D" w:rsidR="415A5A2F">
        <w:rPr>
          <w:rFonts w:ascii="Times New Roman" w:hAnsi="Times New Roman" w:eastAsia="Times New Roman" w:cs="Times New Roman"/>
          <w:b w:val="0"/>
          <w:bCs w:val="0"/>
          <w:i w:val="0"/>
          <w:iCs w:val="0"/>
          <w:caps w:val="0"/>
          <w:smallCaps w:val="0"/>
          <w:noProof w:val="0"/>
          <w:color w:val="222222"/>
          <w:sz w:val="24"/>
          <w:szCs w:val="24"/>
          <w:lang w:val="en-US"/>
        </w:rPr>
        <w:t>(2).</w:t>
      </w:r>
    </w:p>
    <w:p xmlns:wp14="http://schemas.microsoft.com/office/word/2010/wordml" w:rsidP="5012AA2D" w14:paraId="2C078E63" wp14:textId="65500D14">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8">
    <w:nsid w:val="53da766e"/>
    <w:multiLevelType xmlns:w="http://schemas.openxmlformats.org/wordprocessingml/2006/main" w:val="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7">
    <w:nsid w:val="2959ddb1"/>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6">
    <w:nsid w:val="73a7c60c"/>
    <w:multiLevelType xmlns:w="http://schemas.openxmlformats.org/wordprocessingml/2006/main" w:val="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5">
    <w:nsid w:val="6f9f7943"/>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4">
    <w:nsid w:val="3a26b6c2"/>
    <w:multiLevelType xmlns:w="http://schemas.openxmlformats.org/wordprocessingml/2006/main" w:val="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3">
    <w:nsid w:val="5ae80c81"/>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2">
    <w:nsid w:val="31106ddd"/>
    <w:multiLevelType xmlns:w="http://schemas.openxmlformats.org/wordprocessingml/2006/main" w:val="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
    <w:nsid w:val="107b4df5"/>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494CC2"/>
    <w:rsid w:val="09EFFEAC"/>
    <w:rsid w:val="312F00A6"/>
    <w:rsid w:val="415A5A2F"/>
    <w:rsid w:val="5012AA2D"/>
    <w:rsid w:val="76494C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94CC2"/>
  <w15:chartTrackingRefBased/>
  <w15:docId w15:val="{F72B1C4C-DF06-454F-8F62-14A3115941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d6b21ad1fa8b4f1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2023-03-24T21:01:00.1663339Z</dcterms:created>
  <dcterms:modified xsi:type="dcterms:W3CDTF">2023-03-25T11:50:55.2042447Z</dcterms:modified>
  <dc:creator>Anoshia Zaheer (2128010)</dc:creator>
  <lastModifiedBy>Anoshia Zaheer (2128010)</lastModifiedBy>
</coreProperties>
</file>