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C4AC8"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679DE1AD"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2EE78FFA"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048B3367"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6B3FB821"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0687AF4C" w14:textId="77777777" w:rsidR="008F5F6F" w:rsidRPr="00B20F2E" w:rsidRDefault="008F5F6F" w:rsidP="008F5F6F">
      <w:pPr>
        <w:jc w:val="center"/>
        <w:rPr>
          <w:rFonts w:ascii="Times New Roman" w:eastAsia="Times New Roman" w:hAnsi="Times New Roman" w:cs="Times New Roman"/>
          <w:b/>
          <w:color w:val="000000" w:themeColor="text1"/>
          <w:sz w:val="36"/>
          <w:szCs w:val="36"/>
          <w:highlight w:val="white"/>
          <w:lang w:val="en-GB"/>
        </w:rPr>
      </w:pPr>
    </w:p>
    <w:p w14:paraId="1E5C99E7" w14:textId="77777777" w:rsidR="008F5F6F" w:rsidRPr="00B20F2E" w:rsidRDefault="008F5F6F" w:rsidP="008F5F6F">
      <w:pPr>
        <w:jc w:val="center"/>
        <w:rPr>
          <w:rFonts w:ascii="Times New Roman" w:eastAsia="Times New Roman" w:hAnsi="Times New Roman" w:cs="Times New Roman"/>
          <w:b/>
          <w:color w:val="000000" w:themeColor="text1"/>
          <w:sz w:val="44"/>
          <w:szCs w:val="36"/>
          <w:highlight w:val="white"/>
          <w:lang w:val="en-GB"/>
        </w:rPr>
      </w:pPr>
    </w:p>
    <w:p w14:paraId="05A904D9" w14:textId="77777777" w:rsidR="00C62B90" w:rsidRDefault="008F5F6F" w:rsidP="00C62B90">
      <w:pPr>
        <w:jc w:val="center"/>
        <w:rPr>
          <w:rFonts w:ascii="Times New Roman" w:eastAsia="Times New Roman" w:hAnsi="Times New Roman" w:cs="Times New Roman"/>
          <w:b/>
          <w:color w:val="000000" w:themeColor="text1"/>
          <w:sz w:val="44"/>
          <w:szCs w:val="36"/>
          <w:highlight w:val="white"/>
          <w:lang w:val="en-GB"/>
        </w:rPr>
      </w:pPr>
      <w:r w:rsidRPr="00B20F2E">
        <w:rPr>
          <w:rFonts w:ascii="Times New Roman" w:eastAsia="Times New Roman" w:hAnsi="Times New Roman" w:cs="Times New Roman"/>
          <w:b/>
          <w:color w:val="000000" w:themeColor="text1"/>
          <w:sz w:val="44"/>
          <w:szCs w:val="36"/>
          <w:highlight w:val="white"/>
          <w:lang w:val="en-GB"/>
        </w:rPr>
        <w:t>STRATEGIC MANAGEMENT SKILLS FOR SMES</w:t>
      </w:r>
    </w:p>
    <w:p w14:paraId="66F9BECF" w14:textId="77777777"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p>
    <w:p w14:paraId="7C93C9DC" w14:textId="77777777"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p>
    <w:p w14:paraId="2E33BB45" w14:textId="77777777"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p>
    <w:p w14:paraId="5E60905C" w14:textId="77777777"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p>
    <w:p w14:paraId="3E92666E" w14:textId="77777777"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p>
    <w:p w14:paraId="4F946B18" w14:textId="31B5EC50" w:rsidR="00C62B90" w:rsidRDefault="00C62B90" w:rsidP="00C62B90">
      <w:pPr>
        <w:jc w:val="center"/>
        <w:rPr>
          <w:rFonts w:ascii="Times New Roman" w:eastAsia="Times New Roman" w:hAnsi="Times New Roman" w:cs="Times New Roman"/>
          <w:b/>
          <w:color w:val="000000" w:themeColor="text1"/>
          <w:sz w:val="44"/>
          <w:szCs w:val="36"/>
          <w:highlight w:val="white"/>
          <w:lang w:val="en-GB"/>
        </w:rPr>
      </w:pPr>
      <w:r>
        <w:rPr>
          <w:rFonts w:ascii="Times New Roman" w:eastAsia="Times New Roman" w:hAnsi="Times New Roman" w:cs="Times New Roman"/>
          <w:b/>
          <w:color w:val="000000" w:themeColor="text1"/>
          <w:sz w:val="44"/>
          <w:szCs w:val="36"/>
          <w:highlight w:val="white"/>
          <w:lang w:val="en-GB"/>
        </w:rPr>
        <w:t>Student: Ioan Francisc Tamas</w:t>
      </w:r>
    </w:p>
    <w:p w14:paraId="4ED14AF0" w14:textId="5CA49A07" w:rsidR="00C62B90" w:rsidRPr="00B20F2E" w:rsidRDefault="00C62B90" w:rsidP="00C62B90">
      <w:pPr>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44"/>
          <w:szCs w:val="36"/>
          <w:highlight w:val="white"/>
          <w:lang w:val="en-GB"/>
        </w:rPr>
        <w:t>2024</w:t>
      </w:r>
      <w:r w:rsidR="008F5F6F" w:rsidRPr="00B20F2E">
        <w:rPr>
          <w:rFonts w:ascii="Times New Roman" w:eastAsia="Times New Roman" w:hAnsi="Times New Roman" w:cs="Times New Roman"/>
          <w:b/>
          <w:color w:val="000000" w:themeColor="text1"/>
          <w:sz w:val="24"/>
          <w:szCs w:val="24"/>
          <w:highlight w:val="white"/>
          <w:lang w:val="en-GB"/>
        </w:rPr>
        <w:br w:type="page"/>
      </w:r>
    </w:p>
    <w:sdt>
      <w:sdtPr>
        <w:rPr>
          <w:rFonts w:ascii="Arial" w:eastAsia="Arial" w:hAnsi="Arial" w:cs="Arial"/>
          <w:color w:val="000000" w:themeColor="text1"/>
          <w:sz w:val="22"/>
          <w:szCs w:val="22"/>
          <w:lang w:val="en-GB"/>
        </w:rPr>
        <w:id w:val="-1416081721"/>
        <w:docPartObj>
          <w:docPartGallery w:val="Table of Contents"/>
          <w:docPartUnique/>
        </w:docPartObj>
      </w:sdtPr>
      <w:sdtEndPr>
        <w:rPr>
          <w:rFonts w:ascii="Times New Roman" w:hAnsi="Times New Roman" w:cs="Times New Roman"/>
          <w:b/>
          <w:bCs/>
          <w:noProof/>
          <w:sz w:val="24"/>
          <w:szCs w:val="24"/>
        </w:rPr>
      </w:sdtEndPr>
      <w:sdtContent>
        <w:p w14:paraId="5F28FDC3" w14:textId="77777777" w:rsidR="003C47DE" w:rsidRPr="00B20F2E" w:rsidRDefault="003C47DE" w:rsidP="003C47DE">
          <w:pPr>
            <w:pStyle w:val="TOCHeading"/>
            <w:jc w:val="center"/>
            <w:rPr>
              <w:rFonts w:ascii="Times New Roman" w:hAnsi="Times New Roman" w:cs="Times New Roman"/>
              <w:b/>
              <w:bCs/>
              <w:color w:val="000000" w:themeColor="text1"/>
              <w:lang w:val="en-GB"/>
            </w:rPr>
          </w:pPr>
          <w:r w:rsidRPr="00B20F2E">
            <w:rPr>
              <w:rFonts w:ascii="Times New Roman" w:hAnsi="Times New Roman" w:cs="Times New Roman"/>
              <w:b/>
              <w:bCs/>
              <w:color w:val="000000" w:themeColor="text1"/>
              <w:lang w:val="en-GB"/>
            </w:rPr>
            <w:t>Table of Contents</w:t>
          </w:r>
        </w:p>
        <w:p w14:paraId="429C123C" w14:textId="77777777" w:rsidR="000F3043" w:rsidRPr="00B20F2E" w:rsidRDefault="00E45D1E" w:rsidP="000F3043">
          <w:pPr>
            <w:pStyle w:val="TOC1"/>
            <w:tabs>
              <w:tab w:val="right" w:leader="dot" w:pos="9019"/>
            </w:tabs>
            <w:spacing w:line="360" w:lineRule="auto"/>
            <w:jc w:val="both"/>
            <w:rPr>
              <w:rFonts w:ascii="Times New Roman" w:eastAsiaTheme="minorEastAsia" w:hAnsi="Times New Roman" w:cs="Times New Roman"/>
              <w:noProof/>
              <w:sz w:val="24"/>
              <w:szCs w:val="24"/>
              <w:lang w:val="en-GB"/>
            </w:rPr>
          </w:pPr>
          <w:r w:rsidRPr="00B20F2E">
            <w:rPr>
              <w:rFonts w:ascii="Times New Roman" w:hAnsi="Times New Roman" w:cs="Times New Roman"/>
              <w:color w:val="000000" w:themeColor="text1"/>
              <w:sz w:val="24"/>
              <w:szCs w:val="24"/>
              <w:lang w:val="en-GB"/>
            </w:rPr>
            <w:fldChar w:fldCharType="begin"/>
          </w:r>
          <w:r w:rsidR="003C47DE" w:rsidRPr="00B20F2E">
            <w:rPr>
              <w:rFonts w:ascii="Times New Roman" w:hAnsi="Times New Roman" w:cs="Times New Roman"/>
              <w:color w:val="000000" w:themeColor="text1"/>
              <w:sz w:val="24"/>
              <w:szCs w:val="24"/>
              <w:lang w:val="en-GB"/>
            </w:rPr>
            <w:instrText xml:space="preserve"> TOC \o "1-3" \h \z \u </w:instrText>
          </w:r>
          <w:r w:rsidRPr="00B20F2E">
            <w:rPr>
              <w:rFonts w:ascii="Times New Roman" w:hAnsi="Times New Roman" w:cs="Times New Roman"/>
              <w:color w:val="000000" w:themeColor="text1"/>
              <w:sz w:val="24"/>
              <w:szCs w:val="24"/>
              <w:lang w:val="en-GB"/>
            </w:rPr>
            <w:fldChar w:fldCharType="separate"/>
          </w:r>
          <w:hyperlink w:anchor="_Toc157274716" w:history="1">
            <w:r w:rsidR="000F3043" w:rsidRPr="00B20F2E">
              <w:rPr>
                <w:rStyle w:val="Hyperlink"/>
                <w:rFonts w:ascii="Times New Roman" w:hAnsi="Times New Roman" w:cs="Times New Roman"/>
                <w:noProof/>
                <w:sz w:val="24"/>
                <w:szCs w:val="24"/>
                <w:lang w:val="en-GB"/>
              </w:rPr>
              <w:t>Task 1</w:t>
            </w:r>
            <w:r w:rsidR="000F3043" w:rsidRPr="00B20F2E">
              <w:rPr>
                <w:rFonts w:ascii="Times New Roman" w:hAnsi="Times New Roman" w:cs="Times New Roman"/>
                <w:noProof/>
                <w:webHidden/>
                <w:sz w:val="24"/>
                <w:szCs w:val="24"/>
                <w:lang w:val="en-GB"/>
              </w:rPr>
              <w:tab/>
            </w:r>
            <w:r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_Toc157274716 \h </w:instrText>
            </w:r>
            <w:r w:rsidRPr="00B20F2E">
              <w:rPr>
                <w:rFonts w:ascii="Times New Roman" w:hAnsi="Times New Roman" w:cs="Times New Roman"/>
                <w:noProof/>
                <w:webHidden/>
                <w:sz w:val="24"/>
                <w:szCs w:val="24"/>
                <w:lang w:val="en-GB"/>
              </w:rPr>
            </w:r>
            <w:r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3</w:t>
            </w:r>
            <w:r w:rsidRPr="00B20F2E">
              <w:rPr>
                <w:rFonts w:ascii="Times New Roman" w:hAnsi="Times New Roman" w:cs="Times New Roman"/>
                <w:noProof/>
                <w:webHidden/>
                <w:sz w:val="24"/>
                <w:szCs w:val="24"/>
                <w:lang w:val="en-GB"/>
              </w:rPr>
              <w:fldChar w:fldCharType="end"/>
            </w:r>
          </w:hyperlink>
        </w:p>
        <w:p w14:paraId="78744CF4"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17" w:history="1">
            <w:r w:rsidR="000F3043" w:rsidRPr="00B20F2E">
              <w:rPr>
                <w:rStyle w:val="Hyperlink"/>
                <w:rFonts w:ascii="Times New Roman" w:hAnsi="Times New Roman" w:cs="Times New Roman"/>
                <w:noProof/>
                <w:sz w:val="24"/>
                <w:szCs w:val="24"/>
                <w:lang w:val="en-GB"/>
              </w:rPr>
              <w:t>Introduction</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_Toc157274717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3</w:t>
            </w:r>
            <w:r w:rsidR="00E45D1E" w:rsidRPr="00B20F2E">
              <w:rPr>
                <w:rFonts w:ascii="Times New Roman" w:hAnsi="Times New Roman" w:cs="Times New Roman"/>
                <w:noProof/>
                <w:webHidden/>
                <w:sz w:val="24"/>
                <w:szCs w:val="24"/>
                <w:lang w:val="en-GB"/>
              </w:rPr>
              <w:fldChar w:fldCharType="end"/>
            </w:r>
          </w:hyperlink>
        </w:p>
        <w:p w14:paraId="20B91F95"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18" w:history="1">
            <w:r w:rsidR="000F3043" w:rsidRPr="00B20F2E">
              <w:rPr>
                <w:rStyle w:val="Hyperlink"/>
                <w:rFonts w:ascii="Times New Roman" w:hAnsi="Times New Roman" w:cs="Times New Roman"/>
                <w:noProof/>
                <w:sz w:val="24"/>
                <w:szCs w:val="24"/>
                <w:lang w:val="en-GB"/>
              </w:rPr>
              <w:t>Overview of the case study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_Toc157274718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3</w:t>
            </w:r>
            <w:r w:rsidR="00E45D1E" w:rsidRPr="00B20F2E">
              <w:rPr>
                <w:rFonts w:ascii="Times New Roman" w:hAnsi="Times New Roman" w:cs="Times New Roman"/>
                <w:noProof/>
                <w:webHidden/>
                <w:sz w:val="24"/>
                <w:szCs w:val="24"/>
                <w:lang w:val="en-GB"/>
              </w:rPr>
              <w:fldChar w:fldCharType="end"/>
            </w:r>
          </w:hyperlink>
        </w:p>
        <w:p w14:paraId="78FD632E"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19" w:history="1">
            <w:r w:rsidR="000F3043" w:rsidRPr="00B20F2E">
              <w:rPr>
                <w:rStyle w:val="Hyperlink"/>
                <w:rFonts w:ascii="Times New Roman" w:hAnsi="Times New Roman" w:cs="Times New Roman"/>
                <w:noProof/>
                <w:sz w:val="24"/>
                <w:szCs w:val="24"/>
                <w:lang w:val="en-GB"/>
              </w:rPr>
              <w:t>Appraisal of the organisation’s current strategic approaches</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_Toc157274719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4</w:t>
            </w:r>
            <w:r w:rsidR="00E45D1E" w:rsidRPr="00B20F2E">
              <w:rPr>
                <w:rFonts w:ascii="Times New Roman" w:hAnsi="Times New Roman" w:cs="Times New Roman"/>
                <w:noProof/>
                <w:webHidden/>
                <w:sz w:val="24"/>
                <w:szCs w:val="24"/>
                <w:lang w:val="en-GB"/>
              </w:rPr>
              <w:fldChar w:fldCharType="end"/>
            </w:r>
          </w:hyperlink>
        </w:p>
        <w:p w14:paraId="2BD2C390"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0" w:history="1">
            <w:r w:rsidR="000F3043" w:rsidRPr="00B20F2E">
              <w:rPr>
                <w:rStyle w:val="Hyperlink"/>
                <w:rFonts w:ascii="Times New Roman" w:hAnsi="Times New Roman" w:cs="Times New Roman"/>
                <w:noProof/>
                <w:sz w:val="24"/>
                <w:szCs w:val="24"/>
                <w:lang w:val="en-GB"/>
              </w:rPr>
              <w:t>Analysis of the external and internal environment</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_Toc157274720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6</w:t>
            </w:r>
            <w:r w:rsidR="00E45D1E" w:rsidRPr="00B20F2E">
              <w:rPr>
                <w:rFonts w:ascii="Times New Roman" w:hAnsi="Times New Roman" w:cs="Times New Roman"/>
                <w:noProof/>
                <w:webHidden/>
                <w:sz w:val="24"/>
                <w:szCs w:val="24"/>
                <w:lang w:val="en-GB"/>
              </w:rPr>
              <w:fldChar w:fldCharType="end"/>
            </w:r>
          </w:hyperlink>
        </w:p>
        <w:p w14:paraId="4FA53BDC"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1" w:history="1">
            <w:r w:rsidR="000F3043" w:rsidRPr="00B20F2E">
              <w:rPr>
                <w:rStyle w:val="Hyperlink"/>
                <w:rFonts w:ascii="Times New Roman" w:hAnsi="Times New Roman" w:cs="Times New Roman"/>
                <w:noProof/>
                <w:sz w:val="24"/>
                <w:szCs w:val="24"/>
                <w:lang w:val="en-GB"/>
              </w:rPr>
              <w:t>Analysis of different stakeholders and their responsibilities</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_Toc157274721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9</w:t>
            </w:r>
            <w:r w:rsidR="00E45D1E" w:rsidRPr="00B20F2E">
              <w:rPr>
                <w:rFonts w:ascii="Times New Roman" w:hAnsi="Times New Roman" w:cs="Times New Roman"/>
                <w:noProof/>
                <w:webHidden/>
                <w:sz w:val="24"/>
                <w:szCs w:val="24"/>
                <w:lang w:val="en-GB"/>
              </w:rPr>
              <w:fldChar w:fldCharType="end"/>
            </w:r>
          </w:hyperlink>
        </w:p>
        <w:p w14:paraId="10F64AE1"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2" w:history="1">
            <w:r w:rsidR="000F3043" w:rsidRPr="00B20F2E">
              <w:rPr>
                <w:rStyle w:val="Hyperlink"/>
                <w:rFonts w:ascii="Times New Roman" w:hAnsi="Times New Roman" w:cs="Times New Roman"/>
                <w:noProof/>
                <w:sz w:val="24"/>
                <w:szCs w:val="24"/>
                <w:lang w:val="en-GB"/>
              </w:rPr>
              <w:t>Introduction of a new strategic decision for the company compared with the existing strategy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_Toc157274722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12</w:t>
            </w:r>
            <w:r w:rsidR="00E45D1E" w:rsidRPr="00B20F2E">
              <w:rPr>
                <w:rFonts w:ascii="Times New Roman" w:hAnsi="Times New Roman" w:cs="Times New Roman"/>
                <w:noProof/>
                <w:webHidden/>
                <w:sz w:val="24"/>
                <w:szCs w:val="24"/>
                <w:lang w:val="en-GB"/>
              </w:rPr>
              <w:fldChar w:fldCharType="end"/>
            </w:r>
          </w:hyperlink>
        </w:p>
        <w:p w14:paraId="53A3590D"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3" w:history="1">
            <w:r w:rsidR="000F3043" w:rsidRPr="00B20F2E">
              <w:rPr>
                <w:rStyle w:val="Hyperlink"/>
                <w:rFonts w:ascii="Times New Roman" w:hAnsi="Times New Roman" w:cs="Times New Roman"/>
                <w:noProof/>
                <w:sz w:val="24"/>
                <w:szCs w:val="24"/>
                <w:lang w:val="en-GB"/>
              </w:rPr>
              <w:t>Key strategic recommendations to mitigate the issues during the implementation of new strategic approaches</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_Toc157274723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13</w:t>
            </w:r>
            <w:r w:rsidR="00E45D1E" w:rsidRPr="00B20F2E">
              <w:rPr>
                <w:rFonts w:ascii="Times New Roman" w:hAnsi="Times New Roman" w:cs="Times New Roman"/>
                <w:noProof/>
                <w:webHidden/>
                <w:sz w:val="24"/>
                <w:szCs w:val="24"/>
                <w:lang w:val="en-GB"/>
              </w:rPr>
              <w:fldChar w:fldCharType="end"/>
            </w:r>
          </w:hyperlink>
        </w:p>
        <w:p w14:paraId="3C9C3438"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4" w:history="1">
            <w:r w:rsidR="000F3043" w:rsidRPr="00B20F2E">
              <w:rPr>
                <w:rStyle w:val="Hyperlink"/>
                <w:rFonts w:ascii="Times New Roman" w:hAnsi="Times New Roman" w:cs="Times New Roman"/>
                <w:noProof/>
                <w:sz w:val="24"/>
                <w:szCs w:val="24"/>
                <w:lang w:val="en-GB"/>
              </w:rPr>
              <w:t>Conclusion</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_Toc157274724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15</w:t>
            </w:r>
            <w:r w:rsidR="00E45D1E" w:rsidRPr="00B20F2E">
              <w:rPr>
                <w:rFonts w:ascii="Times New Roman" w:hAnsi="Times New Roman" w:cs="Times New Roman"/>
                <w:noProof/>
                <w:webHidden/>
                <w:sz w:val="24"/>
                <w:szCs w:val="24"/>
                <w:lang w:val="en-GB"/>
              </w:rPr>
              <w:fldChar w:fldCharType="end"/>
            </w:r>
          </w:hyperlink>
        </w:p>
        <w:p w14:paraId="4F8C22C8" w14:textId="77777777" w:rsidR="000F3043" w:rsidRPr="00B20F2E" w:rsidRDefault="00000000" w:rsidP="000F304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5" w:history="1">
            <w:r w:rsidR="000F3043" w:rsidRPr="00B20F2E">
              <w:rPr>
                <w:rStyle w:val="Hyperlink"/>
                <w:rFonts w:ascii="Times New Roman" w:hAnsi="Times New Roman" w:cs="Times New Roman"/>
                <w:noProof/>
                <w:sz w:val="24"/>
                <w:szCs w:val="24"/>
                <w:lang w:val="en-GB"/>
              </w:rPr>
              <w:t>Task 2</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_Toc157274725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16</w:t>
            </w:r>
            <w:r w:rsidR="00E45D1E" w:rsidRPr="00B20F2E">
              <w:rPr>
                <w:rFonts w:ascii="Times New Roman" w:hAnsi="Times New Roman" w:cs="Times New Roman"/>
                <w:noProof/>
                <w:webHidden/>
                <w:sz w:val="24"/>
                <w:szCs w:val="24"/>
                <w:lang w:val="en-GB"/>
              </w:rPr>
              <w:fldChar w:fldCharType="end"/>
            </w:r>
          </w:hyperlink>
        </w:p>
        <w:p w14:paraId="4E1F35B6"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6" w:history="1">
            <w:r w:rsidR="000F3043" w:rsidRPr="00B20F2E">
              <w:rPr>
                <w:rStyle w:val="Hyperlink"/>
                <w:rFonts w:ascii="Times New Roman" w:hAnsi="Times New Roman" w:cs="Times New Roman"/>
                <w:noProof/>
                <w:sz w:val="24"/>
                <w:szCs w:val="24"/>
                <w:lang w:val="en-GB"/>
              </w:rPr>
              <w:t>Introduction</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_Toc157274726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16</w:t>
            </w:r>
            <w:r w:rsidR="00E45D1E" w:rsidRPr="00B20F2E">
              <w:rPr>
                <w:rFonts w:ascii="Times New Roman" w:hAnsi="Times New Roman" w:cs="Times New Roman"/>
                <w:noProof/>
                <w:webHidden/>
                <w:sz w:val="24"/>
                <w:szCs w:val="24"/>
                <w:lang w:val="en-GB"/>
              </w:rPr>
              <w:fldChar w:fldCharType="end"/>
            </w:r>
          </w:hyperlink>
        </w:p>
        <w:p w14:paraId="1E5C65E7"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7" w:history="1">
            <w:r w:rsidR="000F3043" w:rsidRPr="00B20F2E">
              <w:rPr>
                <w:rStyle w:val="Hyperlink"/>
                <w:rFonts w:ascii="Times New Roman" w:hAnsi="Times New Roman" w:cs="Times New Roman"/>
                <w:noProof/>
                <w:sz w:val="24"/>
                <w:szCs w:val="24"/>
                <w:lang w:val="en-GB"/>
              </w:rPr>
              <w:t>Key Discoveries from the Study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_Toc157274727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16</w:t>
            </w:r>
            <w:r w:rsidR="00E45D1E" w:rsidRPr="00B20F2E">
              <w:rPr>
                <w:rFonts w:ascii="Times New Roman" w:hAnsi="Times New Roman" w:cs="Times New Roman"/>
                <w:noProof/>
                <w:webHidden/>
                <w:sz w:val="24"/>
                <w:szCs w:val="24"/>
                <w:lang w:val="en-GB"/>
              </w:rPr>
              <w:fldChar w:fldCharType="end"/>
            </w:r>
          </w:hyperlink>
        </w:p>
        <w:p w14:paraId="59BE2024"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8" w:history="1">
            <w:r w:rsidR="000F3043" w:rsidRPr="00B20F2E">
              <w:rPr>
                <w:rStyle w:val="Hyperlink"/>
                <w:rFonts w:ascii="Times New Roman" w:hAnsi="Times New Roman" w:cs="Times New Roman"/>
                <w:noProof/>
                <w:sz w:val="24"/>
                <w:szCs w:val="24"/>
                <w:lang w:val="en-GB"/>
              </w:rPr>
              <w:t>The strategic direction of the Company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_Toc157274728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16</w:t>
            </w:r>
            <w:r w:rsidR="00E45D1E" w:rsidRPr="00B20F2E">
              <w:rPr>
                <w:rFonts w:ascii="Times New Roman" w:hAnsi="Times New Roman" w:cs="Times New Roman"/>
                <w:noProof/>
                <w:webHidden/>
                <w:sz w:val="24"/>
                <w:szCs w:val="24"/>
                <w:lang w:val="en-GB"/>
              </w:rPr>
              <w:fldChar w:fldCharType="end"/>
            </w:r>
          </w:hyperlink>
        </w:p>
        <w:p w14:paraId="6DE3DB05"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29" w:history="1">
            <w:r w:rsidR="000F3043" w:rsidRPr="00B20F2E">
              <w:rPr>
                <w:rStyle w:val="Hyperlink"/>
                <w:rFonts w:ascii="Times New Roman" w:hAnsi="Times New Roman" w:cs="Times New Roman"/>
                <w:noProof/>
                <w:sz w:val="24"/>
                <w:szCs w:val="24"/>
                <w:lang w:val="en-GB"/>
              </w:rPr>
              <w:t>External environment impacts on MSW</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_Toc157274729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17</w:t>
            </w:r>
            <w:r w:rsidR="00E45D1E" w:rsidRPr="00B20F2E">
              <w:rPr>
                <w:rFonts w:ascii="Times New Roman" w:hAnsi="Times New Roman" w:cs="Times New Roman"/>
                <w:noProof/>
                <w:webHidden/>
                <w:sz w:val="24"/>
                <w:szCs w:val="24"/>
                <w:lang w:val="en-GB"/>
              </w:rPr>
              <w:fldChar w:fldCharType="end"/>
            </w:r>
          </w:hyperlink>
        </w:p>
        <w:p w14:paraId="595635C4"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0" w:history="1">
            <w:r w:rsidR="000F3043" w:rsidRPr="00B20F2E">
              <w:rPr>
                <w:rStyle w:val="Hyperlink"/>
                <w:rFonts w:ascii="Times New Roman" w:hAnsi="Times New Roman" w:cs="Times New Roman"/>
                <w:noProof/>
                <w:sz w:val="24"/>
                <w:szCs w:val="24"/>
                <w:lang w:val="en-GB"/>
              </w:rPr>
              <w:t>Internal environment</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_Toc157274730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18</w:t>
            </w:r>
            <w:r w:rsidR="00E45D1E" w:rsidRPr="00B20F2E">
              <w:rPr>
                <w:rFonts w:ascii="Times New Roman" w:hAnsi="Times New Roman" w:cs="Times New Roman"/>
                <w:noProof/>
                <w:webHidden/>
                <w:sz w:val="24"/>
                <w:szCs w:val="24"/>
                <w:lang w:val="en-GB"/>
              </w:rPr>
              <w:fldChar w:fldCharType="end"/>
            </w:r>
          </w:hyperlink>
        </w:p>
        <w:p w14:paraId="5B599038"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1" w:history="1">
            <w:r w:rsidR="000F3043" w:rsidRPr="00B20F2E">
              <w:rPr>
                <w:rStyle w:val="Hyperlink"/>
                <w:rFonts w:ascii="Times New Roman" w:hAnsi="Times New Roman" w:cs="Times New Roman"/>
                <w:noProof/>
                <w:sz w:val="24"/>
                <w:szCs w:val="24"/>
                <w:lang w:val="en-GB"/>
              </w:rPr>
              <w:t>Strategic growth choices for the company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_Toc157274731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18</w:t>
            </w:r>
            <w:r w:rsidR="00E45D1E" w:rsidRPr="00B20F2E">
              <w:rPr>
                <w:rFonts w:ascii="Times New Roman" w:hAnsi="Times New Roman" w:cs="Times New Roman"/>
                <w:noProof/>
                <w:webHidden/>
                <w:sz w:val="24"/>
                <w:szCs w:val="24"/>
                <w:lang w:val="en-GB"/>
              </w:rPr>
              <w:fldChar w:fldCharType="end"/>
            </w:r>
          </w:hyperlink>
        </w:p>
        <w:p w14:paraId="15FEA364"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2" w:history="1">
            <w:r w:rsidR="000F3043" w:rsidRPr="00B20F2E">
              <w:rPr>
                <w:rStyle w:val="Hyperlink"/>
                <w:rFonts w:ascii="Times New Roman" w:hAnsi="Times New Roman" w:cs="Times New Roman"/>
                <w:noProof/>
                <w:sz w:val="24"/>
                <w:szCs w:val="24"/>
                <w:lang w:val="en-GB"/>
              </w:rPr>
              <w:t>Stakeholder management procedure of MSW</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_Toc157274732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19</w:t>
            </w:r>
            <w:r w:rsidR="00E45D1E" w:rsidRPr="00B20F2E">
              <w:rPr>
                <w:rFonts w:ascii="Times New Roman" w:hAnsi="Times New Roman" w:cs="Times New Roman"/>
                <w:noProof/>
                <w:webHidden/>
                <w:sz w:val="24"/>
                <w:szCs w:val="24"/>
                <w:lang w:val="en-GB"/>
              </w:rPr>
              <w:fldChar w:fldCharType="end"/>
            </w:r>
          </w:hyperlink>
        </w:p>
        <w:p w14:paraId="64CEEE25"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3" w:history="1">
            <w:r w:rsidR="000F3043" w:rsidRPr="00B20F2E">
              <w:rPr>
                <w:rStyle w:val="Hyperlink"/>
                <w:rFonts w:ascii="Times New Roman" w:hAnsi="Times New Roman" w:cs="Times New Roman"/>
                <w:noProof/>
                <w:sz w:val="24"/>
                <w:szCs w:val="24"/>
                <w:lang w:val="en-GB"/>
              </w:rPr>
              <w:t>Factors limiting the efficiency of the Company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_Toc157274733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19</w:t>
            </w:r>
            <w:r w:rsidR="00E45D1E" w:rsidRPr="00B20F2E">
              <w:rPr>
                <w:rFonts w:ascii="Times New Roman" w:hAnsi="Times New Roman" w:cs="Times New Roman"/>
                <w:noProof/>
                <w:webHidden/>
                <w:sz w:val="24"/>
                <w:szCs w:val="24"/>
                <w:lang w:val="en-GB"/>
              </w:rPr>
              <w:fldChar w:fldCharType="end"/>
            </w:r>
          </w:hyperlink>
        </w:p>
        <w:p w14:paraId="7192F1D5"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4" w:history="1">
            <w:r w:rsidR="000F3043" w:rsidRPr="00B20F2E">
              <w:rPr>
                <w:rStyle w:val="Hyperlink"/>
                <w:rFonts w:ascii="Times New Roman" w:hAnsi="Times New Roman" w:cs="Times New Roman"/>
                <w:noProof/>
                <w:sz w:val="24"/>
                <w:szCs w:val="24"/>
                <w:lang w:val="en-GB"/>
              </w:rPr>
              <w:t>The current issues of the company</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_Toc157274734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19</w:t>
            </w:r>
            <w:r w:rsidR="00E45D1E" w:rsidRPr="00B20F2E">
              <w:rPr>
                <w:rFonts w:ascii="Times New Roman" w:hAnsi="Times New Roman" w:cs="Times New Roman"/>
                <w:noProof/>
                <w:webHidden/>
                <w:sz w:val="24"/>
                <w:szCs w:val="24"/>
                <w:lang w:val="en-GB"/>
              </w:rPr>
              <w:fldChar w:fldCharType="end"/>
            </w:r>
          </w:hyperlink>
        </w:p>
        <w:p w14:paraId="2D5463E7"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5" w:history="1">
            <w:r w:rsidR="000F3043" w:rsidRPr="00B20F2E">
              <w:rPr>
                <w:rStyle w:val="Hyperlink"/>
                <w:rFonts w:ascii="Times New Roman" w:hAnsi="Times New Roman" w:cs="Times New Roman"/>
                <w:noProof/>
                <w:sz w:val="24"/>
                <w:szCs w:val="24"/>
                <w:lang w:val="en-GB"/>
              </w:rPr>
              <w:t>Recommendations</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_Toc157274735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20</w:t>
            </w:r>
            <w:r w:rsidR="00E45D1E" w:rsidRPr="00B20F2E">
              <w:rPr>
                <w:rFonts w:ascii="Times New Roman" w:hAnsi="Times New Roman" w:cs="Times New Roman"/>
                <w:noProof/>
                <w:webHidden/>
                <w:sz w:val="24"/>
                <w:szCs w:val="24"/>
                <w:lang w:val="en-GB"/>
              </w:rPr>
              <w:fldChar w:fldCharType="end"/>
            </w:r>
          </w:hyperlink>
        </w:p>
        <w:p w14:paraId="19896193" w14:textId="77777777" w:rsidR="000F3043" w:rsidRPr="00B20F2E" w:rsidRDefault="00000000" w:rsidP="000F3043">
          <w:pPr>
            <w:pStyle w:val="TOC2"/>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6" w:history="1">
            <w:r w:rsidR="000F3043" w:rsidRPr="00B20F2E">
              <w:rPr>
                <w:rStyle w:val="Hyperlink"/>
                <w:rFonts w:ascii="Times New Roman" w:hAnsi="Times New Roman" w:cs="Times New Roman"/>
                <w:noProof/>
                <w:sz w:val="24"/>
                <w:szCs w:val="24"/>
                <w:lang w:val="en-GB"/>
              </w:rPr>
              <w:t>Conclusion</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_Toc157274736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20</w:t>
            </w:r>
            <w:r w:rsidR="00E45D1E" w:rsidRPr="00B20F2E">
              <w:rPr>
                <w:rFonts w:ascii="Times New Roman" w:hAnsi="Times New Roman" w:cs="Times New Roman"/>
                <w:noProof/>
                <w:webHidden/>
                <w:sz w:val="24"/>
                <w:szCs w:val="24"/>
                <w:lang w:val="en-GB"/>
              </w:rPr>
              <w:fldChar w:fldCharType="end"/>
            </w:r>
          </w:hyperlink>
        </w:p>
        <w:p w14:paraId="4670F0E9" w14:textId="77777777" w:rsidR="000F3043" w:rsidRPr="00B20F2E" w:rsidRDefault="00000000" w:rsidP="000F3043">
          <w:pPr>
            <w:pStyle w:val="TOC1"/>
            <w:tabs>
              <w:tab w:val="right" w:leader="dot" w:pos="9019"/>
            </w:tabs>
            <w:spacing w:line="360" w:lineRule="auto"/>
            <w:jc w:val="both"/>
            <w:rPr>
              <w:rFonts w:ascii="Times New Roman" w:eastAsiaTheme="minorEastAsia" w:hAnsi="Times New Roman" w:cs="Times New Roman"/>
              <w:noProof/>
              <w:sz w:val="24"/>
              <w:szCs w:val="24"/>
              <w:lang w:val="en-GB"/>
            </w:rPr>
          </w:pPr>
          <w:hyperlink w:anchor="_Toc157274737" w:history="1">
            <w:r w:rsidR="000F3043" w:rsidRPr="00B20F2E">
              <w:rPr>
                <w:rStyle w:val="Hyperlink"/>
                <w:rFonts w:ascii="Times New Roman" w:hAnsi="Times New Roman" w:cs="Times New Roman"/>
                <w:noProof/>
                <w:sz w:val="24"/>
                <w:szCs w:val="24"/>
                <w:lang w:val="en-GB"/>
              </w:rPr>
              <w:t>References</w:t>
            </w:r>
            <w:r w:rsidR="000F3043" w:rsidRPr="00B20F2E">
              <w:rPr>
                <w:rFonts w:ascii="Times New Roman" w:hAnsi="Times New Roman" w:cs="Times New Roman"/>
                <w:noProof/>
                <w:webHidden/>
                <w:sz w:val="24"/>
                <w:szCs w:val="24"/>
                <w:lang w:val="en-GB"/>
              </w:rPr>
              <w:tab/>
            </w:r>
            <w:r w:rsidR="00E45D1E" w:rsidRPr="00B20F2E">
              <w:rPr>
                <w:rFonts w:ascii="Times New Roman" w:hAnsi="Times New Roman" w:cs="Times New Roman"/>
                <w:noProof/>
                <w:webHidden/>
                <w:sz w:val="24"/>
                <w:szCs w:val="24"/>
                <w:lang w:val="en-GB"/>
              </w:rPr>
              <w:fldChar w:fldCharType="begin"/>
            </w:r>
            <w:r w:rsidR="000F3043" w:rsidRPr="00B20F2E">
              <w:rPr>
                <w:rFonts w:ascii="Times New Roman" w:hAnsi="Times New Roman" w:cs="Times New Roman"/>
                <w:noProof/>
                <w:webHidden/>
                <w:sz w:val="24"/>
                <w:szCs w:val="24"/>
                <w:lang w:val="en-GB"/>
              </w:rPr>
              <w:instrText xml:space="preserve"> PAGEREF _Toc157274737 \h </w:instrText>
            </w:r>
            <w:r w:rsidR="00E45D1E" w:rsidRPr="00B20F2E">
              <w:rPr>
                <w:rFonts w:ascii="Times New Roman" w:hAnsi="Times New Roman" w:cs="Times New Roman"/>
                <w:noProof/>
                <w:webHidden/>
                <w:sz w:val="24"/>
                <w:szCs w:val="24"/>
                <w:lang w:val="en-GB"/>
              </w:rPr>
            </w:r>
            <w:r w:rsidR="00E45D1E" w:rsidRPr="00B20F2E">
              <w:rPr>
                <w:rFonts w:ascii="Times New Roman" w:hAnsi="Times New Roman" w:cs="Times New Roman"/>
                <w:noProof/>
                <w:webHidden/>
                <w:sz w:val="24"/>
                <w:szCs w:val="24"/>
                <w:lang w:val="en-GB"/>
              </w:rPr>
              <w:fldChar w:fldCharType="separate"/>
            </w:r>
            <w:r w:rsidR="000F3043" w:rsidRPr="00B20F2E">
              <w:rPr>
                <w:rFonts w:ascii="Times New Roman" w:hAnsi="Times New Roman" w:cs="Times New Roman"/>
                <w:noProof/>
                <w:webHidden/>
                <w:sz w:val="24"/>
                <w:szCs w:val="24"/>
                <w:lang w:val="en-GB"/>
              </w:rPr>
              <w:t>21</w:t>
            </w:r>
            <w:r w:rsidR="00E45D1E" w:rsidRPr="00B20F2E">
              <w:rPr>
                <w:rFonts w:ascii="Times New Roman" w:hAnsi="Times New Roman" w:cs="Times New Roman"/>
                <w:noProof/>
                <w:webHidden/>
                <w:sz w:val="24"/>
                <w:szCs w:val="24"/>
                <w:lang w:val="en-GB"/>
              </w:rPr>
              <w:fldChar w:fldCharType="end"/>
            </w:r>
          </w:hyperlink>
        </w:p>
        <w:p w14:paraId="75D6F06F" w14:textId="77777777" w:rsidR="003C47DE" w:rsidRPr="00B20F2E" w:rsidRDefault="00E45D1E" w:rsidP="000F3043">
          <w:pPr>
            <w:spacing w:line="360" w:lineRule="auto"/>
            <w:jc w:val="both"/>
            <w:rPr>
              <w:rFonts w:ascii="Times New Roman" w:hAnsi="Times New Roman" w:cs="Times New Roman"/>
              <w:color w:val="000000" w:themeColor="text1"/>
              <w:sz w:val="24"/>
              <w:szCs w:val="24"/>
              <w:lang w:val="en-GB"/>
            </w:rPr>
          </w:pPr>
          <w:r w:rsidRPr="00B20F2E">
            <w:rPr>
              <w:rFonts w:ascii="Times New Roman" w:hAnsi="Times New Roman" w:cs="Times New Roman"/>
              <w:b/>
              <w:bCs/>
              <w:noProof/>
              <w:color w:val="000000" w:themeColor="text1"/>
              <w:sz w:val="24"/>
              <w:szCs w:val="24"/>
              <w:lang w:val="en-GB"/>
            </w:rPr>
            <w:fldChar w:fldCharType="end"/>
          </w:r>
        </w:p>
      </w:sdtContent>
    </w:sdt>
    <w:p w14:paraId="51D2D1B4" w14:textId="77777777" w:rsidR="008F5F6F" w:rsidRPr="00B20F2E" w:rsidRDefault="008F5F6F" w:rsidP="003C47DE">
      <w:pPr>
        <w:spacing w:line="360" w:lineRule="auto"/>
        <w:jc w:val="both"/>
        <w:rPr>
          <w:rFonts w:ascii="Times New Roman" w:eastAsia="Times New Roman" w:hAnsi="Times New Roman" w:cs="Times New Roman"/>
          <w:b/>
          <w:color w:val="000000" w:themeColor="text1"/>
          <w:sz w:val="28"/>
          <w:szCs w:val="28"/>
          <w:highlight w:val="white"/>
          <w:lang w:val="en-GB"/>
        </w:rPr>
      </w:pPr>
      <w:r w:rsidRPr="00B20F2E">
        <w:rPr>
          <w:rFonts w:ascii="Times New Roman" w:eastAsia="Times New Roman" w:hAnsi="Times New Roman" w:cs="Times New Roman"/>
          <w:b/>
          <w:color w:val="000000" w:themeColor="text1"/>
          <w:sz w:val="28"/>
          <w:szCs w:val="28"/>
          <w:highlight w:val="white"/>
          <w:lang w:val="en-GB"/>
        </w:rPr>
        <w:br w:type="page"/>
      </w:r>
    </w:p>
    <w:p w14:paraId="1FC3B824" w14:textId="77777777" w:rsidR="00EE0F1F" w:rsidRPr="00B20F2E" w:rsidRDefault="00EE0F1F" w:rsidP="003C47DE">
      <w:pPr>
        <w:pStyle w:val="Heading1"/>
        <w:rPr>
          <w:highlight w:val="white"/>
          <w:lang w:val="en-GB"/>
        </w:rPr>
      </w:pPr>
      <w:bookmarkStart w:id="0" w:name="_Toc157274716"/>
      <w:r w:rsidRPr="00B20F2E">
        <w:rPr>
          <w:highlight w:val="white"/>
          <w:lang w:val="en-GB"/>
        </w:rPr>
        <w:lastRenderedPageBreak/>
        <w:t>Task 1</w:t>
      </w:r>
      <w:bookmarkEnd w:id="0"/>
    </w:p>
    <w:p w14:paraId="327BF713" w14:textId="77777777" w:rsidR="00752566" w:rsidRPr="00B20F2E" w:rsidRDefault="00251277" w:rsidP="00EE0F1F">
      <w:pPr>
        <w:pStyle w:val="Heading2"/>
        <w:rPr>
          <w:highlight w:val="white"/>
          <w:lang w:val="en-GB"/>
        </w:rPr>
      </w:pPr>
      <w:bookmarkStart w:id="1" w:name="_Toc157274717"/>
      <w:r w:rsidRPr="00B20F2E">
        <w:rPr>
          <w:highlight w:val="white"/>
          <w:lang w:val="en-GB"/>
        </w:rPr>
        <w:t>Introduction</w:t>
      </w:r>
      <w:bookmarkEnd w:id="1"/>
    </w:p>
    <w:p w14:paraId="58C25E01"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b/>
          <w:i/>
          <w:color w:val="000000" w:themeColor="text1"/>
          <w:sz w:val="24"/>
          <w:szCs w:val="24"/>
          <w:highlight w:val="white"/>
          <w:lang w:val="en-GB"/>
        </w:rPr>
        <w:t>Leadership and management skills</w:t>
      </w:r>
      <w:r w:rsidRPr="00B20F2E">
        <w:rPr>
          <w:rFonts w:ascii="Times New Roman" w:eastAsia="Times New Roman" w:hAnsi="Times New Roman" w:cs="Times New Roman"/>
          <w:color w:val="000000" w:themeColor="text1"/>
          <w:sz w:val="24"/>
          <w:szCs w:val="24"/>
          <w:highlight w:val="white"/>
          <w:lang w:val="en-GB"/>
        </w:rPr>
        <w:t xml:space="preserve"> of a company refer to the specific human resource processes that help a company to determine all the activities and make the efficiency decisions for the further growth and development of the company. Effective leadership skill also helps a company to take the essential decision and determine some significant growth strategies in the business. </w:t>
      </w:r>
      <w:r w:rsidRPr="00B20F2E">
        <w:rPr>
          <w:rFonts w:ascii="Times New Roman" w:eastAsia="Times New Roman" w:hAnsi="Times New Roman" w:cs="Times New Roman"/>
          <w:color w:val="000000" w:themeColor="text1"/>
          <w:sz w:val="24"/>
          <w:szCs w:val="24"/>
          <w:lang w:val="en-GB"/>
        </w:rPr>
        <w:t xml:space="preserve">The recent study has highlighted several organisational aspects. To analyse leadership styles and many other aspects followed in a SME and for this reason the case study of </w:t>
      </w:r>
      <w:r w:rsidRPr="00B20F2E">
        <w:rPr>
          <w:rFonts w:ascii="Times New Roman" w:eastAsia="Times New Roman" w:hAnsi="Times New Roman" w:cs="Times New Roman"/>
          <w:b/>
          <w:i/>
          <w:color w:val="000000" w:themeColor="text1"/>
          <w:sz w:val="24"/>
          <w:szCs w:val="24"/>
          <w:lang w:val="en-GB"/>
        </w:rPr>
        <w:t>Milton Sandford Wines Ltd.</w:t>
      </w:r>
      <w:r w:rsidRPr="00B20F2E">
        <w:rPr>
          <w:rFonts w:ascii="Times New Roman" w:eastAsia="Times New Roman" w:hAnsi="Times New Roman" w:cs="Times New Roman"/>
          <w:color w:val="000000" w:themeColor="text1"/>
          <w:sz w:val="24"/>
          <w:szCs w:val="24"/>
          <w:lang w:val="en-GB"/>
        </w:rPr>
        <w:t xml:space="preserve"> has been chosen and analysed.</w:t>
      </w:r>
    </w:p>
    <w:p w14:paraId="339D3EDB" w14:textId="77777777" w:rsidR="00752566" w:rsidRPr="00B20F2E" w:rsidRDefault="00251277" w:rsidP="00EE0F1F">
      <w:pPr>
        <w:pStyle w:val="Heading2"/>
        <w:rPr>
          <w:lang w:val="en-GB"/>
        </w:rPr>
      </w:pPr>
      <w:bookmarkStart w:id="2" w:name="_Toc157274718"/>
      <w:r w:rsidRPr="00B20F2E">
        <w:rPr>
          <w:lang w:val="en-GB"/>
        </w:rPr>
        <w:t>Overview of the case study</w:t>
      </w:r>
      <w:bookmarkEnd w:id="2"/>
    </w:p>
    <w:p w14:paraId="32812004" w14:textId="3DD85B73"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Small and medium-sized business organisations refer to a specific type of business companies that have the revenue, employees, and aspects under a certain amount or measurement. The number of SMEs in the UK is increasing currently. With some innovative and new business ideas, several small enterprises are coming up to introduce new business plans to ensure their development. </w:t>
      </w:r>
      <w:r w:rsidRPr="00B20F2E">
        <w:rPr>
          <w:rFonts w:ascii="Times New Roman" w:eastAsia="Times New Roman" w:hAnsi="Times New Roman" w:cs="Times New Roman"/>
          <w:b/>
          <w:i/>
          <w:color w:val="000000" w:themeColor="text1"/>
          <w:sz w:val="24"/>
          <w:szCs w:val="24"/>
          <w:lang w:val="en-GB"/>
        </w:rPr>
        <w:t>Milton Sandford Wines Ltd</w:t>
      </w:r>
      <w:r w:rsidRPr="00B20F2E">
        <w:rPr>
          <w:rFonts w:ascii="Times New Roman" w:eastAsia="Times New Roman" w:hAnsi="Times New Roman" w:cs="Times New Roman"/>
          <w:color w:val="000000" w:themeColor="text1"/>
          <w:sz w:val="24"/>
          <w:szCs w:val="24"/>
          <w:lang w:val="en-GB"/>
        </w:rPr>
        <w:t xml:space="preserve">. is a boutique wine company that supplies wine and other products to several hotels, </w:t>
      </w:r>
      <w:r w:rsidR="00C62B90" w:rsidRPr="00B20F2E">
        <w:rPr>
          <w:rFonts w:ascii="Times New Roman" w:eastAsia="Times New Roman" w:hAnsi="Times New Roman" w:cs="Times New Roman"/>
          <w:color w:val="000000" w:themeColor="text1"/>
          <w:sz w:val="24"/>
          <w:szCs w:val="24"/>
          <w:lang w:val="en-GB"/>
        </w:rPr>
        <w:t>restaurants,</w:t>
      </w:r>
      <w:r w:rsidRPr="00B20F2E">
        <w:rPr>
          <w:rFonts w:ascii="Times New Roman" w:eastAsia="Times New Roman" w:hAnsi="Times New Roman" w:cs="Times New Roman"/>
          <w:color w:val="000000" w:themeColor="text1"/>
          <w:sz w:val="24"/>
          <w:szCs w:val="24"/>
          <w:lang w:val="en-GB"/>
        </w:rPr>
        <w:t xml:space="preserve"> and gastropubs (MSW, 2024). The company has its headquarters in Berkshire in the UK (Bloomberg, 2024). </w:t>
      </w:r>
    </w:p>
    <w:p w14:paraId="1EB605BC"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noProof/>
          <w:color w:val="000000" w:themeColor="text1"/>
          <w:sz w:val="24"/>
          <w:szCs w:val="24"/>
        </w:rPr>
        <w:lastRenderedPageBreak/>
        <w:drawing>
          <wp:inline distT="114300" distB="114300" distL="114300" distR="114300" wp14:anchorId="5005C8EF" wp14:editId="08FA4627">
            <wp:extent cx="3805238" cy="3640892"/>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805238" cy="3640892"/>
                    </a:xfrm>
                    <a:prstGeom prst="rect">
                      <a:avLst/>
                    </a:prstGeom>
                    <a:ln w="25400">
                      <a:solidFill>
                        <a:srgbClr val="000000"/>
                      </a:solidFill>
                      <a:prstDash val="solid"/>
                    </a:ln>
                  </pic:spPr>
                </pic:pic>
              </a:graphicData>
            </a:graphic>
          </wp:inline>
        </w:drawing>
      </w:r>
    </w:p>
    <w:p w14:paraId="4806AD53"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Figure 1: Logo of the company</w:t>
      </w:r>
    </w:p>
    <w:p w14:paraId="4334338D"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(Source: MSW, 2024)</w:t>
      </w:r>
    </w:p>
    <w:p w14:paraId="44AA7F5D"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The current strategies practised in the company have also been identified and evaluated. Along with that the issue that the company is currently experiencing has also been identified in the study. Based on that a new strategic decision has been made and introduced in the study.</w:t>
      </w:r>
    </w:p>
    <w:p w14:paraId="5BE4F624" w14:textId="77777777" w:rsidR="00752566" w:rsidRPr="00B20F2E" w:rsidRDefault="00251277" w:rsidP="00EE0F1F">
      <w:pPr>
        <w:pStyle w:val="Heading2"/>
        <w:rPr>
          <w:lang w:val="en-GB"/>
        </w:rPr>
      </w:pPr>
      <w:bookmarkStart w:id="3" w:name="_Toc157274719"/>
      <w:r w:rsidRPr="00B20F2E">
        <w:rPr>
          <w:lang w:val="en-GB"/>
        </w:rPr>
        <w:t>Appraisal of the organisation’s current strategic approaches</w:t>
      </w:r>
      <w:bookmarkEnd w:id="3"/>
    </w:p>
    <w:p w14:paraId="79C3975F" w14:textId="08935049"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company started its business in the UK but </w:t>
      </w:r>
      <w:r w:rsidR="00C62B90" w:rsidRPr="00B20F2E">
        <w:rPr>
          <w:rFonts w:ascii="Times New Roman" w:eastAsia="Times New Roman" w:hAnsi="Times New Roman" w:cs="Times New Roman"/>
          <w:color w:val="000000" w:themeColor="text1"/>
          <w:sz w:val="24"/>
          <w:szCs w:val="24"/>
          <w:lang w:val="en-GB"/>
        </w:rPr>
        <w:t>later</w:t>
      </w:r>
      <w:r w:rsidRPr="00B20F2E">
        <w:rPr>
          <w:rFonts w:ascii="Times New Roman" w:eastAsia="Times New Roman" w:hAnsi="Times New Roman" w:cs="Times New Roman"/>
          <w:color w:val="000000" w:themeColor="text1"/>
          <w:sz w:val="24"/>
          <w:szCs w:val="24"/>
          <w:lang w:val="en-GB"/>
        </w:rPr>
        <w:t xml:space="preserve">, the company expanded its business all over the world (Bloomberg, 2024). In the current era, the company sells their products to customers globally. The main business tagline of the company is </w:t>
      </w:r>
      <w:r w:rsidRPr="00B20F2E">
        <w:rPr>
          <w:rFonts w:ascii="Times New Roman" w:eastAsia="Times New Roman" w:hAnsi="Times New Roman" w:cs="Times New Roman"/>
          <w:b/>
          <w:i/>
          <w:color w:val="000000" w:themeColor="text1"/>
          <w:sz w:val="24"/>
          <w:szCs w:val="24"/>
          <w:lang w:val="en-GB"/>
        </w:rPr>
        <w:t>"Good food deserves the best wine!"</w:t>
      </w:r>
      <w:r w:rsidRPr="00B20F2E">
        <w:rPr>
          <w:rFonts w:ascii="Times New Roman" w:eastAsia="Times New Roman" w:hAnsi="Times New Roman" w:cs="Times New Roman"/>
          <w:color w:val="000000" w:themeColor="text1"/>
          <w:sz w:val="24"/>
          <w:szCs w:val="24"/>
          <w:lang w:val="en-GB"/>
        </w:rPr>
        <w:t xml:space="preserve">. The main mission of the company is </w:t>
      </w:r>
      <w:r w:rsidRPr="00B20F2E">
        <w:rPr>
          <w:rFonts w:ascii="Times New Roman" w:eastAsia="Times New Roman" w:hAnsi="Times New Roman" w:cs="Times New Roman"/>
          <w:b/>
          <w:i/>
          <w:color w:val="000000" w:themeColor="text1"/>
          <w:sz w:val="24"/>
          <w:szCs w:val="24"/>
          <w:lang w:val="en-GB"/>
        </w:rPr>
        <w:t>“to create a perfect wine list – from everyday bottles to the most prestigious vintage”</w:t>
      </w:r>
      <w:r w:rsidRPr="00B20F2E">
        <w:rPr>
          <w:rFonts w:ascii="Times New Roman" w:eastAsia="Times New Roman" w:hAnsi="Times New Roman" w:cs="Times New Roman"/>
          <w:color w:val="000000" w:themeColor="text1"/>
          <w:sz w:val="24"/>
          <w:szCs w:val="24"/>
          <w:lang w:val="en-GB"/>
        </w:rPr>
        <w:t xml:space="preserve">. The main vision of the company is to travel from the chalk cellar of Berkshire to the various parts of the world in search of the highest quality wine for the consumers. </w:t>
      </w:r>
      <w:r w:rsidR="00C62B90" w:rsidRPr="00B20F2E">
        <w:rPr>
          <w:rFonts w:ascii="Times New Roman" w:eastAsia="Times New Roman" w:hAnsi="Times New Roman" w:cs="Times New Roman"/>
          <w:color w:val="000000" w:themeColor="text1"/>
          <w:sz w:val="24"/>
          <w:szCs w:val="24"/>
          <w:lang w:val="en-GB"/>
        </w:rPr>
        <w:t>Therefore,</w:t>
      </w:r>
      <w:r w:rsidRPr="00B20F2E">
        <w:rPr>
          <w:rFonts w:ascii="Times New Roman" w:eastAsia="Times New Roman" w:hAnsi="Times New Roman" w:cs="Times New Roman"/>
          <w:color w:val="000000" w:themeColor="text1"/>
          <w:sz w:val="24"/>
          <w:szCs w:val="24"/>
          <w:lang w:val="en-GB"/>
        </w:rPr>
        <w:t xml:space="preserve"> the main purpose of the company is to provide the best quality luxurious wine to their consumers (MSW, 2024). </w:t>
      </w:r>
    </w:p>
    <w:p w14:paraId="5F92FE9D"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noProof/>
          <w:color w:val="000000" w:themeColor="text1"/>
          <w:sz w:val="24"/>
          <w:szCs w:val="24"/>
        </w:rPr>
        <w:lastRenderedPageBreak/>
        <w:drawing>
          <wp:inline distT="114300" distB="114300" distL="114300" distR="114300" wp14:anchorId="04620B08" wp14:editId="404DE29C">
            <wp:extent cx="5305425" cy="2189383"/>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9" cstate="print"/>
                    <a:stretch>
                      <a:fillRect/>
                    </a:stretch>
                  </pic:blipFill>
                  <pic:spPr>
                    <a:xfrm>
                      <a:off x="0" y="0"/>
                      <a:ext cx="5305425" cy="2189383"/>
                    </a:xfrm>
                    <a:prstGeom prst="rect">
                      <a:avLst/>
                    </a:prstGeom>
                    <a:ln w="25400">
                      <a:solidFill>
                        <a:srgbClr val="000000"/>
                      </a:solidFill>
                      <a:prstDash val="solid"/>
                    </a:ln>
                  </pic:spPr>
                </pic:pic>
              </a:graphicData>
            </a:graphic>
          </wp:inline>
        </w:drawing>
      </w:r>
    </w:p>
    <w:p w14:paraId="253EA47A"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Figure 2: Partners of Milton Sandford Wines Ltd.</w:t>
      </w:r>
    </w:p>
    <w:p w14:paraId="6F38B52F"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(Source: MSW, 2024)</w:t>
      </w:r>
    </w:p>
    <w:p w14:paraId="6D8BB63F" w14:textId="321BCB39"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company currently has 51 </w:t>
      </w:r>
      <w:r w:rsidR="00C62B90" w:rsidRPr="00B20F2E">
        <w:rPr>
          <w:rFonts w:ascii="Times New Roman" w:eastAsia="Times New Roman" w:hAnsi="Times New Roman" w:cs="Times New Roman"/>
          <w:color w:val="000000" w:themeColor="text1"/>
          <w:sz w:val="24"/>
          <w:szCs w:val="24"/>
          <w:lang w:val="en-GB"/>
        </w:rPr>
        <w:t>employees,</w:t>
      </w:r>
      <w:r w:rsidRPr="00B20F2E">
        <w:rPr>
          <w:rFonts w:ascii="Times New Roman" w:eastAsia="Times New Roman" w:hAnsi="Times New Roman" w:cs="Times New Roman"/>
          <w:color w:val="000000" w:themeColor="text1"/>
          <w:sz w:val="24"/>
          <w:szCs w:val="24"/>
          <w:lang w:val="en-GB"/>
        </w:rPr>
        <w:t xml:space="preserve"> and they train their people to enhance their taste by making the best quality wine for the consumers (MSW, 2024). The company has a huge collection of red wine, white wine, rose wine and many others and the company has focused on outsourcing the best quality of the wine from the various parts of the world (MSW, 2024). </w:t>
      </w:r>
      <w:r w:rsidR="00C62B90" w:rsidRPr="00B20F2E">
        <w:rPr>
          <w:rFonts w:ascii="Times New Roman" w:eastAsia="Times New Roman" w:hAnsi="Times New Roman" w:cs="Times New Roman"/>
          <w:color w:val="000000" w:themeColor="text1"/>
          <w:sz w:val="24"/>
          <w:szCs w:val="24"/>
          <w:lang w:val="en-GB"/>
        </w:rPr>
        <w:t>Therefore,</w:t>
      </w:r>
      <w:r w:rsidRPr="00B20F2E">
        <w:rPr>
          <w:rFonts w:ascii="Times New Roman" w:eastAsia="Times New Roman" w:hAnsi="Times New Roman" w:cs="Times New Roman"/>
          <w:color w:val="000000" w:themeColor="text1"/>
          <w:sz w:val="24"/>
          <w:szCs w:val="24"/>
          <w:lang w:val="en-GB"/>
        </w:rPr>
        <w:t xml:space="preserve"> it is evident that currently the company is following the outsourcing strategy in their business.  </w:t>
      </w:r>
    </w:p>
    <w:p w14:paraId="23DB7790"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noProof/>
          <w:color w:val="000000" w:themeColor="text1"/>
          <w:sz w:val="24"/>
          <w:szCs w:val="24"/>
        </w:rPr>
        <w:drawing>
          <wp:inline distT="114300" distB="114300" distL="114300" distR="114300" wp14:anchorId="06FB5710" wp14:editId="7347B2DD">
            <wp:extent cx="5731200" cy="13843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731200" cy="1384300"/>
                    </a:xfrm>
                    <a:prstGeom prst="rect">
                      <a:avLst/>
                    </a:prstGeom>
                    <a:ln w="25400">
                      <a:solidFill>
                        <a:srgbClr val="000000"/>
                      </a:solidFill>
                      <a:prstDash val="solid"/>
                    </a:ln>
                  </pic:spPr>
                </pic:pic>
              </a:graphicData>
            </a:graphic>
          </wp:inline>
        </w:drawing>
      </w:r>
    </w:p>
    <w:p w14:paraId="35869FB6"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Figure 3: Customers of Milton Sandford Wines Ltd.</w:t>
      </w:r>
    </w:p>
    <w:p w14:paraId="08A9DF23"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(Source: MSW, 2024)</w:t>
      </w:r>
    </w:p>
    <w:p w14:paraId="77E20945" w14:textId="645A41A2"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To achieve its objectives the company has established a well-trained </w:t>
      </w:r>
      <w:r w:rsidR="00C62B90" w:rsidRPr="00B20F2E">
        <w:rPr>
          <w:rFonts w:ascii="Times New Roman" w:eastAsia="Times New Roman" w:hAnsi="Times New Roman" w:cs="Times New Roman"/>
          <w:color w:val="000000" w:themeColor="text1"/>
          <w:sz w:val="24"/>
          <w:szCs w:val="24"/>
          <w:lang w:val="en-GB"/>
        </w:rPr>
        <w:t>workforce,</w:t>
      </w:r>
      <w:r w:rsidRPr="00B20F2E">
        <w:rPr>
          <w:rFonts w:ascii="Times New Roman" w:eastAsia="Times New Roman" w:hAnsi="Times New Roman" w:cs="Times New Roman"/>
          <w:color w:val="000000" w:themeColor="text1"/>
          <w:sz w:val="24"/>
          <w:szCs w:val="24"/>
          <w:lang w:val="en-GB"/>
        </w:rPr>
        <w:t xml:space="preserve"> and they work hard for the benefit of the company. The company has focused on using the best quality resources for making luxurious boutique wine (MSW, 2024). Various types of berries, fruits and other resources are being used. Along with that the advancement of technology has also helped to ensure the profitability and productivity of wine in various hotels. The company has an active Instagram page with some followers where the small business company uploads and publishes several innovative offers to attract and target more consumers (Instagram, 2024. This strategy helps the company to reach a step closer to its business goals. </w:t>
      </w:r>
    </w:p>
    <w:p w14:paraId="358A87D0"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noProof/>
          <w:color w:val="000000" w:themeColor="text1"/>
          <w:sz w:val="24"/>
          <w:szCs w:val="24"/>
        </w:rPr>
        <w:lastRenderedPageBreak/>
        <w:drawing>
          <wp:inline distT="114300" distB="114300" distL="114300" distR="114300" wp14:anchorId="20A5AF04" wp14:editId="0F37E122">
            <wp:extent cx="5731200" cy="297180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1" cstate="print"/>
                    <a:stretch>
                      <a:fillRect/>
                    </a:stretch>
                  </pic:blipFill>
                  <pic:spPr>
                    <a:xfrm>
                      <a:off x="0" y="0"/>
                      <a:ext cx="5731200" cy="2971800"/>
                    </a:xfrm>
                    <a:prstGeom prst="rect">
                      <a:avLst/>
                    </a:prstGeom>
                    <a:ln w="25400">
                      <a:solidFill>
                        <a:srgbClr val="000000"/>
                      </a:solidFill>
                      <a:prstDash val="solid"/>
                    </a:ln>
                  </pic:spPr>
                </pic:pic>
              </a:graphicData>
            </a:graphic>
          </wp:inline>
        </w:drawing>
      </w:r>
    </w:p>
    <w:p w14:paraId="1E891832"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Figure 4: Instagram page of MSW</w:t>
      </w:r>
    </w:p>
    <w:p w14:paraId="0C7203A5"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(Source: MSW, 2024)</w:t>
      </w:r>
    </w:p>
    <w:p w14:paraId="0D027D61" w14:textId="6D0A94F2"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Along with that to achieve its goals and enhance consumer engagement the company has also focused on digital marketing strategies. Incorporating the technological </w:t>
      </w:r>
      <w:r w:rsidR="00C62B90" w:rsidRPr="00B20F2E">
        <w:rPr>
          <w:rFonts w:ascii="Times New Roman" w:eastAsia="Times New Roman" w:hAnsi="Times New Roman" w:cs="Times New Roman"/>
          <w:color w:val="000000" w:themeColor="text1"/>
          <w:sz w:val="24"/>
          <w:szCs w:val="24"/>
          <w:lang w:val="en-GB"/>
        </w:rPr>
        <w:t>innovations,</w:t>
      </w:r>
      <w:r w:rsidRPr="00B20F2E">
        <w:rPr>
          <w:rFonts w:ascii="Times New Roman" w:eastAsia="Times New Roman" w:hAnsi="Times New Roman" w:cs="Times New Roman"/>
          <w:color w:val="000000" w:themeColor="text1"/>
          <w:sz w:val="24"/>
          <w:szCs w:val="24"/>
          <w:lang w:val="en-GB"/>
        </w:rPr>
        <w:t xml:space="preserve"> the company has created a website and company profile where they can upload their relevant offers, </w:t>
      </w:r>
      <w:proofErr w:type="gramStart"/>
      <w:r w:rsidRPr="00B20F2E">
        <w:rPr>
          <w:rFonts w:ascii="Times New Roman" w:eastAsia="Times New Roman" w:hAnsi="Times New Roman" w:cs="Times New Roman"/>
          <w:color w:val="000000" w:themeColor="text1"/>
          <w:sz w:val="24"/>
          <w:szCs w:val="24"/>
          <w:lang w:val="en-GB"/>
        </w:rPr>
        <w:t>discounts</w:t>
      </w:r>
      <w:proofErr w:type="gramEnd"/>
      <w:r w:rsidRPr="00B20F2E">
        <w:rPr>
          <w:rFonts w:ascii="Times New Roman" w:eastAsia="Times New Roman" w:hAnsi="Times New Roman" w:cs="Times New Roman"/>
          <w:color w:val="000000" w:themeColor="text1"/>
          <w:sz w:val="24"/>
          <w:szCs w:val="24"/>
          <w:lang w:val="en-GB"/>
        </w:rPr>
        <w:t xml:space="preserve"> and other factors successfully to attract consumers to their business (MSW, 2024). From the overall analysis, it is identified that the company is currently using the outsourcing strategy, digital marketing strategy and many other strategic approaches to enhance their growth and sustainability in the global market.</w:t>
      </w:r>
    </w:p>
    <w:p w14:paraId="33909AB3" w14:textId="77777777" w:rsidR="00752566" w:rsidRPr="00B20F2E" w:rsidRDefault="00251277" w:rsidP="00EE0F1F">
      <w:pPr>
        <w:pStyle w:val="Heading2"/>
        <w:rPr>
          <w:lang w:val="en-GB"/>
        </w:rPr>
      </w:pPr>
      <w:bookmarkStart w:id="4" w:name="_Toc157274720"/>
      <w:r w:rsidRPr="00B20F2E">
        <w:rPr>
          <w:lang w:val="en-GB"/>
        </w:rPr>
        <w:t>Analysis of the external and internal environment</w:t>
      </w:r>
      <w:bookmarkEnd w:id="4"/>
    </w:p>
    <w:p w14:paraId="4D8BA22A"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PESTLE Analysis</w:t>
      </w:r>
    </w:p>
    <w:p w14:paraId="00D8F6A2"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The main purpose of a business organisation is to satisfy the demand of the consumers and set strategies based on that. The impact of the various external environmental factors on the flourishing of the business of the company is significantly relevant (</w:t>
      </w:r>
      <w:proofErr w:type="spellStart"/>
      <w:r w:rsidRPr="00B20F2E">
        <w:rPr>
          <w:rFonts w:ascii="Times New Roman" w:eastAsia="Times New Roman" w:hAnsi="Times New Roman" w:cs="Times New Roman"/>
          <w:color w:val="000000" w:themeColor="text1"/>
          <w:sz w:val="24"/>
          <w:szCs w:val="24"/>
          <w:highlight w:val="white"/>
          <w:lang w:val="en-GB"/>
        </w:rPr>
        <w:t>Dalirazar</w:t>
      </w:r>
      <w:proofErr w:type="spellEnd"/>
      <w:r w:rsidRPr="00B20F2E">
        <w:rPr>
          <w:rFonts w:ascii="Times New Roman" w:eastAsia="Times New Roman" w:hAnsi="Times New Roman" w:cs="Times New Roman"/>
          <w:color w:val="000000" w:themeColor="text1"/>
          <w:sz w:val="24"/>
          <w:szCs w:val="24"/>
          <w:highlight w:val="white"/>
          <w:lang w:val="en-GB"/>
        </w:rPr>
        <w:t xml:space="preserve"> and Sabzi, 2023</w:t>
      </w:r>
      <w:r w:rsidRPr="00B20F2E">
        <w:rPr>
          <w:rFonts w:ascii="Times New Roman" w:eastAsia="Times New Roman" w:hAnsi="Times New Roman" w:cs="Times New Roman"/>
          <w:color w:val="000000" w:themeColor="text1"/>
          <w:sz w:val="24"/>
          <w:szCs w:val="24"/>
          <w:lang w:val="en-GB"/>
        </w:rPr>
        <w:t xml:space="preserve">). To analyse the impact of the external factors of the environment on this specific small and medium business organisation, the PESTLE framework has been used. </w:t>
      </w:r>
    </w:p>
    <w:p w14:paraId="1E7A625F"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Political </w:t>
      </w:r>
    </w:p>
    <w:p w14:paraId="581C8EDC"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political condition of a particular country has a remarkable impact on several businesses. </w:t>
      </w:r>
      <w:r w:rsidRPr="00B20F2E">
        <w:rPr>
          <w:rFonts w:ascii="Times New Roman" w:eastAsia="Times New Roman" w:hAnsi="Times New Roman" w:cs="Times New Roman"/>
          <w:b/>
          <w:i/>
          <w:color w:val="000000" w:themeColor="text1"/>
          <w:sz w:val="24"/>
          <w:szCs w:val="24"/>
          <w:lang w:val="en-GB"/>
        </w:rPr>
        <w:t>Milton Sandford Wines Ltd</w:t>
      </w:r>
      <w:r w:rsidRPr="00B20F2E">
        <w:rPr>
          <w:rFonts w:ascii="Times New Roman" w:eastAsia="Times New Roman" w:hAnsi="Times New Roman" w:cs="Times New Roman"/>
          <w:color w:val="000000" w:themeColor="text1"/>
          <w:sz w:val="24"/>
          <w:szCs w:val="24"/>
          <w:lang w:val="en-GB"/>
        </w:rPr>
        <w:t xml:space="preserve">. has expanded its business in various places in the UK. The political cultures, situations and actions have affected the companies and their growth. The </w:t>
      </w:r>
      <w:r w:rsidRPr="00B20F2E">
        <w:rPr>
          <w:rFonts w:ascii="Times New Roman" w:eastAsia="Times New Roman" w:hAnsi="Times New Roman" w:cs="Times New Roman"/>
          <w:color w:val="000000" w:themeColor="text1"/>
          <w:sz w:val="24"/>
          <w:szCs w:val="24"/>
          <w:lang w:val="en-GB"/>
        </w:rPr>
        <w:lastRenderedPageBreak/>
        <w:t>political stability rate of the country is 0.54 points (The Global Economy, 2021). From the stability rate of the country, it has been identified that the political factors have a positive impact on the development of the business of Milton Sandford Wines Ltd.</w:t>
      </w:r>
    </w:p>
    <w:p w14:paraId="5AA163AD"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Economic </w:t>
      </w:r>
    </w:p>
    <w:p w14:paraId="7C79CC98" w14:textId="4C21257D"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trade, economic condition, and tariff rate of the country impact upon the financial stability of the businesses. The management of the company can utilise the economic resources of a country to determine its growth. The GDP growth rate of the UK has increased by 7.6% in recent years (Statista, 2024). </w:t>
      </w:r>
      <w:r w:rsidR="00C62B90" w:rsidRPr="00B20F2E">
        <w:rPr>
          <w:rFonts w:ascii="Times New Roman" w:eastAsia="Times New Roman" w:hAnsi="Times New Roman" w:cs="Times New Roman"/>
          <w:color w:val="000000" w:themeColor="text1"/>
          <w:sz w:val="24"/>
          <w:szCs w:val="24"/>
          <w:lang w:val="en-GB"/>
        </w:rPr>
        <w:t>Therefore,</w:t>
      </w:r>
      <w:r w:rsidRPr="00B20F2E">
        <w:rPr>
          <w:rFonts w:ascii="Times New Roman" w:eastAsia="Times New Roman" w:hAnsi="Times New Roman" w:cs="Times New Roman"/>
          <w:color w:val="000000" w:themeColor="text1"/>
          <w:sz w:val="24"/>
          <w:szCs w:val="24"/>
          <w:lang w:val="en-GB"/>
        </w:rPr>
        <w:t xml:space="preserve"> </w:t>
      </w:r>
      <w:proofErr w:type="gramStart"/>
      <w:r w:rsidRPr="00B20F2E">
        <w:rPr>
          <w:rFonts w:ascii="Times New Roman" w:eastAsia="Times New Roman" w:hAnsi="Times New Roman" w:cs="Times New Roman"/>
          <w:color w:val="000000" w:themeColor="text1"/>
          <w:sz w:val="24"/>
          <w:szCs w:val="24"/>
          <w:lang w:val="en-GB"/>
        </w:rPr>
        <w:t>It</w:t>
      </w:r>
      <w:proofErr w:type="gramEnd"/>
      <w:r w:rsidRPr="00B20F2E">
        <w:rPr>
          <w:rFonts w:ascii="Times New Roman" w:eastAsia="Times New Roman" w:hAnsi="Times New Roman" w:cs="Times New Roman"/>
          <w:color w:val="000000" w:themeColor="text1"/>
          <w:sz w:val="24"/>
          <w:szCs w:val="24"/>
          <w:lang w:val="en-GB"/>
        </w:rPr>
        <w:t xml:space="preserve"> is evident that the economic condition of the country is positive for the country.</w:t>
      </w:r>
    </w:p>
    <w:p w14:paraId="67AAE0DF"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Social</w:t>
      </w:r>
    </w:p>
    <w:p w14:paraId="2181BC61"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demand of the consumers existing in society has been changing in the post-pandemic era. Consumers have become more aware of the hygiene factors. The volume of wine markets in the UK has reached 1.08 million litres in 2024 (Statista, 2024). The customer sales rate of wine in the UK has increased by 57% in 2024 (Statista, 2024). In this condition, various wine shops are increasing in the UK market. The resources are collected based on their authenticity and the quality of the wine is becoming more luxurious to attract more consumers. The innovation in the business of the various other wine shops is creating a kind of pressure on the business of Milton Sandford Wines Ltd. The changing demand of the consumers and the increasing rate of the wine shops is creating a compulsion on the business of the company. The impact of the social factors is negative. </w:t>
      </w:r>
    </w:p>
    <w:p w14:paraId="0924A843"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Technological </w:t>
      </w:r>
    </w:p>
    <w:p w14:paraId="5E57CFB4"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Technological factors like the process and methods of implementing several technological tools and software can enhance the performance and productivity of a company. The current IT investment rate of the UK has increased by 4.5% in 2024 (Statista, 2024). Implementing the technological innovations and advancements the companies have succeeded in determining the effectiveness of their performances. The impact of the technological factors on the business of the wine company is positive. </w:t>
      </w:r>
    </w:p>
    <w:p w14:paraId="69C82386"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Legal</w:t>
      </w:r>
    </w:p>
    <w:p w14:paraId="3E07C48A"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Based on the rule of </w:t>
      </w:r>
      <w:r w:rsidRPr="00B20F2E">
        <w:rPr>
          <w:rFonts w:ascii="Times New Roman" w:eastAsia="Times New Roman" w:hAnsi="Times New Roman" w:cs="Times New Roman"/>
          <w:b/>
          <w:i/>
          <w:color w:val="000000" w:themeColor="text1"/>
          <w:sz w:val="24"/>
          <w:szCs w:val="24"/>
          <w:lang w:val="en-GB"/>
        </w:rPr>
        <w:t>the Data Protection Act (2018)</w:t>
      </w:r>
      <w:r w:rsidRPr="00B20F2E">
        <w:rPr>
          <w:rFonts w:ascii="Times New Roman" w:eastAsia="Times New Roman" w:hAnsi="Times New Roman" w:cs="Times New Roman"/>
          <w:color w:val="000000" w:themeColor="text1"/>
          <w:sz w:val="24"/>
          <w:szCs w:val="24"/>
          <w:lang w:val="en-GB"/>
        </w:rPr>
        <w:t xml:space="preserve"> of the UK, the companies of the UK are required to protect all the data and personal information of the workers who are working and sharing their details with the company. The companies are required to maintain the confidentiality of the data of the consumers. </w:t>
      </w:r>
      <w:r w:rsidRPr="00B20F2E">
        <w:rPr>
          <w:rFonts w:ascii="Times New Roman" w:eastAsia="Times New Roman" w:hAnsi="Times New Roman" w:cs="Times New Roman"/>
          <w:b/>
          <w:i/>
          <w:color w:val="000000" w:themeColor="text1"/>
          <w:sz w:val="24"/>
          <w:szCs w:val="24"/>
          <w:lang w:val="en-GB"/>
        </w:rPr>
        <w:t>Milton Sandford Wines Ltd.</w:t>
      </w:r>
      <w:r w:rsidRPr="00B20F2E">
        <w:rPr>
          <w:rFonts w:ascii="Times New Roman" w:eastAsia="Times New Roman" w:hAnsi="Times New Roman" w:cs="Times New Roman"/>
          <w:color w:val="000000" w:themeColor="text1"/>
          <w:sz w:val="24"/>
          <w:szCs w:val="24"/>
          <w:lang w:val="en-GB"/>
        </w:rPr>
        <w:t xml:space="preserve"> is also required to satire and keep all the information of their consumers in a personal tool password-secured database. For that reason, the financial stability and technological innovation of the company </w:t>
      </w:r>
      <w:r w:rsidRPr="00B20F2E">
        <w:rPr>
          <w:rFonts w:ascii="Times New Roman" w:eastAsia="Times New Roman" w:hAnsi="Times New Roman" w:cs="Times New Roman"/>
          <w:color w:val="000000" w:themeColor="text1"/>
          <w:sz w:val="24"/>
          <w:szCs w:val="24"/>
          <w:lang w:val="en-GB"/>
        </w:rPr>
        <w:lastRenderedPageBreak/>
        <w:t xml:space="preserve">are required to be effective enough. The impact of the legal factors is moderately negative for the company. </w:t>
      </w:r>
    </w:p>
    <w:p w14:paraId="4B0BBB72"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Environmental</w:t>
      </w:r>
    </w:p>
    <w:p w14:paraId="1C22F209" w14:textId="4C127CF4"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Most the organisations in the UK have become more concerned about the impact of the environment. The organisations have planned to collect more sustainable and authentic resources </w:t>
      </w:r>
      <w:r w:rsidR="00C62B90" w:rsidRPr="00B20F2E">
        <w:rPr>
          <w:rFonts w:ascii="Times New Roman" w:eastAsia="Times New Roman" w:hAnsi="Times New Roman" w:cs="Times New Roman"/>
          <w:color w:val="000000" w:themeColor="text1"/>
          <w:sz w:val="24"/>
          <w:szCs w:val="24"/>
          <w:lang w:val="en-GB"/>
        </w:rPr>
        <w:t>to</w:t>
      </w:r>
      <w:r w:rsidRPr="00B20F2E">
        <w:rPr>
          <w:rFonts w:ascii="Times New Roman" w:eastAsia="Times New Roman" w:hAnsi="Times New Roman" w:cs="Times New Roman"/>
          <w:color w:val="000000" w:themeColor="text1"/>
          <w:sz w:val="24"/>
          <w:szCs w:val="24"/>
          <w:lang w:val="en-GB"/>
        </w:rPr>
        <w:t xml:space="preserve"> determine the growth and sustainability of the business. The organisations have also implemented the waste management strategy or the zero carbon rate policies </w:t>
      </w:r>
      <w:r w:rsidR="00C62B90" w:rsidRPr="00B20F2E">
        <w:rPr>
          <w:rFonts w:ascii="Times New Roman" w:eastAsia="Times New Roman" w:hAnsi="Times New Roman" w:cs="Times New Roman"/>
          <w:color w:val="000000" w:themeColor="text1"/>
          <w:sz w:val="24"/>
          <w:szCs w:val="24"/>
          <w:lang w:val="en-GB"/>
        </w:rPr>
        <w:t>to</w:t>
      </w:r>
      <w:r w:rsidRPr="00B20F2E">
        <w:rPr>
          <w:rFonts w:ascii="Times New Roman" w:eastAsia="Times New Roman" w:hAnsi="Times New Roman" w:cs="Times New Roman"/>
          <w:color w:val="000000" w:themeColor="text1"/>
          <w:sz w:val="24"/>
          <w:szCs w:val="24"/>
          <w:lang w:val="en-GB"/>
        </w:rPr>
        <w:t xml:space="preserve"> enhance their profitability. </w:t>
      </w:r>
      <w:r w:rsidRPr="00B20F2E">
        <w:rPr>
          <w:rFonts w:ascii="Times New Roman" w:eastAsia="Times New Roman" w:hAnsi="Times New Roman" w:cs="Times New Roman"/>
          <w:b/>
          <w:i/>
          <w:color w:val="000000" w:themeColor="text1"/>
          <w:sz w:val="24"/>
          <w:szCs w:val="24"/>
          <w:lang w:val="en-GB"/>
        </w:rPr>
        <w:t>Milton Sandford Wines Ltd</w:t>
      </w:r>
      <w:r w:rsidRPr="00B20F2E">
        <w:rPr>
          <w:rFonts w:ascii="Times New Roman" w:eastAsia="Times New Roman" w:hAnsi="Times New Roman" w:cs="Times New Roman"/>
          <w:color w:val="000000" w:themeColor="text1"/>
          <w:sz w:val="24"/>
          <w:szCs w:val="24"/>
          <w:lang w:val="en-GB"/>
        </w:rPr>
        <w:t>. is also required to implement the strategies of environmental sustainability to determine the growth of their business. The impact of the environmental aspects is negative for the SME.</w:t>
      </w:r>
    </w:p>
    <w:p w14:paraId="03AC1326" w14:textId="77777777" w:rsidR="00752566" w:rsidRPr="00B20F2E" w:rsidRDefault="00251277">
      <w:pPr>
        <w:pStyle w:val="Normal1"/>
        <w:spacing w:line="360" w:lineRule="auto"/>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SWOT Analysis</w:t>
      </w:r>
    </w:p>
    <w:p w14:paraId="7B673E0A" w14:textId="3545C536" w:rsidR="00752566" w:rsidRPr="00B20F2E" w:rsidRDefault="00C62B90">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To</w:t>
      </w:r>
      <w:r w:rsidR="00251277" w:rsidRPr="00B20F2E">
        <w:rPr>
          <w:rFonts w:ascii="Times New Roman" w:eastAsia="Times New Roman" w:hAnsi="Times New Roman" w:cs="Times New Roman"/>
          <w:color w:val="000000" w:themeColor="text1"/>
          <w:sz w:val="24"/>
          <w:szCs w:val="24"/>
          <w:lang w:val="en-GB"/>
        </w:rPr>
        <w:t xml:space="preserve"> analyse the impact of the internal factors towards the company SWOT model has been analysed.</w:t>
      </w:r>
    </w:p>
    <w:p w14:paraId="42C41066"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Strength </w:t>
      </w:r>
    </w:p>
    <w:p w14:paraId="76B6022D"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In the UK it has been observed that the demand for wine has increased in the UK and the production and market sales of the UK have also been enhanced. One of the main reasons for this factor is the availability of resources. The current rate of fruit production in the UK is 910 billion British pounds (Statista, 2024). The economic condition of the UK and the current GDP rate of the country has also been a good opportunity for the winemakers in the UK. The brand equity of the product is very high in the UK, every year per capita the wine consumption has reached 13.6 bottles (Statista, 2024).</w:t>
      </w:r>
    </w:p>
    <w:p w14:paraId="3F7E727B"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Weaknesses</w:t>
      </w:r>
    </w:p>
    <w:p w14:paraId="70FAB584"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organisational culture of the company is not very </w:t>
      </w:r>
      <w:r w:rsidR="00B20F2E" w:rsidRPr="00B20F2E">
        <w:rPr>
          <w:rFonts w:ascii="Times New Roman" w:eastAsia="Times New Roman" w:hAnsi="Times New Roman" w:cs="Times New Roman"/>
          <w:color w:val="000000" w:themeColor="text1"/>
          <w:sz w:val="24"/>
          <w:szCs w:val="24"/>
          <w:lang w:val="en-GB"/>
        </w:rPr>
        <w:t>effective;</w:t>
      </w:r>
      <w:r w:rsidRPr="00B20F2E">
        <w:rPr>
          <w:rFonts w:ascii="Times New Roman" w:eastAsia="Times New Roman" w:hAnsi="Times New Roman" w:cs="Times New Roman"/>
          <w:color w:val="000000" w:themeColor="text1"/>
          <w:sz w:val="24"/>
          <w:szCs w:val="24"/>
          <w:lang w:val="en-GB"/>
        </w:rPr>
        <w:t xml:space="preserve"> the employees in the company are dominated by the managers. Another remarkable issue or weakness is the sense of dissatisfaction among the consumers. Though the demand for the products is very high, the dissatisfaction of the customers reflects upon the business of the company.</w:t>
      </w:r>
    </w:p>
    <w:p w14:paraId="5D128B2D"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Opportunity </w:t>
      </w:r>
    </w:p>
    <w:p w14:paraId="2B7231DD"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availability of resources for making wine is one of the most significant opportunities for the companies. The implementation of technological innovation can also ensure the growth and development of the business of the company. Strong brand equity and reputation are also regarded as </w:t>
      </w:r>
      <w:r w:rsidR="00B20F2E" w:rsidRPr="00B20F2E">
        <w:rPr>
          <w:rFonts w:ascii="Times New Roman" w:eastAsia="Times New Roman" w:hAnsi="Times New Roman" w:cs="Times New Roman"/>
          <w:color w:val="000000" w:themeColor="text1"/>
          <w:sz w:val="24"/>
          <w:szCs w:val="24"/>
          <w:lang w:val="en-GB"/>
        </w:rPr>
        <w:t>strength</w:t>
      </w:r>
      <w:r w:rsidRPr="00B20F2E">
        <w:rPr>
          <w:rFonts w:ascii="Times New Roman" w:eastAsia="Times New Roman" w:hAnsi="Times New Roman" w:cs="Times New Roman"/>
          <w:color w:val="000000" w:themeColor="text1"/>
          <w:sz w:val="24"/>
          <w:szCs w:val="24"/>
          <w:lang w:val="en-GB"/>
        </w:rPr>
        <w:t xml:space="preserve"> of the company.</w:t>
      </w:r>
    </w:p>
    <w:p w14:paraId="56EFB011"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Threats</w:t>
      </w:r>
    </w:p>
    <w:p w14:paraId="444272A3"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sudden and unexpected emergence of the pandemic has impacted the business of the winemakers. Increasing the bargaining power of the consumers is also considered as one of </w:t>
      </w:r>
      <w:r w:rsidRPr="00B20F2E">
        <w:rPr>
          <w:rFonts w:ascii="Times New Roman" w:eastAsia="Times New Roman" w:hAnsi="Times New Roman" w:cs="Times New Roman"/>
          <w:color w:val="000000" w:themeColor="text1"/>
          <w:sz w:val="24"/>
          <w:szCs w:val="24"/>
          <w:lang w:val="en-GB"/>
        </w:rPr>
        <w:lastRenderedPageBreak/>
        <w:t>the most relevant threats for the company. The competitive rivalry for Milton Sandford Wines Ltd. is also very high. The organisation is required to implement an effective strategy to mitigate all these challenges.</w:t>
      </w:r>
    </w:p>
    <w:p w14:paraId="4434B7B9" w14:textId="77777777" w:rsidR="00752566" w:rsidRPr="00B20F2E" w:rsidRDefault="00251277" w:rsidP="00EE0F1F">
      <w:pPr>
        <w:pStyle w:val="Heading2"/>
        <w:rPr>
          <w:lang w:val="en-GB"/>
        </w:rPr>
      </w:pPr>
      <w:bookmarkStart w:id="5" w:name="_Toc157274721"/>
      <w:r w:rsidRPr="00B20F2E">
        <w:rPr>
          <w:lang w:val="en-GB"/>
        </w:rPr>
        <w:t>Analysis of different stakeholders and their responsibilities</w:t>
      </w:r>
      <w:bookmarkEnd w:id="5"/>
    </w:p>
    <w:p w14:paraId="35790C40"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Impact of the internal and external environment on the key stakeholders </w:t>
      </w:r>
    </w:p>
    <w:p w14:paraId="7FD7B722" w14:textId="7ADE1CC1"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External stakeholders in the business are the government, suppliers, distributors, and consumers. For the wine company, the key external stakeholders are the governmental bodies (</w:t>
      </w:r>
      <w:r w:rsidRPr="00B20F2E">
        <w:rPr>
          <w:rFonts w:ascii="Times New Roman" w:eastAsia="Times New Roman" w:hAnsi="Times New Roman" w:cs="Times New Roman"/>
          <w:color w:val="000000" w:themeColor="text1"/>
          <w:sz w:val="24"/>
          <w:szCs w:val="24"/>
          <w:highlight w:val="white"/>
          <w:lang w:val="en-GB"/>
        </w:rPr>
        <w:t xml:space="preserve">Choudhury and </w:t>
      </w:r>
      <w:proofErr w:type="spellStart"/>
      <w:r w:rsidRPr="00B20F2E">
        <w:rPr>
          <w:rFonts w:ascii="Times New Roman" w:eastAsia="Times New Roman" w:hAnsi="Times New Roman" w:cs="Times New Roman"/>
          <w:color w:val="000000" w:themeColor="text1"/>
          <w:sz w:val="24"/>
          <w:szCs w:val="24"/>
          <w:highlight w:val="white"/>
          <w:lang w:val="en-GB"/>
        </w:rPr>
        <w:t>Pattnaik</w:t>
      </w:r>
      <w:proofErr w:type="spellEnd"/>
      <w:r w:rsidRPr="00B20F2E">
        <w:rPr>
          <w:rFonts w:ascii="Times New Roman" w:eastAsia="Times New Roman" w:hAnsi="Times New Roman" w:cs="Times New Roman"/>
          <w:color w:val="000000" w:themeColor="text1"/>
          <w:sz w:val="24"/>
          <w:szCs w:val="24"/>
          <w:highlight w:val="white"/>
          <w:lang w:val="en-GB"/>
        </w:rPr>
        <w:t>, 2020</w:t>
      </w:r>
      <w:r w:rsidRPr="00B20F2E">
        <w:rPr>
          <w:rFonts w:ascii="Times New Roman" w:eastAsia="Times New Roman" w:hAnsi="Times New Roman" w:cs="Times New Roman"/>
          <w:color w:val="000000" w:themeColor="text1"/>
          <w:sz w:val="24"/>
          <w:szCs w:val="24"/>
          <w:lang w:val="en-GB"/>
        </w:rPr>
        <w:t xml:space="preserve">). The current tariff and their tax facilities and functions have impacted the trade policies of the company. The political stability of the country has helped the government of the companies to make some effective decisions for the growth and development of various plans. The importing, selling and production of the business of wine requires paying the taxes. The economic stability of the UK has helped to pay all the necessary taxes and ensured the profitability of the wineries (Statista, 2024). Internal stakeholders of the company are the board of directors, management, </w:t>
      </w:r>
      <w:r w:rsidR="00C62B90" w:rsidRPr="00B20F2E">
        <w:rPr>
          <w:rFonts w:ascii="Times New Roman" w:eastAsia="Times New Roman" w:hAnsi="Times New Roman" w:cs="Times New Roman"/>
          <w:color w:val="000000" w:themeColor="text1"/>
          <w:sz w:val="24"/>
          <w:szCs w:val="24"/>
          <w:lang w:val="en-GB"/>
        </w:rPr>
        <w:t>employees,</w:t>
      </w:r>
      <w:r w:rsidRPr="00B20F2E">
        <w:rPr>
          <w:rFonts w:ascii="Times New Roman" w:eastAsia="Times New Roman" w:hAnsi="Times New Roman" w:cs="Times New Roman"/>
          <w:color w:val="000000" w:themeColor="text1"/>
          <w:sz w:val="24"/>
          <w:szCs w:val="24"/>
          <w:lang w:val="en-GB"/>
        </w:rPr>
        <w:t xml:space="preserve"> and investors (</w:t>
      </w:r>
      <w:r w:rsidRPr="00B20F2E">
        <w:rPr>
          <w:rFonts w:ascii="Times New Roman" w:eastAsia="Times New Roman" w:hAnsi="Times New Roman" w:cs="Times New Roman"/>
          <w:color w:val="000000" w:themeColor="text1"/>
          <w:sz w:val="24"/>
          <w:szCs w:val="24"/>
          <w:highlight w:val="white"/>
          <w:lang w:val="en-GB"/>
        </w:rPr>
        <w:t xml:space="preserve">Kujala </w:t>
      </w:r>
      <w:r w:rsidRPr="00B20F2E">
        <w:rPr>
          <w:rFonts w:ascii="Times New Roman" w:eastAsia="Times New Roman" w:hAnsi="Times New Roman" w:cs="Times New Roman"/>
          <w:i/>
          <w:color w:val="000000" w:themeColor="text1"/>
          <w:sz w:val="24"/>
          <w:szCs w:val="24"/>
          <w:highlight w:val="white"/>
          <w:lang w:val="en-GB"/>
        </w:rPr>
        <w:t xml:space="preserve">et al., </w:t>
      </w:r>
      <w:r w:rsidRPr="00B20F2E">
        <w:rPr>
          <w:rFonts w:ascii="Times New Roman" w:eastAsia="Times New Roman" w:hAnsi="Times New Roman" w:cs="Times New Roman"/>
          <w:color w:val="000000" w:themeColor="text1"/>
          <w:sz w:val="24"/>
          <w:szCs w:val="24"/>
          <w:highlight w:val="white"/>
          <w:lang w:val="en-GB"/>
        </w:rPr>
        <w:t>2022</w:t>
      </w:r>
      <w:r w:rsidRPr="00B20F2E">
        <w:rPr>
          <w:rFonts w:ascii="Times New Roman" w:eastAsia="Times New Roman" w:hAnsi="Times New Roman" w:cs="Times New Roman"/>
          <w:color w:val="000000" w:themeColor="text1"/>
          <w:sz w:val="24"/>
          <w:szCs w:val="24"/>
          <w:lang w:val="en-GB"/>
        </w:rPr>
        <w:t xml:space="preserve">). The economic stability has also helped the company to implement several effective technologies to ensure the growth and development of the business. The IT investment rate and the technological innovation helped to incorporate effective strategies in the business (Statista, 2024). The employees and management have applied this positive impact of technology to the operations of Milton Sandford Wines Ltd. The wineries can incorporate productive technological tools to increase their productivity and performance. Following the legal </w:t>
      </w:r>
      <w:r w:rsidR="00C62B90" w:rsidRPr="00B20F2E">
        <w:rPr>
          <w:rFonts w:ascii="Times New Roman" w:eastAsia="Times New Roman" w:hAnsi="Times New Roman" w:cs="Times New Roman"/>
          <w:color w:val="000000" w:themeColor="text1"/>
          <w:sz w:val="24"/>
          <w:szCs w:val="24"/>
          <w:lang w:val="en-GB"/>
        </w:rPr>
        <w:t>rules,</w:t>
      </w:r>
      <w:r w:rsidRPr="00B20F2E">
        <w:rPr>
          <w:rFonts w:ascii="Times New Roman" w:eastAsia="Times New Roman" w:hAnsi="Times New Roman" w:cs="Times New Roman"/>
          <w:color w:val="000000" w:themeColor="text1"/>
          <w:sz w:val="24"/>
          <w:szCs w:val="24"/>
          <w:lang w:val="en-GB"/>
        </w:rPr>
        <w:t xml:space="preserve"> the UK wineries are required to follow the regulations in the production of wine, offering job opportunities for the people of the country (Gov.UK, 2023). Stakeholders play an important role in the process of outsourcing by applying all their skills. Stakeholders encourage the company to follow all the rules and regulations of the governmental taxes and roles (</w:t>
      </w:r>
      <w:r w:rsidRPr="00B20F2E">
        <w:rPr>
          <w:rFonts w:ascii="Times New Roman" w:eastAsia="Times New Roman" w:hAnsi="Times New Roman" w:cs="Times New Roman"/>
          <w:color w:val="000000" w:themeColor="text1"/>
          <w:sz w:val="24"/>
          <w:szCs w:val="24"/>
          <w:highlight w:val="white"/>
          <w:lang w:val="en-GB"/>
        </w:rPr>
        <w:t>Camilleri, 2020</w:t>
      </w:r>
      <w:r w:rsidRPr="00B20F2E">
        <w:rPr>
          <w:rFonts w:ascii="Times New Roman" w:eastAsia="Times New Roman" w:hAnsi="Times New Roman" w:cs="Times New Roman"/>
          <w:color w:val="000000" w:themeColor="text1"/>
          <w:sz w:val="24"/>
          <w:szCs w:val="24"/>
          <w:lang w:val="en-GB"/>
        </w:rPr>
        <w:t xml:space="preserve">). On the other </w:t>
      </w:r>
      <w:r w:rsidR="00C62B90" w:rsidRPr="00B20F2E">
        <w:rPr>
          <w:rFonts w:ascii="Times New Roman" w:eastAsia="Times New Roman" w:hAnsi="Times New Roman" w:cs="Times New Roman"/>
          <w:color w:val="000000" w:themeColor="text1"/>
          <w:sz w:val="24"/>
          <w:szCs w:val="24"/>
          <w:lang w:val="en-GB"/>
        </w:rPr>
        <w:t>hand,</w:t>
      </w:r>
      <w:r w:rsidRPr="00B20F2E">
        <w:rPr>
          <w:rFonts w:ascii="Times New Roman" w:eastAsia="Times New Roman" w:hAnsi="Times New Roman" w:cs="Times New Roman"/>
          <w:color w:val="000000" w:themeColor="text1"/>
          <w:sz w:val="24"/>
          <w:szCs w:val="24"/>
          <w:lang w:val="en-GB"/>
        </w:rPr>
        <w:t xml:space="preserve"> in the strategic approaches of joint ventures, the main responsibility of the stakeholders is to align with the vision and values of the organisations. Another important role of the stakeholders is to communicate and collaborate with others and monitor the strategic goals of the company.</w:t>
      </w:r>
    </w:p>
    <w:p w14:paraId="119982EC" w14:textId="39F017DD" w:rsidR="00752566" w:rsidRPr="00B20F2E" w:rsidRDefault="00251277">
      <w:pPr>
        <w:pStyle w:val="Normal1"/>
        <w:spacing w:line="360" w:lineRule="auto"/>
        <w:jc w:val="both"/>
        <w:rPr>
          <w:rFonts w:ascii="Times New Roman" w:eastAsia="Times New Roman" w:hAnsi="Times New Roman" w:cs="Times New Roman"/>
          <w:b/>
          <w:i/>
          <w:iCs/>
          <w:color w:val="000000" w:themeColor="text1"/>
          <w:sz w:val="24"/>
          <w:szCs w:val="24"/>
          <w:lang w:val="en-GB"/>
        </w:rPr>
      </w:pPr>
      <w:r w:rsidRPr="00B20F2E">
        <w:rPr>
          <w:rFonts w:ascii="Times New Roman" w:eastAsia="Times New Roman" w:hAnsi="Times New Roman" w:cs="Times New Roman"/>
          <w:b/>
          <w:i/>
          <w:iCs/>
          <w:color w:val="000000" w:themeColor="text1"/>
          <w:sz w:val="24"/>
          <w:szCs w:val="24"/>
          <w:lang w:val="en-GB"/>
        </w:rPr>
        <w:t xml:space="preserve">Identify the key stakeholders and their specific </w:t>
      </w:r>
      <w:r w:rsidR="00C62B90" w:rsidRPr="00B20F2E">
        <w:rPr>
          <w:rFonts w:ascii="Times New Roman" w:eastAsia="Times New Roman" w:hAnsi="Times New Roman" w:cs="Times New Roman"/>
          <w:b/>
          <w:i/>
          <w:iCs/>
          <w:color w:val="000000" w:themeColor="text1"/>
          <w:sz w:val="24"/>
          <w:szCs w:val="24"/>
          <w:lang w:val="en-GB"/>
        </w:rPr>
        <w:t>interests.</w:t>
      </w:r>
    </w:p>
    <w:p w14:paraId="49405D0B" w14:textId="77777777"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Stakeholder engagement refers to the process of involving various stakeholders in the business process and aligning with the goals and objectives of the company (</w:t>
      </w:r>
      <w:r w:rsidRPr="00B20F2E">
        <w:rPr>
          <w:rFonts w:ascii="Times New Roman" w:eastAsia="Times New Roman" w:hAnsi="Times New Roman" w:cs="Times New Roman"/>
          <w:color w:val="000000" w:themeColor="text1"/>
          <w:sz w:val="24"/>
          <w:szCs w:val="24"/>
          <w:highlight w:val="white"/>
          <w:lang w:val="en-GB"/>
        </w:rPr>
        <w:t>Camilleri, 2020</w:t>
      </w:r>
      <w:r w:rsidRPr="00B20F2E">
        <w:rPr>
          <w:rFonts w:ascii="Times New Roman" w:eastAsia="Times New Roman" w:hAnsi="Times New Roman" w:cs="Times New Roman"/>
          <w:color w:val="000000" w:themeColor="text1"/>
          <w:sz w:val="24"/>
          <w:szCs w:val="24"/>
          <w:lang w:val="en-GB"/>
        </w:rPr>
        <w:t xml:space="preserve">). </w:t>
      </w:r>
    </w:p>
    <w:tbl>
      <w:tblPr>
        <w:tblStyle w:val="Table1"/>
        <w:tblW w:w="9810" w:type="dxa"/>
        <w:tblInd w:w="-585" w:type="dxa"/>
        <w:tblBorders>
          <w:top w:val="nil"/>
          <w:left w:val="nil"/>
          <w:bottom w:val="nil"/>
          <w:right w:val="nil"/>
          <w:insideH w:val="nil"/>
          <w:insideV w:val="nil"/>
        </w:tblBorders>
        <w:tblLayout w:type="fixed"/>
        <w:tblLook w:val="0600" w:firstRow="0" w:lastRow="0" w:firstColumn="0" w:lastColumn="0" w:noHBand="1" w:noVBand="1"/>
      </w:tblPr>
      <w:tblGrid>
        <w:gridCol w:w="1845"/>
        <w:gridCol w:w="1185"/>
        <w:gridCol w:w="1380"/>
        <w:gridCol w:w="1875"/>
        <w:gridCol w:w="1845"/>
        <w:gridCol w:w="1680"/>
      </w:tblGrid>
      <w:tr w:rsidR="00752566" w:rsidRPr="00B20F2E" w14:paraId="5C3744C0" w14:textId="77777777">
        <w:trPr>
          <w:trHeight w:val="930"/>
        </w:trPr>
        <w:tc>
          <w:tcPr>
            <w:tcW w:w="1845" w:type="dxa"/>
            <w:tcBorders>
              <w:top w:val="single" w:sz="4" w:space="0" w:color="000000"/>
              <w:left w:val="single" w:sz="4" w:space="0" w:color="000000"/>
              <w:bottom w:val="single" w:sz="4" w:space="0" w:color="000000"/>
              <w:right w:val="single" w:sz="4" w:space="0" w:color="000000"/>
            </w:tcBorders>
            <w:shd w:val="clear" w:color="auto" w:fill="F4CCCC"/>
            <w:tcMar>
              <w:top w:w="100" w:type="dxa"/>
              <w:left w:w="100" w:type="dxa"/>
              <w:bottom w:w="100" w:type="dxa"/>
              <w:right w:w="100" w:type="dxa"/>
            </w:tcMar>
          </w:tcPr>
          <w:p w14:paraId="453E4982"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lastRenderedPageBreak/>
              <w:t>Stakeholders</w:t>
            </w:r>
          </w:p>
        </w:tc>
        <w:tc>
          <w:tcPr>
            <w:tcW w:w="1185"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0196EA41"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Power</w:t>
            </w:r>
          </w:p>
        </w:tc>
        <w:tc>
          <w:tcPr>
            <w:tcW w:w="1380"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15A573EB"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Interest</w:t>
            </w:r>
          </w:p>
        </w:tc>
        <w:tc>
          <w:tcPr>
            <w:tcW w:w="1875"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075CA99C"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Engagement approach</w:t>
            </w:r>
          </w:p>
        </w:tc>
        <w:tc>
          <w:tcPr>
            <w:tcW w:w="1845"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08E37D3C"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Engagement tools</w:t>
            </w:r>
          </w:p>
        </w:tc>
        <w:tc>
          <w:tcPr>
            <w:tcW w:w="1680" w:type="dxa"/>
            <w:tcBorders>
              <w:top w:val="single" w:sz="4" w:space="0" w:color="000000"/>
              <w:left w:val="nil"/>
              <w:bottom w:val="single" w:sz="4" w:space="0" w:color="000000"/>
              <w:right w:val="single" w:sz="4" w:space="0" w:color="000000"/>
            </w:tcBorders>
            <w:shd w:val="clear" w:color="auto" w:fill="F4CCCC"/>
            <w:tcMar>
              <w:top w:w="100" w:type="dxa"/>
              <w:left w:w="100" w:type="dxa"/>
              <w:bottom w:w="100" w:type="dxa"/>
              <w:right w:w="100" w:type="dxa"/>
            </w:tcMar>
          </w:tcPr>
          <w:p w14:paraId="1A48216E"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Frequency</w:t>
            </w:r>
          </w:p>
        </w:tc>
      </w:tr>
      <w:tr w:rsidR="00752566" w:rsidRPr="00B20F2E" w14:paraId="22BF43FB" w14:textId="77777777">
        <w:trPr>
          <w:trHeight w:val="57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4F555C6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Government</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18C65A5F"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C85B386"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Medium</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044DA53"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Consultation</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C784FEE"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Meetings, Letters, email</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5E9F5CFD"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Occasional</w:t>
            </w:r>
          </w:p>
        </w:tc>
      </w:tr>
      <w:tr w:rsidR="00752566" w:rsidRPr="00B20F2E" w14:paraId="047C59E1" w14:textId="77777777">
        <w:trPr>
          <w:trHeight w:val="129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1E9FC782"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Other governmental bodies</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2B5791A"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36F3C119"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4043B03A"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Conversation</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FCC7A3B"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Face-to-face conversation, meeting, virtual meeting </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27A2F7B"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Very frequent</w:t>
            </w:r>
          </w:p>
        </w:tc>
      </w:tr>
      <w:tr w:rsidR="00752566" w:rsidRPr="00B20F2E" w14:paraId="617B4960" w14:textId="77777777">
        <w:trPr>
          <w:trHeight w:val="129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3190B833"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Employees</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17F73D7E"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2FED0C3"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49B6EFB"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Active involvement through communication and training </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59FD581E"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Conversation, Training</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72A6BED"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Very frequent</w:t>
            </w:r>
          </w:p>
        </w:tc>
      </w:tr>
      <w:tr w:rsidR="00752566" w:rsidRPr="00B20F2E" w14:paraId="75045E53" w14:textId="77777777">
        <w:trPr>
          <w:trHeight w:val="93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51BABF6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Consumers</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44D3F2A"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Medium</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227CEDF3"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2DC145E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Queries, communication, Digital medium</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AA301A9" w14:textId="352E8301"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Feedback forms, </w:t>
            </w:r>
            <w:r w:rsidR="00C62B90" w:rsidRPr="00B20F2E">
              <w:rPr>
                <w:rFonts w:ascii="Times New Roman" w:eastAsia="Times New Roman" w:hAnsi="Times New Roman" w:cs="Times New Roman"/>
                <w:color w:val="000000" w:themeColor="text1"/>
                <w:sz w:val="24"/>
                <w:szCs w:val="24"/>
                <w:lang w:val="en-GB"/>
              </w:rPr>
              <w:t>social</w:t>
            </w:r>
            <w:r w:rsidRPr="00B20F2E">
              <w:rPr>
                <w:rFonts w:ascii="Times New Roman" w:eastAsia="Times New Roman" w:hAnsi="Times New Roman" w:cs="Times New Roman"/>
                <w:color w:val="000000" w:themeColor="text1"/>
                <w:sz w:val="24"/>
                <w:szCs w:val="24"/>
                <w:lang w:val="en-GB"/>
              </w:rPr>
              <w:t xml:space="preserve"> media channels, email</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0A83955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Frequent</w:t>
            </w:r>
          </w:p>
        </w:tc>
      </w:tr>
      <w:tr w:rsidR="00752566" w:rsidRPr="00B20F2E" w14:paraId="26A4DB09" w14:textId="77777777">
        <w:trPr>
          <w:trHeight w:val="93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43A399CD"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Board of Directors</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6502CDA"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CD5B029"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2CD41699"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Consultation, Board meetings</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5F73AF3E"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Emails, meeting</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416B82F"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Very frequent</w:t>
            </w:r>
          </w:p>
        </w:tc>
      </w:tr>
      <w:tr w:rsidR="00752566" w:rsidRPr="00B20F2E" w14:paraId="27BE7E0C" w14:textId="77777777">
        <w:trPr>
          <w:trHeight w:val="57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1D73BAC5"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lastRenderedPageBreak/>
              <w:t>Suppliers</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BD0CA8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13F61794"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Low</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2F33259"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Consultation</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26DF7945"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Email, Meeting</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63C05FC"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Very Frequent</w:t>
            </w:r>
          </w:p>
        </w:tc>
      </w:tr>
      <w:tr w:rsidR="00752566" w:rsidRPr="00B20F2E" w14:paraId="383845A9" w14:textId="77777777">
        <w:trPr>
          <w:trHeight w:val="570"/>
        </w:trPr>
        <w:tc>
          <w:tcPr>
            <w:tcW w:w="1845" w:type="dxa"/>
            <w:tcBorders>
              <w:top w:val="nil"/>
              <w:left w:val="single" w:sz="4" w:space="0" w:color="000000"/>
              <w:bottom w:val="single" w:sz="4" w:space="0" w:color="000000"/>
              <w:right w:val="single" w:sz="4" w:space="0" w:color="000000"/>
            </w:tcBorders>
            <w:shd w:val="clear" w:color="auto" w:fill="C9DAF8"/>
            <w:tcMar>
              <w:top w:w="100" w:type="dxa"/>
              <w:left w:w="100" w:type="dxa"/>
              <w:bottom w:w="100" w:type="dxa"/>
              <w:right w:w="100" w:type="dxa"/>
            </w:tcMar>
          </w:tcPr>
          <w:p w14:paraId="51F6629B"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Social Media</w:t>
            </w:r>
          </w:p>
        </w:tc>
        <w:tc>
          <w:tcPr>
            <w:tcW w:w="118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7431C2C0"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3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340935EA"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High</w:t>
            </w:r>
          </w:p>
        </w:tc>
        <w:tc>
          <w:tcPr>
            <w:tcW w:w="187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06616B7"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Engagement virtual platforms</w:t>
            </w:r>
          </w:p>
        </w:tc>
        <w:tc>
          <w:tcPr>
            <w:tcW w:w="1845"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478259F9"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Press conference, emails</w:t>
            </w:r>
          </w:p>
        </w:tc>
        <w:tc>
          <w:tcPr>
            <w:tcW w:w="1680" w:type="dxa"/>
            <w:tcBorders>
              <w:top w:val="nil"/>
              <w:left w:val="nil"/>
              <w:bottom w:val="single" w:sz="4" w:space="0" w:color="000000"/>
              <w:right w:val="single" w:sz="4" w:space="0" w:color="000000"/>
            </w:tcBorders>
            <w:shd w:val="clear" w:color="auto" w:fill="C9DAF8"/>
            <w:tcMar>
              <w:top w:w="100" w:type="dxa"/>
              <w:left w:w="100" w:type="dxa"/>
              <w:bottom w:w="100" w:type="dxa"/>
              <w:right w:w="100" w:type="dxa"/>
            </w:tcMar>
          </w:tcPr>
          <w:p w14:paraId="6EC28A15" w14:textId="77777777" w:rsidR="00752566" w:rsidRPr="00B20F2E" w:rsidRDefault="00251277">
            <w:pPr>
              <w:pStyle w:val="Normal1"/>
              <w:spacing w:before="240" w:after="240" w:line="360" w:lineRule="auto"/>
              <w:ind w:left="140" w:right="140"/>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Frequent</w:t>
            </w:r>
          </w:p>
        </w:tc>
      </w:tr>
    </w:tbl>
    <w:p w14:paraId="61D52BF3"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Table 1: Stakeholder Engagement</w:t>
      </w:r>
    </w:p>
    <w:p w14:paraId="4A03F506"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(Self-Created)</w:t>
      </w:r>
    </w:p>
    <w:p w14:paraId="14DBC8AA" w14:textId="77777777"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Stakeholder Matrix</w:t>
      </w:r>
    </w:p>
    <w:p w14:paraId="4EADE14C"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noProof/>
          <w:color w:val="000000" w:themeColor="text1"/>
          <w:sz w:val="24"/>
          <w:szCs w:val="24"/>
        </w:rPr>
        <w:drawing>
          <wp:inline distT="114300" distB="114300" distL="114300" distR="114300" wp14:anchorId="6DC47D10" wp14:editId="25FEB2FE">
            <wp:extent cx="5731200" cy="36068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5731200" cy="3606800"/>
                    </a:xfrm>
                    <a:prstGeom prst="rect">
                      <a:avLst/>
                    </a:prstGeom>
                    <a:ln w="25400">
                      <a:solidFill>
                        <a:srgbClr val="000000"/>
                      </a:solidFill>
                      <a:prstDash val="solid"/>
                    </a:ln>
                  </pic:spPr>
                </pic:pic>
              </a:graphicData>
            </a:graphic>
          </wp:inline>
        </w:drawing>
      </w:r>
    </w:p>
    <w:p w14:paraId="7FA8FBA5" w14:textId="77777777" w:rsidR="00752566" w:rsidRPr="00B20F2E" w:rsidRDefault="00251277">
      <w:pPr>
        <w:pStyle w:val="Normal1"/>
        <w:spacing w:line="360" w:lineRule="auto"/>
        <w:jc w:val="cente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t>Figure 5: Stakeholder Matrix</w:t>
      </w:r>
    </w:p>
    <w:p w14:paraId="10CADD62" w14:textId="77777777" w:rsidR="00752566" w:rsidRPr="00B20F2E" w:rsidRDefault="00251277">
      <w:pPr>
        <w:pStyle w:val="Normal1"/>
        <w:spacing w:line="360" w:lineRule="auto"/>
        <w:jc w:val="cente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(Self-Created)</w:t>
      </w:r>
    </w:p>
    <w:p w14:paraId="519BB691" w14:textId="3C227583"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lang w:val="en-GB"/>
        </w:rPr>
      </w:pPr>
      <w:r w:rsidRPr="00B20F2E">
        <w:rPr>
          <w:rFonts w:ascii="Times New Roman" w:eastAsia="Times New Roman" w:hAnsi="Times New Roman" w:cs="Times New Roman"/>
          <w:b/>
          <w:i/>
          <w:color w:val="000000" w:themeColor="text1"/>
          <w:sz w:val="24"/>
          <w:szCs w:val="24"/>
          <w:lang w:val="en-GB"/>
        </w:rPr>
        <w:t xml:space="preserve">Benefits of the stakeholders based on the new </w:t>
      </w:r>
      <w:r w:rsidR="00C62B90" w:rsidRPr="00B20F2E">
        <w:rPr>
          <w:rFonts w:ascii="Times New Roman" w:eastAsia="Times New Roman" w:hAnsi="Times New Roman" w:cs="Times New Roman"/>
          <w:b/>
          <w:i/>
          <w:color w:val="000000" w:themeColor="text1"/>
          <w:sz w:val="24"/>
          <w:szCs w:val="24"/>
          <w:lang w:val="en-GB"/>
        </w:rPr>
        <w:t>strategy.</w:t>
      </w:r>
    </w:p>
    <w:p w14:paraId="5DB7BAD5" w14:textId="654AA043"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In the joint venture, the main role of the stakeholders is to identify the vision of the companies and align their strategies with them. Incorporating this new </w:t>
      </w:r>
      <w:r w:rsidR="00C62B90" w:rsidRPr="00B20F2E">
        <w:rPr>
          <w:rFonts w:ascii="Times New Roman" w:eastAsia="Times New Roman" w:hAnsi="Times New Roman" w:cs="Times New Roman"/>
          <w:color w:val="000000" w:themeColor="text1"/>
          <w:sz w:val="24"/>
          <w:szCs w:val="24"/>
          <w:lang w:val="en-GB"/>
        </w:rPr>
        <w:t>strategy,</w:t>
      </w:r>
      <w:r w:rsidRPr="00B20F2E">
        <w:rPr>
          <w:rFonts w:ascii="Times New Roman" w:eastAsia="Times New Roman" w:hAnsi="Times New Roman" w:cs="Times New Roman"/>
          <w:color w:val="000000" w:themeColor="text1"/>
          <w:sz w:val="24"/>
          <w:szCs w:val="24"/>
          <w:lang w:val="en-GB"/>
        </w:rPr>
        <w:t xml:space="preserve"> the management of MSW can communicate with the other stakeholders and wineries. The company can build a good relationship with the other hotels or pubs and provide their products to them. In the joint venture strategy, </w:t>
      </w:r>
      <w:r w:rsidR="00B20F2E" w:rsidRPr="00B20F2E">
        <w:rPr>
          <w:rFonts w:ascii="Times New Roman" w:eastAsia="Times New Roman" w:hAnsi="Times New Roman" w:cs="Times New Roman"/>
          <w:color w:val="000000" w:themeColor="text1"/>
          <w:sz w:val="24"/>
          <w:szCs w:val="24"/>
          <w:lang w:val="en-GB"/>
        </w:rPr>
        <w:t>they can</w:t>
      </w:r>
      <w:r w:rsidRPr="00B20F2E">
        <w:rPr>
          <w:rFonts w:ascii="Times New Roman" w:eastAsia="Times New Roman" w:hAnsi="Times New Roman" w:cs="Times New Roman"/>
          <w:color w:val="000000" w:themeColor="text1"/>
          <w:sz w:val="24"/>
          <w:szCs w:val="24"/>
          <w:lang w:val="en-GB"/>
        </w:rPr>
        <w:t xml:space="preserve"> communicate with their suppliers and </w:t>
      </w:r>
      <w:r w:rsidRPr="00B20F2E">
        <w:rPr>
          <w:rFonts w:ascii="Times New Roman" w:eastAsia="Times New Roman" w:hAnsi="Times New Roman" w:cs="Times New Roman"/>
          <w:color w:val="000000" w:themeColor="text1"/>
          <w:sz w:val="24"/>
          <w:szCs w:val="24"/>
          <w:lang w:val="en-GB"/>
        </w:rPr>
        <w:lastRenderedPageBreak/>
        <w:t>wineries and can ensure the long-term goals. The main benefit of the stakeholders in this aspect is to determine the productivity of the business and ensure their profit and sustainability.</w:t>
      </w:r>
    </w:p>
    <w:p w14:paraId="6C875544" w14:textId="0DFE3D07" w:rsidR="00752566" w:rsidRPr="00B20F2E" w:rsidRDefault="00251277" w:rsidP="00EE0F1F">
      <w:pPr>
        <w:pStyle w:val="Heading2"/>
        <w:rPr>
          <w:highlight w:val="white"/>
          <w:lang w:val="en-GB"/>
        </w:rPr>
      </w:pPr>
      <w:bookmarkStart w:id="6" w:name="_Toc157274722"/>
      <w:r w:rsidRPr="00B20F2E">
        <w:rPr>
          <w:lang w:val="en-GB"/>
        </w:rPr>
        <w:t xml:space="preserve">Introduction of a new strategic decision for the company compared with the existing </w:t>
      </w:r>
      <w:bookmarkEnd w:id="6"/>
      <w:r w:rsidR="00C62B90" w:rsidRPr="00B20F2E">
        <w:rPr>
          <w:lang w:val="en-GB"/>
        </w:rPr>
        <w:t>strategy.</w:t>
      </w:r>
    </w:p>
    <w:p w14:paraId="1EDF1461" w14:textId="188A49B0"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From the analysis of various existing data, it has been observed that the winemaking company is currently following the strategy of outsourcing. They provide the wine to different hotels, </w:t>
      </w:r>
      <w:r w:rsidR="00C62B90" w:rsidRPr="00B20F2E">
        <w:rPr>
          <w:rFonts w:ascii="Times New Roman" w:eastAsia="Times New Roman" w:hAnsi="Times New Roman" w:cs="Times New Roman"/>
          <w:color w:val="000000" w:themeColor="text1"/>
          <w:sz w:val="24"/>
          <w:szCs w:val="24"/>
          <w:highlight w:val="white"/>
          <w:lang w:val="en-GB"/>
        </w:rPr>
        <w:t>restaurants,</w:t>
      </w:r>
      <w:r w:rsidRPr="00B20F2E">
        <w:rPr>
          <w:rFonts w:ascii="Times New Roman" w:eastAsia="Times New Roman" w:hAnsi="Times New Roman" w:cs="Times New Roman"/>
          <w:color w:val="000000" w:themeColor="text1"/>
          <w:sz w:val="24"/>
          <w:szCs w:val="24"/>
          <w:highlight w:val="white"/>
          <w:lang w:val="en-GB"/>
        </w:rPr>
        <w:t xml:space="preserve"> and pubs. In the method of outsourcing problems like security barriers and communication challenges are prevalent (Charles and Ochieng, 2023). In this situation, the organisation is required to incorporate a new strategic approach. Joint venture is one of the </w:t>
      </w:r>
      <w:r w:rsidR="00C62B90" w:rsidRPr="00B20F2E">
        <w:rPr>
          <w:rFonts w:ascii="Times New Roman" w:eastAsia="Times New Roman" w:hAnsi="Times New Roman" w:cs="Times New Roman"/>
          <w:color w:val="000000" w:themeColor="text1"/>
          <w:sz w:val="24"/>
          <w:szCs w:val="24"/>
          <w:highlight w:val="white"/>
          <w:lang w:val="en-GB"/>
        </w:rPr>
        <w:t>trendiest</w:t>
      </w:r>
      <w:r w:rsidRPr="00B20F2E">
        <w:rPr>
          <w:rFonts w:ascii="Times New Roman" w:eastAsia="Times New Roman" w:hAnsi="Times New Roman" w:cs="Times New Roman"/>
          <w:color w:val="000000" w:themeColor="text1"/>
          <w:sz w:val="24"/>
          <w:szCs w:val="24"/>
          <w:highlight w:val="white"/>
          <w:lang w:val="en-GB"/>
        </w:rPr>
        <w:t xml:space="preserve"> strategies applied by wine companies (</w:t>
      </w:r>
      <w:proofErr w:type="spellStart"/>
      <w:r w:rsidRPr="00B20F2E">
        <w:rPr>
          <w:rFonts w:ascii="Times New Roman" w:eastAsia="Times New Roman" w:hAnsi="Times New Roman" w:cs="Times New Roman"/>
          <w:color w:val="000000" w:themeColor="text1"/>
          <w:sz w:val="24"/>
          <w:szCs w:val="24"/>
          <w:highlight w:val="white"/>
          <w:lang w:val="en-GB"/>
        </w:rPr>
        <w:t>Hanafizadeh</w:t>
      </w:r>
      <w:proofErr w:type="spellEnd"/>
      <w:r w:rsidRPr="00B20F2E">
        <w:rPr>
          <w:rFonts w:ascii="Times New Roman" w:eastAsia="Times New Roman" w:hAnsi="Times New Roman" w:cs="Times New Roman"/>
          <w:color w:val="000000" w:themeColor="text1"/>
          <w:sz w:val="24"/>
          <w:szCs w:val="24"/>
          <w:highlight w:val="white"/>
          <w:lang w:val="en-GB"/>
        </w:rPr>
        <w:t xml:space="preserve"> and </w:t>
      </w:r>
      <w:proofErr w:type="spellStart"/>
      <w:r w:rsidRPr="00B20F2E">
        <w:rPr>
          <w:rFonts w:ascii="Times New Roman" w:eastAsia="Times New Roman" w:hAnsi="Times New Roman" w:cs="Times New Roman"/>
          <w:color w:val="000000" w:themeColor="text1"/>
          <w:sz w:val="24"/>
          <w:szCs w:val="24"/>
          <w:highlight w:val="white"/>
          <w:lang w:val="en-GB"/>
        </w:rPr>
        <w:t>Zareravasan</w:t>
      </w:r>
      <w:proofErr w:type="spellEnd"/>
      <w:r w:rsidRPr="00B20F2E">
        <w:rPr>
          <w:rFonts w:ascii="Times New Roman" w:eastAsia="Times New Roman" w:hAnsi="Times New Roman" w:cs="Times New Roman"/>
          <w:color w:val="000000" w:themeColor="text1"/>
          <w:sz w:val="24"/>
          <w:szCs w:val="24"/>
          <w:highlight w:val="white"/>
          <w:lang w:val="en-GB"/>
        </w:rPr>
        <w:t xml:space="preserve">, 2020). The joint venture is a process of combining with one party or another party for securing the growth of a single enterprise. Even these two companies also become concerned about the risk factors associated with the business. </w:t>
      </w:r>
      <w:r w:rsidRPr="00B20F2E">
        <w:rPr>
          <w:rFonts w:ascii="Times New Roman" w:eastAsia="Times New Roman" w:hAnsi="Times New Roman" w:cs="Times New Roman"/>
          <w:b/>
          <w:i/>
          <w:color w:val="000000" w:themeColor="text1"/>
          <w:sz w:val="24"/>
          <w:szCs w:val="24"/>
          <w:highlight w:val="white"/>
          <w:lang w:val="en-GB"/>
        </w:rPr>
        <w:t>Milton Sandford Wines</w:t>
      </w:r>
      <w:r w:rsidRPr="00B20F2E">
        <w:rPr>
          <w:rFonts w:ascii="Times New Roman" w:eastAsia="Times New Roman" w:hAnsi="Times New Roman" w:cs="Times New Roman"/>
          <w:color w:val="000000" w:themeColor="text1"/>
          <w:sz w:val="24"/>
          <w:szCs w:val="24"/>
          <w:highlight w:val="white"/>
          <w:lang w:val="en-GB"/>
        </w:rPr>
        <w:t xml:space="preserve"> can build a partnership with various other wineries or hotels to ensure the growth of their business (MSW, 2024). There are some top winemakers who have paired with other wineries or powerhouses for the progress of their business. </w:t>
      </w:r>
      <w:r w:rsidRPr="00B20F2E">
        <w:rPr>
          <w:rFonts w:ascii="Times New Roman" w:eastAsia="Times New Roman" w:hAnsi="Times New Roman" w:cs="Times New Roman"/>
          <w:b/>
          <w:i/>
          <w:color w:val="000000" w:themeColor="text1"/>
          <w:sz w:val="24"/>
          <w:szCs w:val="24"/>
          <w:highlight w:val="white"/>
          <w:lang w:val="en-GB"/>
        </w:rPr>
        <w:t>Opus one</w:t>
      </w:r>
      <w:r w:rsidRPr="00B20F2E">
        <w:rPr>
          <w:rFonts w:ascii="Times New Roman" w:eastAsia="Times New Roman" w:hAnsi="Times New Roman" w:cs="Times New Roman"/>
          <w:color w:val="000000" w:themeColor="text1"/>
          <w:sz w:val="24"/>
          <w:szCs w:val="24"/>
          <w:highlight w:val="white"/>
          <w:lang w:val="en-GB"/>
        </w:rPr>
        <w:t xml:space="preserve"> is a famous luxurious wine, it is the result of the joint venture of </w:t>
      </w:r>
      <w:r w:rsidRPr="00B20F2E">
        <w:rPr>
          <w:rFonts w:ascii="Times New Roman" w:eastAsia="Times New Roman" w:hAnsi="Times New Roman" w:cs="Times New Roman"/>
          <w:b/>
          <w:i/>
          <w:color w:val="000000" w:themeColor="text1"/>
          <w:sz w:val="24"/>
          <w:szCs w:val="24"/>
          <w:highlight w:val="white"/>
          <w:lang w:val="en-GB"/>
        </w:rPr>
        <w:t>Mouton Rothschild</w:t>
      </w:r>
      <w:r w:rsidRPr="00B20F2E">
        <w:rPr>
          <w:rFonts w:ascii="Times New Roman" w:eastAsia="Times New Roman" w:hAnsi="Times New Roman" w:cs="Times New Roman"/>
          <w:color w:val="000000" w:themeColor="text1"/>
          <w:sz w:val="24"/>
          <w:szCs w:val="24"/>
          <w:highlight w:val="white"/>
          <w:lang w:val="en-GB"/>
        </w:rPr>
        <w:t xml:space="preserve"> and </w:t>
      </w:r>
      <w:r w:rsidRPr="00B20F2E">
        <w:rPr>
          <w:rFonts w:ascii="Times New Roman" w:eastAsia="Times New Roman" w:hAnsi="Times New Roman" w:cs="Times New Roman"/>
          <w:b/>
          <w:i/>
          <w:color w:val="000000" w:themeColor="text1"/>
          <w:sz w:val="24"/>
          <w:szCs w:val="24"/>
          <w:highlight w:val="white"/>
          <w:lang w:val="en-GB"/>
        </w:rPr>
        <w:t>Robert Mondavi</w:t>
      </w:r>
      <w:r w:rsidRPr="00B20F2E">
        <w:rPr>
          <w:rFonts w:ascii="Times New Roman" w:eastAsia="Times New Roman" w:hAnsi="Times New Roman" w:cs="Times New Roman"/>
          <w:color w:val="000000" w:themeColor="text1"/>
          <w:sz w:val="24"/>
          <w:szCs w:val="24"/>
          <w:highlight w:val="white"/>
          <w:lang w:val="en-GB"/>
        </w:rPr>
        <w:t xml:space="preserve"> (</w:t>
      </w:r>
      <w:proofErr w:type="spellStart"/>
      <w:r w:rsidRPr="00B20F2E">
        <w:rPr>
          <w:rFonts w:ascii="Times New Roman" w:eastAsia="Times New Roman" w:hAnsi="Times New Roman" w:cs="Times New Roman"/>
          <w:color w:val="000000" w:themeColor="text1"/>
          <w:sz w:val="24"/>
          <w:szCs w:val="24"/>
          <w:highlight w:val="white"/>
          <w:lang w:val="en-GB"/>
        </w:rPr>
        <w:t>Cna</w:t>
      </w:r>
      <w:proofErr w:type="spellEnd"/>
      <w:r w:rsidRPr="00B20F2E">
        <w:rPr>
          <w:rFonts w:ascii="Times New Roman" w:eastAsia="Times New Roman" w:hAnsi="Times New Roman" w:cs="Times New Roman"/>
          <w:color w:val="000000" w:themeColor="text1"/>
          <w:sz w:val="24"/>
          <w:szCs w:val="24"/>
          <w:highlight w:val="white"/>
          <w:lang w:val="en-GB"/>
        </w:rPr>
        <w:t xml:space="preserve"> Luxury, 2024). </w:t>
      </w:r>
    </w:p>
    <w:p w14:paraId="6F1D9EAF" w14:textId="1BD1E711"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There are some remarkable benefits associated with the new strategy of joint venture or </w:t>
      </w:r>
      <w:r w:rsidR="00C62B90" w:rsidRPr="00B20F2E">
        <w:rPr>
          <w:rFonts w:ascii="Times New Roman" w:eastAsia="Times New Roman" w:hAnsi="Times New Roman" w:cs="Times New Roman"/>
          <w:color w:val="000000" w:themeColor="text1"/>
          <w:sz w:val="24"/>
          <w:szCs w:val="24"/>
          <w:highlight w:val="white"/>
          <w:lang w:val="en-GB"/>
        </w:rPr>
        <w:t>partnership</w:t>
      </w:r>
      <w:r w:rsidRPr="00B20F2E">
        <w:rPr>
          <w:rFonts w:ascii="Times New Roman" w:eastAsia="Times New Roman" w:hAnsi="Times New Roman" w:cs="Times New Roman"/>
          <w:color w:val="000000" w:themeColor="text1"/>
          <w:sz w:val="24"/>
          <w:szCs w:val="24"/>
          <w:highlight w:val="white"/>
          <w:lang w:val="en-GB"/>
        </w:rPr>
        <w:t xml:space="preserve"> like:</w:t>
      </w:r>
    </w:p>
    <w:p w14:paraId="5E5D8A6C" w14:textId="77777777" w:rsidR="00752566" w:rsidRPr="00B20F2E" w:rsidRDefault="0025127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It enables access in a new market.</w:t>
      </w:r>
    </w:p>
    <w:p w14:paraId="45942BF9" w14:textId="5C4BEFDD" w:rsidR="00752566" w:rsidRPr="00B20F2E" w:rsidRDefault="0025127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Joint venture increases the distribution network of </w:t>
      </w:r>
      <w:r w:rsidR="00C62B90" w:rsidRPr="00B20F2E">
        <w:rPr>
          <w:rFonts w:ascii="Times New Roman" w:eastAsia="Times New Roman" w:hAnsi="Times New Roman" w:cs="Times New Roman"/>
          <w:color w:val="000000" w:themeColor="text1"/>
          <w:sz w:val="24"/>
          <w:szCs w:val="24"/>
          <w:highlight w:val="white"/>
          <w:lang w:val="en-GB"/>
        </w:rPr>
        <w:t>both companies</w:t>
      </w:r>
      <w:r w:rsidRPr="00B20F2E">
        <w:rPr>
          <w:rFonts w:ascii="Times New Roman" w:eastAsia="Times New Roman" w:hAnsi="Times New Roman" w:cs="Times New Roman"/>
          <w:color w:val="000000" w:themeColor="text1"/>
          <w:sz w:val="24"/>
          <w:szCs w:val="24"/>
          <w:highlight w:val="white"/>
          <w:lang w:val="en-GB"/>
        </w:rPr>
        <w:t xml:space="preserve"> (Leonard</w:t>
      </w:r>
      <w:r w:rsidRPr="00B20F2E">
        <w:rPr>
          <w:rFonts w:ascii="Times New Roman" w:eastAsia="Times New Roman" w:hAnsi="Times New Roman" w:cs="Times New Roman"/>
          <w:i/>
          <w:color w:val="000000" w:themeColor="text1"/>
          <w:sz w:val="24"/>
          <w:szCs w:val="24"/>
          <w:highlight w:val="white"/>
          <w:lang w:val="en-GB"/>
        </w:rPr>
        <w:t xml:space="preserve"> et al.,</w:t>
      </w:r>
      <w:r w:rsidRPr="00B20F2E">
        <w:rPr>
          <w:rFonts w:ascii="Times New Roman" w:eastAsia="Times New Roman" w:hAnsi="Times New Roman" w:cs="Times New Roman"/>
          <w:color w:val="000000" w:themeColor="text1"/>
          <w:sz w:val="24"/>
          <w:szCs w:val="24"/>
          <w:highlight w:val="white"/>
          <w:lang w:val="en-GB"/>
        </w:rPr>
        <w:t xml:space="preserve"> 2020).</w:t>
      </w:r>
    </w:p>
    <w:p w14:paraId="6067C805" w14:textId="77777777" w:rsidR="00752566" w:rsidRPr="00B20F2E" w:rsidRDefault="00251277">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This strategy helps to increase the revenue of the business and ensure the profit of the company.</w:t>
      </w:r>
    </w:p>
    <w:p w14:paraId="08715C7C" w14:textId="59DCAF10" w:rsidR="00752566" w:rsidRPr="00B20F2E" w:rsidRDefault="00251277">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B20F2E">
        <w:rPr>
          <w:rFonts w:ascii="Times New Roman" w:eastAsia="Times New Roman" w:hAnsi="Times New Roman" w:cs="Times New Roman"/>
          <w:b/>
          <w:i/>
          <w:color w:val="000000" w:themeColor="text1"/>
          <w:sz w:val="24"/>
          <w:szCs w:val="24"/>
          <w:highlight w:val="white"/>
          <w:lang w:val="en-GB"/>
        </w:rPr>
        <w:t xml:space="preserve">Difference between the current strategy and the new strategic approach and its’ relevance to determine the </w:t>
      </w:r>
      <w:r w:rsidR="00C62B90" w:rsidRPr="00B20F2E">
        <w:rPr>
          <w:rFonts w:ascii="Times New Roman" w:eastAsia="Times New Roman" w:hAnsi="Times New Roman" w:cs="Times New Roman"/>
          <w:b/>
          <w:i/>
          <w:color w:val="000000" w:themeColor="text1"/>
          <w:sz w:val="24"/>
          <w:szCs w:val="24"/>
          <w:highlight w:val="white"/>
          <w:lang w:val="en-GB"/>
        </w:rPr>
        <w:t>long-term</w:t>
      </w:r>
      <w:r w:rsidRPr="00B20F2E">
        <w:rPr>
          <w:rFonts w:ascii="Times New Roman" w:eastAsia="Times New Roman" w:hAnsi="Times New Roman" w:cs="Times New Roman"/>
          <w:b/>
          <w:i/>
          <w:color w:val="000000" w:themeColor="text1"/>
          <w:sz w:val="24"/>
          <w:szCs w:val="24"/>
          <w:highlight w:val="white"/>
          <w:lang w:val="en-GB"/>
        </w:rPr>
        <w:t xml:space="preserve"> </w:t>
      </w:r>
      <w:r w:rsidR="00C62B90" w:rsidRPr="00B20F2E">
        <w:rPr>
          <w:rFonts w:ascii="Times New Roman" w:eastAsia="Times New Roman" w:hAnsi="Times New Roman" w:cs="Times New Roman"/>
          <w:b/>
          <w:i/>
          <w:color w:val="000000" w:themeColor="text1"/>
          <w:sz w:val="24"/>
          <w:szCs w:val="24"/>
          <w:highlight w:val="white"/>
          <w:lang w:val="en-GB"/>
        </w:rPr>
        <w:t>goal.</w:t>
      </w:r>
    </w:p>
    <w:p w14:paraId="7FF5AD67" w14:textId="7CD7B0FD"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From the organisation’s perspective it is </w:t>
      </w:r>
      <w:r w:rsidR="00B20F2E" w:rsidRPr="00B20F2E">
        <w:rPr>
          <w:rFonts w:ascii="Times New Roman" w:eastAsia="Times New Roman" w:hAnsi="Times New Roman" w:cs="Times New Roman"/>
          <w:color w:val="000000" w:themeColor="text1"/>
          <w:sz w:val="24"/>
          <w:szCs w:val="24"/>
          <w:highlight w:val="white"/>
          <w:lang w:val="en-GB"/>
        </w:rPr>
        <w:t>identified that</w:t>
      </w:r>
      <w:r w:rsidRPr="00B20F2E">
        <w:rPr>
          <w:rFonts w:ascii="Times New Roman" w:eastAsia="Times New Roman" w:hAnsi="Times New Roman" w:cs="Times New Roman"/>
          <w:color w:val="000000" w:themeColor="text1"/>
          <w:sz w:val="24"/>
          <w:szCs w:val="24"/>
          <w:highlight w:val="white"/>
          <w:lang w:val="en-GB"/>
        </w:rPr>
        <w:t xml:space="preserve"> co-operating and setting strategic alliance between different firms help to increase the accessibility in different markets, reduces the cost of the products, implements several technological </w:t>
      </w:r>
      <w:r w:rsidR="00C62B90" w:rsidRPr="00B20F2E">
        <w:rPr>
          <w:rFonts w:ascii="Times New Roman" w:eastAsia="Times New Roman" w:hAnsi="Times New Roman" w:cs="Times New Roman"/>
          <w:color w:val="000000" w:themeColor="text1"/>
          <w:sz w:val="24"/>
          <w:szCs w:val="24"/>
          <w:highlight w:val="white"/>
          <w:lang w:val="en-GB"/>
        </w:rPr>
        <w:t>innovations,</w:t>
      </w:r>
      <w:r w:rsidRPr="00B20F2E">
        <w:rPr>
          <w:rFonts w:ascii="Times New Roman" w:eastAsia="Times New Roman" w:hAnsi="Times New Roman" w:cs="Times New Roman"/>
          <w:color w:val="000000" w:themeColor="text1"/>
          <w:sz w:val="24"/>
          <w:szCs w:val="24"/>
          <w:highlight w:val="white"/>
          <w:lang w:val="en-GB"/>
        </w:rPr>
        <w:t xml:space="preserve"> and collaborates with different external </w:t>
      </w:r>
      <w:r w:rsidR="00C62B90" w:rsidRPr="00B20F2E">
        <w:rPr>
          <w:rFonts w:ascii="Times New Roman" w:eastAsia="Times New Roman" w:hAnsi="Times New Roman" w:cs="Times New Roman"/>
          <w:color w:val="000000" w:themeColor="text1"/>
          <w:sz w:val="24"/>
          <w:szCs w:val="24"/>
          <w:highlight w:val="white"/>
          <w:lang w:val="en-GB"/>
        </w:rPr>
        <w:t>expertise</w:t>
      </w:r>
      <w:r w:rsidRPr="00B20F2E">
        <w:rPr>
          <w:rFonts w:ascii="Times New Roman" w:eastAsia="Times New Roman" w:hAnsi="Times New Roman" w:cs="Times New Roman"/>
          <w:color w:val="000000" w:themeColor="text1"/>
          <w:sz w:val="24"/>
          <w:szCs w:val="24"/>
          <w:highlight w:val="white"/>
          <w:lang w:val="en-GB"/>
        </w:rPr>
        <w:t xml:space="preserve">. Outsourcing and joint venture both are two effective methods of strategic alliance between several </w:t>
      </w:r>
      <w:r w:rsidR="00C62B90" w:rsidRPr="00B20F2E">
        <w:rPr>
          <w:rFonts w:ascii="Times New Roman" w:eastAsia="Times New Roman" w:hAnsi="Times New Roman" w:cs="Times New Roman"/>
          <w:color w:val="000000" w:themeColor="text1"/>
          <w:sz w:val="24"/>
          <w:szCs w:val="24"/>
          <w:highlight w:val="white"/>
          <w:lang w:val="en-GB"/>
        </w:rPr>
        <w:t>organisations,</w:t>
      </w:r>
      <w:r w:rsidRPr="00B20F2E">
        <w:rPr>
          <w:rFonts w:ascii="Times New Roman" w:eastAsia="Times New Roman" w:hAnsi="Times New Roman" w:cs="Times New Roman"/>
          <w:color w:val="000000" w:themeColor="text1"/>
          <w:sz w:val="24"/>
          <w:szCs w:val="24"/>
          <w:highlight w:val="white"/>
          <w:lang w:val="en-GB"/>
        </w:rPr>
        <w:t xml:space="preserve"> but outsourcing is a </w:t>
      </w:r>
      <w:r w:rsidRPr="00B20F2E">
        <w:rPr>
          <w:rFonts w:ascii="Times New Roman" w:eastAsia="Times New Roman" w:hAnsi="Times New Roman" w:cs="Times New Roman"/>
          <w:color w:val="000000" w:themeColor="text1"/>
          <w:sz w:val="24"/>
          <w:szCs w:val="24"/>
          <w:highlight w:val="white"/>
          <w:lang w:val="en-GB"/>
        </w:rPr>
        <w:lastRenderedPageBreak/>
        <w:t xml:space="preserve">more conventional approach as the vendor completely gets dependent on the second party (Sadegh </w:t>
      </w:r>
      <w:r w:rsidRPr="00B20F2E">
        <w:rPr>
          <w:rFonts w:ascii="Times New Roman" w:eastAsia="Times New Roman" w:hAnsi="Times New Roman" w:cs="Times New Roman"/>
          <w:i/>
          <w:color w:val="000000" w:themeColor="text1"/>
          <w:sz w:val="24"/>
          <w:szCs w:val="24"/>
          <w:highlight w:val="white"/>
          <w:lang w:val="en-GB"/>
        </w:rPr>
        <w:t>et al.,</w:t>
      </w:r>
      <w:r w:rsidRPr="00B20F2E">
        <w:rPr>
          <w:rFonts w:ascii="Times New Roman" w:eastAsia="Times New Roman" w:hAnsi="Times New Roman" w:cs="Times New Roman"/>
          <w:color w:val="000000" w:themeColor="text1"/>
          <w:sz w:val="24"/>
          <w:szCs w:val="24"/>
          <w:highlight w:val="white"/>
          <w:lang w:val="en-GB"/>
        </w:rPr>
        <w:t xml:space="preserve"> 2020). The collection of the resources and delivery of the products both are dependent on the business process of another company. Outsourcing system causes communication barriers between two companies and results in the disruption of the supply chain (Charles and Ochieng, 2023). Outsourcing practices include the problem of </w:t>
      </w:r>
      <w:r w:rsidRPr="00B20F2E">
        <w:rPr>
          <w:rFonts w:ascii="Times New Roman" w:eastAsia="Times New Roman" w:hAnsi="Times New Roman" w:cs="Times New Roman"/>
          <w:b/>
          <w:i/>
          <w:color w:val="000000" w:themeColor="text1"/>
          <w:sz w:val="24"/>
          <w:szCs w:val="24"/>
          <w:highlight w:val="white"/>
          <w:lang w:val="en-GB"/>
        </w:rPr>
        <w:t xml:space="preserve">climate changes </w:t>
      </w:r>
      <w:r w:rsidRPr="00B20F2E">
        <w:rPr>
          <w:rFonts w:ascii="Times New Roman" w:eastAsia="Times New Roman" w:hAnsi="Times New Roman" w:cs="Times New Roman"/>
          <w:color w:val="000000" w:themeColor="text1"/>
          <w:sz w:val="24"/>
          <w:szCs w:val="24"/>
          <w:highlight w:val="white"/>
          <w:lang w:val="en-GB"/>
        </w:rPr>
        <w:t xml:space="preserve">and </w:t>
      </w:r>
      <w:r w:rsidRPr="00B20F2E">
        <w:rPr>
          <w:rFonts w:ascii="Times New Roman" w:eastAsia="Times New Roman" w:hAnsi="Times New Roman" w:cs="Times New Roman"/>
          <w:b/>
          <w:i/>
          <w:color w:val="000000" w:themeColor="text1"/>
          <w:sz w:val="24"/>
          <w:szCs w:val="24"/>
          <w:highlight w:val="white"/>
          <w:lang w:val="en-GB"/>
        </w:rPr>
        <w:t xml:space="preserve">labour shortages </w:t>
      </w:r>
      <w:r w:rsidRPr="00B20F2E">
        <w:rPr>
          <w:rFonts w:ascii="Times New Roman" w:eastAsia="Times New Roman" w:hAnsi="Times New Roman" w:cs="Times New Roman"/>
          <w:color w:val="000000" w:themeColor="text1"/>
          <w:sz w:val="24"/>
          <w:szCs w:val="24"/>
          <w:highlight w:val="white"/>
          <w:lang w:val="en-GB"/>
        </w:rPr>
        <w:t>in different areas (</w:t>
      </w:r>
      <w:proofErr w:type="spellStart"/>
      <w:r w:rsidRPr="00B20F2E">
        <w:rPr>
          <w:rFonts w:ascii="Times New Roman" w:eastAsia="Times New Roman" w:hAnsi="Times New Roman" w:cs="Times New Roman"/>
          <w:color w:val="000000" w:themeColor="text1"/>
          <w:sz w:val="24"/>
          <w:szCs w:val="24"/>
          <w:highlight w:val="white"/>
          <w:lang w:val="en-GB"/>
        </w:rPr>
        <w:t>Wineeconomist</w:t>
      </w:r>
      <w:proofErr w:type="spellEnd"/>
      <w:r w:rsidRPr="00B20F2E">
        <w:rPr>
          <w:rFonts w:ascii="Times New Roman" w:eastAsia="Times New Roman" w:hAnsi="Times New Roman" w:cs="Times New Roman"/>
          <w:color w:val="000000" w:themeColor="text1"/>
          <w:sz w:val="24"/>
          <w:szCs w:val="24"/>
          <w:highlight w:val="white"/>
          <w:lang w:val="en-GB"/>
        </w:rPr>
        <w:t>, 2024). Outsourcing the resources and delivering the products to various places depends on the climate and weather features of a particular area (</w:t>
      </w:r>
      <w:proofErr w:type="spellStart"/>
      <w:r w:rsidRPr="00B20F2E">
        <w:rPr>
          <w:rFonts w:ascii="Times New Roman" w:eastAsia="Times New Roman" w:hAnsi="Times New Roman" w:cs="Times New Roman"/>
          <w:color w:val="000000" w:themeColor="text1"/>
          <w:sz w:val="24"/>
          <w:szCs w:val="24"/>
          <w:highlight w:val="white"/>
          <w:lang w:val="en-GB"/>
        </w:rPr>
        <w:t>Wineeconomist</w:t>
      </w:r>
      <w:proofErr w:type="spellEnd"/>
      <w:r w:rsidRPr="00B20F2E">
        <w:rPr>
          <w:rFonts w:ascii="Times New Roman" w:eastAsia="Times New Roman" w:hAnsi="Times New Roman" w:cs="Times New Roman"/>
          <w:color w:val="000000" w:themeColor="text1"/>
          <w:sz w:val="24"/>
          <w:szCs w:val="24"/>
          <w:highlight w:val="white"/>
          <w:lang w:val="en-GB"/>
        </w:rPr>
        <w:t xml:space="preserve">, 2024). The environmental factors and climate changes are affecting the collection of the resources and production of wine of the </w:t>
      </w:r>
      <w:r w:rsidR="00C62B90" w:rsidRPr="00B20F2E">
        <w:rPr>
          <w:rFonts w:ascii="Times New Roman" w:eastAsia="Times New Roman" w:hAnsi="Times New Roman" w:cs="Times New Roman"/>
          <w:color w:val="000000" w:themeColor="text1"/>
          <w:sz w:val="24"/>
          <w:szCs w:val="24"/>
          <w:highlight w:val="white"/>
          <w:lang w:val="en-GB"/>
        </w:rPr>
        <w:t>company</w:t>
      </w:r>
      <w:r w:rsidRPr="00B20F2E">
        <w:rPr>
          <w:rFonts w:ascii="Times New Roman" w:eastAsia="Times New Roman" w:hAnsi="Times New Roman" w:cs="Times New Roman"/>
          <w:color w:val="000000" w:themeColor="text1"/>
          <w:sz w:val="24"/>
          <w:szCs w:val="24"/>
          <w:highlight w:val="white"/>
          <w:lang w:val="en-GB"/>
        </w:rPr>
        <w:t xml:space="preserve">. MSW has also been found to suffer from this </w:t>
      </w:r>
      <w:r w:rsidR="00C62B90" w:rsidRPr="00B20F2E">
        <w:rPr>
          <w:rFonts w:ascii="Times New Roman" w:eastAsia="Times New Roman" w:hAnsi="Times New Roman" w:cs="Times New Roman"/>
          <w:color w:val="000000" w:themeColor="text1"/>
          <w:sz w:val="24"/>
          <w:szCs w:val="24"/>
          <w:highlight w:val="white"/>
          <w:lang w:val="en-GB"/>
        </w:rPr>
        <w:t>problem</w:t>
      </w:r>
      <w:r w:rsidRPr="00B20F2E">
        <w:rPr>
          <w:rFonts w:ascii="Times New Roman" w:eastAsia="Times New Roman" w:hAnsi="Times New Roman" w:cs="Times New Roman"/>
          <w:color w:val="000000" w:themeColor="text1"/>
          <w:sz w:val="24"/>
          <w:szCs w:val="24"/>
          <w:highlight w:val="white"/>
          <w:lang w:val="en-GB"/>
        </w:rPr>
        <w:t xml:space="preserve">. Compared to outsourcing, joint venture is a more beneficial strategic approach as it enhances the collaborative relationship between two parties and </w:t>
      </w:r>
      <w:r w:rsidR="00C62B90" w:rsidRPr="00B20F2E">
        <w:rPr>
          <w:rFonts w:ascii="Times New Roman" w:eastAsia="Times New Roman" w:hAnsi="Times New Roman" w:cs="Times New Roman"/>
          <w:color w:val="000000" w:themeColor="text1"/>
          <w:sz w:val="24"/>
          <w:szCs w:val="24"/>
          <w:highlight w:val="white"/>
          <w:lang w:val="en-GB"/>
        </w:rPr>
        <w:t>both</w:t>
      </w:r>
      <w:r w:rsidRPr="00B20F2E">
        <w:rPr>
          <w:rFonts w:ascii="Times New Roman" w:eastAsia="Times New Roman" w:hAnsi="Times New Roman" w:cs="Times New Roman"/>
          <w:color w:val="000000" w:themeColor="text1"/>
          <w:sz w:val="24"/>
          <w:szCs w:val="24"/>
          <w:highlight w:val="white"/>
          <w:lang w:val="en-GB"/>
        </w:rPr>
        <w:t xml:space="preserve"> become concerned about the profit of a single enterprise. MSW uses the strategic alliance of outsourcing the product to various pubs and hotels, the company for ensuring a </w:t>
      </w:r>
      <w:r w:rsidR="00C62B90" w:rsidRPr="00B20F2E">
        <w:rPr>
          <w:rFonts w:ascii="Times New Roman" w:eastAsia="Times New Roman" w:hAnsi="Times New Roman" w:cs="Times New Roman"/>
          <w:color w:val="000000" w:themeColor="text1"/>
          <w:sz w:val="24"/>
          <w:szCs w:val="24"/>
          <w:highlight w:val="white"/>
          <w:lang w:val="en-GB"/>
        </w:rPr>
        <w:t>long-term</w:t>
      </w:r>
      <w:r w:rsidRPr="00B20F2E">
        <w:rPr>
          <w:rFonts w:ascii="Times New Roman" w:eastAsia="Times New Roman" w:hAnsi="Times New Roman" w:cs="Times New Roman"/>
          <w:color w:val="000000" w:themeColor="text1"/>
          <w:sz w:val="24"/>
          <w:szCs w:val="24"/>
          <w:highlight w:val="white"/>
          <w:lang w:val="en-GB"/>
        </w:rPr>
        <w:t xml:space="preserve"> goal can also implement the strategy of joint venture. Making alliances with different wineries and powerhouses will help the company to ensure its productivity and performances in the global market.</w:t>
      </w:r>
    </w:p>
    <w:p w14:paraId="0F0A36A4" w14:textId="2066681C" w:rsidR="00752566" w:rsidRPr="00B20F2E" w:rsidRDefault="00C62B9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To</w:t>
      </w:r>
      <w:r w:rsidR="00251277" w:rsidRPr="00B20F2E">
        <w:rPr>
          <w:rFonts w:ascii="Times New Roman" w:eastAsia="Times New Roman" w:hAnsi="Times New Roman" w:cs="Times New Roman"/>
          <w:color w:val="000000" w:themeColor="text1"/>
          <w:sz w:val="24"/>
          <w:szCs w:val="24"/>
          <w:highlight w:val="white"/>
          <w:lang w:val="en-GB"/>
        </w:rPr>
        <w:t xml:space="preserve"> determine this new </w:t>
      </w:r>
      <w:r w:rsidRPr="00B20F2E">
        <w:rPr>
          <w:rFonts w:ascii="Times New Roman" w:eastAsia="Times New Roman" w:hAnsi="Times New Roman" w:cs="Times New Roman"/>
          <w:color w:val="000000" w:themeColor="text1"/>
          <w:sz w:val="24"/>
          <w:szCs w:val="24"/>
          <w:highlight w:val="white"/>
          <w:lang w:val="en-GB"/>
        </w:rPr>
        <w:t>strategy,</w:t>
      </w:r>
      <w:r w:rsidR="00251277" w:rsidRPr="00B20F2E">
        <w:rPr>
          <w:rFonts w:ascii="Times New Roman" w:eastAsia="Times New Roman" w:hAnsi="Times New Roman" w:cs="Times New Roman"/>
          <w:color w:val="000000" w:themeColor="text1"/>
          <w:sz w:val="24"/>
          <w:szCs w:val="24"/>
          <w:highlight w:val="white"/>
          <w:lang w:val="en-GB"/>
        </w:rPr>
        <w:t xml:space="preserve"> the leadership management of the company is required to be more efficient and for that reason the </w:t>
      </w:r>
      <w:r w:rsidRPr="00B20F2E">
        <w:rPr>
          <w:rFonts w:ascii="Times New Roman" w:eastAsia="Times New Roman" w:hAnsi="Times New Roman" w:cs="Times New Roman"/>
          <w:b/>
          <w:i/>
          <w:color w:val="000000" w:themeColor="text1"/>
          <w:sz w:val="24"/>
          <w:szCs w:val="24"/>
          <w:highlight w:val="white"/>
          <w:lang w:val="en-GB"/>
        </w:rPr>
        <w:t>Visionary Leadership</w:t>
      </w:r>
      <w:r w:rsidR="00251277" w:rsidRPr="00B20F2E">
        <w:rPr>
          <w:rFonts w:ascii="Times New Roman" w:eastAsia="Times New Roman" w:hAnsi="Times New Roman" w:cs="Times New Roman"/>
          <w:color w:val="000000" w:themeColor="text1"/>
          <w:sz w:val="24"/>
          <w:szCs w:val="24"/>
          <w:highlight w:val="white"/>
          <w:lang w:val="en-GB"/>
        </w:rPr>
        <w:t xml:space="preserve"> strategy can be implemented. Visionary leadership is a collaborative approach that supports the management of the company to build a strong relationship with the stakeholders and the employees to determine the new strategy. In this specific approach the management of a company describes all their </w:t>
      </w:r>
      <w:r w:rsidRPr="00B20F2E">
        <w:rPr>
          <w:rFonts w:ascii="Times New Roman" w:eastAsia="Times New Roman" w:hAnsi="Times New Roman" w:cs="Times New Roman"/>
          <w:color w:val="000000" w:themeColor="text1"/>
          <w:sz w:val="24"/>
          <w:szCs w:val="24"/>
          <w:highlight w:val="white"/>
          <w:lang w:val="en-GB"/>
        </w:rPr>
        <w:t>long-term</w:t>
      </w:r>
      <w:r w:rsidR="00251277" w:rsidRPr="00B20F2E">
        <w:rPr>
          <w:rFonts w:ascii="Times New Roman" w:eastAsia="Times New Roman" w:hAnsi="Times New Roman" w:cs="Times New Roman"/>
          <w:color w:val="000000" w:themeColor="text1"/>
          <w:sz w:val="24"/>
          <w:szCs w:val="24"/>
          <w:highlight w:val="white"/>
          <w:lang w:val="en-GB"/>
        </w:rPr>
        <w:t xml:space="preserve"> objectives to the stakeholders and workers and motivates them to ensure those goals effectively.</w:t>
      </w:r>
    </w:p>
    <w:p w14:paraId="15DEEC8D" w14:textId="32FCEA65" w:rsidR="00240172" w:rsidRPr="00B20F2E" w:rsidRDefault="00240172" w:rsidP="0097565E">
      <w:pPr>
        <w:pStyle w:val="Heading2"/>
        <w:rPr>
          <w:lang w:val="en-GB"/>
        </w:rPr>
      </w:pPr>
      <w:bookmarkStart w:id="7" w:name="_Toc157274723"/>
      <w:r w:rsidRPr="00B20F2E">
        <w:rPr>
          <w:lang w:val="en-GB"/>
        </w:rPr>
        <w:t xml:space="preserve">Key strategic recommendations to mitigate the issues during the implementation of new strategic </w:t>
      </w:r>
      <w:bookmarkEnd w:id="7"/>
      <w:r w:rsidR="00C62B90" w:rsidRPr="00B20F2E">
        <w:rPr>
          <w:lang w:val="en-GB"/>
        </w:rPr>
        <w:t>approaches.</w:t>
      </w:r>
    </w:p>
    <w:p w14:paraId="24258ED4" w14:textId="1A955002" w:rsidR="00240172" w:rsidRPr="00B20F2E" w:rsidRDefault="00240172" w:rsidP="00240172">
      <w:pPr>
        <w:pStyle w:val="Normal2"/>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Strategic recommendations provide business organisations with directions, improving operation efficiency and helping with the resource management process. The different business organisations use strategic approaches to mitigate the current issues of the company and create </w:t>
      </w:r>
      <w:r w:rsidR="00C62B90" w:rsidRPr="00B20F2E">
        <w:rPr>
          <w:rFonts w:ascii="Times New Roman" w:eastAsia="Times New Roman" w:hAnsi="Times New Roman" w:cs="Times New Roman"/>
          <w:color w:val="000000" w:themeColor="text1"/>
          <w:sz w:val="24"/>
          <w:szCs w:val="24"/>
          <w:lang w:val="en-GB"/>
        </w:rPr>
        <w:t>a plan</w:t>
      </w:r>
      <w:r w:rsidRPr="00B20F2E">
        <w:rPr>
          <w:rFonts w:ascii="Times New Roman" w:eastAsia="Times New Roman" w:hAnsi="Times New Roman" w:cs="Times New Roman"/>
          <w:color w:val="000000" w:themeColor="text1"/>
          <w:sz w:val="24"/>
          <w:szCs w:val="24"/>
          <w:lang w:val="en-GB"/>
        </w:rPr>
        <w:t xml:space="preserve"> to achieve success in the business industry. Milton Sandford Wines Ltd. Company is mainly focused on outsourcing strategies and approaches to expand the business in the market and acquire customers. During the outsourcing process, the company has faced issues due to cultural barriers and labour shortage issues which are creating problems for the </w:t>
      </w:r>
      <w:r w:rsidRPr="00B20F2E">
        <w:rPr>
          <w:rFonts w:ascii="Times New Roman" w:eastAsia="Times New Roman" w:hAnsi="Times New Roman" w:cs="Times New Roman"/>
          <w:color w:val="000000" w:themeColor="text1"/>
          <w:sz w:val="24"/>
          <w:szCs w:val="24"/>
          <w:lang w:val="en-GB"/>
        </w:rPr>
        <w:lastRenderedPageBreak/>
        <w:t>company in maintaining its activities within the supply chain of the company. To minimise the risks of this strategy, this wine boutique MSW can utilise a joint venture strategic approach to deliver a luxurious experience to the customers through the unique and exclusive products of the company. While implementing a joint venturing strategy, changes in the external business environment of the UK, Legal factors and the dominant culture of the company can create problems for the business firm. The following recommendations can help MSW resolve the challenges of strategy implementation and will support the development of the company:</w:t>
      </w:r>
    </w:p>
    <w:p w14:paraId="4FE517EF" w14:textId="21C323E4" w:rsidR="00240172" w:rsidRPr="00B20F2E" w:rsidRDefault="00240172" w:rsidP="00240172">
      <w:pPr>
        <w:pStyle w:val="Normal2"/>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It is very important for business organisations to have mutual understanding, </w:t>
      </w:r>
      <w:r w:rsidR="00C62B90" w:rsidRPr="00B20F2E">
        <w:rPr>
          <w:rFonts w:ascii="Times New Roman" w:eastAsia="Times New Roman" w:hAnsi="Times New Roman" w:cs="Times New Roman"/>
          <w:color w:val="000000" w:themeColor="text1"/>
          <w:sz w:val="24"/>
          <w:szCs w:val="24"/>
          <w:lang w:val="en-GB"/>
        </w:rPr>
        <w:t>values,</w:t>
      </w:r>
      <w:r w:rsidRPr="00B20F2E">
        <w:rPr>
          <w:rFonts w:ascii="Times New Roman" w:eastAsia="Times New Roman" w:hAnsi="Times New Roman" w:cs="Times New Roman"/>
          <w:color w:val="000000" w:themeColor="text1"/>
          <w:sz w:val="24"/>
          <w:szCs w:val="24"/>
          <w:lang w:val="en-GB"/>
        </w:rPr>
        <w:t xml:space="preserve"> and beliefs during the joint venture process to make the partnership effective because this is important for fulfilling the needs of each other partners (Kwok </w:t>
      </w:r>
      <w:r w:rsidRPr="00B20F2E">
        <w:rPr>
          <w:rFonts w:ascii="Times New Roman" w:eastAsia="Times New Roman" w:hAnsi="Times New Roman" w:cs="Times New Roman"/>
          <w:i/>
          <w:color w:val="000000" w:themeColor="text1"/>
          <w:sz w:val="24"/>
          <w:szCs w:val="24"/>
          <w:lang w:val="en-GB"/>
        </w:rPr>
        <w:t xml:space="preserve">et al., </w:t>
      </w:r>
      <w:r w:rsidRPr="00B20F2E">
        <w:rPr>
          <w:rFonts w:ascii="Times New Roman" w:eastAsia="Times New Roman" w:hAnsi="Times New Roman" w:cs="Times New Roman"/>
          <w:color w:val="000000" w:themeColor="text1"/>
          <w:sz w:val="24"/>
          <w:szCs w:val="24"/>
          <w:lang w:val="en-GB"/>
        </w:rPr>
        <w:t xml:space="preserve">2019). Regular monitoring and involving the employees in the decision-making process can help to understand the culture of </w:t>
      </w:r>
      <w:r w:rsidR="00C62B90" w:rsidRPr="00B20F2E">
        <w:rPr>
          <w:rFonts w:ascii="Times New Roman" w:eastAsia="Times New Roman" w:hAnsi="Times New Roman" w:cs="Times New Roman"/>
          <w:color w:val="000000" w:themeColor="text1"/>
          <w:sz w:val="24"/>
          <w:szCs w:val="24"/>
          <w:lang w:val="en-GB"/>
        </w:rPr>
        <w:t>both companies</w:t>
      </w:r>
      <w:r w:rsidRPr="00B20F2E">
        <w:rPr>
          <w:rFonts w:ascii="Times New Roman" w:eastAsia="Times New Roman" w:hAnsi="Times New Roman" w:cs="Times New Roman"/>
          <w:color w:val="000000" w:themeColor="text1"/>
          <w:sz w:val="24"/>
          <w:szCs w:val="24"/>
          <w:lang w:val="en-GB"/>
        </w:rPr>
        <w:t xml:space="preserve"> and will help to make the collaboration successful.  </w:t>
      </w:r>
    </w:p>
    <w:p w14:paraId="22D3F927" w14:textId="77777777" w:rsidR="00240172" w:rsidRPr="00B20F2E" w:rsidRDefault="00240172" w:rsidP="00240172">
      <w:pPr>
        <w:pStyle w:val="Normal2"/>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employees of MSW have very limited power within the company because the manager is dominant over the employees and makes the final decisions which limits creativity among the members. A collaborative culture helps reduce resistance among the employees during the implementation of a new strategic approach and will support the growth of the company (Manca </w:t>
      </w:r>
      <w:r w:rsidRPr="00B20F2E">
        <w:rPr>
          <w:rFonts w:ascii="Times New Roman" w:eastAsia="Times New Roman" w:hAnsi="Times New Roman" w:cs="Times New Roman"/>
          <w:i/>
          <w:color w:val="000000" w:themeColor="text1"/>
          <w:sz w:val="24"/>
          <w:szCs w:val="24"/>
          <w:lang w:val="en-GB"/>
        </w:rPr>
        <w:t xml:space="preserve">et al., </w:t>
      </w:r>
      <w:r w:rsidRPr="00B20F2E">
        <w:rPr>
          <w:rFonts w:ascii="Times New Roman" w:eastAsia="Times New Roman" w:hAnsi="Times New Roman" w:cs="Times New Roman"/>
          <w:color w:val="000000" w:themeColor="text1"/>
          <w:sz w:val="24"/>
          <w:szCs w:val="24"/>
          <w:lang w:val="en-GB"/>
        </w:rPr>
        <w:t xml:space="preserve">2018).  </w:t>
      </w:r>
    </w:p>
    <w:p w14:paraId="390A1207" w14:textId="23623D81" w:rsidR="00240172" w:rsidRPr="00B20F2E" w:rsidRDefault="00240172" w:rsidP="00240172">
      <w:pPr>
        <w:pStyle w:val="Normal2"/>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Cultural differences between the involved business firms are one of the main issues during implementing a joint venture approach within the company because adopting the culture of each other company is already a time-consuming process. For example, Time and Warner's joint venturing process was not effective for </w:t>
      </w:r>
      <w:r w:rsidR="00C62B90" w:rsidRPr="00B20F2E">
        <w:rPr>
          <w:rFonts w:ascii="Times New Roman" w:eastAsia="Times New Roman" w:hAnsi="Times New Roman" w:cs="Times New Roman"/>
          <w:color w:val="000000" w:themeColor="text1"/>
          <w:sz w:val="24"/>
          <w:szCs w:val="24"/>
          <w:lang w:val="en-GB"/>
        </w:rPr>
        <w:t>both companies</w:t>
      </w:r>
      <w:r w:rsidRPr="00B20F2E">
        <w:rPr>
          <w:rFonts w:ascii="Times New Roman" w:eastAsia="Times New Roman" w:hAnsi="Times New Roman" w:cs="Times New Roman"/>
          <w:color w:val="000000" w:themeColor="text1"/>
          <w:sz w:val="24"/>
          <w:szCs w:val="24"/>
          <w:lang w:val="en-GB"/>
        </w:rPr>
        <w:t xml:space="preserve"> due to the huge cultural barriers between them (The New York Times, 2022.). The introduction of the diverse cultural training programme in both companies can help the authorities and the employees to understand each other and will help to make the process very simple. </w:t>
      </w:r>
    </w:p>
    <w:p w14:paraId="52626D9C" w14:textId="78DCA9A7" w:rsidR="00240172" w:rsidRPr="00B20F2E" w:rsidRDefault="00240172" w:rsidP="00240172">
      <w:pPr>
        <w:pStyle w:val="Normal2"/>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MSW's main business is based on the luxurious quality of wine which helps the company with the business expansion process (MSW, 2024). Along with </w:t>
      </w:r>
      <w:r w:rsidR="00C62B90" w:rsidRPr="00B20F2E">
        <w:rPr>
          <w:rFonts w:ascii="Times New Roman" w:eastAsia="Times New Roman" w:hAnsi="Times New Roman" w:cs="Times New Roman"/>
          <w:color w:val="000000" w:themeColor="text1"/>
          <w:sz w:val="24"/>
          <w:szCs w:val="24"/>
          <w:lang w:val="en-GB"/>
        </w:rPr>
        <w:t>those changes</w:t>
      </w:r>
      <w:r w:rsidRPr="00B20F2E">
        <w:rPr>
          <w:rFonts w:ascii="Times New Roman" w:eastAsia="Times New Roman" w:hAnsi="Times New Roman" w:cs="Times New Roman"/>
          <w:color w:val="000000" w:themeColor="text1"/>
          <w:sz w:val="24"/>
          <w:szCs w:val="24"/>
          <w:lang w:val="en-GB"/>
        </w:rPr>
        <w:t xml:space="preserve"> in the climate due to global warming affecting vineyards and the quality of grapes which is affecting the quality of wine (The World of Fine Wine, 2023). This factor can affect the overall business aspects of MSW and </w:t>
      </w:r>
      <w:r w:rsidR="00C62B90" w:rsidRPr="00B20F2E">
        <w:rPr>
          <w:rFonts w:ascii="Times New Roman" w:eastAsia="Times New Roman" w:hAnsi="Times New Roman" w:cs="Times New Roman"/>
          <w:color w:val="000000" w:themeColor="text1"/>
          <w:sz w:val="24"/>
          <w:szCs w:val="24"/>
          <w:lang w:val="en-GB"/>
        </w:rPr>
        <w:t>to</w:t>
      </w:r>
      <w:r w:rsidRPr="00B20F2E">
        <w:rPr>
          <w:rFonts w:ascii="Times New Roman" w:eastAsia="Times New Roman" w:hAnsi="Times New Roman" w:cs="Times New Roman"/>
          <w:color w:val="000000" w:themeColor="text1"/>
          <w:sz w:val="24"/>
          <w:szCs w:val="24"/>
          <w:lang w:val="en-GB"/>
        </w:rPr>
        <w:t xml:space="preserve"> reduce the chances of these risks the company can make collaboration for sourcing the raw materials for the company and maintain the quality of products.  </w:t>
      </w:r>
    </w:p>
    <w:p w14:paraId="2513D60F" w14:textId="77777777" w:rsidR="00752566" w:rsidRPr="00B20F2E" w:rsidRDefault="00251277" w:rsidP="00EE0F1F">
      <w:pPr>
        <w:pStyle w:val="Heading2"/>
        <w:rPr>
          <w:lang w:val="en-GB"/>
        </w:rPr>
      </w:pPr>
      <w:bookmarkStart w:id="8" w:name="_Toc157274724"/>
      <w:r w:rsidRPr="00B20F2E">
        <w:rPr>
          <w:lang w:val="en-GB"/>
        </w:rPr>
        <w:lastRenderedPageBreak/>
        <w:t>Conclusion</w:t>
      </w:r>
      <w:bookmarkEnd w:id="8"/>
    </w:p>
    <w:p w14:paraId="0507D5DE" w14:textId="62F79B80" w:rsidR="00752566" w:rsidRPr="00B20F2E" w:rsidRDefault="00251277">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From the overall analysis of the study, it is identified that the leadership management of the wine making SME named Milton Sandford Wines Ltd. is very strong to adapt a new strategic decision. The company has 51 employees and a strong and efficient management to guide them. The organisation is currently in practice of the outsourcing operational strategy, due to the issues of communication and cooperation the SME can implement the effective strategy of Joint venture and visionary leadership in their business process. The impact of the external and internal environment </w:t>
      </w:r>
      <w:r w:rsidR="00C62B90" w:rsidRPr="00B20F2E">
        <w:rPr>
          <w:rFonts w:ascii="Times New Roman" w:eastAsia="Times New Roman" w:hAnsi="Times New Roman" w:cs="Times New Roman"/>
          <w:color w:val="000000" w:themeColor="text1"/>
          <w:sz w:val="24"/>
          <w:szCs w:val="24"/>
          <w:lang w:val="en-GB"/>
        </w:rPr>
        <w:t>has</w:t>
      </w:r>
      <w:r w:rsidRPr="00B20F2E">
        <w:rPr>
          <w:rFonts w:ascii="Times New Roman" w:eastAsia="Times New Roman" w:hAnsi="Times New Roman" w:cs="Times New Roman"/>
          <w:color w:val="000000" w:themeColor="text1"/>
          <w:sz w:val="24"/>
          <w:szCs w:val="24"/>
          <w:lang w:val="en-GB"/>
        </w:rPr>
        <w:t xml:space="preserve"> been analysed in the study and it is found that the social, </w:t>
      </w:r>
      <w:proofErr w:type="gramStart"/>
      <w:r w:rsidRPr="00B20F2E">
        <w:rPr>
          <w:rFonts w:ascii="Times New Roman" w:eastAsia="Times New Roman" w:hAnsi="Times New Roman" w:cs="Times New Roman"/>
          <w:color w:val="000000" w:themeColor="text1"/>
          <w:sz w:val="24"/>
          <w:szCs w:val="24"/>
          <w:lang w:val="en-GB"/>
        </w:rPr>
        <w:t>legal</w:t>
      </w:r>
      <w:proofErr w:type="gramEnd"/>
      <w:r w:rsidRPr="00B20F2E">
        <w:rPr>
          <w:rFonts w:ascii="Times New Roman" w:eastAsia="Times New Roman" w:hAnsi="Times New Roman" w:cs="Times New Roman"/>
          <w:color w:val="000000" w:themeColor="text1"/>
          <w:sz w:val="24"/>
          <w:szCs w:val="24"/>
          <w:lang w:val="en-GB"/>
        </w:rPr>
        <w:t xml:space="preserve"> and environmental factors are impacting negatively on their business. The key stakeholders of the company are </w:t>
      </w:r>
      <w:r w:rsidR="00C62B90" w:rsidRPr="00B20F2E">
        <w:rPr>
          <w:rFonts w:ascii="Times New Roman" w:eastAsia="Times New Roman" w:hAnsi="Times New Roman" w:cs="Times New Roman"/>
          <w:color w:val="000000" w:themeColor="text1"/>
          <w:sz w:val="24"/>
          <w:szCs w:val="24"/>
          <w:lang w:val="en-GB"/>
        </w:rPr>
        <w:t>identified,</w:t>
      </w:r>
      <w:r w:rsidRPr="00B20F2E">
        <w:rPr>
          <w:rFonts w:ascii="Times New Roman" w:eastAsia="Times New Roman" w:hAnsi="Times New Roman" w:cs="Times New Roman"/>
          <w:color w:val="000000" w:themeColor="text1"/>
          <w:sz w:val="24"/>
          <w:szCs w:val="24"/>
          <w:lang w:val="en-GB"/>
        </w:rPr>
        <w:t xml:space="preserve"> and a stakeholder analysis has been conducted to define the role and responsibilities of their stakeholders in the business.  </w:t>
      </w:r>
    </w:p>
    <w:p w14:paraId="18A46604" w14:textId="77777777" w:rsidR="0097565E" w:rsidRPr="00B20F2E" w:rsidRDefault="0097565E">
      <w:pPr>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br w:type="page"/>
      </w:r>
    </w:p>
    <w:p w14:paraId="75EA5C0D" w14:textId="77777777" w:rsidR="0097565E" w:rsidRPr="00B20F2E" w:rsidRDefault="0097565E" w:rsidP="007317D9">
      <w:pPr>
        <w:pStyle w:val="Heading1"/>
        <w:rPr>
          <w:lang w:val="en-GB"/>
        </w:rPr>
      </w:pPr>
      <w:bookmarkStart w:id="9" w:name="_Toc157274725"/>
      <w:r w:rsidRPr="00B20F2E">
        <w:rPr>
          <w:szCs w:val="24"/>
          <w:lang w:val="en-GB"/>
        </w:rPr>
        <w:lastRenderedPageBreak/>
        <w:t>Task</w:t>
      </w:r>
      <w:r w:rsidRPr="00B20F2E">
        <w:rPr>
          <w:lang w:val="en-GB"/>
        </w:rPr>
        <w:t xml:space="preserve"> 2</w:t>
      </w:r>
      <w:bookmarkEnd w:id="9"/>
    </w:p>
    <w:p w14:paraId="7D5EC98B" w14:textId="77777777" w:rsidR="0097565E" w:rsidRPr="00B20F2E" w:rsidRDefault="0097565E" w:rsidP="0097565E">
      <w:pPr>
        <w:pStyle w:val="Normal1"/>
        <w:rPr>
          <w:lang w:val="en-GB"/>
        </w:rPr>
      </w:pPr>
    </w:p>
    <w:p w14:paraId="2E825A96" w14:textId="77777777" w:rsidR="00C62B90" w:rsidRDefault="00C62B90" w:rsidP="00C62B90">
      <w:pPr>
        <w:spacing w:line="360" w:lineRule="auto"/>
      </w:pPr>
      <w:r>
        <w:t>Slide 1</w:t>
      </w:r>
    </w:p>
    <w:p w14:paraId="59D9EEE1" w14:textId="77777777" w:rsidR="00C62B90" w:rsidRDefault="00C62B90" w:rsidP="00C62B90">
      <w:pPr>
        <w:spacing w:line="360" w:lineRule="auto"/>
      </w:pPr>
    </w:p>
    <w:p w14:paraId="18AE0508" w14:textId="77777777" w:rsidR="00C62B90" w:rsidRDefault="00C62B90" w:rsidP="00C62B90">
      <w:pPr>
        <w:spacing w:line="360" w:lineRule="auto"/>
        <w:jc w:val="center"/>
      </w:pPr>
      <w:r>
        <w:object w:dxaOrig="5400" w:dyaOrig="4056" w14:anchorId="4007E8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270pt;height:202.8pt;visibility:visible;mso-wrap-style:square" o:ole="">
            <v:imagedata r:id="rId13" o:title=""/>
          </v:shape>
          <o:OLEObject Type="Embed" ProgID="PowerPoint.Slide.12" ShapeID="Object 1" DrawAspect="Content" ObjectID="_1771229121" r:id="rId14"/>
        </w:object>
      </w:r>
    </w:p>
    <w:p w14:paraId="6703CED5" w14:textId="77777777" w:rsidR="00C62B90" w:rsidRDefault="00C62B90" w:rsidP="00C62B90">
      <w:pPr>
        <w:spacing w:line="360" w:lineRule="auto"/>
        <w:jc w:val="center"/>
      </w:pPr>
    </w:p>
    <w:p w14:paraId="1822B3CC" w14:textId="77777777" w:rsidR="00C62B90" w:rsidRDefault="00C62B90" w:rsidP="00C62B90">
      <w:pPr>
        <w:spacing w:line="360" w:lineRule="auto"/>
      </w:pPr>
    </w:p>
    <w:p w14:paraId="06585A9A" w14:textId="77777777" w:rsidR="00C62B90" w:rsidRDefault="00C62B90" w:rsidP="00C62B90">
      <w:pPr>
        <w:pageBreakBefore/>
      </w:pPr>
    </w:p>
    <w:p w14:paraId="06986FFC" w14:textId="77777777" w:rsidR="00C62B90" w:rsidRDefault="00C62B90" w:rsidP="00C62B90">
      <w:pPr>
        <w:spacing w:line="360" w:lineRule="auto"/>
      </w:pPr>
      <w:r>
        <w:t>Slide 2</w:t>
      </w:r>
    </w:p>
    <w:p w14:paraId="210CC634" w14:textId="77777777" w:rsidR="00C62B90" w:rsidRDefault="00C62B90" w:rsidP="00C62B90">
      <w:pPr>
        <w:spacing w:line="360" w:lineRule="auto"/>
      </w:pPr>
    </w:p>
    <w:p w14:paraId="021C8074" w14:textId="77777777" w:rsidR="00C62B90" w:rsidRDefault="00C62B90" w:rsidP="00C62B90">
      <w:pPr>
        <w:spacing w:line="360" w:lineRule="auto"/>
        <w:jc w:val="center"/>
      </w:pPr>
      <w:r>
        <w:object w:dxaOrig="8688" w:dyaOrig="6528" w14:anchorId="0A703D44">
          <v:shape id="Object 6" o:spid="_x0000_i1026" type="#_x0000_t75" style="width:434.4pt;height:326.4pt;visibility:visible;mso-wrap-style:square" o:ole="">
            <v:imagedata r:id="rId15" o:title=""/>
          </v:shape>
          <o:OLEObject Type="Embed" ProgID="PowerPoint.Slide.12" ShapeID="Object 6" DrawAspect="Content" ObjectID="_1771229122" r:id="rId16"/>
        </w:object>
      </w:r>
    </w:p>
    <w:p w14:paraId="1A78812A" w14:textId="77777777" w:rsidR="00C62B90" w:rsidRDefault="00C62B90" w:rsidP="00C62B90">
      <w:pPr>
        <w:spacing w:line="360" w:lineRule="auto"/>
        <w:jc w:val="center"/>
      </w:pPr>
    </w:p>
    <w:p w14:paraId="1BFFE362" w14:textId="77777777" w:rsidR="00C62B90" w:rsidRDefault="00C62B90" w:rsidP="00C62B90">
      <w:pPr>
        <w:spacing w:line="360" w:lineRule="auto"/>
      </w:pPr>
    </w:p>
    <w:p w14:paraId="42C2D6C8" w14:textId="77777777" w:rsidR="00C62B90" w:rsidRDefault="00C62B90" w:rsidP="00C62B90">
      <w:pPr>
        <w:pageBreakBefore/>
      </w:pPr>
    </w:p>
    <w:p w14:paraId="47B688A1" w14:textId="77777777" w:rsidR="00C62B90" w:rsidRDefault="00C62B90" w:rsidP="00C62B90">
      <w:pPr>
        <w:spacing w:line="360" w:lineRule="auto"/>
      </w:pPr>
      <w:r>
        <w:t>Slide 3</w:t>
      </w:r>
    </w:p>
    <w:p w14:paraId="40A45763" w14:textId="77777777" w:rsidR="00C62B90" w:rsidRDefault="00C62B90" w:rsidP="00C62B90">
      <w:pPr>
        <w:spacing w:line="360" w:lineRule="auto"/>
      </w:pPr>
    </w:p>
    <w:p w14:paraId="7BB95511" w14:textId="77777777" w:rsidR="00C62B90" w:rsidRDefault="00C62B90" w:rsidP="00C62B90">
      <w:pPr>
        <w:spacing w:line="360" w:lineRule="auto"/>
        <w:jc w:val="center"/>
      </w:pPr>
      <w:r>
        <w:object w:dxaOrig="8700" w:dyaOrig="6540" w14:anchorId="0EEB125A">
          <v:shape id="Object 11" o:spid="_x0000_i1027" type="#_x0000_t75" style="width:435pt;height:327pt;visibility:visible;mso-wrap-style:square" o:ole="">
            <v:imagedata r:id="rId17" o:title=""/>
          </v:shape>
          <o:OLEObject Type="Embed" ProgID="PowerPoint.Slide.12" ShapeID="Object 11" DrawAspect="Content" ObjectID="_1771229123" r:id="rId18"/>
        </w:object>
      </w:r>
    </w:p>
    <w:p w14:paraId="100160CB" w14:textId="77777777" w:rsidR="00C62B90" w:rsidRDefault="00C62B90" w:rsidP="00C62B90">
      <w:pPr>
        <w:spacing w:line="360" w:lineRule="auto"/>
        <w:jc w:val="center"/>
      </w:pPr>
    </w:p>
    <w:p w14:paraId="1FEB09B7" w14:textId="77777777" w:rsidR="00C62B90" w:rsidRDefault="00C62B90" w:rsidP="00C62B90">
      <w:pPr>
        <w:autoSpaceDE w:val="0"/>
        <w:spacing w:line="240" w:lineRule="auto"/>
      </w:pPr>
      <w:r>
        <w:rPr>
          <w:rFonts w:cs="Calibri"/>
          <w:sz w:val="24"/>
          <w:szCs w:val="24"/>
        </w:rPr>
        <w:t xml:space="preserve">The mission and objectives of the company indicate that MSW is generally using the outsourcing strategy within the company to reduce the operation cost of the distribution process and increase efficiency in delivering the products of the company to the customers and the suppliers. To maintain efficiency in the supply process, the company has been providing training to customers to make the employees skilled in maintaining the quality of the products. To increase the presence of the company on digital platforms, MSW has incorporated digital marketing strategies which are helping the company in enhancing customer engagement with the company.    </w:t>
      </w:r>
    </w:p>
    <w:p w14:paraId="16E06D47" w14:textId="77777777" w:rsidR="00C62B90" w:rsidRDefault="00C62B90" w:rsidP="00C62B90">
      <w:pPr>
        <w:autoSpaceDE w:val="0"/>
        <w:spacing w:line="240" w:lineRule="auto"/>
        <w:rPr>
          <w:rFonts w:cs="Calibri"/>
          <w:sz w:val="24"/>
          <w:szCs w:val="24"/>
        </w:rPr>
      </w:pPr>
    </w:p>
    <w:p w14:paraId="3ACCEE52" w14:textId="77777777" w:rsidR="00C62B90" w:rsidRDefault="00C62B90" w:rsidP="00C62B90">
      <w:pPr>
        <w:autoSpaceDE w:val="0"/>
        <w:spacing w:line="240" w:lineRule="auto"/>
        <w:rPr>
          <w:sz w:val="24"/>
          <w:szCs w:val="24"/>
        </w:rPr>
      </w:pPr>
    </w:p>
    <w:p w14:paraId="62DF9C19" w14:textId="77777777" w:rsidR="00C62B90" w:rsidRDefault="00C62B90" w:rsidP="00C62B90">
      <w:pPr>
        <w:spacing w:line="360" w:lineRule="auto"/>
      </w:pPr>
    </w:p>
    <w:p w14:paraId="377462E5" w14:textId="77777777" w:rsidR="00C62B90" w:rsidRDefault="00C62B90" w:rsidP="00C62B90">
      <w:pPr>
        <w:pageBreakBefore/>
      </w:pPr>
    </w:p>
    <w:p w14:paraId="0702AFAE" w14:textId="77777777" w:rsidR="00C62B90" w:rsidRDefault="00C62B90" w:rsidP="00C62B90">
      <w:pPr>
        <w:spacing w:line="360" w:lineRule="auto"/>
      </w:pPr>
      <w:r>
        <w:t>Slide 4</w:t>
      </w:r>
    </w:p>
    <w:p w14:paraId="0D1A5A70" w14:textId="77777777" w:rsidR="00C62B90" w:rsidRDefault="00C62B90" w:rsidP="00C62B90">
      <w:pPr>
        <w:spacing w:line="360" w:lineRule="auto"/>
      </w:pPr>
    </w:p>
    <w:p w14:paraId="470C4551" w14:textId="77777777" w:rsidR="00C62B90" w:rsidRDefault="00C62B90" w:rsidP="00C62B90">
      <w:pPr>
        <w:spacing w:line="360" w:lineRule="auto"/>
        <w:jc w:val="center"/>
      </w:pPr>
      <w:r>
        <w:object w:dxaOrig="7572" w:dyaOrig="5688" w14:anchorId="6B2BC675">
          <v:shape id="Object 16" o:spid="_x0000_i1028" type="#_x0000_t75" style="width:378.6pt;height:284.4pt;visibility:visible;mso-wrap-style:square" o:ole="">
            <v:imagedata r:id="rId19" o:title=""/>
          </v:shape>
          <o:OLEObject Type="Embed" ProgID="PowerPoint.Slide.12" ShapeID="Object 16" DrawAspect="Content" ObjectID="_1771229124" r:id="rId20"/>
        </w:object>
      </w:r>
    </w:p>
    <w:p w14:paraId="3CCC0AF8" w14:textId="77777777" w:rsidR="00C62B90" w:rsidRDefault="00C62B90" w:rsidP="00C62B90">
      <w:pPr>
        <w:spacing w:line="360" w:lineRule="auto"/>
        <w:jc w:val="center"/>
      </w:pPr>
    </w:p>
    <w:p w14:paraId="7ACD9E10" w14:textId="77777777" w:rsidR="00C62B90" w:rsidRDefault="00C62B90" w:rsidP="00C62B90">
      <w:pPr>
        <w:autoSpaceDE w:val="0"/>
        <w:spacing w:line="240" w:lineRule="auto"/>
      </w:pPr>
      <w:r>
        <w:rPr>
          <w:rFonts w:cs="Calibri"/>
          <w:sz w:val="24"/>
          <w:szCs w:val="24"/>
        </w:rPr>
        <w:t xml:space="preserve">The trade policies are helping with the </w:t>
      </w:r>
      <w:proofErr w:type="spellStart"/>
      <w:r>
        <w:rPr>
          <w:rFonts w:cs="Calibri"/>
          <w:sz w:val="24"/>
          <w:szCs w:val="24"/>
        </w:rPr>
        <w:t>internalisation</w:t>
      </w:r>
      <w:proofErr w:type="spellEnd"/>
      <w:r>
        <w:rPr>
          <w:rFonts w:cs="Calibri"/>
          <w:sz w:val="24"/>
          <w:szCs w:val="24"/>
        </w:rPr>
        <w:t xml:space="preserve"> process and the UK and EU trade policies are helping to foster a new relationship between the countries and help SMEs such as MSW with the business expansion process. The GDP growth in the UK and increasing customer demand for wine are providing an opportunity for the company to attract customers towards the company and increase the revenue of the company.     </w:t>
      </w:r>
    </w:p>
    <w:p w14:paraId="3D35C113" w14:textId="77777777" w:rsidR="00C62B90" w:rsidRDefault="00C62B90" w:rsidP="00C62B90">
      <w:pPr>
        <w:autoSpaceDE w:val="0"/>
        <w:spacing w:line="240" w:lineRule="auto"/>
        <w:rPr>
          <w:rFonts w:cs="Calibri"/>
          <w:sz w:val="24"/>
          <w:szCs w:val="24"/>
        </w:rPr>
      </w:pPr>
    </w:p>
    <w:p w14:paraId="523CDA15" w14:textId="77777777" w:rsidR="00C62B90" w:rsidRDefault="00C62B90" w:rsidP="00C62B90">
      <w:pPr>
        <w:autoSpaceDE w:val="0"/>
        <w:spacing w:line="240" w:lineRule="auto"/>
        <w:rPr>
          <w:sz w:val="24"/>
          <w:szCs w:val="24"/>
        </w:rPr>
      </w:pPr>
    </w:p>
    <w:p w14:paraId="03872BDA" w14:textId="77777777" w:rsidR="00C62B90" w:rsidRDefault="00C62B90" w:rsidP="00C62B90">
      <w:pPr>
        <w:spacing w:line="360" w:lineRule="auto"/>
      </w:pPr>
    </w:p>
    <w:p w14:paraId="73AA03F6" w14:textId="77777777" w:rsidR="00C62B90" w:rsidRDefault="00C62B90" w:rsidP="00C62B90">
      <w:pPr>
        <w:pageBreakBefore/>
      </w:pPr>
    </w:p>
    <w:p w14:paraId="5C66F64B" w14:textId="77777777" w:rsidR="00C62B90" w:rsidRDefault="00C62B90" w:rsidP="00C62B90">
      <w:pPr>
        <w:spacing w:line="360" w:lineRule="auto"/>
      </w:pPr>
      <w:r>
        <w:t>Slide 5</w:t>
      </w:r>
    </w:p>
    <w:p w14:paraId="750373E2" w14:textId="77777777" w:rsidR="00C62B90" w:rsidRDefault="00C62B90" w:rsidP="00C62B90">
      <w:pPr>
        <w:spacing w:line="360" w:lineRule="auto"/>
      </w:pPr>
    </w:p>
    <w:p w14:paraId="2081A0BC" w14:textId="77777777" w:rsidR="00C62B90" w:rsidRDefault="00C62B90" w:rsidP="00C62B90">
      <w:pPr>
        <w:spacing w:line="360" w:lineRule="auto"/>
        <w:jc w:val="center"/>
      </w:pPr>
      <w:r>
        <w:object w:dxaOrig="8772" w:dyaOrig="6588" w14:anchorId="09696673">
          <v:shape id="Object 21" o:spid="_x0000_i1029" type="#_x0000_t75" style="width:438.6pt;height:329.4pt;visibility:visible;mso-wrap-style:square" o:ole="">
            <v:imagedata r:id="rId21" o:title=""/>
          </v:shape>
          <o:OLEObject Type="Embed" ProgID="PowerPoint.Slide.12" ShapeID="Object 21" DrawAspect="Content" ObjectID="_1771229125" r:id="rId22"/>
        </w:object>
      </w:r>
    </w:p>
    <w:p w14:paraId="28001B0C" w14:textId="77777777" w:rsidR="00C62B90" w:rsidRDefault="00C62B90" w:rsidP="00C62B90">
      <w:pPr>
        <w:spacing w:line="360" w:lineRule="auto"/>
        <w:jc w:val="center"/>
      </w:pPr>
    </w:p>
    <w:p w14:paraId="271A7187" w14:textId="77777777" w:rsidR="00C62B90" w:rsidRDefault="00C62B90" w:rsidP="00C62B90">
      <w:pPr>
        <w:autoSpaceDE w:val="0"/>
        <w:spacing w:line="240" w:lineRule="auto"/>
      </w:pPr>
      <w:r>
        <w:rPr>
          <w:rFonts w:cs="Calibri"/>
          <w:sz w:val="24"/>
          <w:szCs w:val="24"/>
        </w:rPr>
        <w:t xml:space="preserve">The use of technological solutions is helping with the sustainable packaging process of the company making the level more sophisticated. The infrastructure of the data protection process for MSW is not enough which can be a threat to data theft and the company's reputation leading to legal issues. The leaders and the managers of the SME can incorporate sustainable business practices lessons in the training </w:t>
      </w:r>
      <w:proofErr w:type="spellStart"/>
      <w:r>
        <w:rPr>
          <w:rFonts w:cs="Calibri"/>
          <w:sz w:val="24"/>
          <w:szCs w:val="24"/>
        </w:rPr>
        <w:t>programme</w:t>
      </w:r>
      <w:proofErr w:type="spellEnd"/>
      <w:r>
        <w:rPr>
          <w:rFonts w:cs="Calibri"/>
          <w:sz w:val="24"/>
          <w:szCs w:val="24"/>
        </w:rPr>
        <w:t xml:space="preserve"> to make the employees more advanced and knowledgeable and this may help with the company evaluation process. </w:t>
      </w:r>
    </w:p>
    <w:p w14:paraId="3C821D89" w14:textId="77777777" w:rsidR="00C62B90" w:rsidRDefault="00C62B90" w:rsidP="00C62B90">
      <w:pPr>
        <w:autoSpaceDE w:val="0"/>
        <w:spacing w:line="240" w:lineRule="auto"/>
        <w:rPr>
          <w:sz w:val="24"/>
          <w:szCs w:val="24"/>
        </w:rPr>
      </w:pPr>
    </w:p>
    <w:p w14:paraId="66B3F446" w14:textId="77777777" w:rsidR="00C62B90" w:rsidRDefault="00C62B90" w:rsidP="00C62B90">
      <w:pPr>
        <w:spacing w:line="360" w:lineRule="auto"/>
      </w:pPr>
    </w:p>
    <w:p w14:paraId="20AF03AA" w14:textId="77777777" w:rsidR="00C62B90" w:rsidRDefault="00C62B90" w:rsidP="00C62B90">
      <w:pPr>
        <w:pageBreakBefore/>
      </w:pPr>
    </w:p>
    <w:p w14:paraId="752C4940" w14:textId="77777777" w:rsidR="00C62B90" w:rsidRDefault="00C62B90" w:rsidP="00C62B90">
      <w:pPr>
        <w:spacing w:line="360" w:lineRule="auto"/>
      </w:pPr>
      <w:r>
        <w:t>Slide 6</w:t>
      </w:r>
    </w:p>
    <w:p w14:paraId="3F031ACE" w14:textId="77777777" w:rsidR="00C62B90" w:rsidRDefault="00C62B90" w:rsidP="00C62B90">
      <w:pPr>
        <w:spacing w:line="360" w:lineRule="auto"/>
      </w:pPr>
    </w:p>
    <w:p w14:paraId="752822BB" w14:textId="77777777" w:rsidR="00C62B90" w:rsidRDefault="00C62B90" w:rsidP="00C62B90">
      <w:pPr>
        <w:spacing w:line="360" w:lineRule="auto"/>
        <w:jc w:val="center"/>
      </w:pPr>
      <w:r>
        <w:object w:dxaOrig="8796" w:dyaOrig="6612" w14:anchorId="2B8C0BA4">
          <v:shape id="Object 26" o:spid="_x0000_i1030" type="#_x0000_t75" style="width:439.8pt;height:330.6pt;visibility:visible;mso-wrap-style:square" o:ole="">
            <v:imagedata r:id="rId23" o:title=""/>
          </v:shape>
          <o:OLEObject Type="Embed" ProgID="PowerPoint.Slide.12" ShapeID="Object 26" DrawAspect="Content" ObjectID="_1771229126" r:id="rId24"/>
        </w:object>
      </w:r>
    </w:p>
    <w:p w14:paraId="1FC94E3B" w14:textId="77777777" w:rsidR="00C62B90" w:rsidRDefault="00C62B90" w:rsidP="00C62B90">
      <w:pPr>
        <w:spacing w:line="360" w:lineRule="auto"/>
        <w:jc w:val="center"/>
      </w:pPr>
    </w:p>
    <w:p w14:paraId="08CAEF4D" w14:textId="77777777" w:rsidR="00C62B90" w:rsidRDefault="00C62B90" w:rsidP="00C62B90">
      <w:pPr>
        <w:autoSpaceDE w:val="0"/>
        <w:spacing w:line="240" w:lineRule="auto"/>
      </w:pPr>
      <w:r>
        <w:rPr>
          <w:rFonts w:cs="Calibri"/>
          <w:sz w:val="24"/>
          <w:szCs w:val="24"/>
        </w:rPr>
        <w:t xml:space="preserve">The professional selection process and strategic partnerships are the strengths of the company whereas the lack of a collaborative working culture is the weakness of the company which needs to be improved by the leaders and managers of the company. However, resource availability is an opportunity for the company while climate change is a potential threat for the company.  </w:t>
      </w:r>
    </w:p>
    <w:p w14:paraId="6C4B037C" w14:textId="77777777" w:rsidR="00C62B90" w:rsidRDefault="00C62B90" w:rsidP="00C62B90">
      <w:pPr>
        <w:autoSpaceDE w:val="0"/>
        <w:spacing w:line="240" w:lineRule="auto"/>
        <w:rPr>
          <w:rFonts w:cs="Calibri"/>
          <w:sz w:val="24"/>
          <w:szCs w:val="24"/>
        </w:rPr>
      </w:pPr>
    </w:p>
    <w:p w14:paraId="14D193D3" w14:textId="77777777" w:rsidR="00C62B90" w:rsidRDefault="00C62B90" w:rsidP="00C62B90">
      <w:pPr>
        <w:autoSpaceDE w:val="0"/>
        <w:spacing w:line="240" w:lineRule="auto"/>
        <w:rPr>
          <w:sz w:val="24"/>
          <w:szCs w:val="24"/>
        </w:rPr>
      </w:pPr>
    </w:p>
    <w:p w14:paraId="4720CF28" w14:textId="77777777" w:rsidR="00C62B90" w:rsidRDefault="00C62B90" w:rsidP="00C62B90">
      <w:pPr>
        <w:spacing w:line="360" w:lineRule="auto"/>
      </w:pPr>
    </w:p>
    <w:p w14:paraId="50B812A3" w14:textId="77777777" w:rsidR="00C62B90" w:rsidRDefault="00C62B90" w:rsidP="00C62B90">
      <w:pPr>
        <w:pageBreakBefore/>
      </w:pPr>
    </w:p>
    <w:p w14:paraId="40AFE0A4" w14:textId="77777777" w:rsidR="00C62B90" w:rsidRDefault="00C62B90" w:rsidP="00C62B90">
      <w:pPr>
        <w:spacing w:line="360" w:lineRule="auto"/>
      </w:pPr>
      <w:r>
        <w:t>Slide 7</w:t>
      </w:r>
    </w:p>
    <w:p w14:paraId="3649BCDC" w14:textId="77777777" w:rsidR="00C62B90" w:rsidRDefault="00C62B90" w:rsidP="00C62B90">
      <w:pPr>
        <w:spacing w:line="360" w:lineRule="auto"/>
      </w:pPr>
    </w:p>
    <w:p w14:paraId="45DF1020" w14:textId="77777777" w:rsidR="00C62B90" w:rsidRDefault="00C62B90" w:rsidP="00C62B90">
      <w:pPr>
        <w:spacing w:line="360" w:lineRule="auto"/>
        <w:jc w:val="center"/>
      </w:pPr>
      <w:r>
        <w:object w:dxaOrig="8652" w:dyaOrig="6492" w14:anchorId="36A75F75">
          <v:shape id="Object 31" o:spid="_x0000_i1031" type="#_x0000_t75" style="width:432.6pt;height:324.6pt;visibility:visible;mso-wrap-style:square" o:ole="">
            <v:imagedata r:id="rId25" o:title=""/>
          </v:shape>
          <o:OLEObject Type="Embed" ProgID="PowerPoint.Slide.12" ShapeID="Object 31" DrawAspect="Content" ObjectID="_1771229127" r:id="rId26"/>
        </w:object>
      </w:r>
    </w:p>
    <w:p w14:paraId="197A6B0D" w14:textId="77777777" w:rsidR="00C62B90" w:rsidRDefault="00C62B90" w:rsidP="00C62B90">
      <w:pPr>
        <w:spacing w:line="360" w:lineRule="auto"/>
        <w:jc w:val="center"/>
      </w:pPr>
    </w:p>
    <w:p w14:paraId="086999E2" w14:textId="77777777" w:rsidR="00C62B90" w:rsidRDefault="00C62B90" w:rsidP="00C62B90">
      <w:pPr>
        <w:autoSpaceDE w:val="0"/>
        <w:spacing w:line="240" w:lineRule="auto"/>
      </w:pPr>
      <w:r>
        <w:rPr>
          <w:rFonts w:cs="Calibri"/>
          <w:sz w:val="24"/>
          <w:szCs w:val="24"/>
        </w:rPr>
        <w:t xml:space="preserve">MSW incorporate a joint venture strategy within the strategic management process of the company which will guide the company with the risk management process. Outsourcing strategies have been creating communication issues along with climate change and </w:t>
      </w:r>
      <w:proofErr w:type="spellStart"/>
      <w:r>
        <w:rPr>
          <w:rFonts w:cs="Calibri"/>
          <w:sz w:val="24"/>
          <w:szCs w:val="24"/>
        </w:rPr>
        <w:t>labour</w:t>
      </w:r>
      <w:proofErr w:type="spellEnd"/>
      <w:r>
        <w:rPr>
          <w:rFonts w:cs="Calibri"/>
          <w:sz w:val="24"/>
          <w:szCs w:val="24"/>
        </w:rPr>
        <w:t xml:space="preserve"> shortages while the use of the joint venture will help the company in building the strategic alliance.    </w:t>
      </w:r>
    </w:p>
    <w:p w14:paraId="56412381" w14:textId="77777777" w:rsidR="00C62B90" w:rsidRDefault="00C62B90" w:rsidP="00C62B90">
      <w:pPr>
        <w:autoSpaceDE w:val="0"/>
        <w:spacing w:line="240" w:lineRule="auto"/>
        <w:rPr>
          <w:rFonts w:cs="Calibri"/>
          <w:sz w:val="24"/>
          <w:szCs w:val="24"/>
        </w:rPr>
      </w:pPr>
    </w:p>
    <w:p w14:paraId="1BFBF2BE" w14:textId="77777777" w:rsidR="00C62B90" w:rsidRDefault="00C62B90" w:rsidP="00C62B90">
      <w:pPr>
        <w:autoSpaceDE w:val="0"/>
        <w:spacing w:line="240" w:lineRule="auto"/>
        <w:rPr>
          <w:sz w:val="24"/>
          <w:szCs w:val="24"/>
        </w:rPr>
      </w:pPr>
    </w:p>
    <w:p w14:paraId="2B9C2590" w14:textId="77777777" w:rsidR="00C62B90" w:rsidRDefault="00C62B90" w:rsidP="00C62B90">
      <w:pPr>
        <w:spacing w:line="360" w:lineRule="auto"/>
      </w:pPr>
    </w:p>
    <w:p w14:paraId="2059C42E" w14:textId="77777777" w:rsidR="00C62B90" w:rsidRDefault="00C62B90" w:rsidP="00C62B90">
      <w:pPr>
        <w:pageBreakBefore/>
      </w:pPr>
    </w:p>
    <w:p w14:paraId="2EC7DB66" w14:textId="77777777" w:rsidR="00C62B90" w:rsidRDefault="00C62B90" w:rsidP="00C62B90">
      <w:pPr>
        <w:spacing w:line="360" w:lineRule="auto"/>
      </w:pPr>
      <w:r>
        <w:t>Slide 8</w:t>
      </w:r>
    </w:p>
    <w:p w14:paraId="4438A4DB" w14:textId="77777777" w:rsidR="00C62B90" w:rsidRDefault="00C62B90" w:rsidP="00C62B90">
      <w:pPr>
        <w:spacing w:line="360" w:lineRule="auto"/>
      </w:pPr>
    </w:p>
    <w:p w14:paraId="4C19465E" w14:textId="77777777" w:rsidR="00C62B90" w:rsidRDefault="00C62B90" w:rsidP="00C62B90">
      <w:pPr>
        <w:spacing w:line="360" w:lineRule="auto"/>
        <w:jc w:val="center"/>
      </w:pPr>
      <w:r>
        <w:object w:dxaOrig="9180" w:dyaOrig="6888" w14:anchorId="4E05CCEA">
          <v:shape id="Object 36" o:spid="_x0000_i1032" type="#_x0000_t75" style="width:459pt;height:344.4pt;visibility:visible;mso-wrap-style:square" o:ole="">
            <v:imagedata r:id="rId27" o:title=""/>
          </v:shape>
          <o:OLEObject Type="Embed" ProgID="PowerPoint.Slide.12" ShapeID="Object 36" DrawAspect="Content" ObjectID="_1771229128" r:id="rId28"/>
        </w:object>
      </w:r>
    </w:p>
    <w:p w14:paraId="00AD51B4" w14:textId="77777777" w:rsidR="00C62B90" w:rsidRDefault="00C62B90" w:rsidP="00C62B90">
      <w:pPr>
        <w:spacing w:line="360" w:lineRule="auto"/>
        <w:jc w:val="center"/>
      </w:pPr>
    </w:p>
    <w:p w14:paraId="142419CB" w14:textId="77777777" w:rsidR="00C62B90" w:rsidRDefault="00C62B90" w:rsidP="00C62B90">
      <w:pPr>
        <w:autoSpaceDE w:val="0"/>
        <w:spacing w:line="240" w:lineRule="auto"/>
      </w:pPr>
      <w:r>
        <w:rPr>
          <w:rFonts w:cs="Calibri"/>
          <w:sz w:val="24"/>
          <w:szCs w:val="24"/>
        </w:rPr>
        <w:t xml:space="preserve">The internal stakeholders of MSW have applied technological solutions in the operation process to manage the relationship with the external stakeholders of the company. The leaders and the managers of MSW are always trying to maintain transparent relationships with the external stakeholders to effectively manage the activities of the company. </w:t>
      </w:r>
    </w:p>
    <w:p w14:paraId="47FE4B73" w14:textId="77777777" w:rsidR="00C62B90" w:rsidRDefault="00C62B90" w:rsidP="00C62B90">
      <w:pPr>
        <w:autoSpaceDE w:val="0"/>
        <w:spacing w:line="240" w:lineRule="auto"/>
        <w:rPr>
          <w:sz w:val="24"/>
          <w:szCs w:val="24"/>
        </w:rPr>
      </w:pPr>
    </w:p>
    <w:p w14:paraId="01A163CB" w14:textId="77777777" w:rsidR="00C62B90" w:rsidRDefault="00C62B90" w:rsidP="00C62B90">
      <w:pPr>
        <w:spacing w:line="360" w:lineRule="auto"/>
      </w:pPr>
    </w:p>
    <w:p w14:paraId="277E18D9" w14:textId="77777777" w:rsidR="00C62B90" w:rsidRDefault="00C62B90" w:rsidP="00C62B90">
      <w:pPr>
        <w:pageBreakBefore/>
      </w:pPr>
    </w:p>
    <w:p w14:paraId="2B8BF5DB" w14:textId="77777777" w:rsidR="00C62B90" w:rsidRDefault="00C62B90" w:rsidP="00C62B90">
      <w:pPr>
        <w:spacing w:line="360" w:lineRule="auto"/>
      </w:pPr>
      <w:r>
        <w:t>Slide 9</w:t>
      </w:r>
    </w:p>
    <w:p w14:paraId="33639A4E" w14:textId="77777777" w:rsidR="00C62B90" w:rsidRDefault="00C62B90" w:rsidP="00C62B90">
      <w:pPr>
        <w:spacing w:line="360" w:lineRule="auto"/>
      </w:pPr>
    </w:p>
    <w:p w14:paraId="0F2365F6" w14:textId="77777777" w:rsidR="00C62B90" w:rsidRDefault="00C62B90" w:rsidP="00C62B90">
      <w:pPr>
        <w:spacing w:line="360" w:lineRule="auto"/>
        <w:jc w:val="center"/>
      </w:pPr>
      <w:r>
        <w:object w:dxaOrig="8676" w:dyaOrig="6516" w14:anchorId="4F931CCD">
          <v:shape id="Object 41" o:spid="_x0000_i1033" type="#_x0000_t75" style="width:433.8pt;height:325.8pt;visibility:visible;mso-wrap-style:square" o:ole="">
            <v:imagedata r:id="rId29" o:title=""/>
          </v:shape>
          <o:OLEObject Type="Embed" ProgID="PowerPoint.Slide.12" ShapeID="Object 41" DrawAspect="Content" ObjectID="_1771229129" r:id="rId30"/>
        </w:object>
      </w:r>
    </w:p>
    <w:p w14:paraId="5C0B525D" w14:textId="77777777" w:rsidR="00C62B90" w:rsidRDefault="00C62B90" w:rsidP="00C62B90">
      <w:pPr>
        <w:spacing w:line="360" w:lineRule="auto"/>
        <w:jc w:val="center"/>
      </w:pPr>
    </w:p>
    <w:p w14:paraId="3963A0A0" w14:textId="77777777" w:rsidR="00C62B90" w:rsidRDefault="00C62B90" w:rsidP="00C62B90">
      <w:pPr>
        <w:autoSpaceDE w:val="0"/>
        <w:spacing w:line="240" w:lineRule="auto"/>
      </w:pPr>
      <w:r>
        <w:rPr>
          <w:rFonts w:cs="Calibri"/>
          <w:sz w:val="24"/>
          <w:szCs w:val="24"/>
        </w:rPr>
        <w:t xml:space="preserve">Leaders within an </w:t>
      </w:r>
      <w:proofErr w:type="spellStart"/>
      <w:r>
        <w:rPr>
          <w:rFonts w:cs="Calibri"/>
          <w:sz w:val="24"/>
          <w:szCs w:val="24"/>
        </w:rPr>
        <w:t>organisation</w:t>
      </w:r>
      <w:proofErr w:type="spellEnd"/>
      <w:r>
        <w:rPr>
          <w:rFonts w:cs="Calibri"/>
          <w:sz w:val="24"/>
          <w:szCs w:val="24"/>
        </w:rPr>
        <w:t xml:space="preserve"> act as the road map for the company and encourage and motivate the employees to stay productive within the company. The lack of effective leadership limits the engagement and innovation of the employees. On the other hand, the lack of proper technical structure is limiting the expansion process.     </w:t>
      </w:r>
    </w:p>
    <w:p w14:paraId="3E15EC66" w14:textId="77777777" w:rsidR="00C62B90" w:rsidRDefault="00C62B90" w:rsidP="00C62B90">
      <w:pPr>
        <w:autoSpaceDE w:val="0"/>
        <w:spacing w:line="240" w:lineRule="auto"/>
        <w:rPr>
          <w:rFonts w:cs="Calibri"/>
          <w:sz w:val="24"/>
          <w:szCs w:val="24"/>
        </w:rPr>
      </w:pPr>
    </w:p>
    <w:p w14:paraId="6A1AC976" w14:textId="77777777" w:rsidR="00C62B90" w:rsidRDefault="00C62B90" w:rsidP="00C62B90">
      <w:pPr>
        <w:autoSpaceDE w:val="0"/>
        <w:spacing w:line="240" w:lineRule="auto"/>
        <w:rPr>
          <w:sz w:val="24"/>
          <w:szCs w:val="24"/>
        </w:rPr>
      </w:pPr>
    </w:p>
    <w:p w14:paraId="20AFADDA" w14:textId="77777777" w:rsidR="00C62B90" w:rsidRDefault="00C62B90" w:rsidP="00C62B90">
      <w:pPr>
        <w:spacing w:line="360" w:lineRule="auto"/>
      </w:pPr>
    </w:p>
    <w:p w14:paraId="0EAD52F3" w14:textId="77777777" w:rsidR="00C62B90" w:rsidRDefault="00C62B90" w:rsidP="00C62B90">
      <w:pPr>
        <w:pageBreakBefore/>
      </w:pPr>
    </w:p>
    <w:p w14:paraId="2A53E415" w14:textId="77777777" w:rsidR="00C62B90" w:rsidRDefault="00C62B90" w:rsidP="00C62B90">
      <w:pPr>
        <w:spacing w:line="360" w:lineRule="auto"/>
      </w:pPr>
      <w:r>
        <w:t>Slide 10</w:t>
      </w:r>
    </w:p>
    <w:p w14:paraId="6F61CF1F" w14:textId="77777777" w:rsidR="00C62B90" w:rsidRDefault="00C62B90" w:rsidP="00C62B90">
      <w:pPr>
        <w:spacing w:line="360" w:lineRule="auto"/>
      </w:pPr>
    </w:p>
    <w:p w14:paraId="1653BBC5" w14:textId="77777777" w:rsidR="00C62B90" w:rsidRDefault="00C62B90" w:rsidP="00C62B90">
      <w:pPr>
        <w:spacing w:line="360" w:lineRule="auto"/>
        <w:jc w:val="center"/>
      </w:pPr>
      <w:r>
        <w:object w:dxaOrig="9144" w:dyaOrig="6876" w14:anchorId="59C4BE9C">
          <v:shape id="Object 46" o:spid="_x0000_i1034" type="#_x0000_t75" style="width:457.2pt;height:343.8pt;visibility:visible;mso-wrap-style:square" o:ole="">
            <v:imagedata r:id="rId31" o:title=""/>
          </v:shape>
          <o:OLEObject Type="Embed" ProgID="PowerPoint.Slide.12" ShapeID="Object 46" DrawAspect="Content" ObjectID="_1771229130" r:id="rId32"/>
        </w:object>
      </w:r>
    </w:p>
    <w:p w14:paraId="25573070" w14:textId="77777777" w:rsidR="00C62B90" w:rsidRDefault="00C62B90" w:rsidP="00C62B90">
      <w:pPr>
        <w:spacing w:line="360" w:lineRule="auto"/>
        <w:jc w:val="center"/>
      </w:pPr>
    </w:p>
    <w:p w14:paraId="1CE9F130" w14:textId="77777777" w:rsidR="00C62B90" w:rsidRDefault="00C62B90" w:rsidP="00C62B90">
      <w:pPr>
        <w:autoSpaceDE w:val="0"/>
        <w:spacing w:line="240" w:lineRule="auto"/>
      </w:pPr>
      <w:r>
        <w:rPr>
          <w:rFonts w:cs="Calibri"/>
          <w:sz w:val="24"/>
          <w:szCs w:val="24"/>
        </w:rPr>
        <w:t xml:space="preserve">MSW has been trying to increase the presence of the company in the global market through the strategic outsourcing process of the company however the communication barriers reduce the effectiveness of the process. These identified issues are an indication of a lack of proper leadership and management within the company which needs to be improved. </w:t>
      </w:r>
    </w:p>
    <w:p w14:paraId="55D67044" w14:textId="77777777" w:rsidR="00C62B90" w:rsidRDefault="00C62B90" w:rsidP="00C62B90">
      <w:pPr>
        <w:autoSpaceDE w:val="0"/>
        <w:spacing w:line="240" w:lineRule="auto"/>
        <w:rPr>
          <w:rFonts w:cs="Calibri"/>
          <w:sz w:val="24"/>
          <w:szCs w:val="24"/>
        </w:rPr>
      </w:pPr>
    </w:p>
    <w:p w14:paraId="1E9DB287" w14:textId="77777777" w:rsidR="00C62B90" w:rsidRDefault="00C62B90" w:rsidP="00C62B90">
      <w:pPr>
        <w:autoSpaceDE w:val="0"/>
        <w:spacing w:line="240" w:lineRule="auto"/>
        <w:rPr>
          <w:sz w:val="24"/>
          <w:szCs w:val="24"/>
        </w:rPr>
      </w:pPr>
    </w:p>
    <w:p w14:paraId="22D6A602" w14:textId="77777777" w:rsidR="00C62B90" w:rsidRDefault="00C62B90" w:rsidP="00C62B90">
      <w:pPr>
        <w:spacing w:line="360" w:lineRule="auto"/>
      </w:pPr>
    </w:p>
    <w:p w14:paraId="1FAB60B6" w14:textId="77777777" w:rsidR="00C62B90" w:rsidRDefault="00C62B90" w:rsidP="00C62B90">
      <w:pPr>
        <w:pageBreakBefore/>
      </w:pPr>
    </w:p>
    <w:p w14:paraId="0CA9F29F" w14:textId="77777777" w:rsidR="00C62B90" w:rsidRDefault="00C62B90" w:rsidP="00C62B90">
      <w:pPr>
        <w:spacing w:line="360" w:lineRule="auto"/>
      </w:pPr>
      <w:r>
        <w:t>Slide 11</w:t>
      </w:r>
    </w:p>
    <w:p w14:paraId="6ECD82B1" w14:textId="77777777" w:rsidR="00C62B90" w:rsidRDefault="00C62B90" w:rsidP="00C62B90">
      <w:pPr>
        <w:spacing w:line="360" w:lineRule="auto"/>
      </w:pPr>
    </w:p>
    <w:p w14:paraId="5D1BC4B3" w14:textId="77777777" w:rsidR="00C62B90" w:rsidRDefault="00C62B90" w:rsidP="00C62B90">
      <w:pPr>
        <w:spacing w:line="360" w:lineRule="auto"/>
        <w:jc w:val="center"/>
      </w:pPr>
      <w:r>
        <w:object w:dxaOrig="8964" w:dyaOrig="6732" w14:anchorId="6BD15437">
          <v:shape id="Object 51" o:spid="_x0000_i1035" type="#_x0000_t75" style="width:448.2pt;height:336.6pt;visibility:visible;mso-wrap-style:square" o:ole="">
            <v:imagedata r:id="rId33" o:title=""/>
          </v:shape>
          <o:OLEObject Type="Embed" ProgID="PowerPoint.Slide.12" ShapeID="Object 51" DrawAspect="Content" ObjectID="_1771229131" r:id="rId34"/>
        </w:object>
      </w:r>
    </w:p>
    <w:p w14:paraId="0D55DF5F" w14:textId="77777777" w:rsidR="00C62B90" w:rsidRDefault="00C62B90" w:rsidP="00C62B90">
      <w:pPr>
        <w:spacing w:line="360" w:lineRule="auto"/>
        <w:jc w:val="center"/>
      </w:pPr>
    </w:p>
    <w:p w14:paraId="3266F8E8" w14:textId="77777777" w:rsidR="00C62B90" w:rsidRDefault="00C62B90" w:rsidP="00C62B90">
      <w:pPr>
        <w:autoSpaceDE w:val="0"/>
        <w:spacing w:line="240" w:lineRule="auto"/>
      </w:pPr>
      <w:r>
        <w:rPr>
          <w:rFonts w:cs="Calibri"/>
          <w:sz w:val="24"/>
          <w:szCs w:val="24"/>
        </w:rPr>
        <w:t xml:space="preserve">To improve the functionality of the company, the management team of the business firm need to enhance the effectiveness of the internal process through proper leadership skills. The new strategic implication can help the company to resolve the ongoing process in the distribution process. </w:t>
      </w:r>
    </w:p>
    <w:p w14:paraId="3367BB5E" w14:textId="77777777" w:rsidR="00C62B90" w:rsidRDefault="00C62B90" w:rsidP="00C62B90">
      <w:pPr>
        <w:autoSpaceDE w:val="0"/>
        <w:spacing w:line="240" w:lineRule="auto"/>
        <w:rPr>
          <w:rFonts w:cs="Calibri"/>
          <w:sz w:val="24"/>
          <w:szCs w:val="24"/>
        </w:rPr>
      </w:pPr>
    </w:p>
    <w:p w14:paraId="2D8BCBE2" w14:textId="77777777" w:rsidR="00C62B90" w:rsidRDefault="00C62B90" w:rsidP="00C62B90">
      <w:pPr>
        <w:autoSpaceDE w:val="0"/>
        <w:spacing w:line="240" w:lineRule="auto"/>
        <w:rPr>
          <w:sz w:val="24"/>
          <w:szCs w:val="24"/>
        </w:rPr>
      </w:pPr>
    </w:p>
    <w:p w14:paraId="6719628F" w14:textId="77777777" w:rsidR="00C62B90" w:rsidRDefault="00C62B90" w:rsidP="00C62B90">
      <w:pPr>
        <w:spacing w:line="360" w:lineRule="auto"/>
      </w:pPr>
    </w:p>
    <w:p w14:paraId="53E6F066" w14:textId="77777777" w:rsidR="00C62B90" w:rsidRDefault="00C62B90" w:rsidP="00C62B90">
      <w:pPr>
        <w:pageBreakBefore/>
      </w:pPr>
    </w:p>
    <w:p w14:paraId="5DA15AD6" w14:textId="77777777" w:rsidR="00C62B90" w:rsidRDefault="00C62B90" w:rsidP="00C62B90">
      <w:pPr>
        <w:spacing w:line="360" w:lineRule="auto"/>
      </w:pPr>
      <w:r>
        <w:t>Slide 12</w:t>
      </w:r>
    </w:p>
    <w:p w14:paraId="12269F28" w14:textId="77777777" w:rsidR="00C62B90" w:rsidRDefault="00C62B90" w:rsidP="00C62B90">
      <w:pPr>
        <w:spacing w:line="360" w:lineRule="auto"/>
      </w:pPr>
    </w:p>
    <w:p w14:paraId="6EB48C15" w14:textId="77777777" w:rsidR="00C62B90" w:rsidRDefault="00C62B90" w:rsidP="00C62B90">
      <w:pPr>
        <w:spacing w:line="360" w:lineRule="auto"/>
        <w:jc w:val="center"/>
      </w:pPr>
      <w:r>
        <w:object w:dxaOrig="8472" w:dyaOrig="6360" w14:anchorId="5898B13F">
          <v:shape id="Object 56" o:spid="_x0000_i1036" type="#_x0000_t75" style="width:423.6pt;height:318pt;visibility:visible;mso-wrap-style:square" o:ole="">
            <v:imagedata r:id="rId35" o:title=""/>
          </v:shape>
          <o:OLEObject Type="Embed" ProgID="PowerPoint.Slide.12" ShapeID="Object 56" DrawAspect="Content" ObjectID="_1771229132" r:id="rId36"/>
        </w:object>
      </w:r>
    </w:p>
    <w:p w14:paraId="1F6EF792" w14:textId="77777777" w:rsidR="00C62B90" w:rsidRDefault="00C62B90" w:rsidP="00C62B90">
      <w:pPr>
        <w:spacing w:line="360" w:lineRule="auto"/>
        <w:jc w:val="center"/>
      </w:pPr>
    </w:p>
    <w:p w14:paraId="7F1C4BEA" w14:textId="77777777" w:rsidR="00C62B90" w:rsidRDefault="00C62B90" w:rsidP="00C62B90">
      <w:pPr>
        <w:spacing w:line="360" w:lineRule="auto"/>
      </w:pPr>
    </w:p>
    <w:p w14:paraId="7B9952D4" w14:textId="77777777" w:rsidR="00C62B90" w:rsidRDefault="00C62B90" w:rsidP="00C62B90">
      <w:pPr>
        <w:pageBreakBefore/>
      </w:pPr>
    </w:p>
    <w:p w14:paraId="440B94EA" w14:textId="77777777" w:rsidR="00C62B90" w:rsidRDefault="00C62B90" w:rsidP="00C62B90">
      <w:pPr>
        <w:spacing w:line="360" w:lineRule="auto"/>
      </w:pPr>
      <w:r>
        <w:t>Slide 13</w:t>
      </w:r>
    </w:p>
    <w:p w14:paraId="0B5C9F44" w14:textId="77777777" w:rsidR="00C62B90" w:rsidRDefault="00C62B90" w:rsidP="00C62B90">
      <w:pPr>
        <w:spacing w:line="360" w:lineRule="auto"/>
      </w:pPr>
    </w:p>
    <w:p w14:paraId="7B56A766" w14:textId="77777777" w:rsidR="00C62B90" w:rsidRDefault="00C62B90" w:rsidP="00C62B90">
      <w:pPr>
        <w:spacing w:line="360" w:lineRule="auto"/>
        <w:jc w:val="center"/>
      </w:pPr>
      <w:r>
        <w:object w:dxaOrig="9720" w:dyaOrig="7296" w14:anchorId="74D4B40C">
          <v:shape id="Object 61" o:spid="_x0000_i1037" type="#_x0000_t75" style="width:486pt;height:364.8pt;visibility:visible;mso-wrap-style:square" o:ole="">
            <v:imagedata r:id="rId37" o:title=""/>
          </v:shape>
          <o:OLEObject Type="Embed" ProgID="PowerPoint.Slide.12" ShapeID="Object 61" DrawAspect="Content" ObjectID="_1771229133" r:id="rId38"/>
        </w:object>
      </w:r>
    </w:p>
    <w:p w14:paraId="466100FF" w14:textId="77777777" w:rsidR="00C62B90" w:rsidRDefault="00C62B90" w:rsidP="00C62B90">
      <w:pPr>
        <w:spacing w:line="360" w:lineRule="auto"/>
        <w:jc w:val="center"/>
      </w:pPr>
    </w:p>
    <w:p w14:paraId="127003BE" w14:textId="77777777" w:rsidR="00C62B90" w:rsidRDefault="00C62B90" w:rsidP="00C62B90">
      <w:pPr>
        <w:spacing w:line="360" w:lineRule="auto"/>
      </w:pPr>
    </w:p>
    <w:p w14:paraId="6E4C3FFA" w14:textId="77777777" w:rsidR="00C62B90" w:rsidRDefault="00C62B90" w:rsidP="00C62B90">
      <w:pPr>
        <w:pageBreakBefore/>
      </w:pPr>
    </w:p>
    <w:p w14:paraId="7E3F3D3F" w14:textId="77777777" w:rsidR="00C62B90" w:rsidRDefault="00C62B90" w:rsidP="00C62B90">
      <w:pPr>
        <w:spacing w:line="360" w:lineRule="auto"/>
      </w:pPr>
      <w:r>
        <w:t>Slide 14</w:t>
      </w:r>
    </w:p>
    <w:p w14:paraId="5B1D9B96" w14:textId="77777777" w:rsidR="00C62B90" w:rsidRDefault="00C62B90" w:rsidP="00C62B90">
      <w:pPr>
        <w:spacing w:line="360" w:lineRule="auto"/>
      </w:pPr>
    </w:p>
    <w:p w14:paraId="19E6B385" w14:textId="77777777" w:rsidR="00C62B90" w:rsidRDefault="00C62B90" w:rsidP="00C62B90">
      <w:pPr>
        <w:spacing w:line="360" w:lineRule="auto"/>
        <w:jc w:val="center"/>
      </w:pPr>
      <w:r>
        <w:object w:dxaOrig="5400" w:dyaOrig="4056" w14:anchorId="1F0C1B5C">
          <v:shape id="Object 66" o:spid="_x0000_i1038" type="#_x0000_t75" style="width:270pt;height:202.8pt;visibility:visible;mso-wrap-style:square" o:ole="">
            <v:imagedata r:id="rId39" o:title=""/>
          </v:shape>
          <o:OLEObject Type="Embed" ProgID="PowerPoint.Slide.12" ShapeID="Object 66" DrawAspect="Content" ObjectID="_1771229134" r:id="rId40"/>
        </w:object>
      </w:r>
    </w:p>
    <w:p w14:paraId="4281A99E" w14:textId="77777777" w:rsidR="00C62B90" w:rsidRDefault="00C62B90" w:rsidP="00C62B90">
      <w:pPr>
        <w:spacing w:line="360" w:lineRule="auto"/>
        <w:jc w:val="center"/>
      </w:pPr>
    </w:p>
    <w:p w14:paraId="0354E400" w14:textId="77777777" w:rsidR="00C62B90" w:rsidRDefault="00C62B90" w:rsidP="00C62B90">
      <w:pPr>
        <w:spacing w:line="360" w:lineRule="auto"/>
      </w:pPr>
    </w:p>
    <w:p w14:paraId="6ABB800E" w14:textId="77777777" w:rsidR="00C62B90" w:rsidRDefault="00C62B90" w:rsidP="00C62B90">
      <w:pPr>
        <w:spacing w:line="360" w:lineRule="auto"/>
      </w:pPr>
    </w:p>
    <w:p w14:paraId="3866C3E5" w14:textId="77777777" w:rsidR="003C47DE" w:rsidRPr="00B20F2E" w:rsidRDefault="003C47DE">
      <w:pPr>
        <w:rPr>
          <w:rFonts w:ascii="Times New Roman" w:eastAsia="Times New Roman" w:hAnsi="Times New Roman" w:cs="Times New Roman"/>
          <w:b/>
          <w:color w:val="000000" w:themeColor="text1"/>
          <w:sz w:val="24"/>
          <w:szCs w:val="24"/>
          <w:lang w:val="en-GB"/>
        </w:rPr>
      </w:pPr>
      <w:r w:rsidRPr="00B20F2E">
        <w:rPr>
          <w:rFonts w:ascii="Times New Roman" w:eastAsia="Times New Roman" w:hAnsi="Times New Roman" w:cs="Times New Roman"/>
          <w:b/>
          <w:color w:val="000000" w:themeColor="text1"/>
          <w:sz w:val="24"/>
          <w:szCs w:val="24"/>
          <w:lang w:val="en-GB"/>
        </w:rPr>
        <w:br w:type="page"/>
      </w:r>
    </w:p>
    <w:p w14:paraId="5975FF55" w14:textId="77777777" w:rsidR="00752566" w:rsidRPr="00B20F2E" w:rsidRDefault="00251277" w:rsidP="003C47DE">
      <w:pPr>
        <w:pStyle w:val="Heading1"/>
        <w:rPr>
          <w:lang w:val="en-GB"/>
        </w:rPr>
      </w:pPr>
      <w:bookmarkStart w:id="10" w:name="_Toc157274737"/>
      <w:r w:rsidRPr="00B20F2E">
        <w:rPr>
          <w:lang w:val="en-GB"/>
        </w:rPr>
        <w:lastRenderedPageBreak/>
        <w:t>References</w:t>
      </w:r>
      <w:bookmarkEnd w:id="10"/>
    </w:p>
    <w:p w14:paraId="1ED1433C" w14:textId="77777777" w:rsidR="00AC54EB" w:rsidRPr="00B20F2E" w:rsidRDefault="00AC54EB" w:rsidP="00AC54EB">
      <w:pPr>
        <w:pStyle w:val="Normal1"/>
        <w:spacing w:line="360" w:lineRule="auto"/>
        <w:jc w:val="both"/>
        <w:rPr>
          <w:rFonts w:ascii="Times New Roman" w:hAnsi="Times New Roman" w:cs="Times New Roman"/>
          <w:b/>
          <w:bCs/>
          <w:color w:val="000000" w:themeColor="text1"/>
          <w:sz w:val="24"/>
          <w:szCs w:val="24"/>
          <w:lang w:val="en-GB"/>
        </w:rPr>
      </w:pPr>
      <w:r w:rsidRPr="00B20F2E">
        <w:rPr>
          <w:rFonts w:ascii="Times New Roman" w:hAnsi="Times New Roman" w:cs="Times New Roman"/>
          <w:b/>
          <w:bCs/>
          <w:color w:val="000000" w:themeColor="text1"/>
          <w:sz w:val="24"/>
          <w:szCs w:val="24"/>
          <w:lang w:val="en-GB"/>
        </w:rPr>
        <w:t>Task 1</w:t>
      </w:r>
    </w:p>
    <w:p w14:paraId="5D0D2917"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B20F2E">
        <w:rPr>
          <w:rFonts w:ascii="Times New Roman" w:eastAsia="Times New Roman" w:hAnsi="Times New Roman" w:cs="Times New Roman"/>
          <w:color w:val="000000" w:themeColor="text1"/>
          <w:sz w:val="24"/>
          <w:szCs w:val="24"/>
          <w:highlight w:val="white"/>
          <w:lang w:val="en-GB"/>
        </w:rPr>
        <w:t>Benzaghta</w:t>
      </w:r>
      <w:proofErr w:type="spellEnd"/>
      <w:r w:rsidRPr="00B20F2E">
        <w:rPr>
          <w:rFonts w:ascii="Times New Roman" w:eastAsia="Times New Roman" w:hAnsi="Times New Roman" w:cs="Times New Roman"/>
          <w:color w:val="000000" w:themeColor="text1"/>
          <w:sz w:val="24"/>
          <w:szCs w:val="24"/>
          <w:highlight w:val="white"/>
          <w:lang w:val="en-GB"/>
        </w:rPr>
        <w:t xml:space="preserve">, M.A., </w:t>
      </w:r>
      <w:proofErr w:type="spellStart"/>
      <w:r w:rsidRPr="00B20F2E">
        <w:rPr>
          <w:rFonts w:ascii="Times New Roman" w:eastAsia="Times New Roman" w:hAnsi="Times New Roman" w:cs="Times New Roman"/>
          <w:color w:val="000000" w:themeColor="text1"/>
          <w:sz w:val="24"/>
          <w:szCs w:val="24"/>
          <w:highlight w:val="white"/>
          <w:lang w:val="en-GB"/>
        </w:rPr>
        <w:t>Elwalda</w:t>
      </w:r>
      <w:proofErr w:type="spellEnd"/>
      <w:r w:rsidRPr="00B20F2E">
        <w:rPr>
          <w:rFonts w:ascii="Times New Roman" w:eastAsia="Times New Roman" w:hAnsi="Times New Roman" w:cs="Times New Roman"/>
          <w:color w:val="000000" w:themeColor="text1"/>
          <w:sz w:val="24"/>
          <w:szCs w:val="24"/>
          <w:highlight w:val="white"/>
          <w:lang w:val="en-GB"/>
        </w:rPr>
        <w:t xml:space="preserve">, A., Mousa, M.M., Erkan, I. and Rahman, M., 2021. SWOT analysis applications: An integrative literature review. </w:t>
      </w:r>
      <w:r w:rsidRPr="00B20F2E">
        <w:rPr>
          <w:rFonts w:ascii="Times New Roman" w:eastAsia="Times New Roman" w:hAnsi="Times New Roman" w:cs="Times New Roman"/>
          <w:i/>
          <w:color w:val="000000" w:themeColor="text1"/>
          <w:sz w:val="24"/>
          <w:szCs w:val="24"/>
          <w:highlight w:val="white"/>
          <w:lang w:val="en-GB"/>
        </w:rPr>
        <w:t>Journal of Global Business Insights</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6</w:t>
      </w:r>
      <w:r w:rsidRPr="00B20F2E">
        <w:rPr>
          <w:rFonts w:ascii="Times New Roman" w:eastAsia="Times New Roman" w:hAnsi="Times New Roman" w:cs="Times New Roman"/>
          <w:color w:val="000000" w:themeColor="text1"/>
          <w:sz w:val="24"/>
          <w:szCs w:val="24"/>
          <w:highlight w:val="white"/>
          <w:lang w:val="en-GB"/>
        </w:rPr>
        <w:t>(1), pp.55-73.</w:t>
      </w:r>
    </w:p>
    <w:p w14:paraId="5CEE3E75"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Bloomberg, 2024. </w:t>
      </w:r>
      <w:r w:rsidRPr="00B20F2E">
        <w:rPr>
          <w:rFonts w:ascii="Times New Roman" w:eastAsia="Times New Roman" w:hAnsi="Times New Roman" w:cs="Times New Roman"/>
          <w:i/>
          <w:color w:val="000000" w:themeColor="text1"/>
          <w:sz w:val="24"/>
          <w:szCs w:val="24"/>
          <w:lang w:val="en-GB"/>
        </w:rPr>
        <w:t xml:space="preserve">Company profile </w:t>
      </w:r>
      <w:r w:rsidRPr="00B20F2E">
        <w:rPr>
          <w:rFonts w:ascii="Times New Roman" w:eastAsia="Times New Roman" w:hAnsi="Times New Roman" w:cs="Times New Roman"/>
          <w:color w:val="000000" w:themeColor="text1"/>
          <w:sz w:val="24"/>
          <w:szCs w:val="24"/>
          <w:lang w:val="en-GB"/>
        </w:rPr>
        <w:t xml:space="preserve">[Online] Available at:&lt;https://www.bloomberg.com/profile/company/0461407D:LN&gt; [Accessed on 26 January 2024] </w:t>
      </w:r>
    </w:p>
    <w:p w14:paraId="3ADEE5F2"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Camilleri, M.A., 2020. European environment policy for the circular economy: Implications for business and industry stakeholders. </w:t>
      </w:r>
      <w:r w:rsidRPr="00B20F2E">
        <w:rPr>
          <w:rFonts w:ascii="Times New Roman" w:eastAsia="Times New Roman" w:hAnsi="Times New Roman" w:cs="Times New Roman"/>
          <w:i/>
          <w:color w:val="000000" w:themeColor="text1"/>
          <w:sz w:val="24"/>
          <w:szCs w:val="24"/>
          <w:highlight w:val="white"/>
          <w:lang w:val="en-GB"/>
        </w:rPr>
        <w:t>Sustainable Development</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28</w:t>
      </w:r>
      <w:r w:rsidRPr="00B20F2E">
        <w:rPr>
          <w:rFonts w:ascii="Times New Roman" w:eastAsia="Times New Roman" w:hAnsi="Times New Roman" w:cs="Times New Roman"/>
          <w:color w:val="000000" w:themeColor="text1"/>
          <w:sz w:val="24"/>
          <w:szCs w:val="24"/>
          <w:highlight w:val="white"/>
          <w:lang w:val="en-GB"/>
        </w:rPr>
        <w:t>(6), pp.1804-1812.</w:t>
      </w:r>
    </w:p>
    <w:p w14:paraId="14284DC8"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Charles, M. and Ochieng, S.B., 2023. Strategic outsourcing and firm performance: a review of literature. </w:t>
      </w:r>
      <w:r w:rsidRPr="00B20F2E">
        <w:rPr>
          <w:rFonts w:ascii="Times New Roman" w:eastAsia="Times New Roman" w:hAnsi="Times New Roman" w:cs="Times New Roman"/>
          <w:i/>
          <w:color w:val="000000" w:themeColor="text1"/>
          <w:sz w:val="24"/>
          <w:szCs w:val="24"/>
          <w:highlight w:val="white"/>
          <w:lang w:val="en-GB"/>
        </w:rPr>
        <w:t>International Journal of Social Science and Humanities Research (IJSSHR) ISSN 2959-7056 (o); 2959-7048 (p)</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1</w:t>
      </w:r>
      <w:r w:rsidRPr="00B20F2E">
        <w:rPr>
          <w:rFonts w:ascii="Times New Roman" w:eastAsia="Times New Roman" w:hAnsi="Times New Roman" w:cs="Times New Roman"/>
          <w:color w:val="000000" w:themeColor="text1"/>
          <w:sz w:val="24"/>
          <w:szCs w:val="24"/>
          <w:highlight w:val="white"/>
          <w:lang w:val="en-GB"/>
        </w:rPr>
        <w:t>(1), pp.20-29.</w:t>
      </w:r>
    </w:p>
    <w:p w14:paraId="693CB577"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Choudhury, S. and </w:t>
      </w:r>
      <w:proofErr w:type="spellStart"/>
      <w:r w:rsidRPr="00B20F2E">
        <w:rPr>
          <w:rFonts w:ascii="Times New Roman" w:eastAsia="Times New Roman" w:hAnsi="Times New Roman" w:cs="Times New Roman"/>
          <w:color w:val="000000" w:themeColor="text1"/>
          <w:sz w:val="24"/>
          <w:szCs w:val="24"/>
          <w:highlight w:val="white"/>
          <w:lang w:val="en-GB"/>
        </w:rPr>
        <w:t>Pattnaik</w:t>
      </w:r>
      <w:proofErr w:type="spellEnd"/>
      <w:r w:rsidRPr="00B20F2E">
        <w:rPr>
          <w:rFonts w:ascii="Times New Roman" w:eastAsia="Times New Roman" w:hAnsi="Times New Roman" w:cs="Times New Roman"/>
          <w:color w:val="000000" w:themeColor="text1"/>
          <w:sz w:val="24"/>
          <w:szCs w:val="24"/>
          <w:highlight w:val="white"/>
          <w:lang w:val="en-GB"/>
        </w:rPr>
        <w:t xml:space="preserve">, S., 2020. Emerging themes in e-learning: A review from the stakeholders' perspective. </w:t>
      </w:r>
      <w:r w:rsidRPr="00B20F2E">
        <w:rPr>
          <w:rFonts w:ascii="Times New Roman" w:eastAsia="Times New Roman" w:hAnsi="Times New Roman" w:cs="Times New Roman"/>
          <w:i/>
          <w:color w:val="000000" w:themeColor="text1"/>
          <w:sz w:val="24"/>
          <w:szCs w:val="24"/>
          <w:highlight w:val="white"/>
          <w:lang w:val="en-GB"/>
        </w:rPr>
        <w:t>Computers &amp; Education</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144</w:t>
      </w:r>
      <w:r w:rsidRPr="00B20F2E">
        <w:rPr>
          <w:rFonts w:ascii="Times New Roman" w:eastAsia="Times New Roman" w:hAnsi="Times New Roman" w:cs="Times New Roman"/>
          <w:color w:val="000000" w:themeColor="text1"/>
          <w:sz w:val="24"/>
          <w:szCs w:val="24"/>
          <w:highlight w:val="white"/>
          <w:lang w:val="en-GB"/>
        </w:rPr>
        <w:t>, p.103657.</w:t>
      </w:r>
    </w:p>
    <w:p w14:paraId="590A7ED4"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CNA Luxury, 2024. </w:t>
      </w:r>
      <w:r w:rsidRPr="00B20F2E">
        <w:rPr>
          <w:rFonts w:ascii="Times New Roman" w:eastAsia="Times New Roman" w:hAnsi="Times New Roman" w:cs="Times New Roman"/>
          <w:i/>
          <w:color w:val="000000" w:themeColor="text1"/>
          <w:sz w:val="24"/>
          <w:szCs w:val="24"/>
          <w:lang w:val="en-GB"/>
        </w:rPr>
        <w:t>Winery Joint Ventures</w:t>
      </w:r>
      <w:r w:rsidRPr="00B20F2E">
        <w:rPr>
          <w:rFonts w:ascii="Times New Roman" w:eastAsia="Times New Roman" w:hAnsi="Times New Roman" w:cs="Times New Roman"/>
          <w:color w:val="000000" w:themeColor="text1"/>
          <w:sz w:val="24"/>
          <w:szCs w:val="24"/>
          <w:lang w:val="en-GB"/>
        </w:rPr>
        <w:t xml:space="preserve"> [Online] Available at:&lt;https://cnaluxury.channelnewsasia.com/experiences/5-winery-joint-ventures-you-should-know-210746&gt; [Accessed on 26 January 2024] </w:t>
      </w:r>
    </w:p>
    <w:p w14:paraId="02B07ABD"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B20F2E">
        <w:rPr>
          <w:rFonts w:ascii="Times New Roman" w:eastAsia="Times New Roman" w:hAnsi="Times New Roman" w:cs="Times New Roman"/>
          <w:color w:val="000000" w:themeColor="text1"/>
          <w:sz w:val="24"/>
          <w:szCs w:val="24"/>
          <w:highlight w:val="white"/>
          <w:lang w:val="en-GB"/>
        </w:rPr>
        <w:t>Dalirazar</w:t>
      </w:r>
      <w:proofErr w:type="spellEnd"/>
      <w:r w:rsidRPr="00B20F2E">
        <w:rPr>
          <w:rFonts w:ascii="Times New Roman" w:eastAsia="Times New Roman" w:hAnsi="Times New Roman" w:cs="Times New Roman"/>
          <w:color w:val="000000" w:themeColor="text1"/>
          <w:sz w:val="24"/>
          <w:szCs w:val="24"/>
          <w:highlight w:val="white"/>
          <w:lang w:val="en-GB"/>
        </w:rPr>
        <w:t xml:space="preserve">, S. and Sabzi, Z., 2023. Strategic analysis of barriers and solutions to development of sustainable buildings using PESTLE technique. </w:t>
      </w:r>
      <w:r w:rsidRPr="00B20F2E">
        <w:rPr>
          <w:rFonts w:ascii="Times New Roman" w:eastAsia="Times New Roman" w:hAnsi="Times New Roman" w:cs="Times New Roman"/>
          <w:i/>
          <w:color w:val="000000" w:themeColor="text1"/>
          <w:sz w:val="24"/>
          <w:szCs w:val="24"/>
          <w:highlight w:val="white"/>
          <w:lang w:val="en-GB"/>
        </w:rPr>
        <w:t>International Journal of Construction Management</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23</w:t>
      </w:r>
      <w:r w:rsidRPr="00B20F2E">
        <w:rPr>
          <w:rFonts w:ascii="Times New Roman" w:eastAsia="Times New Roman" w:hAnsi="Times New Roman" w:cs="Times New Roman"/>
          <w:color w:val="000000" w:themeColor="text1"/>
          <w:sz w:val="24"/>
          <w:szCs w:val="24"/>
          <w:highlight w:val="white"/>
          <w:lang w:val="en-GB"/>
        </w:rPr>
        <w:t>(1), pp.167-181.</w:t>
      </w:r>
    </w:p>
    <w:p w14:paraId="47615178"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Gov.UK, 2023. </w:t>
      </w:r>
      <w:r w:rsidRPr="00B20F2E">
        <w:rPr>
          <w:rFonts w:ascii="Times New Roman" w:eastAsia="Times New Roman" w:hAnsi="Times New Roman" w:cs="Times New Roman"/>
          <w:i/>
          <w:color w:val="000000" w:themeColor="text1"/>
          <w:sz w:val="24"/>
          <w:szCs w:val="24"/>
          <w:highlight w:val="white"/>
          <w:lang w:val="en-GB"/>
        </w:rPr>
        <w:t>New wine reforms</w:t>
      </w:r>
      <w:r w:rsidRPr="00B20F2E">
        <w:rPr>
          <w:rFonts w:ascii="Times New Roman" w:eastAsia="Times New Roman" w:hAnsi="Times New Roman" w:cs="Times New Roman"/>
          <w:color w:val="000000" w:themeColor="text1"/>
          <w:sz w:val="24"/>
          <w:szCs w:val="24"/>
          <w:highlight w:val="white"/>
          <w:lang w:val="en-GB"/>
        </w:rPr>
        <w:t xml:space="preserve"> [Online] Available at:&lt;https://www.gov.uk/government/news/new-wine-reforms-to-boost-investment-and-ease-burdens-on-industry&gt; [Accessed on 27 January 2024]</w:t>
      </w:r>
    </w:p>
    <w:p w14:paraId="7B7F33E5"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Gov.UK, 2024. </w:t>
      </w:r>
      <w:r w:rsidRPr="00B20F2E">
        <w:rPr>
          <w:rFonts w:ascii="Times New Roman" w:eastAsia="Times New Roman" w:hAnsi="Times New Roman" w:cs="Times New Roman"/>
          <w:i/>
          <w:color w:val="000000" w:themeColor="text1"/>
          <w:sz w:val="24"/>
          <w:szCs w:val="24"/>
          <w:lang w:val="en-GB"/>
        </w:rPr>
        <w:t>Data Protection Act</w:t>
      </w:r>
      <w:r w:rsidRPr="00B20F2E">
        <w:rPr>
          <w:rFonts w:ascii="Times New Roman" w:eastAsia="Times New Roman" w:hAnsi="Times New Roman" w:cs="Times New Roman"/>
          <w:color w:val="000000" w:themeColor="text1"/>
          <w:sz w:val="24"/>
          <w:szCs w:val="24"/>
          <w:lang w:val="en-GB"/>
        </w:rPr>
        <w:t xml:space="preserve"> [Online] Available at:&lt;https://www.gov.uk/data-protection&gt; [Accessed on 26 January 2024] </w:t>
      </w:r>
    </w:p>
    <w:p w14:paraId="59F6DE16"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B20F2E">
        <w:rPr>
          <w:rFonts w:ascii="Times New Roman" w:eastAsia="Times New Roman" w:hAnsi="Times New Roman" w:cs="Times New Roman"/>
          <w:color w:val="000000" w:themeColor="text1"/>
          <w:sz w:val="24"/>
          <w:szCs w:val="24"/>
          <w:highlight w:val="white"/>
          <w:lang w:val="en-GB"/>
        </w:rPr>
        <w:t>Hanafizadeh</w:t>
      </w:r>
      <w:proofErr w:type="spellEnd"/>
      <w:r w:rsidRPr="00B20F2E">
        <w:rPr>
          <w:rFonts w:ascii="Times New Roman" w:eastAsia="Times New Roman" w:hAnsi="Times New Roman" w:cs="Times New Roman"/>
          <w:color w:val="000000" w:themeColor="text1"/>
          <w:sz w:val="24"/>
          <w:szCs w:val="24"/>
          <w:highlight w:val="white"/>
          <w:lang w:val="en-GB"/>
        </w:rPr>
        <w:t xml:space="preserve">, P. and </w:t>
      </w:r>
      <w:proofErr w:type="spellStart"/>
      <w:r w:rsidRPr="00B20F2E">
        <w:rPr>
          <w:rFonts w:ascii="Times New Roman" w:eastAsia="Times New Roman" w:hAnsi="Times New Roman" w:cs="Times New Roman"/>
          <w:color w:val="000000" w:themeColor="text1"/>
          <w:sz w:val="24"/>
          <w:szCs w:val="24"/>
          <w:highlight w:val="white"/>
          <w:lang w:val="en-GB"/>
        </w:rPr>
        <w:t>Zareravasan</w:t>
      </w:r>
      <w:proofErr w:type="spellEnd"/>
      <w:r w:rsidRPr="00B20F2E">
        <w:rPr>
          <w:rFonts w:ascii="Times New Roman" w:eastAsia="Times New Roman" w:hAnsi="Times New Roman" w:cs="Times New Roman"/>
          <w:color w:val="000000" w:themeColor="text1"/>
          <w:sz w:val="24"/>
          <w:szCs w:val="24"/>
          <w:highlight w:val="white"/>
          <w:lang w:val="en-GB"/>
        </w:rPr>
        <w:t xml:space="preserve">, A., 2020. A systematic literature review on IT outsourcing decision and future research directions. </w:t>
      </w:r>
      <w:r w:rsidRPr="00B20F2E">
        <w:rPr>
          <w:rFonts w:ascii="Times New Roman" w:eastAsia="Times New Roman" w:hAnsi="Times New Roman" w:cs="Times New Roman"/>
          <w:i/>
          <w:color w:val="000000" w:themeColor="text1"/>
          <w:sz w:val="24"/>
          <w:szCs w:val="24"/>
          <w:highlight w:val="white"/>
          <w:lang w:val="en-GB"/>
        </w:rPr>
        <w:t>Journal of Global Information Management (JGIM)</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28</w:t>
      </w:r>
      <w:r w:rsidRPr="00B20F2E">
        <w:rPr>
          <w:rFonts w:ascii="Times New Roman" w:eastAsia="Times New Roman" w:hAnsi="Times New Roman" w:cs="Times New Roman"/>
          <w:color w:val="000000" w:themeColor="text1"/>
          <w:sz w:val="24"/>
          <w:szCs w:val="24"/>
          <w:highlight w:val="white"/>
          <w:lang w:val="en-GB"/>
        </w:rPr>
        <w:t>(2), pp.160-201.</w:t>
      </w:r>
    </w:p>
    <w:p w14:paraId="6EB2E29B"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Instagram, 2024. </w:t>
      </w:r>
      <w:r w:rsidRPr="00B20F2E">
        <w:rPr>
          <w:rFonts w:ascii="Times New Roman" w:eastAsia="Times New Roman" w:hAnsi="Times New Roman" w:cs="Times New Roman"/>
          <w:i/>
          <w:color w:val="000000" w:themeColor="text1"/>
          <w:sz w:val="24"/>
          <w:szCs w:val="24"/>
          <w:lang w:val="en-GB"/>
        </w:rPr>
        <w:t>Instagram page of Milton Sandford Wines Ltd</w:t>
      </w:r>
      <w:r w:rsidRPr="00B20F2E">
        <w:rPr>
          <w:rFonts w:ascii="Times New Roman" w:eastAsia="Times New Roman" w:hAnsi="Times New Roman" w:cs="Times New Roman"/>
          <w:color w:val="000000" w:themeColor="text1"/>
          <w:sz w:val="24"/>
          <w:szCs w:val="24"/>
          <w:lang w:val="en-GB"/>
        </w:rPr>
        <w:t xml:space="preserve">. [Online] Available at:&lt;https://www.instagram.com/miltonsandfordwines/&gt; [Accessed on 26 January 2024] </w:t>
      </w:r>
    </w:p>
    <w:p w14:paraId="5FAC54BC"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Kujala, J., Sachs, S., Leinonen, H., Heikkinen, A. and Laude, D., 2022. Stakeholder engagement: Past, present, and future. </w:t>
      </w:r>
      <w:r w:rsidRPr="00B20F2E">
        <w:rPr>
          <w:rFonts w:ascii="Times New Roman" w:eastAsia="Times New Roman" w:hAnsi="Times New Roman" w:cs="Times New Roman"/>
          <w:i/>
          <w:color w:val="000000" w:themeColor="text1"/>
          <w:sz w:val="24"/>
          <w:szCs w:val="24"/>
          <w:highlight w:val="white"/>
          <w:lang w:val="en-GB"/>
        </w:rPr>
        <w:t>Business &amp; Society</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61</w:t>
      </w:r>
      <w:r w:rsidRPr="00B20F2E">
        <w:rPr>
          <w:rFonts w:ascii="Times New Roman" w:eastAsia="Times New Roman" w:hAnsi="Times New Roman" w:cs="Times New Roman"/>
          <w:color w:val="000000" w:themeColor="text1"/>
          <w:sz w:val="24"/>
          <w:szCs w:val="24"/>
          <w:highlight w:val="white"/>
          <w:lang w:val="en-GB"/>
        </w:rPr>
        <w:t>(5), pp.1136-1196.</w:t>
      </w:r>
    </w:p>
    <w:p w14:paraId="713B9705" w14:textId="77777777" w:rsidR="00240172" w:rsidRPr="00B20F2E" w:rsidRDefault="00240172" w:rsidP="00240172">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lastRenderedPageBreak/>
        <w:t>Kwok, F., Sharma, P., Gaur, S.S. and Ueno, A., 2019. Interactive effects of information exchange, relationship capital and environmental uncertainty on international joint venture (IJV) performance: An emerging markets perspective.</w:t>
      </w:r>
      <w:r w:rsidRPr="00B20F2E">
        <w:rPr>
          <w:rFonts w:ascii="Times New Roman" w:eastAsia="Times New Roman" w:hAnsi="Times New Roman" w:cs="Times New Roman"/>
          <w:i/>
          <w:iCs/>
          <w:color w:val="000000"/>
          <w:sz w:val="24"/>
          <w:szCs w:val="24"/>
          <w:lang w:val="en-GB"/>
        </w:rPr>
        <w:t xml:space="preserve"> International Business Review</w:t>
      </w:r>
      <w:r w:rsidRPr="00B20F2E">
        <w:rPr>
          <w:rFonts w:ascii="Times New Roman" w:eastAsia="Times New Roman" w:hAnsi="Times New Roman" w:cs="Times New Roman"/>
          <w:color w:val="000000"/>
          <w:sz w:val="24"/>
          <w:szCs w:val="24"/>
          <w:lang w:val="en-GB"/>
        </w:rPr>
        <w:t>, 28(5), p.101481.</w:t>
      </w:r>
    </w:p>
    <w:p w14:paraId="161D9C25"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Leonard, T., </w:t>
      </w:r>
      <w:proofErr w:type="spellStart"/>
      <w:r w:rsidRPr="00B20F2E">
        <w:rPr>
          <w:rFonts w:ascii="Times New Roman" w:eastAsia="Times New Roman" w:hAnsi="Times New Roman" w:cs="Times New Roman"/>
          <w:color w:val="000000" w:themeColor="text1"/>
          <w:sz w:val="24"/>
          <w:szCs w:val="24"/>
          <w:highlight w:val="white"/>
          <w:lang w:val="en-GB"/>
        </w:rPr>
        <w:t>Pakpahan</w:t>
      </w:r>
      <w:proofErr w:type="spellEnd"/>
      <w:r w:rsidRPr="00B20F2E">
        <w:rPr>
          <w:rFonts w:ascii="Times New Roman" w:eastAsia="Times New Roman" w:hAnsi="Times New Roman" w:cs="Times New Roman"/>
          <w:color w:val="000000" w:themeColor="text1"/>
          <w:sz w:val="24"/>
          <w:szCs w:val="24"/>
          <w:highlight w:val="white"/>
          <w:lang w:val="en-GB"/>
        </w:rPr>
        <w:t xml:space="preserve">, E.F., </w:t>
      </w:r>
      <w:proofErr w:type="spellStart"/>
      <w:r w:rsidRPr="00B20F2E">
        <w:rPr>
          <w:rFonts w:ascii="Times New Roman" w:eastAsia="Times New Roman" w:hAnsi="Times New Roman" w:cs="Times New Roman"/>
          <w:color w:val="000000" w:themeColor="text1"/>
          <w:sz w:val="24"/>
          <w:szCs w:val="24"/>
          <w:highlight w:val="white"/>
          <w:lang w:val="en-GB"/>
        </w:rPr>
        <w:t>Heriyati</w:t>
      </w:r>
      <w:proofErr w:type="spellEnd"/>
      <w:r w:rsidRPr="00B20F2E">
        <w:rPr>
          <w:rFonts w:ascii="Times New Roman" w:eastAsia="Times New Roman" w:hAnsi="Times New Roman" w:cs="Times New Roman"/>
          <w:color w:val="000000" w:themeColor="text1"/>
          <w:sz w:val="24"/>
          <w:szCs w:val="24"/>
          <w:highlight w:val="white"/>
          <w:lang w:val="en-GB"/>
        </w:rPr>
        <w:t xml:space="preserve">, L.K. and </w:t>
      </w:r>
      <w:proofErr w:type="spellStart"/>
      <w:r w:rsidRPr="00B20F2E">
        <w:rPr>
          <w:rFonts w:ascii="Times New Roman" w:eastAsia="Times New Roman" w:hAnsi="Times New Roman" w:cs="Times New Roman"/>
          <w:color w:val="000000" w:themeColor="text1"/>
          <w:sz w:val="24"/>
          <w:szCs w:val="24"/>
          <w:highlight w:val="white"/>
          <w:lang w:val="en-GB"/>
        </w:rPr>
        <w:t>Handayani</w:t>
      </w:r>
      <w:proofErr w:type="spellEnd"/>
      <w:r w:rsidRPr="00B20F2E">
        <w:rPr>
          <w:rFonts w:ascii="Times New Roman" w:eastAsia="Times New Roman" w:hAnsi="Times New Roman" w:cs="Times New Roman"/>
          <w:color w:val="000000" w:themeColor="text1"/>
          <w:sz w:val="24"/>
          <w:szCs w:val="24"/>
          <w:highlight w:val="white"/>
          <w:lang w:val="en-GB"/>
        </w:rPr>
        <w:t xml:space="preserve">, I.G.A.K.R., 2020. Legal review of share ownership in a joint venture company. </w:t>
      </w:r>
      <w:r w:rsidRPr="00B20F2E">
        <w:rPr>
          <w:rFonts w:ascii="Times New Roman" w:eastAsia="Times New Roman" w:hAnsi="Times New Roman" w:cs="Times New Roman"/>
          <w:i/>
          <w:color w:val="000000" w:themeColor="text1"/>
          <w:sz w:val="24"/>
          <w:szCs w:val="24"/>
          <w:highlight w:val="white"/>
          <w:lang w:val="en-GB"/>
        </w:rPr>
        <w:t>International Journal of Innovation, Creativity and Change</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11</w:t>
      </w:r>
      <w:r w:rsidRPr="00B20F2E">
        <w:rPr>
          <w:rFonts w:ascii="Times New Roman" w:eastAsia="Times New Roman" w:hAnsi="Times New Roman" w:cs="Times New Roman"/>
          <w:color w:val="000000" w:themeColor="text1"/>
          <w:sz w:val="24"/>
          <w:szCs w:val="24"/>
          <w:highlight w:val="white"/>
          <w:lang w:val="en-GB"/>
        </w:rPr>
        <w:t>(8), pp.332-45.</w:t>
      </w:r>
    </w:p>
    <w:p w14:paraId="08FBFEB4" w14:textId="77777777" w:rsidR="00240172" w:rsidRPr="00B20F2E" w:rsidRDefault="00240172" w:rsidP="00240172">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Manca, C., </w:t>
      </w:r>
      <w:proofErr w:type="spellStart"/>
      <w:r w:rsidRPr="00B20F2E">
        <w:rPr>
          <w:rFonts w:ascii="Times New Roman" w:eastAsia="Times New Roman" w:hAnsi="Times New Roman" w:cs="Times New Roman"/>
          <w:color w:val="000000"/>
          <w:sz w:val="24"/>
          <w:szCs w:val="24"/>
          <w:lang w:val="en-GB"/>
        </w:rPr>
        <w:t>Grijalvo</w:t>
      </w:r>
      <w:proofErr w:type="spellEnd"/>
      <w:r w:rsidRPr="00B20F2E">
        <w:rPr>
          <w:rFonts w:ascii="Times New Roman" w:eastAsia="Times New Roman" w:hAnsi="Times New Roman" w:cs="Times New Roman"/>
          <w:color w:val="000000"/>
          <w:sz w:val="24"/>
          <w:szCs w:val="24"/>
          <w:lang w:val="en-GB"/>
        </w:rPr>
        <w:t xml:space="preserve">, M., Palacios, M. and </w:t>
      </w:r>
      <w:proofErr w:type="spellStart"/>
      <w:r w:rsidRPr="00B20F2E">
        <w:rPr>
          <w:rFonts w:ascii="Times New Roman" w:eastAsia="Times New Roman" w:hAnsi="Times New Roman" w:cs="Times New Roman"/>
          <w:color w:val="000000"/>
          <w:sz w:val="24"/>
          <w:szCs w:val="24"/>
          <w:lang w:val="en-GB"/>
        </w:rPr>
        <w:t>Kaulio</w:t>
      </w:r>
      <w:proofErr w:type="spellEnd"/>
      <w:r w:rsidRPr="00B20F2E">
        <w:rPr>
          <w:rFonts w:ascii="Times New Roman" w:eastAsia="Times New Roman" w:hAnsi="Times New Roman" w:cs="Times New Roman"/>
          <w:color w:val="000000"/>
          <w:sz w:val="24"/>
          <w:szCs w:val="24"/>
          <w:lang w:val="en-GB"/>
        </w:rPr>
        <w:t xml:space="preserve">, M., 2018. Collaborative workplaces for innovation in service companies: barriers and enablers for supporting new ways of working. </w:t>
      </w:r>
      <w:r w:rsidRPr="00B20F2E">
        <w:rPr>
          <w:rFonts w:ascii="Times New Roman" w:eastAsia="Times New Roman" w:hAnsi="Times New Roman" w:cs="Times New Roman"/>
          <w:i/>
          <w:iCs/>
          <w:color w:val="000000"/>
          <w:sz w:val="24"/>
          <w:szCs w:val="24"/>
          <w:lang w:val="en-GB"/>
        </w:rPr>
        <w:t>Service Business,</w:t>
      </w:r>
      <w:r w:rsidRPr="00B20F2E">
        <w:rPr>
          <w:rFonts w:ascii="Times New Roman" w:eastAsia="Times New Roman" w:hAnsi="Times New Roman" w:cs="Times New Roman"/>
          <w:color w:val="000000"/>
          <w:sz w:val="24"/>
          <w:szCs w:val="24"/>
          <w:lang w:val="en-GB"/>
        </w:rPr>
        <w:t xml:space="preserve"> 12, pp.525-550.</w:t>
      </w:r>
    </w:p>
    <w:p w14:paraId="4666E8E7"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MSW, 2024. </w:t>
      </w:r>
      <w:r w:rsidRPr="00B20F2E">
        <w:rPr>
          <w:rFonts w:ascii="Times New Roman" w:eastAsia="Times New Roman" w:hAnsi="Times New Roman" w:cs="Times New Roman"/>
          <w:i/>
          <w:color w:val="000000" w:themeColor="text1"/>
          <w:sz w:val="24"/>
          <w:szCs w:val="24"/>
          <w:lang w:val="en-GB"/>
        </w:rPr>
        <w:t xml:space="preserve">About </w:t>
      </w:r>
      <w:r w:rsidRPr="00B20F2E">
        <w:rPr>
          <w:rFonts w:ascii="Times New Roman" w:eastAsia="Times New Roman" w:hAnsi="Times New Roman" w:cs="Times New Roman"/>
          <w:color w:val="000000" w:themeColor="text1"/>
          <w:sz w:val="24"/>
          <w:szCs w:val="24"/>
          <w:lang w:val="en-GB"/>
        </w:rPr>
        <w:t xml:space="preserve">[Online] Available at:&lt;https://www.miltonsandfordwines.com/about-milton-sandford-wines&gt; [Accessed on 26 January 2024] </w:t>
      </w:r>
    </w:p>
    <w:p w14:paraId="7501B185"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MSW, 2024. </w:t>
      </w:r>
      <w:r w:rsidRPr="00B20F2E">
        <w:rPr>
          <w:rFonts w:ascii="Times New Roman" w:eastAsia="Times New Roman" w:hAnsi="Times New Roman" w:cs="Times New Roman"/>
          <w:i/>
          <w:color w:val="000000" w:themeColor="text1"/>
          <w:sz w:val="24"/>
          <w:szCs w:val="24"/>
          <w:lang w:val="en-GB"/>
        </w:rPr>
        <w:t>Browse wines</w:t>
      </w:r>
      <w:r w:rsidRPr="00B20F2E">
        <w:rPr>
          <w:rFonts w:ascii="Times New Roman" w:eastAsia="Times New Roman" w:hAnsi="Times New Roman" w:cs="Times New Roman"/>
          <w:color w:val="000000" w:themeColor="text1"/>
          <w:sz w:val="24"/>
          <w:szCs w:val="24"/>
          <w:lang w:val="en-GB"/>
        </w:rPr>
        <w:t xml:space="preserve"> [Online] Available at:&lt;https://www.miltonsandfordwines.com/browse-wines&gt; [Accessed on 26 January 2024] </w:t>
      </w:r>
    </w:p>
    <w:p w14:paraId="5D041FB8"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MSW, 2024. </w:t>
      </w:r>
      <w:r w:rsidRPr="00B20F2E">
        <w:rPr>
          <w:rFonts w:ascii="Times New Roman" w:eastAsia="Times New Roman" w:hAnsi="Times New Roman" w:cs="Times New Roman"/>
          <w:i/>
          <w:color w:val="000000" w:themeColor="text1"/>
          <w:sz w:val="24"/>
          <w:szCs w:val="24"/>
          <w:lang w:val="en-GB"/>
        </w:rPr>
        <w:t>Company Profile</w:t>
      </w:r>
      <w:r w:rsidRPr="00B20F2E">
        <w:rPr>
          <w:rFonts w:ascii="Times New Roman" w:eastAsia="Times New Roman" w:hAnsi="Times New Roman" w:cs="Times New Roman"/>
          <w:color w:val="000000" w:themeColor="text1"/>
          <w:sz w:val="24"/>
          <w:szCs w:val="24"/>
          <w:lang w:val="en-GB"/>
        </w:rPr>
        <w:t xml:space="preserve"> [Online] Available at:&lt;https://www.miltonsandfordwines.com/&gt; [Accessed on 26 January 2024] </w:t>
      </w:r>
    </w:p>
    <w:p w14:paraId="0241BEF9"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B20F2E">
        <w:rPr>
          <w:rFonts w:ascii="Times New Roman" w:eastAsia="Times New Roman" w:hAnsi="Times New Roman" w:cs="Times New Roman"/>
          <w:color w:val="000000" w:themeColor="text1"/>
          <w:sz w:val="24"/>
          <w:szCs w:val="24"/>
          <w:highlight w:val="white"/>
          <w:lang w:val="en-GB"/>
        </w:rPr>
        <w:t xml:space="preserve">Sadegh, M.H., Shah Hosseini, M.A. and Heidari, A., 2020. Extracting the Effective Factors on Corporate Governance Formation in Strategic Alliances with Focus on International Joint Ventures through Systematic Literature Review. </w:t>
      </w:r>
      <w:r w:rsidRPr="00B20F2E">
        <w:rPr>
          <w:rFonts w:ascii="Times New Roman" w:eastAsia="Times New Roman" w:hAnsi="Times New Roman" w:cs="Times New Roman"/>
          <w:i/>
          <w:color w:val="000000" w:themeColor="text1"/>
          <w:sz w:val="24"/>
          <w:szCs w:val="24"/>
          <w:highlight w:val="white"/>
          <w:lang w:val="en-GB"/>
        </w:rPr>
        <w:t>Journal of Business Management</w:t>
      </w:r>
      <w:r w:rsidRPr="00B20F2E">
        <w:rPr>
          <w:rFonts w:ascii="Times New Roman" w:eastAsia="Times New Roman" w:hAnsi="Times New Roman" w:cs="Times New Roman"/>
          <w:color w:val="000000" w:themeColor="text1"/>
          <w:sz w:val="24"/>
          <w:szCs w:val="24"/>
          <w:highlight w:val="white"/>
          <w:lang w:val="en-GB"/>
        </w:rPr>
        <w:t xml:space="preserve">, </w:t>
      </w:r>
      <w:r w:rsidRPr="00B20F2E">
        <w:rPr>
          <w:rFonts w:ascii="Times New Roman" w:eastAsia="Times New Roman" w:hAnsi="Times New Roman" w:cs="Times New Roman"/>
          <w:i/>
          <w:color w:val="000000" w:themeColor="text1"/>
          <w:sz w:val="24"/>
          <w:szCs w:val="24"/>
          <w:highlight w:val="white"/>
          <w:lang w:val="en-GB"/>
        </w:rPr>
        <w:t>12</w:t>
      </w:r>
      <w:r w:rsidRPr="00B20F2E">
        <w:rPr>
          <w:rFonts w:ascii="Times New Roman" w:eastAsia="Times New Roman" w:hAnsi="Times New Roman" w:cs="Times New Roman"/>
          <w:color w:val="000000" w:themeColor="text1"/>
          <w:sz w:val="24"/>
          <w:szCs w:val="24"/>
          <w:highlight w:val="white"/>
          <w:lang w:val="en-GB"/>
        </w:rPr>
        <w:t>(1), pp.64-93.</w:t>
      </w:r>
    </w:p>
    <w:p w14:paraId="2F4803DD"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Statista, 2024. </w:t>
      </w:r>
      <w:r w:rsidRPr="00B20F2E">
        <w:rPr>
          <w:rFonts w:ascii="Times New Roman" w:eastAsia="Times New Roman" w:hAnsi="Times New Roman" w:cs="Times New Roman"/>
          <w:i/>
          <w:color w:val="000000" w:themeColor="text1"/>
          <w:sz w:val="24"/>
          <w:szCs w:val="24"/>
          <w:lang w:val="en-GB"/>
        </w:rPr>
        <w:t>Fruits and vegetables in the UK</w:t>
      </w:r>
      <w:r w:rsidRPr="00B20F2E">
        <w:rPr>
          <w:rFonts w:ascii="Times New Roman" w:eastAsia="Times New Roman" w:hAnsi="Times New Roman" w:cs="Times New Roman"/>
          <w:color w:val="000000" w:themeColor="text1"/>
          <w:sz w:val="24"/>
          <w:szCs w:val="24"/>
          <w:lang w:val="en-GB"/>
        </w:rPr>
        <w:t xml:space="preserve"> [Online] Available at:&lt;https://www.statista.com/topics/8369/fruit-and-vegetables-in-the-uk/&gt; [Accessed on 26 January 2024] </w:t>
      </w:r>
    </w:p>
    <w:p w14:paraId="78C911F8"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Statista, 2024. </w:t>
      </w:r>
      <w:r w:rsidRPr="00B20F2E">
        <w:rPr>
          <w:rFonts w:ascii="Times New Roman" w:eastAsia="Times New Roman" w:hAnsi="Times New Roman" w:cs="Times New Roman"/>
          <w:i/>
          <w:color w:val="000000" w:themeColor="text1"/>
          <w:sz w:val="24"/>
          <w:szCs w:val="24"/>
          <w:lang w:val="en-GB"/>
        </w:rPr>
        <w:t xml:space="preserve">GDP growth rate </w:t>
      </w:r>
      <w:r w:rsidRPr="00B20F2E">
        <w:rPr>
          <w:rFonts w:ascii="Times New Roman" w:eastAsia="Times New Roman" w:hAnsi="Times New Roman" w:cs="Times New Roman"/>
          <w:color w:val="000000" w:themeColor="text1"/>
          <w:sz w:val="24"/>
          <w:szCs w:val="24"/>
          <w:lang w:val="en-GB"/>
        </w:rPr>
        <w:t xml:space="preserve">[Online] Available at:&lt;https://www.statista.com/statistics/281744/gdp-of-the-united-kingdom/#:~:text=Annual%20GDP%20growth%20figures%20show%20that%20the%20UK,record%209.4%20percent%20fall%20in%20GDP%20in%202020.&gt; [Accessed on 26 January 2024] </w:t>
      </w:r>
    </w:p>
    <w:p w14:paraId="54C36262"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Statista, 2024. </w:t>
      </w:r>
      <w:r w:rsidRPr="00B20F2E">
        <w:rPr>
          <w:rFonts w:ascii="Times New Roman" w:eastAsia="Times New Roman" w:hAnsi="Times New Roman" w:cs="Times New Roman"/>
          <w:i/>
          <w:color w:val="000000" w:themeColor="text1"/>
          <w:sz w:val="24"/>
          <w:szCs w:val="24"/>
          <w:lang w:val="en-GB"/>
        </w:rPr>
        <w:t>Wine in the UK</w:t>
      </w:r>
      <w:r w:rsidRPr="00B20F2E">
        <w:rPr>
          <w:rFonts w:ascii="Times New Roman" w:eastAsia="Times New Roman" w:hAnsi="Times New Roman" w:cs="Times New Roman"/>
          <w:color w:val="000000" w:themeColor="text1"/>
          <w:sz w:val="24"/>
          <w:szCs w:val="24"/>
          <w:lang w:val="en-GB"/>
        </w:rPr>
        <w:t xml:space="preserve"> [Online] Available at:&lt;https://www.statista.com/topics/8241/wine-in-the-united-kingdom/&gt; [Accessed on 26 January 2024] </w:t>
      </w:r>
    </w:p>
    <w:p w14:paraId="66A23D37"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lang w:val="en-GB"/>
        </w:rPr>
      </w:pPr>
      <w:r w:rsidRPr="00B20F2E">
        <w:rPr>
          <w:rFonts w:ascii="Times New Roman" w:eastAsia="Times New Roman" w:hAnsi="Times New Roman" w:cs="Times New Roman"/>
          <w:color w:val="000000" w:themeColor="text1"/>
          <w:sz w:val="24"/>
          <w:szCs w:val="24"/>
          <w:lang w:val="en-GB"/>
        </w:rPr>
        <w:t xml:space="preserve">The Global Economy, 2021. </w:t>
      </w:r>
      <w:r w:rsidRPr="00B20F2E">
        <w:rPr>
          <w:rFonts w:ascii="Times New Roman" w:eastAsia="Times New Roman" w:hAnsi="Times New Roman" w:cs="Times New Roman"/>
          <w:i/>
          <w:color w:val="000000" w:themeColor="text1"/>
          <w:sz w:val="24"/>
          <w:szCs w:val="24"/>
          <w:lang w:val="en-GB"/>
        </w:rPr>
        <w:t>Political Stability of the UK</w:t>
      </w:r>
      <w:r w:rsidRPr="00B20F2E">
        <w:rPr>
          <w:rFonts w:ascii="Times New Roman" w:eastAsia="Times New Roman" w:hAnsi="Times New Roman" w:cs="Times New Roman"/>
          <w:color w:val="000000" w:themeColor="text1"/>
          <w:sz w:val="24"/>
          <w:szCs w:val="24"/>
          <w:lang w:val="en-GB"/>
        </w:rPr>
        <w:t xml:space="preserve"> [Online] Available at:&lt;https://www.theglobaleconomy.com/United-Kingdom/wb_political_stability/&gt; [Accessed on 26 January 2024] </w:t>
      </w:r>
    </w:p>
    <w:p w14:paraId="79134B3B" w14:textId="77777777" w:rsidR="00240172" w:rsidRPr="00B20F2E" w:rsidRDefault="00240172" w:rsidP="00240172">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lastRenderedPageBreak/>
        <w:t xml:space="preserve">The New York Times, 2022. </w:t>
      </w:r>
      <w:r w:rsidRPr="00B20F2E">
        <w:rPr>
          <w:rFonts w:ascii="Times New Roman" w:eastAsia="Times New Roman" w:hAnsi="Times New Roman" w:cs="Times New Roman"/>
          <w:i/>
          <w:iCs/>
          <w:color w:val="000000"/>
          <w:sz w:val="24"/>
          <w:szCs w:val="24"/>
          <w:lang w:val="en-GB"/>
        </w:rPr>
        <w:t xml:space="preserve">Was This $100 Billion Deal the Worst Merger Ever? </w:t>
      </w:r>
      <w:r w:rsidRPr="00B20F2E">
        <w:rPr>
          <w:rFonts w:ascii="Times New Roman" w:eastAsia="Times New Roman" w:hAnsi="Times New Roman" w:cs="Times New Roman"/>
          <w:color w:val="000000"/>
          <w:sz w:val="24"/>
          <w:szCs w:val="24"/>
          <w:lang w:val="en-GB"/>
        </w:rPr>
        <w:t>[Online] Available at:&lt;https://www.nytimes.com/2022/11/19/business/media/att-time-warner-deal.html&gt; [Accessed on 27th January 2024]</w:t>
      </w:r>
    </w:p>
    <w:p w14:paraId="743A17FB" w14:textId="77777777" w:rsidR="00240172" w:rsidRPr="00B20F2E" w:rsidRDefault="00240172" w:rsidP="00240172">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The World of Fine Wine, 2023. </w:t>
      </w:r>
      <w:r w:rsidRPr="00B20F2E">
        <w:rPr>
          <w:rFonts w:ascii="Times New Roman" w:eastAsia="Times New Roman" w:hAnsi="Times New Roman" w:cs="Times New Roman"/>
          <w:i/>
          <w:iCs/>
          <w:color w:val="000000"/>
          <w:sz w:val="24"/>
          <w:szCs w:val="24"/>
          <w:lang w:val="en-GB"/>
        </w:rPr>
        <w:t xml:space="preserve">The effects of climate change on wine production. </w:t>
      </w:r>
      <w:r w:rsidRPr="00B20F2E">
        <w:rPr>
          <w:rFonts w:ascii="Times New Roman" w:eastAsia="Times New Roman" w:hAnsi="Times New Roman" w:cs="Times New Roman"/>
          <w:color w:val="000000"/>
          <w:sz w:val="24"/>
          <w:szCs w:val="24"/>
          <w:lang w:val="en-GB"/>
        </w:rPr>
        <w:t>[Online] Available at:&lt;https://worldoffinewine.com/news-features/climate-change-wine-industry#:~:text=So%2C%20how%20does%20climate%20change,sooner%20than%20they%20used%20to.&gt; [Accessed on 27th January 2024]</w:t>
      </w:r>
    </w:p>
    <w:p w14:paraId="73B6FAA2" w14:textId="77777777" w:rsidR="00240172" w:rsidRPr="00B20F2E" w:rsidRDefault="00240172" w:rsidP="0024017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B20F2E">
        <w:rPr>
          <w:rFonts w:ascii="Times New Roman" w:eastAsia="Times New Roman" w:hAnsi="Times New Roman" w:cs="Times New Roman"/>
          <w:color w:val="000000" w:themeColor="text1"/>
          <w:sz w:val="24"/>
          <w:szCs w:val="24"/>
          <w:highlight w:val="white"/>
          <w:lang w:val="en-GB"/>
        </w:rPr>
        <w:t>Wineeconomist</w:t>
      </w:r>
      <w:proofErr w:type="spellEnd"/>
      <w:r w:rsidRPr="00B20F2E">
        <w:rPr>
          <w:rFonts w:ascii="Times New Roman" w:eastAsia="Times New Roman" w:hAnsi="Times New Roman" w:cs="Times New Roman"/>
          <w:color w:val="000000" w:themeColor="text1"/>
          <w:sz w:val="24"/>
          <w:szCs w:val="24"/>
          <w:highlight w:val="white"/>
          <w:lang w:val="en-GB"/>
        </w:rPr>
        <w:t xml:space="preserve">, 2024. </w:t>
      </w:r>
      <w:r w:rsidRPr="00B20F2E">
        <w:rPr>
          <w:rFonts w:ascii="Times New Roman" w:eastAsia="Times New Roman" w:hAnsi="Times New Roman" w:cs="Times New Roman"/>
          <w:i/>
          <w:color w:val="000000" w:themeColor="text1"/>
          <w:sz w:val="24"/>
          <w:szCs w:val="24"/>
          <w:highlight w:val="white"/>
          <w:lang w:val="en-GB"/>
        </w:rPr>
        <w:t xml:space="preserve">Climate change of the various places </w:t>
      </w:r>
      <w:r w:rsidRPr="00B20F2E">
        <w:rPr>
          <w:rFonts w:ascii="Times New Roman" w:eastAsia="Times New Roman" w:hAnsi="Times New Roman" w:cs="Times New Roman"/>
          <w:color w:val="000000" w:themeColor="text1"/>
          <w:sz w:val="24"/>
          <w:szCs w:val="24"/>
          <w:highlight w:val="white"/>
          <w:lang w:val="en-GB"/>
        </w:rPr>
        <w:t>[Online] Available at:&lt;https://wineeconomist.com/2021/03/23/material-risk2/&gt; [Accessed on 27 January 2024]</w:t>
      </w:r>
    </w:p>
    <w:p w14:paraId="4DB9FBD5" w14:textId="77777777" w:rsidR="007317D9" w:rsidRPr="00B20F2E" w:rsidRDefault="007317D9" w:rsidP="007317D9">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B20F2E">
        <w:rPr>
          <w:rFonts w:ascii="Times New Roman" w:eastAsia="Times New Roman" w:hAnsi="Times New Roman" w:cs="Times New Roman"/>
          <w:b/>
          <w:color w:val="000000" w:themeColor="text1"/>
          <w:sz w:val="24"/>
          <w:szCs w:val="24"/>
          <w:highlight w:val="white"/>
          <w:lang w:val="en-GB"/>
        </w:rPr>
        <w:t>Task 2</w:t>
      </w:r>
    </w:p>
    <w:p w14:paraId="72FEF244"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Arslan, B., 2018. The interplay of competitive and cooperative </w:t>
      </w:r>
      <w:proofErr w:type="spellStart"/>
      <w:r w:rsidRPr="00B20F2E">
        <w:rPr>
          <w:rFonts w:ascii="Times New Roman" w:eastAsia="Times New Roman" w:hAnsi="Times New Roman" w:cs="Times New Roman"/>
          <w:color w:val="000000"/>
          <w:sz w:val="24"/>
          <w:szCs w:val="24"/>
          <w:lang w:val="en-GB"/>
        </w:rPr>
        <w:t>behavior</w:t>
      </w:r>
      <w:proofErr w:type="spellEnd"/>
      <w:r w:rsidRPr="00B20F2E">
        <w:rPr>
          <w:rFonts w:ascii="Times New Roman" w:eastAsia="Times New Roman" w:hAnsi="Times New Roman" w:cs="Times New Roman"/>
          <w:color w:val="000000"/>
          <w:sz w:val="24"/>
          <w:szCs w:val="24"/>
          <w:lang w:val="en-GB"/>
        </w:rPr>
        <w:t xml:space="preserve"> and differential benefits in alliances.</w:t>
      </w:r>
      <w:r w:rsidRPr="00B20F2E">
        <w:rPr>
          <w:rFonts w:ascii="Times New Roman" w:eastAsia="Times New Roman" w:hAnsi="Times New Roman" w:cs="Times New Roman"/>
          <w:i/>
          <w:iCs/>
          <w:color w:val="000000"/>
          <w:sz w:val="24"/>
          <w:szCs w:val="24"/>
          <w:lang w:val="en-GB"/>
        </w:rPr>
        <w:t xml:space="preserve"> Strategic Management Journal</w:t>
      </w:r>
      <w:r w:rsidRPr="00B20F2E">
        <w:rPr>
          <w:rFonts w:ascii="Times New Roman" w:eastAsia="Times New Roman" w:hAnsi="Times New Roman" w:cs="Times New Roman"/>
          <w:color w:val="000000"/>
          <w:sz w:val="24"/>
          <w:szCs w:val="24"/>
          <w:lang w:val="en-GB"/>
        </w:rPr>
        <w:t>, 39(12), pp.3222-3246.</w:t>
      </w:r>
    </w:p>
    <w:p w14:paraId="39A11D61"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Forbes, 2022. </w:t>
      </w:r>
      <w:r w:rsidRPr="00B20F2E">
        <w:rPr>
          <w:rFonts w:ascii="Times New Roman" w:eastAsia="Times New Roman" w:hAnsi="Times New Roman" w:cs="Times New Roman"/>
          <w:i/>
          <w:iCs/>
          <w:color w:val="000000"/>
          <w:sz w:val="24"/>
          <w:szCs w:val="24"/>
          <w:lang w:val="en-GB"/>
        </w:rPr>
        <w:t xml:space="preserve">The Biggest Technology Trends </w:t>
      </w:r>
      <w:proofErr w:type="gramStart"/>
      <w:r w:rsidRPr="00B20F2E">
        <w:rPr>
          <w:rFonts w:ascii="Times New Roman" w:eastAsia="Times New Roman" w:hAnsi="Times New Roman" w:cs="Times New Roman"/>
          <w:i/>
          <w:iCs/>
          <w:color w:val="000000"/>
          <w:sz w:val="24"/>
          <w:szCs w:val="24"/>
          <w:lang w:val="en-GB"/>
        </w:rPr>
        <w:t>In</w:t>
      </w:r>
      <w:proofErr w:type="gramEnd"/>
      <w:r w:rsidRPr="00B20F2E">
        <w:rPr>
          <w:rFonts w:ascii="Times New Roman" w:eastAsia="Times New Roman" w:hAnsi="Times New Roman" w:cs="Times New Roman"/>
          <w:i/>
          <w:iCs/>
          <w:color w:val="000000"/>
          <w:sz w:val="24"/>
          <w:szCs w:val="24"/>
          <w:lang w:val="en-GB"/>
        </w:rPr>
        <w:t xml:space="preserve"> Wine And Winemaking. </w:t>
      </w:r>
      <w:r w:rsidRPr="00B20F2E">
        <w:rPr>
          <w:rFonts w:ascii="Times New Roman" w:eastAsia="Times New Roman" w:hAnsi="Times New Roman" w:cs="Times New Roman"/>
          <w:color w:val="000000"/>
          <w:sz w:val="24"/>
          <w:szCs w:val="24"/>
          <w:lang w:val="en-GB"/>
        </w:rPr>
        <w:t>[Online] Available at:&lt;https://www.forbes.com/sites/bernardmarr/2022/05/18/the-biggest-technology-trends-in-wine-and-winemaking/?sh=24d1de484e46&gt; [Accessed on 27th January 2024]</w:t>
      </w:r>
    </w:p>
    <w:p w14:paraId="74F0E3AF"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Gov, 2023. </w:t>
      </w:r>
      <w:r w:rsidRPr="00B20F2E">
        <w:rPr>
          <w:rFonts w:ascii="Times New Roman" w:eastAsia="Times New Roman" w:hAnsi="Times New Roman" w:cs="Times New Roman"/>
          <w:i/>
          <w:iCs/>
          <w:color w:val="000000"/>
          <w:sz w:val="24"/>
          <w:szCs w:val="24"/>
          <w:lang w:val="en-GB"/>
        </w:rPr>
        <w:t xml:space="preserve">Government supportive policies. </w:t>
      </w:r>
      <w:r w:rsidRPr="00B20F2E">
        <w:rPr>
          <w:rFonts w:ascii="Times New Roman" w:eastAsia="Times New Roman" w:hAnsi="Times New Roman" w:cs="Times New Roman"/>
          <w:color w:val="000000"/>
          <w:sz w:val="24"/>
          <w:szCs w:val="24"/>
          <w:lang w:val="en-GB"/>
        </w:rPr>
        <w:t>[Online] Available at:&lt;https://assets.publishing.service.gov.uk/media/5e9ff7aee90e07048c84e79f/Preparing_for_our_future_UK_trade_policy_Report_Web_Accessible.pdf&gt; [Accessed on 27th January 2024]</w:t>
      </w:r>
    </w:p>
    <w:p w14:paraId="585B9B6C"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Ibrahim, A.U. and Daniel, C.O., 2019. Impact of leadership on organisational performance. </w:t>
      </w:r>
      <w:r w:rsidRPr="00B20F2E">
        <w:rPr>
          <w:rFonts w:ascii="Times New Roman" w:eastAsia="Times New Roman" w:hAnsi="Times New Roman" w:cs="Times New Roman"/>
          <w:i/>
          <w:iCs/>
          <w:color w:val="000000"/>
          <w:sz w:val="24"/>
          <w:szCs w:val="24"/>
          <w:lang w:val="en-GB"/>
        </w:rPr>
        <w:t>International Journal of Business, Management and Social Research</w:t>
      </w:r>
      <w:r w:rsidRPr="00B20F2E">
        <w:rPr>
          <w:rFonts w:ascii="Times New Roman" w:eastAsia="Times New Roman" w:hAnsi="Times New Roman" w:cs="Times New Roman"/>
          <w:color w:val="000000"/>
          <w:sz w:val="24"/>
          <w:szCs w:val="24"/>
          <w:lang w:val="en-GB"/>
        </w:rPr>
        <w:t>, 6(2), pp.367-374.</w:t>
      </w:r>
    </w:p>
    <w:p w14:paraId="4D6658F9"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Medium, 2023. </w:t>
      </w:r>
      <w:r w:rsidRPr="00B20F2E">
        <w:rPr>
          <w:rFonts w:ascii="Times New Roman" w:eastAsia="Times New Roman" w:hAnsi="Times New Roman" w:cs="Times New Roman"/>
          <w:i/>
          <w:iCs/>
          <w:color w:val="000000"/>
          <w:sz w:val="24"/>
          <w:szCs w:val="24"/>
          <w:lang w:val="en-GB"/>
        </w:rPr>
        <w:t xml:space="preserve">UK wine </w:t>
      </w:r>
      <w:proofErr w:type="gramStart"/>
      <w:r w:rsidRPr="00B20F2E">
        <w:rPr>
          <w:rFonts w:ascii="Times New Roman" w:eastAsia="Times New Roman" w:hAnsi="Times New Roman" w:cs="Times New Roman"/>
          <w:i/>
          <w:iCs/>
          <w:color w:val="000000"/>
          <w:sz w:val="24"/>
          <w:szCs w:val="24"/>
          <w:lang w:val="en-GB"/>
        </w:rPr>
        <w:t>Market :</w:t>
      </w:r>
      <w:proofErr w:type="gramEnd"/>
      <w:r w:rsidRPr="00B20F2E">
        <w:rPr>
          <w:rFonts w:ascii="Times New Roman" w:eastAsia="Times New Roman" w:hAnsi="Times New Roman" w:cs="Times New Roman"/>
          <w:i/>
          <w:iCs/>
          <w:color w:val="000000"/>
          <w:sz w:val="24"/>
          <w:szCs w:val="24"/>
          <w:lang w:val="en-GB"/>
        </w:rPr>
        <w:t xml:space="preserve"> An </w:t>
      </w:r>
      <w:proofErr w:type="spellStart"/>
      <w:r w:rsidRPr="00B20F2E">
        <w:rPr>
          <w:rFonts w:ascii="Times New Roman" w:eastAsia="Times New Roman" w:hAnsi="Times New Roman" w:cs="Times New Roman"/>
          <w:i/>
          <w:iCs/>
          <w:color w:val="000000"/>
          <w:sz w:val="24"/>
          <w:szCs w:val="24"/>
          <w:lang w:val="en-GB"/>
        </w:rPr>
        <w:t>Compehensive</w:t>
      </w:r>
      <w:proofErr w:type="spellEnd"/>
      <w:r w:rsidRPr="00B20F2E">
        <w:rPr>
          <w:rFonts w:ascii="Times New Roman" w:eastAsia="Times New Roman" w:hAnsi="Times New Roman" w:cs="Times New Roman"/>
          <w:i/>
          <w:iCs/>
          <w:color w:val="000000"/>
          <w:sz w:val="24"/>
          <w:szCs w:val="24"/>
          <w:lang w:val="en-GB"/>
        </w:rPr>
        <w:t xml:space="preserve"> Overview. </w:t>
      </w:r>
      <w:r w:rsidRPr="00B20F2E">
        <w:rPr>
          <w:rFonts w:ascii="Times New Roman" w:eastAsia="Times New Roman" w:hAnsi="Times New Roman" w:cs="Times New Roman"/>
          <w:color w:val="000000"/>
          <w:sz w:val="24"/>
          <w:szCs w:val="24"/>
          <w:lang w:val="en-GB"/>
        </w:rPr>
        <w:t>[Online] Available at:&lt;https://medium.com/@sivasankarsmart6/uk-wine-market-an-compehensive-overview-8bf8bcb628e1&gt; [Accessed on 27th January 2024]</w:t>
      </w:r>
    </w:p>
    <w:p w14:paraId="6A702105"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Milton Sandford Wines, 2023. </w:t>
      </w:r>
      <w:r w:rsidRPr="00B20F2E">
        <w:rPr>
          <w:rFonts w:ascii="Times New Roman" w:eastAsia="Times New Roman" w:hAnsi="Times New Roman" w:cs="Times New Roman"/>
          <w:i/>
          <w:iCs/>
          <w:color w:val="000000"/>
          <w:sz w:val="24"/>
          <w:szCs w:val="24"/>
          <w:lang w:val="en-GB"/>
        </w:rPr>
        <w:t xml:space="preserve">About us. </w:t>
      </w:r>
      <w:r w:rsidRPr="00B20F2E">
        <w:rPr>
          <w:rFonts w:ascii="Times New Roman" w:eastAsia="Times New Roman" w:hAnsi="Times New Roman" w:cs="Times New Roman"/>
          <w:color w:val="000000"/>
          <w:sz w:val="24"/>
          <w:szCs w:val="24"/>
          <w:lang w:val="en-GB"/>
        </w:rPr>
        <w:t>[Online] Available at:&lt;</w:t>
      </w:r>
      <w:r w:rsidR="00A4023E" w:rsidRPr="00B20F2E">
        <w:rPr>
          <w:lang w:val="en-GB"/>
        </w:rPr>
        <w:t xml:space="preserve"> </w:t>
      </w:r>
      <w:r w:rsidR="00A4023E" w:rsidRPr="00B20F2E">
        <w:rPr>
          <w:rFonts w:ascii="Times New Roman" w:eastAsia="Times New Roman" w:hAnsi="Times New Roman" w:cs="Times New Roman"/>
          <w:color w:val="000000"/>
          <w:sz w:val="24"/>
          <w:szCs w:val="24"/>
          <w:lang w:val="en-GB"/>
        </w:rPr>
        <w:t>https://www.miltonsandfordwines.com/milton-sandford-wines</w:t>
      </w:r>
      <w:r w:rsidRPr="00B20F2E">
        <w:rPr>
          <w:rFonts w:ascii="Times New Roman" w:eastAsia="Times New Roman" w:hAnsi="Times New Roman" w:cs="Times New Roman"/>
          <w:color w:val="000000"/>
          <w:sz w:val="24"/>
          <w:szCs w:val="24"/>
          <w:lang w:val="en-GB"/>
        </w:rPr>
        <w:t>&gt; [Accessed on 27th January 2024]</w:t>
      </w:r>
    </w:p>
    <w:p w14:paraId="6AAFB17A"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Mohd Adnan, S.N.S. and Valliappan, R., 2019. Communicating shared vision and leadership styles towards enhancing performance. </w:t>
      </w:r>
      <w:r w:rsidRPr="00B20F2E">
        <w:rPr>
          <w:rFonts w:ascii="Times New Roman" w:eastAsia="Times New Roman" w:hAnsi="Times New Roman" w:cs="Times New Roman"/>
          <w:i/>
          <w:iCs/>
          <w:color w:val="000000"/>
          <w:sz w:val="24"/>
          <w:szCs w:val="24"/>
          <w:lang w:val="en-GB"/>
        </w:rPr>
        <w:t>International Journal of Productivity and Performance Management,</w:t>
      </w:r>
      <w:r w:rsidRPr="00B20F2E">
        <w:rPr>
          <w:rFonts w:ascii="Times New Roman" w:eastAsia="Times New Roman" w:hAnsi="Times New Roman" w:cs="Times New Roman"/>
          <w:color w:val="000000"/>
          <w:sz w:val="24"/>
          <w:szCs w:val="24"/>
          <w:lang w:val="en-GB"/>
        </w:rPr>
        <w:t xml:space="preserve"> 68(6), pp.1042-1056.</w:t>
      </w:r>
    </w:p>
    <w:p w14:paraId="71388E67"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MSW, 2022. </w:t>
      </w:r>
      <w:r w:rsidRPr="00B20F2E">
        <w:rPr>
          <w:rFonts w:ascii="Times New Roman" w:eastAsia="Times New Roman" w:hAnsi="Times New Roman" w:cs="Times New Roman"/>
          <w:i/>
          <w:iCs/>
          <w:color w:val="000000"/>
          <w:sz w:val="24"/>
          <w:szCs w:val="24"/>
          <w:lang w:val="en-GB"/>
        </w:rPr>
        <w:t xml:space="preserve">SECRET FEASTS AT PERON NO.4. </w:t>
      </w:r>
      <w:r w:rsidRPr="00B20F2E">
        <w:rPr>
          <w:rFonts w:ascii="Times New Roman" w:eastAsia="Times New Roman" w:hAnsi="Times New Roman" w:cs="Times New Roman"/>
          <w:color w:val="000000"/>
          <w:sz w:val="24"/>
          <w:szCs w:val="24"/>
          <w:lang w:val="en-GB"/>
        </w:rPr>
        <w:t>[Online] Available at:&lt;https://www.miltonsandfordwines.com/events/secret-feasts-peron-no4&gt; [Accessed on 27th January 2024]</w:t>
      </w:r>
    </w:p>
    <w:p w14:paraId="21BBF3A4"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lastRenderedPageBreak/>
        <w:t xml:space="preserve">MSW, 2022. </w:t>
      </w:r>
      <w:r w:rsidRPr="00B20F2E">
        <w:rPr>
          <w:rFonts w:ascii="Times New Roman" w:eastAsia="Times New Roman" w:hAnsi="Times New Roman" w:cs="Times New Roman"/>
          <w:i/>
          <w:iCs/>
          <w:color w:val="000000"/>
          <w:sz w:val="24"/>
          <w:szCs w:val="24"/>
          <w:lang w:val="en-GB"/>
        </w:rPr>
        <w:t xml:space="preserve">What is happening within the company?  </w:t>
      </w:r>
      <w:r w:rsidRPr="00B20F2E">
        <w:rPr>
          <w:rFonts w:ascii="Times New Roman" w:eastAsia="Times New Roman" w:hAnsi="Times New Roman" w:cs="Times New Roman"/>
          <w:color w:val="000000"/>
          <w:sz w:val="24"/>
          <w:szCs w:val="24"/>
          <w:lang w:val="en-GB"/>
        </w:rPr>
        <w:t>[Online] Available at:&lt;https://www.miltonsandfordwines.com/what-s-happening&gt; [Accessed on 27th January 2024]</w:t>
      </w:r>
    </w:p>
    <w:p w14:paraId="427E958C"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Peace, A., Ramirez, A., Broeren, M.L., Coleman, N., Chaput, I., Rydberg, T. and </w:t>
      </w:r>
      <w:proofErr w:type="spellStart"/>
      <w:r w:rsidRPr="00B20F2E">
        <w:rPr>
          <w:rFonts w:ascii="Times New Roman" w:eastAsia="Times New Roman" w:hAnsi="Times New Roman" w:cs="Times New Roman"/>
          <w:color w:val="000000"/>
          <w:sz w:val="24"/>
          <w:szCs w:val="24"/>
          <w:lang w:val="en-GB"/>
        </w:rPr>
        <w:t>Sauvion</w:t>
      </w:r>
      <w:proofErr w:type="spellEnd"/>
      <w:r w:rsidRPr="00B20F2E">
        <w:rPr>
          <w:rFonts w:ascii="Times New Roman" w:eastAsia="Times New Roman" w:hAnsi="Times New Roman" w:cs="Times New Roman"/>
          <w:color w:val="000000"/>
          <w:sz w:val="24"/>
          <w:szCs w:val="24"/>
          <w:lang w:val="en-GB"/>
        </w:rPr>
        <w:t xml:space="preserve">, G.N., 2018. Everyday Industry—Pragmatic approaches for integrating sustainability into industry decision-making. </w:t>
      </w:r>
      <w:r w:rsidRPr="00B20F2E">
        <w:rPr>
          <w:rFonts w:ascii="Times New Roman" w:eastAsia="Times New Roman" w:hAnsi="Times New Roman" w:cs="Times New Roman"/>
          <w:i/>
          <w:iCs/>
          <w:color w:val="000000"/>
          <w:sz w:val="24"/>
          <w:szCs w:val="24"/>
          <w:lang w:val="en-GB"/>
        </w:rPr>
        <w:t>Sustainable Production and Consumption</w:t>
      </w:r>
      <w:r w:rsidRPr="00B20F2E">
        <w:rPr>
          <w:rFonts w:ascii="Times New Roman" w:eastAsia="Times New Roman" w:hAnsi="Times New Roman" w:cs="Times New Roman"/>
          <w:color w:val="000000"/>
          <w:sz w:val="24"/>
          <w:szCs w:val="24"/>
          <w:lang w:val="en-GB"/>
        </w:rPr>
        <w:t>, 13, pp.93-101.</w:t>
      </w:r>
    </w:p>
    <w:p w14:paraId="0D3BF3D4" w14:textId="77777777" w:rsidR="007317D9" w:rsidRPr="00B20F2E" w:rsidRDefault="007317D9" w:rsidP="007317D9">
      <w:pPr>
        <w:spacing w:line="360" w:lineRule="auto"/>
        <w:jc w:val="both"/>
        <w:rPr>
          <w:rFonts w:ascii="Times New Roman" w:eastAsia="Times New Roman" w:hAnsi="Times New Roman" w:cs="Times New Roman"/>
          <w:sz w:val="24"/>
          <w:szCs w:val="24"/>
          <w:lang w:val="en-GB"/>
        </w:rPr>
      </w:pPr>
      <w:r w:rsidRPr="00B20F2E">
        <w:rPr>
          <w:rFonts w:ascii="Times New Roman" w:eastAsia="Times New Roman" w:hAnsi="Times New Roman" w:cs="Times New Roman"/>
          <w:color w:val="000000"/>
          <w:sz w:val="24"/>
          <w:szCs w:val="24"/>
          <w:lang w:val="en-GB"/>
        </w:rPr>
        <w:t xml:space="preserve">Statista, 2024. </w:t>
      </w:r>
      <w:r w:rsidRPr="00B20F2E">
        <w:rPr>
          <w:rFonts w:ascii="Times New Roman" w:eastAsia="Times New Roman" w:hAnsi="Times New Roman" w:cs="Times New Roman"/>
          <w:i/>
          <w:iCs/>
          <w:color w:val="000000"/>
          <w:sz w:val="24"/>
          <w:szCs w:val="24"/>
          <w:lang w:val="en-GB"/>
        </w:rPr>
        <w:t xml:space="preserve">The volume of Wine market. </w:t>
      </w:r>
      <w:r w:rsidRPr="00B20F2E">
        <w:rPr>
          <w:rFonts w:ascii="Times New Roman" w:eastAsia="Times New Roman" w:hAnsi="Times New Roman" w:cs="Times New Roman"/>
          <w:color w:val="000000"/>
          <w:sz w:val="24"/>
          <w:szCs w:val="24"/>
          <w:lang w:val="en-GB"/>
        </w:rPr>
        <w:t>[Online] Available at:&lt;https://www.statista.com/outlook/cmo/alcoholic-drinks/wine/united-kingdom#:~:text=The%20volume%20of%20Wine%2</w:t>
      </w:r>
      <w:r w:rsidR="00A4023E" w:rsidRPr="00B20F2E">
        <w:rPr>
          <w:rFonts w:ascii="Times New Roman" w:eastAsia="Times New Roman" w:hAnsi="Times New Roman" w:cs="Times New Roman"/>
          <w:color w:val="000000"/>
          <w:sz w:val="24"/>
          <w:szCs w:val="24"/>
          <w:lang w:val="en-GB"/>
        </w:rPr>
        <w:t>0market,be%2014.17L%20in%202024</w:t>
      </w:r>
      <w:r w:rsidRPr="00B20F2E">
        <w:rPr>
          <w:rFonts w:ascii="Times New Roman" w:eastAsia="Times New Roman" w:hAnsi="Times New Roman" w:cs="Times New Roman"/>
          <w:color w:val="000000"/>
          <w:sz w:val="24"/>
          <w:szCs w:val="24"/>
          <w:lang w:val="en-GB"/>
        </w:rPr>
        <w:t>&gt; [Accessed on 27th January 2024]</w:t>
      </w:r>
    </w:p>
    <w:sectPr w:rsidR="007317D9" w:rsidRPr="00B20F2E" w:rsidSect="0075598A">
      <w:footerReference w:type="default" r:id="rId41"/>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1A33C" w14:textId="77777777" w:rsidR="008A0F24" w:rsidRDefault="008A0F24" w:rsidP="00553BEC">
      <w:pPr>
        <w:spacing w:line="240" w:lineRule="auto"/>
      </w:pPr>
      <w:r>
        <w:separator/>
      </w:r>
    </w:p>
  </w:endnote>
  <w:endnote w:type="continuationSeparator" w:id="0">
    <w:p w14:paraId="4BB051DE" w14:textId="77777777" w:rsidR="008A0F24" w:rsidRDefault="008A0F24" w:rsidP="00553B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571348"/>
      <w:docPartObj>
        <w:docPartGallery w:val="Page Numbers (Bottom of Page)"/>
        <w:docPartUnique/>
      </w:docPartObj>
    </w:sdtPr>
    <w:sdtEndPr>
      <w:rPr>
        <w:noProof/>
      </w:rPr>
    </w:sdtEndPr>
    <w:sdtContent>
      <w:p w14:paraId="75DEC3BA" w14:textId="77777777" w:rsidR="00553BEC" w:rsidRDefault="00E45D1E">
        <w:pPr>
          <w:pStyle w:val="Footer"/>
          <w:jc w:val="right"/>
        </w:pPr>
        <w:r>
          <w:fldChar w:fldCharType="begin"/>
        </w:r>
        <w:r w:rsidR="00553BEC">
          <w:instrText xml:space="preserve"> PAGE   \* MERGEFORMAT </w:instrText>
        </w:r>
        <w:r>
          <w:fldChar w:fldCharType="separate"/>
        </w:r>
        <w:r w:rsidR="00B17B1E">
          <w:rPr>
            <w:noProof/>
          </w:rPr>
          <w:t>18</w:t>
        </w:r>
        <w:r>
          <w:rPr>
            <w:noProof/>
          </w:rPr>
          <w:fldChar w:fldCharType="end"/>
        </w:r>
      </w:p>
    </w:sdtContent>
  </w:sdt>
  <w:p w14:paraId="7E07B725" w14:textId="77777777" w:rsidR="00553BEC" w:rsidRDefault="00553B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A665C" w14:textId="77777777" w:rsidR="008A0F24" w:rsidRDefault="008A0F24" w:rsidP="00553BEC">
      <w:pPr>
        <w:spacing w:line="240" w:lineRule="auto"/>
      </w:pPr>
      <w:r>
        <w:separator/>
      </w:r>
    </w:p>
  </w:footnote>
  <w:footnote w:type="continuationSeparator" w:id="0">
    <w:p w14:paraId="16E8EBCE" w14:textId="77777777" w:rsidR="008A0F24" w:rsidRDefault="008A0F24" w:rsidP="00553B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70AD3"/>
    <w:multiLevelType w:val="hybridMultilevel"/>
    <w:tmpl w:val="07CED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FD4310"/>
    <w:multiLevelType w:val="hybridMultilevel"/>
    <w:tmpl w:val="00000000"/>
    <w:lvl w:ilvl="0" w:tplc="5032249C">
      <w:start w:val="1"/>
      <w:numFmt w:val="bullet"/>
      <w:lvlText w:val="●"/>
      <w:lvlJc w:val="left"/>
      <w:pPr>
        <w:ind w:left="720" w:hanging="360"/>
      </w:pPr>
      <w:rPr>
        <w:u w:val="none"/>
      </w:rPr>
    </w:lvl>
    <w:lvl w:ilvl="1" w:tplc="F998BE4C">
      <w:start w:val="1"/>
      <w:numFmt w:val="bullet"/>
      <w:lvlText w:val="○"/>
      <w:lvlJc w:val="left"/>
      <w:pPr>
        <w:ind w:left="1440" w:hanging="360"/>
      </w:pPr>
      <w:rPr>
        <w:u w:val="none"/>
      </w:rPr>
    </w:lvl>
    <w:lvl w:ilvl="2" w:tplc="1974CF5A">
      <w:start w:val="1"/>
      <w:numFmt w:val="bullet"/>
      <w:lvlText w:val="■"/>
      <w:lvlJc w:val="left"/>
      <w:pPr>
        <w:ind w:left="2160" w:hanging="360"/>
      </w:pPr>
      <w:rPr>
        <w:u w:val="none"/>
      </w:rPr>
    </w:lvl>
    <w:lvl w:ilvl="3" w:tplc="652EFFB8">
      <w:start w:val="1"/>
      <w:numFmt w:val="bullet"/>
      <w:lvlText w:val="●"/>
      <w:lvlJc w:val="left"/>
      <w:pPr>
        <w:ind w:left="2880" w:hanging="360"/>
      </w:pPr>
      <w:rPr>
        <w:u w:val="none"/>
      </w:rPr>
    </w:lvl>
    <w:lvl w:ilvl="4" w:tplc="F936263A">
      <w:start w:val="1"/>
      <w:numFmt w:val="bullet"/>
      <w:lvlText w:val="○"/>
      <w:lvlJc w:val="left"/>
      <w:pPr>
        <w:ind w:left="3600" w:hanging="360"/>
      </w:pPr>
      <w:rPr>
        <w:u w:val="none"/>
      </w:rPr>
    </w:lvl>
    <w:lvl w:ilvl="5" w:tplc="D5F46ABC">
      <w:start w:val="1"/>
      <w:numFmt w:val="bullet"/>
      <w:lvlText w:val="■"/>
      <w:lvlJc w:val="left"/>
      <w:pPr>
        <w:ind w:left="4320" w:hanging="360"/>
      </w:pPr>
      <w:rPr>
        <w:u w:val="none"/>
      </w:rPr>
    </w:lvl>
    <w:lvl w:ilvl="6" w:tplc="4A62170E">
      <w:start w:val="1"/>
      <w:numFmt w:val="bullet"/>
      <w:lvlText w:val="●"/>
      <w:lvlJc w:val="left"/>
      <w:pPr>
        <w:ind w:left="5040" w:hanging="360"/>
      </w:pPr>
      <w:rPr>
        <w:u w:val="none"/>
      </w:rPr>
    </w:lvl>
    <w:lvl w:ilvl="7" w:tplc="DEBA11B6">
      <w:start w:val="1"/>
      <w:numFmt w:val="bullet"/>
      <w:lvlText w:val="○"/>
      <w:lvlJc w:val="left"/>
      <w:pPr>
        <w:ind w:left="5760" w:hanging="360"/>
      </w:pPr>
      <w:rPr>
        <w:u w:val="none"/>
      </w:rPr>
    </w:lvl>
    <w:lvl w:ilvl="8" w:tplc="B19083DC">
      <w:start w:val="1"/>
      <w:numFmt w:val="bullet"/>
      <w:lvlText w:val="■"/>
      <w:lvlJc w:val="left"/>
      <w:pPr>
        <w:ind w:left="6480" w:hanging="360"/>
      </w:pPr>
      <w:rPr>
        <w:u w:val="none"/>
      </w:rPr>
    </w:lvl>
  </w:abstractNum>
  <w:abstractNum w:abstractNumId="2" w15:restartNumberingAfterBreak="0">
    <w:nsid w:val="24582EE0"/>
    <w:multiLevelType w:val="hybridMultilevel"/>
    <w:tmpl w:val="00000000"/>
    <w:lvl w:ilvl="0" w:tplc="29FE79AC">
      <w:start w:val="1"/>
      <w:numFmt w:val="bullet"/>
      <w:lvlText w:val="●"/>
      <w:lvlJc w:val="left"/>
      <w:pPr>
        <w:ind w:left="720" w:hanging="360"/>
      </w:pPr>
      <w:rPr>
        <w:u w:val="none"/>
      </w:rPr>
    </w:lvl>
    <w:lvl w:ilvl="1" w:tplc="61CC41B4">
      <w:start w:val="1"/>
      <w:numFmt w:val="bullet"/>
      <w:lvlText w:val="○"/>
      <w:lvlJc w:val="left"/>
      <w:pPr>
        <w:ind w:left="1440" w:hanging="360"/>
      </w:pPr>
      <w:rPr>
        <w:u w:val="none"/>
      </w:rPr>
    </w:lvl>
    <w:lvl w:ilvl="2" w:tplc="F53E033A">
      <w:start w:val="1"/>
      <w:numFmt w:val="bullet"/>
      <w:lvlText w:val="■"/>
      <w:lvlJc w:val="left"/>
      <w:pPr>
        <w:ind w:left="2160" w:hanging="360"/>
      </w:pPr>
      <w:rPr>
        <w:u w:val="none"/>
      </w:rPr>
    </w:lvl>
    <w:lvl w:ilvl="3" w:tplc="1D4E95EE">
      <w:start w:val="1"/>
      <w:numFmt w:val="bullet"/>
      <w:lvlText w:val="●"/>
      <w:lvlJc w:val="left"/>
      <w:pPr>
        <w:ind w:left="2880" w:hanging="360"/>
      </w:pPr>
      <w:rPr>
        <w:u w:val="none"/>
      </w:rPr>
    </w:lvl>
    <w:lvl w:ilvl="4" w:tplc="33DAC23E">
      <w:start w:val="1"/>
      <w:numFmt w:val="bullet"/>
      <w:lvlText w:val="○"/>
      <w:lvlJc w:val="left"/>
      <w:pPr>
        <w:ind w:left="3600" w:hanging="360"/>
      </w:pPr>
      <w:rPr>
        <w:u w:val="none"/>
      </w:rPr>
    </w:lvl>
    <w:lvl w:ilvl="5" w:tplc="679400F2">
      <w:start w:val="1"/>
      <w:numFmt w:val="bullet"/>
      <w:lvlText w:val="■"/>
      <w:lvlJc w:val="left"/>
      <w:pPr>
        <w:ind w:left="4320" w:hanging="360"/>
      </w:pPr>
      <w:rPr>
        <w:u w:val="none"/>
      </w:rPr>
    </w:lvl>
    <w:lvl w:ilvl="6" w:tplc="B3FA17F4">
      <w:start w:val="1"/>
      <w:numFmt w:val="bullet"/>
      <w:lvlText w:val="●"/>
      <w:lvlJc w:val="left"/>
      <w:pPr>
        <w:ind w:left="5040" w:hanging="360"/>
      </w:pPr>
      <w:rPr>
        <w:u w:val="none"/>
      </w:rPr>
    </w:lvl>
    <w:lvl w:ilvl="7" w:tplc="6AE08282">
      <w:start w:val="1"/>
      <w:numFmt w:val="bullet"/>
      <w:lvlText w:val="○"/>
      <w:lvlJc w:val="left"/>
      <w:pPr>
        <w:ind w:left="5760" w:hanging="360"/>
      </w:pPr>
      <w:rPr>
        <w:u w:val="none"/>
      </w:rPr>
    </w:lvl>
    <w:lvl w:ilvl="8" w:tplc="1E2CC3AC">
      <w:start w:val="1"/>
      <w:numFmt w:val="bullet"/>
      <w:lvlText w:val="■"/>
      <w:lvlJc w:val="left"/>
      <w:pPr>
        <w:ind w:left="6480" w:hanging="360"/>
      </w:pPr>
      <w:rPr>
        <w:u w:val="none"/>
      </w:rPr>
    </w:lvl>
  </w:abstractNum>
  <w:abstractNum w:abstractNumId="3" w15:restartNumberingAfterBreak="0">
    <w:nsid w:val="2B27CDF0"/>
    <w:multiLevelType w:val="hybridMultilevel"/>
    <w:tmpl w:val="00000000"/>
    <w:lvl w:ilvl="0" w:tplc="00AC169C">
      <w:start w:val="1"/>
      <w:numFmt w:val="bullet"/>
      <w:lvlText w:val="●"/>
      <w:lvlJc w:val="left"/>
      <w:pPr>
        <w:ind w:left="720" w:hanging="360"/>
      </w:pPr>
      <w:rPr>
        <w:u w:val="none"/>
      </w:rPr>
    </w:lvl>
    <w:lvl w:ilvl="1" w:tplc="D83E6FE4">
      <w:start w:val="1"/>
      <w:numFmt w:val="bullet"/>
      <w:lvlText w:val="○"/>
      <w:lvlJc w:val="left"/>
      <w:pPr>
        <w:ind w:left="1440" w:hanging="360"/>
      </w:pPr>
      <w:rPr>
        <w:u w:val="none"/>
      </w:rPr>
    </w:lvl>
    <w:lvl w:ilvl="2" w:tplc="E6FAB2A8">
      <w:start w:val="1"/>
      <w:numFmt w:val="bullet"/>
      <w:lvlText w:val="■"/>
      <w:lvlJc w:val="left"/>
      <w:pPr>
        <w:ind w:left="2160" w:hanging="360"/>
      </w:pPr>
      <w:rPr>
        <w:u w:val="none"/>
      </w:rPr>
    </w:lvl>
    <w:lvl w:ilvl="3" w:tplc="47E46A40">
      <w:start w:val="1"/>
      <w:numFmt w:val="bullet"/>
      <w:lvlText w:val="●"/>
      <w:lvlJc w:val="left"/>
      <w:pPr>
        <w:ind w:left="2880" w:hanging="360"/>
      </w:pPr>
      <w:rPr>
        <w:u w:val="none"/>
      </w:rPr>
    </w:lvl>
    <w:lvl w:ilvl="4" w:tplc="9C12F452">
      <w:start w:val="1"/>
      <w:numFmt w:val="bullet"/>
      <w:lvlText w:val="○"/>
      <w:lvlJc w:val="left"/>
      <w:pPr>
        <w:ind w:left="3600" w:hanging="360"/>
      </w:pPr>
      <w:rPr>
        <w:u w:val="none"/>
      </w:rPr>
    </w:lvl>
    <w:lvl w:ilvl="5" w:tplc="B87040C6">
      <w:start w:val="1"/>
      <w:numFmt w:val="bullet"/>
      <w:lvlText w:val="■"/>
      <w:lvlJc w:val="left"/>
      <w:pPr>
        <w:ind w:left="4320" w:hanging="360"/>
      </w:pPr>
      <w:rPr>
        <w:u w:val="none"/>
      </w:rPr>
    </w:lvl>
    <w:lvl w:ilvl="6" w:tplc="5434B574">
      <w:start w:val="1"/>
      <w:numFmt w:val="bullet"/>
      <w:lvlText w:val="●"/>
      <w:lvlJc w:val="left"/>
      <w:pPr>
        <w:ind w:left="5040" w:hanging="360"/>
      </w:pPr>
      <w:rPr>
        <w:u w:val="none"/>
      </w:rPr>
    </w:lvl>
    <w:lvl w:ilvl="7" w:tplc="970E5A02">
      <w:start w:val="1"/>
      <w:numFmt w:val="bullet"/>
      <w:lvlText w:val="○"/>
      <w:lvlJc w:val="left"/>
      <w:pPr>
        <w:ind w:left="5760" w:hanging="360"/>
      </w:pPr>
      <w:rPr>
        <w:u w:val="none"/>
      </w:rPr>
    </w:lvl>
    <w:lvl w:ilvl="8" w:tplc="750CC4BA">
      <w:start w:val="1"/>
      <w:numFmt w:val="bullet"/>
      <w:lvlText w:val="■"/>
      <w:lvlJc w:val="left"/>
      <w:pPr>
        <w:ind w:left="6480" w:hanging="360"/>
      </w:pPr>
      <w:rPr>
        <w:u w:val="none"/>
      </w:rPr>
    </w:lvl>
  </w:abstractNum>
  <w:abstractNum w:abstractNumId="4" w15:restartNumberingAfterBreak="0">
    <w:nsid w:val="39D8D702"/>
    <w:multiLevelType w:val="hybridMultilevel"/>
    <w:tmpl w:val="00000000"/>
    <w:lvl w:ilvl="0" w:tplc="0EF29992">
      <w:start w:val="1"/>
      <w:numFmt w:val="bullet"/>
      <w:lvlText w:val="●"/>
      <w:lvlJc w:val="left"/>
      <w:pPr>
        <w:ind w:left="720" w:hanging="360"/>
      </w:pPr>
      <w:rPr>
        <w:u w:val="none"/>
      </w:rPr>
    </w:lvl>
    <w:lvl w:ilvl="1" w:tplc="ED509938">
      <w:start w:val="1"/>
      <w:numFmt w:val="bullet"/>
      <w:lvlText w:val="○"/>
      <w:lvlJc w:val="left"/>
      <w:pPr>
        <w:ind w:left="1440" w:hanging="360"/>
      </w:pPr>
      <w:rPr>
        <w:u w:val="none"/>
      </w:rPr>
    </w:lvl>
    <w:lvl w:ilvl="2" w:tplc="7C46040A">
      <w:start w:val="1"/>
      <w:numFmt w:val="bullet"/>
      <w:lvlText w:val="■"/>
      <w:lvlJc w:val="left"/>
      <w:pPr>
        <w:ind w:left="2160" w:hanging="360"/>
      </w:pPr>
      <w:rPr>
        <w:u w:val="none"/>
      </w:rPr>
    </w:lvl>
    <w:lvl w:ilvl="3" w:tplc="5A5AA92A">
      <w:start w:val="1"/>
      <w:numFmt w:val="bullet"/>
      <w:lvlText w:val="●"/>
      <w:lvlJc w:val="left"/>
      <w:pPr>
        <w:ind w:left="2880" w:hanging="360"/>
      </w:pPr>
      <w:rPr>
        <w:u w:val="none"/>
      </w:rPr>
    </w:lvl>
    <w:lvl w:ilvl="4" w:tplc="2FB4551E">
      <w:start w:val="1"/>
      <w:numFmt w:val="bullet"/>
      <w:lvlText w:val="○"/>
      <w:lvlJc w:val="left"/>
      <w:pPr>
        <w:ind w:left="3600" w:hanging="360"/>
      </w:pPr>
      <w:rPr>
        <w:u w:val="none"/>
      </w:rPr>
    </w:lvl>
    <w:lvl w:ilvl="5" w:tplc="C9C4E14C">
      <w:start w:val="1"/>
      <w:numFmt w:val="bullet"/>
      <w:lvlText w:val="■"/>
      <w:lvlJc w:val="left"/>
      <w:pPr>
        <w:ind w:left="4320" w:hanging="360"/>
      </w:pPr>
      <w:rPr>
        <w:u w:val="none"/>
      </w:rPr>
    </w:lvl>
    <w:lvl w:ilvl="6" w:tplc="C5A00DD0">
      <w:start w:val="1"/>
      <w:numFmt w:val="bullet"/>
      <w:lvlText w:val="●"/>
      <w:lvlJc w:val="left"/>
      <w:pPr>
        <w:ind w:left="5040" w:hanging="360"/>
      </w:pPr>
      <w:rPr>
        <w:u w:val="none"/>
      </w:rPr>
    </w:lvl>
    <w:lvl w:ilvl="7" w:tplc="45A09E60">
      <w:start w:val="1"/>
      <w:numFmt w:val="bullet"/>
      <w:lvlText w:val="○"/>
      <w:lvlJc w:val="left"/>
      <w:pPr>
        <w:ind w:left="5760" w:hanging="360"/>
      </w:pPr>
      <w:rPr>
        <w:u w:val="none"/>
      </w:rPr>
    </w:lvl>
    <w:lvl w:ilvl="8" w:tplc="69EE2560">
      <w:start w:val="1"/>
      <w:numFmt w:val="bullet"/>
      <w:lvlText w:val="■"/>
      <w:lvlJc w:val="left"/>
      <w:pPr>
        <w:ind w:left="6480" w:hanging="360"/>
      </w:pPr>
      <w:rPr>
        <w:u w:val="none"/>
      </w:rPr>
    </w:lvl>
  </w:abstractNum>
  <w:abstractNum w:abstractNumId="5" w15:restartNumberingAfterBreak="0">
    <w:nsid w:val="45CEEF05"/>
    <w:multiLevelType w:val="hybridMultilevel"/>
    <w:tmpl w:val="00000000"/>
    <w:lvl w:ilvl="0" w:tplc="A7969046">
      <w:start w:val="1"/>
      <w:numFmt w:val="bullet"/>
      <w:lvlText w:val="●"/>
      <w:lvlJc w:val="left"/>
      <w:pPr>
        <w:ind w:left="720" w:hanging="360"/>
      </w:pPr>
      <w:rPr>
        <w:u w:val="none"/>
      </w:rPr>
    </w:lvl>
    <w:lvl w:ilvl="1" w:tplc="3BE88C88">
      <w:start w:val="1"/>
      <w:numFmt w:val="bullet"/>
      <w:lvlText w:val="○"/>
      <w:lvlJc w:val="left"/>
      <w:pPr>
        <w:ind w:left="1440" w:hanging="360"/>
      </w:pPr>
      <w:rPr>
        <w:u w:val="none"/>
      </w:rPr>
    </w:lvl>
    <w:lvl w:ilvl="2" w:tplc="CCDE1178">
      <w:start w:val="1"/>
      <w:numFmt w:val="bullet"/>
      <w:lvlText w:val="■"/>
      <w:lvlJc w:val="left"/>
      <w:pPr>
        <w:ind w:left="2160" w:hanging="360"/>
      </w:pPr>
      <w:rPr>
        <w:u w:val="none"/>
      </w:rPr>
    </w:lvl>
    <w:lvl w:ilvl="3" w:tplc="9B8264DA">
      <w:start w:val="1"/>
      <w:numFmt w:val="bullet"/>
      <w:lvlText w:val="●"/>
      <w:lvlJc w:val="left"/>
      <w:pPr>
        <w:ind w:left="2880" w:hanging="360"/>
      </w:pPr>
      <w:rPr>
        <w:u w:val="none"/>
      </w:rPr>
    </w:lvl>
    <w:lvl w:ilvl="4" w:tplc="74E4AF28">
      <w:start w:val="1"/>
      <w:numFmt w:val="bullet"/>
      <w:lvlText w:val="○"/>
      <w:lvlJc w:val="left"/>
      <w:pPr>
        <w:ind w:left="3600" w:hanging="360"/>
      </w:pPr>
      <w:rPr>
        <w:u w:val="none"/>
      </w:rPr>
    </w:lvl>
    <w:lvl w:ilvl="5" w:tplc="35CC398A">
      <w:start w:val="1"/>
      <w:numFmt w:val="bullet"/>
      <w:lvlText w:val="■"/>
      <w:lvlJc w:val="left"/>
      <w:pPr>
        <w:ind w:left="4320" w:hanging="360"/>
      </w:pPr>
      <w:rPr>
        <w:u w:val="none"/>
      </w:rPr>
    </w:lvl>
    <w:lvl w:ilvl="6" w:tplc="B734D6A2">
      <w:start w:val="1"/>
      <w:numFmt w:val="bullet"/>
      <w:lvlText w:val="●"/>
      <w:lvlJc w:val="left"/>
      <w:pPr>
        <w:ind w:left="5040" w:hanging="360"/>
      </w:pPr>
      <w:rPr>
        <w:u w:val="none"/>
      </w:rPr>
    </w:lvl>
    <w:lvl w:ilvl="7" w:tplc="B0622062">
      <w:start w:val="1"/>
      <w:numFmt w:val="bullet"/>
      <w:lvlText w:val="○"/>
      <w:lvlJc w:val="left"/>
      <w:pPr>
        <w:ind w:left="5760" w:hanging="360"/>
      </w:pPr>
      <w:rPr>
        <w:u w:val="none"/>
      </w:rPr>
    </w:lvl>
    <w:lvl w:ilvl="8" w:tplc="DBD6412A">
      <w:start w:val="1"/>
      <w:numFmt w:val="bullet"/>
      <w:lvlText w:val="■"/>
      <w:lvlJc w:val="left"/>
      <w:pPr>
        <w:ind w:left="6480" w:hanging="360"/>
      </w:pPr>
      <w:rPr>
        <w:u w:val="none"/>
      </w:rPr>
    </w:lvl>
  </w:abstractNum>
  <w:abstractNum w:abstractNumId="6" w15:restartNumberingAfterBreak="0">
    <w:nsid w:val="4E91C105"/>
    <w:multiLevelType w:val="hybridMultilevel"/>
    <w:tmpl w:val="00000000"/>
    <w:lvl w:ilvl="0" w:tplc="16BECA76">
      <w:start w:val="1"/>
      <w:numFmt w:val="bullet"/>
      <w:lvlText w:val="●"/>
      <w:lvlJc w:val="left"/>
      <w:pPr>
        <w:ind w:left="720" w:hanging="360"/>
      </w:pPr>
      <w:rPr>
        <w:u w:val="none"/>
      </w:rPr>
    </w:lvl>
    <w:lvl w:ilvl="1" w:tplc="8788FC7E">
      <w:start w:val="1"/>
      <w:numFmt w:val="bullet"/>
      <w:lvlText w:val="○"/>
      <w:lvlJc w:val="left"/>
      <w:pPr>
        <w:ind w:left="1440" w:hanging="360"/>
      </w:pPr>
      <w:rPr>
        <w:u w:val="none"/>
      </w:rPr>
    </w:lvl>
    <w:lvl w:ilvl="2" w:tplc="00F4E3E2">
      <w:start w:val="1"/>
      <w:numFmt w:val="bullet"/>
      <w:lvlText w:val="■"/>
      <w:lvlJc w:val="left"/>
      <w:pPr>
        <w:ind w:left="2160" w:hanging="360"/>
      </w:pPr>
      <w:rPr>
        <w:u w:val="none"/>
      </w:rPr>
    </w:lvl>
    <w:lvl w:ilvl="3" w:tplc="FA62363A">
      <w:start w:val="1"/>
      <w:numFmt w:val="bullet"/>
      <w:lvlText w:val="●"/>
      <w:lvlJc w:val="left"/>
      <w:pPr>
        <w:ind w:left="2880" w:hanging="360"/>
      </w:pPr>
      <w:rPr>
        <w:u w:val="none"/>
      </w:rPr>
    </w:lvl>
    <w:lvl w:ilvl="4" w:tplc="9BFA771E">
      <w:start w:val="1"/>
      <w:numFmt w:val="bullet"/>
      <w:lvlText w:val="○"/>
      <w:lvlJc w:val="left"/>
      <w:pPr>
        <w:ind w:left="3600" w:hanging="360"/>
      </w:pPr>
      <w:rPr>
        <w:u w:val="none"/>
      </w:rPr>
    </w:lvl>
    <w:lvl w:ilvl="5" w:tplc="4914E1C8">
      <w:start w:val="1"/>
      <w:numFmt w:val="bullet"/>
      <w:lvlText w:val="■"/>
      <w:lvlJc w:val="left"/>
      <w:pPr>
        <w:ind w:left="4320" w:hanging="360"/>
      </w:pPr>
      <w:rPr>
        <w:u w:val="none"/>
      </w:rPr>
    </w:lvl>
    <w:lvl w:ilvl="6" w:tplc="46187AE8">
      <w:start w:val="1"/>
      <w:numFmt w:val="bullet"/>
      <w:lvlText w:val="●"/>
      <w:lvlJc w:val="left"/>
      <w:pPr>
        <w:ind w:left="5040" w:hanging="360"/>
      </w:pPr>
      <w:rPr>
        <w:u w:val="none"/>
      </w:rPr>
    </w:lvl>
    <w:lvl w:ilvl="7" w:tplc="753E3802">
      <w:start w:val="1"/>
      <w:numFmt w:val="bullet"/>
      <w:lvlText w:val="○"/>
      <w:lvlJc w:val="left"/>
      <w:pPr>
        <w:ind w:left="5760" w:hanging="360"/>
      </w:pPr>
      <w:rPr>
        <w:u w:val="none"/>
      </w:rPr>
    </w:lvl>
    <w:lvl w:ilvl="8" w:tplc="05B65FFE">
      <w:start w:val="1"/>
      <w:numFmt w:val="bullet"/>
      <w:lvlText w:val="■"/>
      <w:lvlJc w:val="left"/>
      <w:pPr>
        <w:ind w:left="6480" w:hanging="360"/>
      </w:pPr>
      <w:rPr>
        <w:u w:val="none"/>
      </w:rPr>
    </w:lvl>
  </w:abstractNum>
  <w:abstractNum w:abstractNumId="7" w15:restartNumberingAfterBreak="0">
    <w:nsid w:val="6B670007"/>
    <w:multiLevelType w:val="hybridMultilevel"/>
    <w:tmpl w:val="00000000"/>
    <w:lvl w:ilvl="0" w:tplc="6018DCBC">
      <w:start w:val="1"/>
      <w:numFmt w:val="bullet"/>
      <w:lvlText w:val="●"/>
      <w:lvlJc w:val="left"/>
      <w:pPr>
        <w:ind w:left="720" w:hanging="360"/>
      </w:pPr>
      <w:rPr>
        <w:u w:val="none"/>
      </w:rPr>
    </w:lvl>
    <w:lvl w:ilvl="1" w:tplc="B5027DC0">
      <w:start w:val="1"/>
      <w:numFmt w:val="bullet"/>
      <w:lvlText w:val="○"/>
      <w:lvlJc w:val="left"/>
      <w:pPr>
        <w:ind w:left="1440" w:hanging="360"/>
      </w:pPr>
      <w:rPr>
        <w:u w:val="none"/>
      </w:rPr>
    </w:lvl>
    <w:lvl w:ilvl="2" w:tplc="CB7618FC">
      <w:start w:val="1"/>
      <w:numFmt w:val="bullet"/>
      <w:lvlText w:val="■"/>
      <w:lvlJc w:val="left"/>
      <w:pPr>
        <w:ind w:left="2160" w:hanging="360"/>
      </w:pPr>
      <w:rPr>
        <w:u w:val="none"/>
      </w:rPr>
    </w:lvl>
    <w:lvl w:ilvl="3" w:tplc="BBDA174A">
      <w:start w:val="1"/>
      <w:numFmt w:val="bullet"/>
      <w:lvlText w:val="●"/>
      <w:lvlJc w:val="left"/>
      <w:pPr>
        <w:ind w:left="2880" w:hanging="360"/>
      </w:pPr>
      <w:rPr>
        <w:u w:val="none"/>
      </w:rPr>
    </w:lvl>
    <w:lvl w:ilvl="4" w:tplc="F4002960">
      <w:start w:val="1"/>
      <w:numFmt w:val="bullet"/>
      <w:lvlText w:val="○"/>
      <w:lvlJc w:val="left"/>
      <w:pPr>
        <w:ind w:left="3600" w:hanging="360"/>
      </w:pPr>
      <w:rPr>
        <w:u w:val="none"/>
      </w:rPr>
    </w:lvl>
    <w:lvl w:ilvl="5" w:tplc="B90CB2F4">
      <w:start w:val="1"/>
      <w:numFmt w:val="bullet"/>
      <w:lvlText w:val="■"/>
      <w:lvlJc w:val="left"/>
      <w:pPr>
        <w:ind w:left="4320" w:hanging="360"/>
      </w:pPr>
      <w:rPr>
        <w:u w:val="none"/>
      </w:rPr>
    </w:lvl>
    <w:lvl w:ilvl="6" w:tplc="C3EA6F56">
      <w:start w:val="1"/>
      <w:numFmt w:val="bullet"/>
      <w:lvlText w:val="●"/>
      <w:lvlJc w:val="left"/>
      <w:pPr>
        <w:ind w:left="5040" w:hanging="360"/>
      </w:pPr>
      <w:rPr>
        <w:u w:val="none"/>
      </w:rPr>
    </w:lvl>
    <w:lvl w:ilvl="7" w:tplc="BFEA182A">
      <w:start w:val="1"/>
      <w:numFmt w:val="bullet"/>
      <w:lvlText w:val="○"/>
      <w:lvlJc w:val="left"/>
      <w:pPr>
        <w:ind w:left="5760" w:hanging="360"/>
      </w:pPr>
      <w:rPr>
        <w:u w:val="none"/>
      </w:rPr>
    </w:lvl>
    <w:lvl w:ilvl="8" w:tplc="460818BC">
      <w:start w:val="1"/>
      <w:numFmt w:val="bullet"/>
      <w:lvlText w:val="■"/>
      <w:lvlJc w:val="left"/>
      <w:pPr>
        <w:ind w:left="6480" w:hanging="360"/>
      </w:pPr>
      <w:rPr>
        <w:u w:val="none"/>
      </w:rPr>
    </w:lvl>
  </w:abstractNum>
  <w:abstractNum w:abstractNumId="8" w15:restartNumberingAfterBreak="0">
    <w:nsid w:val="710FB74D"/>
    <w:multiLevelType w:val="hybridMultilevel"/>
    <w:tmpl w:val="00000000"/>
    <w:lvl w:ilvl="0" w:tplc="68DC4608">
      <w:start w:val="1"/>
      <w:numFmt w:val="bullet"/>
      <w:lvlText w:val="●"/>
      <w:lvlJc w:val="left"/>
      <w:pPr>
        <w:ind w:left="720" w:hanging="360"/>
      </w:pPr>
      <w:rPr>
        <w:u w:val="none"/>
      </w:rPr>
    </w:lvl>
    <w:lvl w:ilvl="1" w:tplc="15E07468">
      <w:start w:val="1"/>
      <w:numFmt w:val="bullet"/>
      <w:lvlText w:val="○"/>
      <w:lvlJc w:val="left"/>
      <w:pPr>
        <w:ind w:left="1440" w:hanging="360"/>
      </w:pPr>
      <w:rPr>
        <w:u w:val="none"/>
      </w:rPr>
    </w:lvl>
    <w:lvl w:ilvl="2" w:tplc="508EB19C">
      <w:start w:val="1"/>
      <w:numFmt w:val="bullet"/>
      <w:lvlText w:val="■"/>
      <w:lvlJc w:val="left"/>
      <w:pPr>
        <w:ind w:left="2160" w:hanging="360"/>
      </w:pPr>
      <w:rPr>
        <w:u w:val="none"/>
      </w:rPr>
    </w:lvl>
    <w:lvl w:ilvl="3" w:tplc="374A935C">
      <w:start w:val="1"/>
      <w:numFmt w:val="bullet"/>
      <w:lvlText w:val="●"/>
      <w:lvlJc w:val="left"/>
      <w:pPr>
        <w:ind w:left="2880" w:hanging="360"/>
      </w:pPr>
      <w:rPr>
        <w:u w:val="none"/>
      </w:rPr>
    </w:lvl>
    <w:lvl w:ilvl="4" w:tplc="DBAE5AB0">
      <w:start w:val="1"/>
      <w:numFmt w:val="bullet"/>
      <w:lvlText w:val="○"/>
      <w:lvlJc w:val="left"/>
      <w:pPr>
        <w:ind w:left="3600" w:hanging="360"/>
      </w:pPr>
      <w:rPr>
        <w:u w:val="none"/>
      </w:rPr>
    </w:lvl>
    <w:lvl w:ilvl="5" w:tplc="8D662C96">
      <w:start w:val="1"/>
      <w:numFmt w:val="bullet"/>
      <w:lvlText w:val="■"/>
      <w:lvlJc w:val="left"/>
      <w:pPr>
        <w:ind w:left="4320" w:hanging="360"/>
      </w:pPr>
      <w:rPr>
        <w:u w:val="none"/>
      </w:rPr>
    </w:lvl>
    <w:lvl w:ilvl="6" w:tplc="DB2CDE1A">
      <w:start w:val="1"/>
      <w:numFmt w:val="bullet"/>
      <w:lvlText w:val="●"/>
      <w:lvlJc w:val="left"/>
      <w:pPr>
        <w:ind w:left="5040" w:hanging="360"/>
      </w:pPr>
      <w:rPr>
        <w:u w:val="none"/>
      </w:rPr>
    </w:lvl>
    <w:lvl w:ilvl="7" w:tplc="142095C6">
      <w:start w:val="1"/>
      <w:numFmt w:val="bullet"/>
      <w:lvlText w:val="○"/>
      <w:lvlJc w:val="left"/>
      <w:pPr>
        <w:ind w:left="5760" w:hanging="360"/>
      </w:pPr>
      <w:rPr>
        <w:u w:val="none"/>
      </w:rPr>
    </w:lvl>
    <w:lvl w:ilvl="8" w:tplc="795093DE">
      <w:start w:val="1"/>
      <w:numFmt w:val="bullet"/>
      <w:lvlText w:val="■"/>
      <w:lvlJc w:val="left"/>
      <w:pPr>
        <w:ind w:left="6480" w:hanging="360"/>
      </w:pPr>
      <w:rPr>
        <w:u w:val="none"/>
      </w:rPr>
    </w:lvl>
  </w:abstractNum>
  <w:abstractNum w:abstractNumId="9" w15:restartNumberingAfterBreak="0">
    <w:nsid w:val="765920DE"/>
    <w:multiLevelType w:val="hybridMultilevel"/>
    <w:tmpl w:val="00000000"/>
    <w:lvl w:ilvl="0" w:tplc="3F422D34">
      <w:start w:val="1"/>
      <w:numFmt w:val="bullet"/>
      <w:lvlText w:val="●"/>
      <w:lvlJc w:val="left"/>
      <w:pPr>
        <w:ind w:left="720" w:hanging="360"/>
      </w:pPr>
      <w:rPr>
        <w:u w:val="none"/>
      </w:rPr>
    </w:lvl>
    <w:lvl w:ilvl="1" w:tplc="90E29D7E">
      <w:start w:val="1"/>
      <w:numFmt w:val="bullet"/>
      <w:lvlText w:val="○"/>
      <w:lvlJc w:val="left"/>
      <w:pPr>
        <w:ind w:left="1440" w:hanging="360"/>
      </w:pPr>
      <w:rPr>
        <w:u w:val="none"/>
      </w:rPr>
    </w:lvl>
    <w:lvl w:ilvl="2" w:tplc="9C12FD90">
      <w:start w:val="1"/>
      <w:numFmt w:val="bullet"/>
      <w:lvlText w:val="■"/>
      <w:lvlJc w:val="left"/>
      <w:pPr>
        <w:ind w:left="2160" w:hanging="360"/>
      </w:pPr>
      <w:rPr>
        <w:u w:val="none"/>
      </w:rPr>
    </w:lvl>
    <w:lvl w:ilvl="3" w:tplc="45BCCFC6">
      <w:start w:val="1"/>
      <w:numFmt w:val="bullet"/>
      <w:lvlText w:val="●"/>
      <w:lvlJc w:val="left"/>
      <w:pPr>
        <w:ind w:left="2880" w:hanging="360"/>
      </w:pPr>
      <w:rPr>
        <w:u w:val="none"/>
      </w:rPr>
    </w:lvl>
    <w:lvl w:ilvl="4" w:tplc="614AE83E">
      <w:start w:val="1"/>
      <w:numFmt w:val="bullet"/>
      <w:lvlText w:val="○"/>
      <w:lvlJc w:val="left"/>
      <w:pPr>
        <w:ind w:left="3600" w:hanging="360"/>
      </w:pPr>
      <w:rPr>
        <w:u w:val="none"/>
      </w:rPr>
    </w:lvl>
    <w:lvl w:ilvl="5" w:tplc="22EE701A">
      <w:start w:val="1"/>
      <w:numFmt w:val="bullet"/>
      <w:lvlText w:val="■"/>
      <w:lvlJc w:val="left"/>
      <w:pPr>
        <w:ind w:left="4320" w:hanging="360"/>
      </w:pPr>
      <w:rPr>
        <w:u w:val="none"/>
      </w:rPr>
    </w:lvl>
    <w:lvl w:ilvl="6" w:tplc="F22C2B02">
      <w:start w:val="1"/>
      <w:numFmt w:val="bullet"/>
      <w:lvlText w:val="●"/>
      <w:lvlJc w:val="left"/>
      <w:pPr>
        <w:ind w:left="5040" w:hanging="360"/>
      </w:pPr>
      <w:rPr>
        <w:u w:val="none"/>
      </w:rPr>
    </w:lvl>
    <w:lvl w:ilvl="7" w:tplc="3B488DE6">
      <w:start w:val="1"/>
      <w:numFmt w:val="bullet"/>
      <w:lvlText w:val="○"/>
      <w:lvlJc w:val="left"/>
      <w:pPr>
        <w:ind w:left="5760" w:hanging="360"/>
      </w:pPr>
      <w:rPr>
        <w:u w:val="none"/>
      </w:rPr>
    </w:lvl>
    <w:lvl w:ilvl="8" w:tplc="2A3A584A">
      <w:start w:val="1"/>
      <w:numFmt w:val="bullet"/>
      <w:lvlText w:val="■"/>
      <w:lvlJc w:val="left"/>
      <w:pPr>
        <w:ind w:left="6480" w:hanging="360"/>
      </w:pPr>
      <w:rPr>
        <w:u w:val="none"/>
      </w:rPr>
    </w:lvl>
  </w:abstractNum>
  <w:abstractNum w:abstractNumId="10" w15:restartNumberingAfterBreak="0">
    <w:nsid w:val="7AAB9244"/>
    <w:multiLevelType w:val="hybridMultilevel"/>
    <w:tmpl w:val="00000000"/>
    <w:lvl w:ilvl="0" w:tplc="A48E4770">
      <w:start w:val="1"/>
      <w:numFmt w:val="bullet"/>
      <w:lvlText w:val="●"/>
      <w:lvlJc w:val="left"/>
      <w:pPr>
        <w:ind w:left="720" w:hanging="360"/>
      </w:pPr>
      <w:rPr>
        <w:u w:val="none"/>
      </w:rPr>
    </w:lvl>
    <w:lvl w:ilvl="1" w:tplc="F5C29848">
      <w:start w:val="1"/>
      <w:numFmt w:val="bullet"/>
      <w:lvlText w:val="○"/>
      <w:lvlJc w:val="left"/>
      <w:pPr>
        <w:ind w:left="1440" w:hanging="360"/>
      </w:pPr>
      <w:rPr>
        <w:u w:val="none"/>
      </w:rPr>
    </w:lvl>
    <w:lvl w:ilvl="2" w:tplc="76D64E64">
      <w:start w:val="1"/>
      <w:numFmt w:val="bullet"/>
      <w:lvlText w:val="■"/>
      <w:lvlJc w:val="left"/>
      <w:pPr>
        <w:ind w:left="2160" w:hanging="360"/>
      </w:pPr>
      <w:rPr>
        <w:u w:val="none"/>
      </w:rPr>
    </w:lvl>
    <w:lvl w:ilvl="3" w:tplc="D3782FB2">
      <w:start w:val="1"/>
      <w:numFmt w:val="bullet"/>
      <w:lvlText w:val="●"/>
      <w:lvlJc w:val="left"/>
      <w:pPr>
        <w:ind w:left="2880" w:hanging="360"/>
      </w:pPr>
      <w:rPr>
        <w:u w:val="none"/>
      </w:rPr>
    </w:lvl>
    <w:lvl w:ilvl="4" w:tplc="2D0ED328">
      <w:start w:val="1"/>
      <w:numFmt w:val="bullet"/>
      <w:lvlText w:val="○"/>
      <w:lvlJc w:val="left"/>
      <w:pPr>
        <w:ind w:left="3600" w:hanging="360"/>
      </w:pPr>
      <w:rPr>
        <w:u w:val="none"/>
      </w:rPr>
    </w:lvl>
    <w:lvl w:ilvl="5" w:tplc="63FAFFB4">
      <w:start w:val="1"/>
      <w:numFmt w:val="bullet"/>
      <w:lvlText w:val="■"/>
      <w:lvlJc w:val="left"/>
      <w:pPr>
        <w:ind w:left="4320" w:hanging="360"/>
      </w:pPr>
      <w:rPr>
        <w:u w:val="none"/>
      </w:rPr>
    </w:lvl>
    <w:lvl w:ilvl="6" w:tplc="30B0493A">
      <w:start w:val="1"/>
      <w:numFmt w:val="bullet"/>
      <w:lvlText w:val="●"/>
      <w:lvlJc w:val="left"/>
      <w:pPr>
        <w:ind w:left="5040" w:hanging="360"/>
      </w:pPr>
      <w:rPr>
        <w:u w:val="none"/>
      </w:rPr>
    </w:lvl>
    <w:lvl w:ilvl="7" w:tplc="CE12FFE8">
      <w:start w:val="1"/>
      <w:numFmt w:val="bullet"/>
      <w:lvlText w:val="○"/>
      <w:lvlJc w:val="left"/>
      <w:pPr>
        <w:ind w:left="5760" w:hanging="360"/>
      </w:pPr>
      <w:rPr>
        <w:u w:val="none"/>
      </w:rPr>
    </w:lvl>
    <w:lvl w:ilvl="8" w:tplc="02D4BE00">
      <w:start w:val="1"/>
      <w:numFmt w:val="bullet"/>
      <w:lvlText w:val="■"/>
      <w:lvlJc w:val="left"/>
      <w:pPr>
        <w:ind w:left="6480" w:hanging="360"/>
      </w:pPr>
      <w:rPr>
        <w:u w:val="none"/>
      </w:rPr>
    </w:lvl>
  </w:abstractNum>
  <w:abstractNum w:abstractNumId="11" w15:restartNumberingAfterBreak="0">
    <w:nsid w:val="7F745E9F"/>
    <w:multiLevelType w:val="hybridMultilevel"/>
    <w:tmpl w:val="00000000"/>
    <w:lvl w:ilvl="0" w:tplc="ECEA75AE">
      <w:start w:val="1"/>
      <w:numFmt w:val="bullet"/>
      <w:lvlText w:val="●"/>
      <w:lvlJc w:val="left"/>
      <w:pPr>
        <w:ind w:left="720" w:hanging="360"/>
      </w:pPr>
      <w:rPr>
        <w:u w:val="none"/>
      </w:rPr>
    </w:lvl>
    <w:lvl w:ilvl="1" w:tplc="03122536">
      <w:start w:val="1"/>
      <w:numFmt w:val="bullet"/>
      <w:lvlText w:val="○"/>
      <w:lvlJc w:val="left"/>
      <w:pPr>
        <w:ind w:left="1440" w:hanging="360"/>
      </w:pPr>
      <w:rPr>
        <w:u w:val="none"/>
      </w:rPr>
    </w:lvl>
    <w:lvl w:ilvl="2" w:tplc="DE4C9CFE">
      <w:start w:val="1"/>
      <w:numFmt w:val="bullet"/>
      <w:lvlText w:val="■"/>
      <w:lvlJc w:val="left"/>
      <w:pPr>
        <w:ind w:left="2160" w:hanging="360"/>
      </w:pPr>
      <w:rPr>
        <w:u w:val="none"/>
      </w:rPr>
    </w:lvl>
    <w:lvl w:ilvl="3" w:tplc="3288E5CE">
      <w:start w:val="1"/>
      <w:numFmt w:val="bullet"/>
      <w:lvlText w:val="●"/>
      <w:lvlJc w:val="left"/>
      <w:pPr>
        <w:ind w:left="2880" w:hanging="360"/>
      </w:pPr>
      <w:rPr>
        <w:u w:val="none"/>
      </w:rPr>
    </w:lvl>
    <w:lvl w:ilvl="4" w:tplc="8CBA2528">
      <w:start w:val="1"/>
      <w:numFmt w:val="bullet"/>
      <w:lvlText w:val="○"/>
      <w:lvlJc w:val="left"/>
      <w:pPr>
        <w:ind w:left="3600" w:hanging="360"/>
      </w:pPr>
      <w:rPr>
        <w:u w:val="none"/>
      </w:rPr>
    </w:lvl>
    <w:lvl w:ilvl="5" w:tplc="EF60FD54">
      <w:start w:val="1"/>
      <w:numFmt w:val="bullet"/>
      <w:lvlText w:val="■"/>
      <w:lvlJc w:val="left"/>
      <w:pPr>
        <w:ind w:left="4320" w:hanging="360"/>
      </w:pPr>
      <w:rPr>
        <w:u w:val="none"/>
      </w:rPr>
    </w:lvl>
    <w:lvl w:ilvl="6" w:tplc="2C646BAE">
      <w:start w:val="1"/>
      <w:numFmt w:val="bullet"/>
      <w:lvlText w:val="●"/>
      <w:lvlJc w:val="left"/>
      <w:pPr>
        <w:ind w:left="5040" w:hanging="360"/>
      </w:pPr>
      <w:rPr>
        <w:u w:val="none"/>
      </w:rPr>
    </w:lvl>
    <w:lvl w:ilvl="7" w:tplc="492EF1E8">
      <w:start w:val="1"/>
      <w:numFmt w:val="bullet"/>
      <w:lvlText w:val="○"/>
      <w:lvlJc w:val="left"/>
      <w:pPr>
        <w:ind w:left="5760" w:hanging="360"/>
      </w:pPr>
      <w:rPr>
        <w:u w:val="none"/>
      </w:rPr>
    </w:lvl>
    <w:lvl w:ilvl="8" w:tplc="DDF82840">
      <w:start w:val="1"/>
      <w:numFmt w:val="bullet"/>
      <w:lvlText w:val="■"/>
      <w:lvlJc w:val="left"/>
      <w:pPr>
        <w:ind w:left="6480" w:hanging="360"/>
      </w:pPr>
      <w:rPr>
        <w:u w:val="none"/>
      </w:rPr>
    </w:lvl>
  </w:abstractNum>
  <w:num w:numId="1" w16cid:durableId="1654484108">
    <w:abstractNumId w:val="9"/>
  </w:num>
  <w:num w:numId="2" w16cid:durableId="1842237149">
    <w:abstractNumId w:val="5"/>
  </w:num>
  <w:num w:numId="3" w16cid:durableId="1359356217">
    <w:abstractNumId w:val="10"/>
  </w:num>
  <w:num w:numId="4" w16cid:durableId="104231939">
    <w:abstractNumId w:val="6"/>
  </w:num>
  <w:num w:numId="5" w16cid:durableId="586037525">
    <w:abstractNumId w:val="2"/>
  </w:num>
  <w:num w:numId="6" w16cid:durableId="992635482">
    <w:abstractNumId w:val="7"/>
  </w:num>
  <w:num w:numId="7" w16cid:durableId="411002175">
    <w:abstractNumId w:val="11"/>
  </w:num>
  <w:num w:numId="8" w16cid:durableId="177424781">
    <w:abstractNumId w:val="4"/>
  </w:num>
  <w:num w:numId="9" w16cid:durableId="200899240">
    <w:abstractNumId w:val="8"/>
  </w:num>
  <w:num w:numId="10" w16cid:durableId="2016296869">
    <w:abstractNumId w:val="3"/>
  </w:num>
  <w:num w:numId="11" w16cid:durableId="403995848">
    <w:abstractNumId w:val="1"/>
  </w:num>
  <w:num w:numId="12" w16cid:durableId="669792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2566"/>
    <w:rsid w:val="000F3043"/>
    <w:rsid w:val="001C005C"/>
    <w:rsid w:val="00206F87"/>
    <w:rsid w:val="00240172"/>
    <w:rsid w:val="00251277"/>
    <w:rsid w:val="002A687E"/>
    <w:rsid w:val="002B6575"/>
    <w:rsid w:val="00311B94"/>
    <w:rsid w:val="003C47DE"/>
    <w:rsid w:val="00553BEC"/>
    <w:rsid w:val="006E3F76"/>
    <w:rsid w:val="007317D9"/>
    <w:rsid w:val="00752566"/>
    <w:rsid w:val="0075598A"/>
    <w:rsid w:val="008A0F24"/>
    <w:rsid w:val="008A6EE7"/>
    <w:rsid w:val="008F5F6F"/>
    <w:rsid w:val="0097565E"/>
    <w:rsid w:val="00A4023E"/>
    <w:rsid w:val="00A8626F"/>
    <w:rsid w:val="00AC54EB"/>
    <w:rsid w:val="00B17B1E"/>
    <w:rsid w:val="00B20F2E"/>
    <w:rsid w:val="00C62B90"/>
    <w:rsid w:val="00E45D1E"/>
    <w:rsid w:val="00EC7DCC"/>
    <w:rsid w:val="00EE0F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CF14"/>
  <w15:docId w15:val="{27B8973D-33A8-45C5-8420-1862C1D26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7317D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autoRedefine/>
    <w:rsid w:val="00EE0F1F"/>
    <w:pPr>
      <w:keepNext/>
      <w:keepLines/>
      <w:spacing w:before="360" w:after="120" w:line="48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8626F"/>
    <w:pPr>
      <w:keepNext/>
      <w:keepLines/>
      <w:spacing w:before="320" w:after="80"/>
      <w:outlineLvl w:val="2"/>
    </w:pPr>
    <w:rPr>
      <w:color w:val="434343"/>
      <w:sz w:val="28"/>
      <w:szCs w:val="28"/>
    </w:rPr>
  </w:style>
  <w:style w:type="paragraph" w:styleId="Heading4">
    <w:name w:val="heading 4"/>
    <w:basedOn w:val="Normal1"/>
    <w:next w:val="Normal1"/>
    <w:rsid w:val="00A8626F"/>
    <w:pPr>
      <w:keepNext/>
      <w:keepLines/>
      <w:spacing w:before="280" w:after="80"/>
      <w:outlineLvl w:val="3"/>
    </w:pPr>
    <w:rPr>
      <w:color w:val="666666"/>
      <w:sz w:val="24"/>
      <w:szCs w:val="24"/>
    </w:rPr>
  </w:style>
  <w:style w:type="paragraph" w:styleId="Heading5">
    <w:name w:val="heading 5"/>
    <w:basedOn w:val="Normal1"/>
    <w:next w:val="Normal1"/>
    <w:rsid w:val="00A8626F"/>
    <w:pPr>
      <w:keepNext/>
      <w:keepLines/>
      <w:spacing w:before="240" w:after="80"/>
      <w:outlineLvl w:val="4"/>
    </w:pPr>
    <w:rPr>
      <w:color w:val="666666"/>
    </w:rPr>
  </w:style>
  <w:style w:type="paragraph" w:styleId="Heading6">
    <w:name w:val="heading 6"/>
    <w:basedOn w:val="Normal1"/>
    <w:next w:val="Normal1"/>
    <w:rsid w:val="00A862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8626F"/>
  </w:style>
  <w:style w:type="table" w:customStyle="1" w:styleId="TableNormal1">
    <w:name w:val="Table Normal1"/>
    <w:rsid w:val="00A8626F"/>
    <w:tblPr>
      <w:tblCellMar>
        <w:top w:w="0" w:type="dxa"/>
        <w:left w:w="0" w:type="dxa"/>
        <w:bottom w:w="0" w:type="dxa"/>
        <w:right w:w="0" w:type="dxa"/>
      </w:tblCellMar>
    </w:tblPr>
  </w:style>
  <w:style w:type="paragraph" w:styleId="Title">
    <w:name w:val="Title"/>
    <w:basedOn w:val="Normal1"/>
    <w:next w:val="Normal1"/>
    <w:rsid w:val="00A8626F"/>
    <w:pPr>
      <w:keepNext/>
      <w:keepLines/>
      <w:spacing w:after="60"/>
    </w:pPr>
    <w:rPr>
      <w:sz w:val="52"/>
      <w:szCs w:val="52"/>
    </w:rPr>
  </w:style>
  <w:style w:type="paragraph" w:styleId="Subtitle">
    <w:name w:val="Subtitle"/>
    <w:basedOn w:val="Normal1"/>
    <w:next w:val="Normal1"/>
    <w:rsid w:val="00A8626F"/>
    <w:pPr>
      <w:keepNext/>
      <w:keepLines/>
      <w:spacing w:after="320"/>
    </w:pPr>
    <w:rPr>
      <w:color w:val="666666"/>
      <w:sz w:val="30"/>
      <w:szCs w:val="30"/>
    </w:rPr>
  </w:style>
  <w:style w:type="table" w:customStyle="1" w:styleId="Table1">
    <w:name w:val="Table1"/>
    <w:basedOn w:val="TableNormal1"/>
    <w:rsid w:val="00A8626F"/>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C47D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3C47DE"/>
    <w:pPr>
      <w:spacing w:after="100"/>
    </w:pPr>
  </w:style>
  <w:style w:type="character" w:styleId="Hyperlink">
    <w:name w:val="Hyperlink"/>
    <w:basedOn w:val="DefaultParagraphFont"/>
    <w:uiPriority w:val="99"/>
    <w:unhideWhenUsed/>
    <w:rsid w:val="003C47DE"/>
    <w:rPr>
      <w:color w:val="0000FF" w:themeColor="hyperlink"/>
      <w:u w:val="single"/>
    </w:rPr>
  </w:style>
  <w:style w:type="paragraph" w:styleId="Header">
    <w:name w:val="header"/>
    <w:basedOn w:val="Normal"/>
    <w:link w:val="HeaderChar"/>
    <w:uiPriority w:val="99"/>
    <w:unhideWhenUsed/>
    <w:rsid w:val="00553BEC"/>
    <w:pPr>
      <w:tabs>
        <w:tab w:val="center" w:pos="4513"/>
        <w:tab w:val="right" w:pos="9026"/>
      </w:tabs>
      <w:spacing w:line="240" w:lineRule="auto"/>
    </w:pPr>
  </w:style>
  <w:style w:type="character" w:customStyle="1" w:styleId="HeaderChar">
    <w:name w:val="Header Char"/>
    <w:basedOn w:val="DefaultParagraphFont"/>
    <w:link w:val="Header"/>
    <w:uiPriority w:val="99"/>
    <w:rsid w:val="00553BEC"/>
  </w:style>
  <w:style w:type="paragraph" w:styleId="Footer">
    <w:name w:val="footer"/>
    <w:basedOn w:val="Normal"/>
    <w:link w:val="FooterChar"/>
    <w:uiPriority w:val="99"/>
    <w:unhideWhenUsed/>
    <w:rsid w:val="00553BEC"/>
    <w:pPr>
      <w:tabs>
        <w:tab w:val="center" w:pos="4513"/>
        <w:tab w:val="right" w:pos="9026"/>
      </w:tabs>
      <w:spacing w:line="240" w:lineRule="auto"/>
    </w:pPr>
  </w:style>
  <w:style w:type="character" w:customStyle="1" w:styleId="FooterChar">
    <w:name w:val="Footer Char"/>
    <w:basedOn w:val="DefaultParagraphFont"/>
    <w:link w:val="Footer"/>
    <w:uiPriority w:val="99"/>
    <w:rsid w:val="00553BEC"/>
  </w:style>
  <w:style w:type="paragraph" w:styleId="TOC2">
    <w:name w:val="toc 2"/>
    <w:basedOn w:val="Normal"/>
    <w:next w:val="Normal"/>
    <w:autoRedefine/>
    <w:uiPriority w:val="39"/>
    <w:unhideWhenUsed/>
    <w:rsid w:val="00EC7DCC"/>
    <w:pPr>
      <w:spacing w:after="100"/>
      <w:ind w:left="220"/>
    </w:pPr>
  </w:style>
  <w:style w:type="paragraph" w:styleId="BalloonText">
    <w:name w:val="Balloon Text"/>
    <w:basedOn w:val="Normal"/>
    <w:link w:val="BalloonTextChar"/>
    <w:uiPriority w:val="99"/>
    <w:semiHidden/>
    <w:unhideWhenUsed/>
    <w:rsid w:val="002401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0172"/>
    <w:rPr>
      <w:rFonts w:ascii="Tahoma" w:hAnsi="Tahoma" w:cs="Tahoma"/>
      <w:sz w:val="16"/>
      <w:szCs w:val="16"/>
    </w:rPr>
  </w:style>
  <w:style w:type="paragraph" w:customStyle="1" w:styleId="Normal2">
    <w:name w:val="Normal2"/>
    <w:rsid w:val="00240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package" Target="embeddings/Microsoft_PowerPoint_Slide2.sldx"/><Relationship Id="rId26" Type="http://schemas.openxmlformats.org/officeDocument/2006/relationships/package" Target="embeddings/Microsoft_PowerPoint_Slide6.sldx"/><Relationship Id="rId39" Type="http://schemas.openxmlformats.org/officeDocument/2006/relationships/image" Target="media/image19.emf"/><Relationship Id="rId21" Type="http://schemas.openxmlformats.org/officeDocument/2006/relationships/image" Target="media/image10.emf"/><Relationship Id="rId34" Type="http://schemas.openxmlformats.org/officeDocument/2006/relationships/package" Target="embeddings/Microsoft_PowerPoint_Slide10.sldx"/><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PowerPoint_Slide1.sldx"/><Relationship Id="rId20" Type="http://schemas.openxmlformats.org/officeDocument/2006/relationships/package" Target="embeddings/Microsoft_PowerPoint_Slide3.sldx"/><Relationship Id="rId29" Type="http://schemas.openxmlformats.org/officeDocument/2006/relationships/image" Target="media/image14.emf"/><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package" Target="embeddings/Microsoft_PowerPoint_Slide5.sldx"/><Relationship Id="rId32" Type="http://schemas.openxmlformats.org/officeDocument/2006/relationships/package" Target="embeddings/Microsoft_PowerPoint_Slide9.sldx"/><Relationship Id="rId37" Type="http://schemas.openxmlformats.org/officeDocument/2006/relationships/image" Target="media/image18.emf"/><Relationship Id="rId40" Type="http://schemas.openxmlformats.org/officeDocument/2006/relationships/package" Target="embeddings/Microsoft_PowerPoint_Slide13.sldx"/><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image" Target="media/image11.emf"/><Relationship Id="rId28" Type="http://schemas.openxmlformats.org/officeDocument/2006/relationships/package" Target="embeddings/Microsoft_PowerPoint_Slide7.sldx"/><Relationship Id="rId36" Type="http://schemas.openxmlformats.org/officeDocument/2006/relationships/package" Target="embeddings/Microsoft_PowerPoint_Slide11.sldx"/><Relationship Id="rId10" Type="http://schemas.openxmlformats.org/officeDocument/2006/relationships/image" Target="media/image3.png"/><Relationship Id="rId19" Type="http://schemas.openxmlformats.org/officeDocument/2006/relationships/image" Target="media/image9.emf"/><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Slide.sldx"/><Relationship Id="rId22" Type="http://schemas.openxmlformats.org/officeDocument/2006/relationships/package" Target="embeddings/Microsoft_PowerPoint_Slide4.sldx"/><Relationship Id="rId27" Type="http://schemas.openxmlformats.org/officeDocument/2006/relationships/image" Target="media/image13.emf"/><Relationship Id="rId30" Type="http://schemas.openxmlformats.org/officeDocument/2006/relationships/package" Target="embeddings/Microsoft_PowerPoint_Slide8.sldx"/><Relationship Id="rId35" Type="http://schemas.openxmlformats.org/officeDocument/2006/relationships/image" Target="media/image17.emf"/><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image" Target="media/image16.emf"/><Relationship Id="rId38" Type="http://schemas.openxmlformats.org/officeDocument/2006/relationships/package" Target="embeddings/Microsoft_PowerPoint_Slide1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8F622-63B1-4039-9F99-8D151FCA1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33</Pages>
  <Words>5429</Words>
  <Characters>30947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MEGHNA</dc:creator>
  <cp:lastModifiedBy>Maria Timis</cp:lastModifiedBy>
  <cp:revision>20</cp:revision>
  <dcterms:created xsi:type="dcterms:W3CDTF">2024-01-27T08:11:00Z</dcterms:created>
  <dcterms:modified xsi:type="dcterms:W3CDTF">2024-03-06T11:19:00Z</dcterms:modified>
</cp:coreProperties>
</file>