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lang w:val="zh-CN"/>
        </w:rPr>
        <w:id w:val="-37360353"/>
        <w:docPartObj>
          <w:docPartGallery w:val="Table of Contents"/>
          <w:docPartUnique/>
        </w:docPartObj>
      </w:sdtPr>
      <w:sdtEndPr>
        <w:rPr>
          <w:rFonts w:asciiTheme="minorHAnsi" w:hAnsiTheme="minorHAnsi" w:eastAsiaTheme="minorEastAsia" w:cstheme="minorBidi"/>
          <w:b/>
          <w:bCs/>
          <w:color w:val="auto"/>
          <w:kern w:val="2"/>
          <w:sz w:val="21"/>
          <w:szCs w:val="24"/>
          <w:lang w:val="zh-CN"/>
        </w:rPr>
      </w:sdtEndPr>
      <w:sdtContent>
        <w:p>
          <w:pPr>
            <w:pStyle w:val="18"/>
            <w:rPr>
              <w:rFonts w:hint="eastAsia"/>
            </w:rPr>
          </w:pPr>
          <w:r>
            <w:t xml:space="preserve"> </w:t>
          </w:r>
          <w:r>
            <w:rPr>
              <w:rFonts w:hint="eastAsia"/>
              <w:lang w:val="en-US" w:eastAsia="zh-CN"/>
            </w:rPr>
            <w:t xml:space="preserve">                      </w:t>
          </w:r>
          <w:r>
            <w:t>Contents</w:t>
          </w:r>
        </w:p>
        <w:p>
          <w:pPr>
            <w:pStyle w:val="8"/>
            <w:tabs>
              <w:tab w:val="right" w:leader="dot" w:pos="8296"/>
            </w:tabs>
            <w:rPr>
              <w:rFonts w:cstheme="minorBidi"/>
              <w:kern w:val="2"/>
              <w:sz w:val="21"/>
            </w:rPr>
          </w:pPr>
          <w:r>
            <w:fldChar w:fldCharType="begin"/>
          </w:r>
          <w:r>
            <w:instrText xml:space="preserve"> TOC \o "1-3" \h \z \u </w:instrText>
          </w:r>
          <w:r>
            <w:fldChar w:fldCharType="separate"/>
          </w:r>
          <w:r>
            <w:fldChar w:fldCharType="begin"/>
          </w:r>
          <w:r>
            <w:instrText xml:space="preserve"> HYPERLINK \l "_Toc8250112" </w:instrText>
          </w:r>
          <w:r>
            <w:fldChar w:fldCharType="separate"/>
          </w:r>
          <w:r>
            <w:rPr>
              <w:rStyle w:val="12"/>
            </w:rPr>
            <w:t>Summary</w:t>
          </w:r>
          <w:r>
            <w:tab/>
          </w:r>
          <w:r>
            <w:fldChar w:fldCharType="begin"/>
          </w:r>
          <w:r>
            <w:instrText xml:space="preserve"> PAGEREF _Toc8250112 \h </w:instrText>
          </w:r>
          <w:r>
            <w:fldChar w:fldCharType="separate"/>
          </w:r>
          <w:r>
            <w:t>1</w:t>
          </w:r>
          <w:r>
            <w:fldChar w:fldCharType="end"/>
          </w:r>
          <w:r>
            <w:fldChar w:fldCharType="end"/>
          </w:r>
        </w:p>
        <w:p>
          <w:pPr>
            <w:pStyle w:val="8"/>
            <w:tabs>
              <w:tab w:val="right" w:leader="dot" w:pos="8296"/>
            </w:tabs>
            <w:rPr>
              <w:rFonts w:cstheme="minorBidi"/>
              <w:kern w:val="2"/>
              <w:sz w:val="21"/>
            </w:rPr>
          </w:pPr>
          <w:r>
            <w:fldChar w:fldCharType="begin"/>
          </w:r>
          <w:r>
            <w:instrText xml:space="preserve"> HYPERLINK \l "_Toc8250113" </w:instrText>
          </w:r>
          <w:r>
            <w:fldChar w:fldCharType="separate"/>
          </w:r>
          <w:r>
            <w:rPr>
              <w:rStyle w:val="12"/>
            </w:rPr>
            <w:t>1.0 Introduction</w:t>
          </w:r>
          <w:r>
            <w:tab/>
          </w:r>
          <w:r>
            <w:fldChar w:fldCharType="begin"/>
          </w:r>
          <w:r>
            <w:instrText xml:space="preserve"> PAGEREF _Toc8250113 \h </w:instrText>
          </w:r>
          <w:r>
            <w:fldChar w:fldCharType="separate"/>
          </w:r>
          <w:r>
            <w:t>2</w:t>
          </w:r>
          <w:r>
            <w:fldChar w:fldCharType="end"/>
          </w:r>
          <w:r>
            <w:fldChar w:fldCharType="end"/>
          </w:r>
        </w:p>
        <w:p>
          <w:pPr>
            <w:pStyle w:val="9"/>
            <w:tabs>
              <w:tab w:val="right" w:leader="dot" w:pos="8296"/>
            </w:tabs>
            <w:rPr>
              <w:rFonts w:cstheme="minorBidi"/>
              <w:kern w:val="2"/>
              <w:sz w:val="21"/>
            </w:rPr>
          </w:pPr>
          <w:r>
            <w:fldChar w:fldCharType="begin"/>
          </w:r>
          <w:r>
            <w:instrText xml:space="preserve"> HYPERLINK \l "_Toc8250114" </w:instrText>
          </w:r>
          <w:r>
            <w:fldChar w:fldCharType="separate"/>
          </w:r>
          <w:r>
            <w:rPr>
              <w:rStyle w:val="12"/>
            </w:rPr>
            <w:t>1.1 Justification</w:t>
          </w:r>
          <w:r>
            <w:tab/>
          </w:r>
          <w:r>
            <w:fldChar w:fldCharType="begin"/>
          </w:r>
          <w:r>
            <w:instrText xml:space="preserve"> PAGEREF _Toc8250114 \h </w:instrText>
          </w:r>
          <w:r>
            <w:fldChar w:fldCharType="separate"/>
          </w:r>
          <w:r>
            <w:t>2</w:t>
          </w:r>
          <w:r>
            <w:fldChar w:fldCharType="end"/>
          </w:r>
          <w:r>
            <w:fldChar w:fldCharType="end"/>
          </w:r>
        </w:p>
        <w:p>
          <w:pPr>
            <w:pStyle w:val="9"/>
            <w:tabs>
              <w:tab w:val="right" w:leader="dot" w:pos="8296"/>
            </w:tabs>
            <w:rPr>
              <w:rFonts w:cstheme="minorBidi"/>
              <w:kern w:val="2"/>
              <w:sz w:val="21"/>
            </w:rPr>
          </w:pPr>
          <w:r>
            <w:fldChar w:fldCharType="begin"/>
          </w:r>
          <w:r>
            <w:instrText xml:space="preserve"> HYPERLINK \l "_Toc8250115" </w:instrText>
          </w:r>
          <w:r>
            <w:fldChar w:fldCharType="separate"/>
          </w:r>
          <w:r>
            <w:rPr>
              <w:rStyle w:val="12"/>
            </w:rPr>
            <w:t>1.2 Aims</w:t>
          </w:r>
          <w:r>
            <w:tab/>
          </w:r>
          <w:r>
            <w:fldChar w:fldCharType="begin"/>
          </w:r>
          <w:r>
            <w:instrText xml:space="preserve"> PAGEREF _Toc8250115 \h </w:instrText>
          </w:r>
          <w:r>
            <w:fldChar w:fldCharType="separate"/>
          </w:r>
          <w:r>
            <w:t>3</w:t>
          </w:r>
          <w:r>
            <w:fldChar w:fldCharType="end"/>
          </w:r>
          <w:r>
            <w:fldChar w:fldCharType="end"/>
          </w:r>
        </w:p>
        <w:p>
          <w:pPr>
            <w:pStyle w:val="8"/>
            <w:tabs>
              <w:tab w:val="right" w:leader="dot" w:pos="8296"/>
            </w:tabs>
            <w:rPr>
              <w:rFonts w:cstheme="minorBidi"/>
              <w:kern w:val="2"/>
              <w:sz w:val="21"/>
            </w:rPr>
          </w:pPr>
          <w:r>
            <w:fldChar w:fldCharType="begin"/>
          </w:r>
          <w:r>
            <w:instrText xml:space="preserve"> HYPERLINK \l "_Toc8250116" </w:instrText>
          </w:r>
          <w:r>
            <w:fldChar w:fldCharType="separate"/>
          </w:r>
          <w:r>
            <w:rPr>
              <w:rStyle w:val="12"/>
            </w:rPr>
            <w:t>2.0 Objectives</w:t>
          </w:r>
          <w:r>
            <w:tab/>
          </w:r>
          <w:r>
            <w:fldChar w:fldCharType="begin"/>
          </w:r>
          <w:r>
            <w:instrText xml:space="preserve"> PAGEREF _Toc8250116 \h </w:instrText>
          </w:r>
          <w:r>
            <w:fldChar w:fldCharType="separate"/>
          </w:r>
          <w:r>
            <w:t>3</w:t>
          </w:r>
          <w:r>
            <w:fldChar w:fldCharType="end"/>
          </w:r>
          <w:r>
            <w:fldChar w:fldCharType="end"/>
          </w:r>
        </w:p>
        <w:p>
          <w:pPr>
            <w:pStyle w:val="9"/>
            <w:tabs>
              <w:tab w:val="right" w:leader="dot" w:pos="8296"/>
            </w:tabs>
            <w:rPr>
              <w:rFonts w:cstheme="minorBidi"/>
              <w:kern w:val="2"/>
              <w:sz w:val="21"/>
            </w:rPr>
          </w:pPr>
          <w:r>
            <w:fldChar w:fldCharType="begin"/>
          </w:r>
          <w:r>
            <w:instrText xml:space="preserve"> HYPERLINK \l "_Toc8250117" </w:instrText>
          </w:r>
          <w:r>
            <w:fldChar w:fldCharType="separate"/>
          </w:r>
          <w:r>
            <w:rPr>
              <w:rStyle w:val="12"/>
            </w:rPr>
            <w:t>2.1 Research Methodology</w:t>
          </w:r>
          <w:r>
            <w:tab/>
          </w:r>
          <w:r>
            <w:fldChar w:fldCharType="begin"/>
          </w:r>
          <w:r>
            <w:instrText xml:space="preserve"> PAGEREF _Toc8250117 \h </w:instrText>
          </w:r>
          <w:r>
            <w:fldChar w:fldCharType="separate"/>
          </w:r>
          <w:r>
            <w:t>4</w:t>
          </w:r>
          <w:r>
            <w:fldChar w:fldCharType="end"/>
          </w:r>
          <w:r>
            <w:fldChar w:fldCharType="end"/>
          </w:r>
        </w:p>
        <w:p>
          <w:pPr>
            <w:pStyle w:val="8"/>
            <w:tabs>
              <w:tab w:val="right" w:leader="dot" w:pos="8296"/>
            </w:tabs>
            <w:rPr>
              <w:rFonts w:cstheme="minorBidi"/>
              <w:kern w:val="2"/>
              <w:sz w:val="21"/>
            </w:rPr>
          </w:pPr>
          <w:r>
            <w:fldChar w:fldCharType="begin"/>
          </w:r>
          <w:r>
            <w:instrText xml:space="preserve"> HYPERLINK \l "_Toc8250118" </w:instrText>
          </w:r>
          <w:r>
            <w:fldChar w:fldCharType="separate"/>
          </w:r>
          <w:r>
            <w:rPr>
              <w:rStyle w:val="12"/>
            </w:rPr>
            <w:t>3.0 Findings &amp; Critical Analysis</w:t>
          </w:r>
          <w:r>
            <w:tab/>
          </w:r>
          <w:r>
            <w:fldChar w:fldCharType="begin"/>
          </w:r>
          <w:r>
            <w:instrText xml:space="preserve"> PAGEREF _Toc8250118 \h </w:instrText>
          </w:r>
          <w:r>
            <w:fldChar w:fldCharType="separate"/>
          </w:r>
          <w:r>
            <w:t>4</w:t>
          </w:r>
          <w:r>
            <w:fldChar w:fldCharType="end"/>
          </w:r>
          <w:r>
            <w:fldChar w:fldCharType="end"/>
          </w:r>
        </w:p>
        <w:p>
          <w:pPr>
            <w:pStyle w:val="9"/>
            <w:tabs>
              <w:tab w:val="right" w:leader="dot" w:pos="8296"/>
            </w:tabs>
            <w:rPr>
              <w:rFonts w:cstheme="minorBidi"/>
              <w:kern w:val="2"/>
              <w:sz w:val="21"/>
            </w:rPr>
          </w:pPr>
          <w:r>
            <w:fldChar w:fldCharType="begin"/>
          </w:r>
          <w:r>
            <w:instrText xml:space="preserve"> HYPERLINK \l "_Toc8250119" </w:instrText>
          </w:r>
          <w:r>
            <w:fldChar w:fldCharType="separate"/>
          </w:r>
          <w:r>
            <w:rPr>
              <w:rStyle w:val="12"/>
            </w:rPr>
            <w:t>3.1 Part One - Situational Analysis</w:t>
          </w:r>
          <w:r>
            <w:tab/>
          </w:r>
          <w:r>
            <w:fldChar w:fldCharType="begin"/>
          </w:r>
          <w:r>
            <w:instrText xml:space="preserve"> PAGEREF _Toc8250119 \h </w:instrText>
          </w:r>
          <w:r>
            <w:fldChar w:fldCharType="separate"/>
          </w:r>
          <w:r>
            <w:t>4</w:t>
          </w:r>
          <w:r>
            <w:fldChar w:fldCharType="end"/>
          </w:r>
          <w:r>
            <w:fldChar w:fldCharType="end"/>
          </w:r>
        </w:p>
        <w:p>
          <w:pPr>
            <w:pStyle w:val="9"/>
            <w:tabs>
              <w:tab w:val="right" w:leader="dot" w:pos="8296"/>
            </w:tabs>
            <w:rPr>
              <w:rFonts w:cstheme="minorBidi"/>
              <w:kern w:val="2"/>
              <w:sz w:val="21"/>
            </w:rPr>
          </w:pPr>
          <w:r>
            <w:fldChar w:fldCharType="begin"/>
          </w:r>
          <w:r>
            <w:instrText xml:space="preserve"> HYPERLINK \l "_Toc8250120" </w:instrText>
          </w:r>
          <w:r>
            <w:fldChar w:fldCharType="separate"/>
          </w:r>
          <w:r>
            <w:rPr>
              <w:rStyle w:val="12"/>
            </w:rPr>
            <w:t>3.2 Analysis of Key Reasons for High Employee Turnover</w:t>
          </w:r>
          <w:r>
            <w:tab/>
          </w:r>
          <w:r>
            <w:fldChar w:fldCharType="begin"/>
          </w:r>
          <w:r>
            <w:instrText xml:space="preserve"> PAGEREF _Toc8250120 \h </w:instrText>
          </w:r>
          <w:r>
            <w:fldChar w:fldCharType="separate"/>
          </w:r>
          <w:r>
            <w:t>6</w:t>
          </w:r>
          <w:r>
            <w:fldChar w:fldCharType="end"/>
          </w:r>
          <w:r>
            <w:fldChar w:fldCharType="end"/>
          </w:r>
        </w:p>
        <w:p>
          <w:pPr>
            <w:pStyle w:val="9"/>
            <w:tabs>
              <w:tab w:val="right" w:leader="dot" w:pos="8296"/>
            </w:tabs>
            <w:rPr>
              <w:rFonts w:cstheme="minorBidi"/>
              <w:kern w:val="2"/>
              <w:sz w:val="21"/>
            </w:rPr>
          </w:pPr>
          <w:r>
            <w:fldChar w:fldCharType="begin"/>
          </w:r>
          <w:r>
            <w:instrText xml:space="preserve"> HYPERLINK \l "_Toc8250121" </w:instrText>
          </w:r>
          <w:r>
            <w:fldChar w:fldCharType="separate"/>
          </w:r>
          <w:r>
            <w:rPr>
              <w:rStyle w:val="12"/>
              <w:shd w:val="clear" w:color="auto" w:fill="FFFFFF"/>
            </w:rPr>
            <w:t>3.3 Key intervention</w:t>
          </w:r>
          <w:r>
            <w:tab/>
          </w:r>
          <w:r>
            <w:fldChar w:fldCharType="begin"/>
          </w:r>
          <w:r>
            <w:instrText xml:space="preserve"> PAGEREF _Toc8250121 \h </w:instrText>
          </w:r>
          <w:r>
            <w:fldChar w:fldCharType="separate"/>
          </w:r>
          <w:r>
            <w:t>8</w:t>
          </w:r>
          <w:r>
            <w:fldChar w:fldCharType="end"/>
          </w:r>
          <w:r>
            <w:fldChar w:fldCharType="end"/>
          </w:r>
        </w:p>
        <w:p>
          <w:pPr>
            <w:pStyle w:val="8"/>
            <w:tabs>
              <w:tab w:val="right" w:leader="dot" w:pos="8296"/>
            </w:tabs>
            <w:rPr>
              <w:rFonts w:cstheme="minorBidi"/>
              <w:kern w:val="2"/>
              <w:sz w:val="21"/>
            </w:rPr>
          </w:pPr>
          <w:r>
            <w:fldChar w:fldCharType="begin"/>
          </w:r>
          <w:r>
            <w:instrText xml:space="preserve"> HYPERLINK \l "_Toc8250122" </w:instrText>
          </w:r>
          <w:r>
            <w:fldChar w:fldCharType="separate"/>
          </w:r>
          <w:r>
            <w:rPr>
              <w:rStyle w:val="12"/>
            </w:rPr>
            <w:t>4.0 Conclusions</w:t>
          </w:r>
          <w:r>
            <w:tab/>
          </w:r>
          <w:r>
            <w:fldChar w:fldCharType="begin"/>
          </w:r>
          <w:r>
            <w:instrText xml:space="preserve"> PAGEREF _Toc8250122 \h </w:instrText>
          </w:r>
          <w:r>
            <w:fldChar w:fldCharType="separate"/>
          </w:r>
          <w:r>
            <w:t>10</w:t>
          </w:r>
          <w:r>
            <w:fldChar w:fldCharType="end"/>
          </w:r>
          <w:r>
            <w:fldChar w:fldCharType="end"/>
          </w:r>
        </w:p>
        <w:p>
          <w:pPr>
            <w:pStyle w:val="8"/>
            <w:tabs>
              <w:tab w:val="right" w:leader="dot" w:pos="8296"/>
            </w:tabs>
            <w:rPr>
              <w:rFonts w:cstheme="minorBidi"/>
              <w:kern w:val="2"/>
              <w:sz w:val="21"/>
            </w:rPr>
          </w:pPr>
          <w:r>
            <w:fldChar w:fldCharType="begin"/>
          </w:r>
          <w:r>
            <w:instrText xml:space="preserve"> HYPERLINK \l "_Toc8250123" </w:instrText>
          </w:r>
          <w:r>
            <w:fldChar w:fldCharType="separate"/>
          </w:r>
          <w:r>
            <w:rPr>
              <w:rStyle w:val="12"/>
            </w:rPr>
            <w:t>5.0 References</w:t>
          </w:r>
          <w:r>
            <w:tab/>
          </w:r>
          <w:r>
            <w:fldChar w:fldCharType="begin"/>
          </w:r>
          <w:r>
            <w:instrText xml:space="preserve"> PAGEREF _Toc8250123 \h </w:instrText>
          </w:r>
          <w:r>
            <w:fldChar w:fldCharType="separate"/>
          </w:r>
          <w:r>
            <w:t>11</w:t>
          </w:r>
          <w:r>
            <w:fldChar w:fldCharType="end"/>
          </w:r>
          <w:r>
            <w:fldChar w:fldCharType="end"/>
          </w:r>
        </w:p>
        <w:p>
          <w:r>
            <w:rPr>
              <w:b/>
              <w:bCs/>
              <w:lang w:val="zh-CN"/>
            </w:rPr>
            <w:fldChar w:fldCharType="end"/>
          </w:r>
        </w:p>
      </w:sdtContent>
    </w:sdt>
    <w:p>
      <w:pPr>
        <w:pStyle w:val="2"/>
      </w:pPr>
    </w:p>
    <w:p>
      <w:pPr>
        <w:pStyle w:val="2"/>
      </w:pPr>
    </w:p>
    <w:p>
      <w:pPr>
        <w:pStyle w:val="2"/>
      </w:pPr>
    </w:p>
    <w:p>
      <w:pPr>
        <w:pStyle w:val="2"/>
      </w:pPr>
    </w:p>
    <w:p>
      <w:bookmarkStart w:id="15" w:name="_GoBack"/>
      <w:bookmarkEnd w:id="15"/>
    </w:p>
    <w:p>
      <w:pPr>
        <w:pStyle w:val="2"/>
      </w:pPr>
    </w:p>
    <w:p>
      <w:pPr>
        <w:pStyle w:val="2"/>
      </w:pPr>
      <w:r>
        <w:t xml:space="preserve"> </w:t>
      </w:r>
      <w:bookmarkStart w:id="0" w:name="_Toc8250112"/>
      <w:r>
        <w:t>Summary</w:t>
      </w:r>
      <w:bookmarkEnd w:id="0"/>
    </w:p>
    <w:p>
      <w:pPr>
        <w:spacing w:line="360" w:lineRule="auto"/>
        <w:rPr>
          <w:rFonts w:ascii="Times New Roman" w:hAnsi="Times New Roman" w:cs="Times New Roman"/>
          <w:sz w:val="24"/>
        </w:rPr>
      </w:pPr>
      <w:r>
        <w:rPr>
          <w:rFonts w:hint="eastAsia" w:ascii="Times New Roman" w:hAnsi="Times New Roman" w:cs="Times New Roman"/>
          <w:sz w:val="24"/>
        </w:rPr>
        <w:t>The organization’s consulting project aims to</w:t>
      </w:r>
    </w:p>
    <w:p>
      <w:pPr>
        <w:numPr>
          <w:ilvl w:val="0"/>
          <w:numId w:val="1"/>
        </w:num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 Based on first-hand data about the project and the information collected in the research of second-hand data, the SOWT analysis is carried out to determine the advantages and disadvantages of the canteen outsourcing market and the direction of selection.</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2. Personnel changes due to outsourcing of on and response plans</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3. It is recommended that the results of the canteen outsourcing be modified and changed to effectively deal with the problems caused by the canteen outsourcing.</w:t>
      </w:r>
    </w:p>
    <w:p>
      <w:pPr>
        <w:rPr>
          <w:rFonts w:ascii="Segoe UI" w:hAnsi="Segoe UI" w:eastAsia="Segoe UI" w:cs="Segoe UI"/>
          <w:color w:val="3B3B3B"/>
          <w:szCs w:val="21"/>
          <w:shd w:val="clear" w:color="auto" w:fill="FFFFFF"/>
        </w:rPr>
      </w:pPr>
    </w:p>
    <w:p>
      <w:pPr>
        <w:pStyle w:val="14"/>
        <w:ind w:left="0"/>
      </w:pPr>
      <w:r>
        <w:rPr>
          <w:rFonts w:hint="eastAsia"/>
        </w:rPr>
        <w:t>The report uses SWOT analysis to examine the company's internal and external environments by analyzing its strengths, weaknesses, opportunities and threats. The report pointed out that the main reasons for the fierce competition in the catering industry are:</w:t>
      </w:r>
    </w:p>
    <w:p>
      <w:pPr>
        <w:pStyle w:val="14"/>
        <w:ind w:left="0"/>
      </w:pPr>
    </w:p>
    <w:p>
      <w:pPr>
        <w:pStyle w:val="14"/>
        <w:ind w:left="0"/>
      </w:pPr>
      <w:r>
        <w:rPr>
          <w:rFonts w:hint="eastAsia"/>
        </w:rPr>
        <w:t>·Due to the huge market brought by the rich food culture</w:t>
      </w:r>
    </w:p>
    <w:p>
      <w:pPr>
        <w:pStyle w:val="14"/>
        <w:ind w:left="0"/>
      </w:pPr>
      <w:r>
        <w:rPr>
          <w:rFonts w:hint="eastAsia"/>
        </w:rPr>
        <w:t>·Modern people pay attention to reasonable diet</w:t>
      </w:r>
    </w:p>
    <w:p>
      <w:r>
        <w:rPr>
          <w:rFonts w:hint="eastAsia"/>
        </w:rPr>
        <w:t>·Population base leads to huge market</w:t>
      </w:r>
    </w:p>
    <w:p/>
    <w:p>
      <w:pPr>
        <w:pStyle w:val="14"/>
        <w:ind w:left="0"/>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By analyzing these main reasons, this report proposes that the key point for the choice of canteen contractor in the Ersha boarding school is:</w:t>
      </w:r>
    </w:p>
    <w:p>
      <w:pPr>
        <w:pStyle w:val="14"/>
        <w:ind w:left="0"/>
        <w:rPr>
          <w:rFonts w:ascii="Segoe UI" w:hAnsi="Segoe UI" w:eastAsia="Segoe UI" w:cs="Segoe UI"/>
          <w:color w:val="3B3B3B"/>
          <w:szCs w:val="21"/>
          <w:shd w:val="clear" w:color="auto" w:fill="FFFFFF"/>
        </w:rPr>
      </w:pPr>
    </w:p>
    <w:p>
      <w:pPr>
        <w:pStyle w:val="14"/>
        <w:ind w:left="0"/>
      </w:pPr>
      <w:r>
        <w:rPr>
          <w:rFonts w:hint="eastAsia"/>
        </w:rPr>
        <w:t>·The contractor did not have food safety issues</w:t>
      </w:r>
    </w:p>
    <w:p>
      <w:pPr>
        <w:pStyle w:val="14"/>
        <w:ind w:left="0"/>
      </w:pPr>
      <w:r>
        <w:rPr>
          <w:rFonts w:hint="eastAsia"/>
        </w:rPr>
        <w:t>·Difficulties due to the absence of a standardized environment</w:t>
      </w:r>
    </w:p>
    <w:p>
      <w:pPr>
        <w:pStyle w:val="14"/>
        <w:ind w:left="0"/>
      </w:pPr>
      <w:r>
        <w:rPr>
          <w:rFonts w:hint="eastAsia"/>
        </w:rPr>
        <w:t>·Revision of the compensation plan for personnel changes caused by canteen outsourcing</w:t>
      </w:r>
    </w:p>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hint="eastAsia" w:ascii="Times New Roman" w:hAnsi="Times New Roman" w:cs="Times New Roman"/>
          <w:sz w:val="24"/>
        </w:rPr>
      </w:pPr>
    </w:p>
    <w:p>
      <w:pPr>
        <w:spacing w:line="360" w:lineRule="auto"/>
        <w:rPr>
          <w:rFonts w:ascii="Times New Roman" w:hAnsi="Times New Roman" w:cs="Times New Roman"/>
          <w:sz w:val="24"/>
        </w:rPr>
      </w:pPr>
    </w:p>
    <w:p>
      <w:pPr>
        <w:spacing w:line="360" w:lineRule="auto"/>
        <w:rPr>
          <w:rFonts w:ascii="Times New Roman" w:hAnsi="Times New Roman" w:cs="Times New Roman"/>
          <w:sz w:val="24"/>
        </w:rPr>
      </w:pPr>
      <w:r>
        <w:rPr>
          <w:rFonts w:hint="eastAsia" w:ascii="Times New Roman" w:hAnsi="Times New Roman" w:cs="Times New Roman"/>
          <w:sz w:val="24"/>
        </w:rPr>
        <w:t>The report concludes with recommendations based on important findings and analysis. The information used in this report has been supported by research and materials from academic journals, textbooks and websites.</w:t>
      </w:r>
    </w:p>
    <w:p>
      <w:pPr>
        <w:spacing w:line="360" w:lineRule="auto"/>
        <w:ind w:firstLine="420"/>
        <w:rPr>
          <w:rFonts w:ascii="Times New Roman" w:hAnsi="Times New Roman" w:cs="Times New Roman"/>
          <w:sz w:val="24"/>
        </w:rPr>
      </w:pPr>
    </w:p>
    <w:p/>
    <w:p/>
    <w:p>
      <w:pPr>
        <w:pStyle w:val="2"/>
      </w:pPr>
      <w:bookmarkStart w:id="1" w:name="_Toc8250113"/>
      <w:r>
        <w:rPr>
          <w:rFonts w:hint="eastAsia"/>
        </w:rPr>
        <w:t xml:space="preserve">1.0 </w:t>
      </w:r>
      <w:r>
        <w:t>Introduction</w:t>
      </w:r>
      <w:bookmarkEnd w:id="1"/>
    </w:p>
    <w:p>
      <w:r>
        <w:rPr>
          <w:rFonts w:ascii="Segoe UI" w:hAnsi="Segoe UI" w:eastAsia="Segoe UI" w:cs="Segoe UI"/>
          <w:color w:val="3B3B3B"/>
          <w:szCs w:val="21"/>
          <w:shd w:val="clear" w:color="auto" w:fill="FFFFFF"/>
        </w:rPr>
        <w:t>Ersha Boarding School was established in 1992. It is situated in Zhengzhou, China. This is a full-time 12-year boarding school approved and directly managed by the Municipal Education Bureau. The school covers an area of 210 acres and a building area of over 50,000 square meters. It has more than 1,000 students and more than 140 faculty members. Owing to the excellent faculty of the school in recent years, the number of students has increased. More and more students have caused the school's original canteen to not provide student meals on time, so the school has to find canteen outsourcers to solve the student's diet. Good Life Catering Management Co., Ltd. is a professional catering enterprise specializing in canteen contracting, canteen management, food distribution, catering and custody, business lunch, fast food delivery, etc. It is the ideal contractor of the school.</w:t>
      </w:r>
    </w:p>
    <w:p/>
    <w:p>
      <w:pPr>
        <w:pStyle w:val="3"/>
      </w:pPr>
      <w:bookmarkStart w:id="2" w:name="_Toc8250114"/>
      <w:r>
        <w:rPr>
          <w:rFonts w:hint="eastAsia"/>
        </w:rPr>
        <w:t xml:space="preserve">1.1 </w:t>
      </w:r>
      <w:r>
        <w:t>Justification</w:t>
      </w:r>
      <w:bookmarkEnd w:id="2"/>
    </w:p>
    <w:p>
      <w:r>
        <w:rPr>
          <w:rFonts w:ascii="Segoe UI" w:hAnsi="Segoe UI" w:eastAsia="Segoe UI" w:cs="Segoe UI"/>
          <w:color w:val="3B3B3B"/>
          <w:szCs w:val="21"/>
          <w:shd w:val="clear" w:color="auto" w:fill="FFFFFF"/>
        </w:rPr>
        <w:t>Since the canteen of the Ersha boarding school is a dining place set up within the scope of school management, the school belongs to the national educational institution, and for this purpose, it obtains the business license and health certification according to relevant Chinese national standards and relevant laws and regulations. The school cafeteria has a large number of people dining and concentrated time. Because the vast majority are young people or children, the Chinese government, is particularly important for school food safety issues, followed by the food variety.</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Since the Chinese Sudanese Red Duck Egg incident in 2006, although the Chinese government has continuously improved the requirements and quality of food, but because the food market is too huge, food safety problems continue to occur. In 2008, Sanlu “melamine milk powder” incident, 2010 trench oil The incident and the smuggling of "zombie meat" into the restaurant in 2015 confirmed the seriousness of China's food safety problem. Therefore, the Chinese government strictly puts a stop to the problem of eating and drinking in schools. Once it is soft, the students are compensated and the principal is removed. On this issue, the school spent a lot of time and money on food supply and food hygiene in order to prevent food safety problems. Depending on statistics, the school's food expenses at the school is 400,000 yuan (about 45,000 pounds) per month. The huge cost makes the school need to cooperate with the food contractor to save money.</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Good Life Catering Management has its own dedicated nutrition experts and specialized suppliers. More importantly, this company has experience in contracting school canteens and learns how to ensure a balanced diet on the premise of ensuring food safety. And the company is determined to teaching students the importance of proper nutrition, and vigorously promotes a balanced diet to help them develop healthy eating habits that are not picky eaters, partial eclipse and other.</w:t>
      </w:r>
    </w:p>
    <w:p>
      <w:pPr>
        <w:pStyle w:val="3"/>
      </w:pPr>
      <w:bookmarkStart w:id="3" w:name="_Toc8250115"/>
      <w:r>
        <w:rPr>
          <w:rFonts w:hint="eastAsia"/>
        </w:rPr>
        <w:t>1.2 Aims</w:t>
      </w:r>
      <w:bookmarkEnd w:id="3"/>
    </w:p>
    <w:p>
      <w:r>
        <w:rPr>
          <w:rFonts w:ascii="Segoe UI" w:hAnsi="Segoe UI" w:eastAsia="Segoe UI" w:cs="Segoe UI"/>
          <w:color w:val="3B3B3B"/>
          <w:szCs w:val="21"/>
          <w:shd w:val="clear" w:color="auto" w:fill="FFFFFF"/>
        </w:rPr>
        <w:t>The overall goal of this report is to identify the changes that the canteen contractor brings to the school, and to make changes and modifications to the school's situation. Under the premise of saving the cost of the school canteen, the personnel changes caused by the canteen outsourcing and the canteen decoration are reviewed. And through this to pass the Chinese government's campus food safety inspection. Compare to other schools, the monthly expenses of 400,000 RMB canteens have greatly increased the financial dilemma of the school. Therefore, finding a suitable canteen contractor cannot only effectively alleviate the financial problems of the school, but also save the school's response to the problem of campus food hygiene. Therefore, built on the time and scope of the study, a more realistic date to achieve the expected results is before the start of the new semester in September 2019.</w:t>
      </w:r>
    </w:p>
    <w:p>
      <w:pPr>
        <w:pStyle w:val="2"/>
      </w:pPr>
      <w:bookmarkStart w:id="4" w:name="_Toc8250116"/>
      <w:r>
        <w:rPr>
          <w:rFonts w:hint="eastAsia"/>
        </w:rPr>
        <w:t xml:space="preserve">2.0 </w:t>
      </w:r>
      <w:r>
        <w:t>Objectives</w:t>
      </w:r>
      <w:bookmarkEnd w:id="4"/>
    </w:p>
    <w:p>
      <w:r>
        <w:t>In order to make the project a success, the school counselor will analyze the contract signed with the contractor after contracting out in the cafeteria and the impact on the school. Companies rely on these key success factors to define the goals that must be achieved in order for them to achieve their overall goals (Howell, 2010). The following includes the objectives of each phase of the project:</w:t>
      </w:r>
    </w:p>
    <w:p>
      <w:r>
        <w:t>The first phase of the situation analysis, including collecting contractor background information to confirm the contractor's advantages.</w:t>
      </w:r>
    </w:p>
    <w:p>
      <w:r>
        <w:t>The second phase analyzes the main reasons why a good food and beverage company can fit the school.</w:t>
      </w:r>
    </w:p>
    <w:p>
      <w:r>
        <w:t>In the third stage, the adjustment and change of the human resources function of the current canteen in the Ersha boarding school, and the implementation strategy suitable for the school program.</w:t>
      </w:r>
    </w:p>
    <w:p/>
    <w:p>
      <w:pPr>
        <w:pStyle w:val="3"/>
      </w:pPr>
      <w:bookmarkStart w:id="5" w:name="_Toc8250117"/>
      <w:r>
        <w:rPr>
          <w:rFonts w:hint="eastAsia"/>
        </w:rPr>
        <w:t xml:space="preserve">2.1 </w:t>
      </w:r>
      <w:r>
        <w:t>Research Methodology</w:t>
      </w:r>
      <w:bookmarkEnd w:id="5"/>
    </w:p>
    <w:p>
      <w:r>
        <w:rPr>
          <w:rFonts w:ascii="Segoe UI" w:hAnsi="Segoe UI" w:eastAsia="Segoe UI" w:cs="Segoe UI"/>
          <w:color w:val="3B3B3B"/>
          <w:szCs w:val="21"/>
          <w:shd w:val="clear" w:color="auto" w:fill="FFFFFF"/>
        </w:rPr>
        <w:t>Research can be known as an art which is a scientific study that involves a structured and systematic exploration of relevant messages for a particular project (Kothari, 2004). The data source for this project is mainly derived from second-hand data. Since second-hand data are defined as information collected by individuals or groups for one purpose and then used by others to support their purpose (McQuarrie, 2005). It can significantly reduce the cost of first-hand data acquisition, and the project needs to analyze second-hand information already available in academic books, journals, and the Internet. At the same time, the project has similar examples in online and academic books. At the same time, as a student at the University of Wales, Trinity College, I have access to the university's library resources, and this information is helpful to the school to help me to find similar programs.</w:t>
      </w:r>
    </w:p>
    <w:p>
      <w:pPr>
        <w:pStyle w:val="2"/>
      </w:pPr>
      <w:bookmarkStart w:id="6" w:name="_Toc449649813"/>
      <w:bookmarkStart w:id="7" w:name="_Toc8250118"/>
      <w:r>
        <w:t>3.0 Findings &amp; Critical Analysis</w:t>
      </w:r>
      <w:bookmarkEnd w:id="6"/>
      <w:bookmarkEnd w:id="7"/>
    </w:p>
    <w:p>
      <w:bookmarkStart w:id="8" w:name="_Toc449649814"/>
    </w:p>
    <w:p>
      <w:pPr>
        <w:pStyle w:val="3"/>
      </w:pPr>
      <w:bookmarkStart w:id="9" w:name="_Toc8250119"/>
      <w:r>
        <w:t>3.1 P</w:t>
      </w:r>
      <w:r>
        <w:rPr>
          <w:rFonts w:hint="eastAsia"/>
        </w:rPr>
        <w:t>art</w:t>
      </w:r>
      <w:r>
        <w:t xml:space="preserve"> One - Situational Analysis</w:t>
      </w:r>
      <w:bookmarkEnd w:id="8"/>
      <w:bookmarkEnd w:id="9"/>
      <w:bookmarkStart w:id="10" w:name="_Toc449649815"/>
    </w:p>
    <w:p>
      <w:r>
        <w:rPr>
          <w:rFonts w:ascii="Segoe UI" w:hAnsi="Segoe UI" w:eastAsia="Segoe UI" w:cs="Segoe UI"/>
          <w:color w:val="3B3B3B"/>
          <w:szCs w:val="21"/>
          <w:shd w:val="clear" w:color="auto" w:fill="FFFFFF"/>
        </w:rPr>
        <w:t>In order to evaluate the current situation of the catering company, the school consultant developed a scenario analysis. The analysis assessed the company's internal conditions and external environment (Klopper, 2006). By using contextual analysis, we will gain insight into the company's current state of affairs, current vision, goals and strategies (Marcus, 2007). Numerous tools are available when evaluating the current location of an organization. For the purpose of this project, I used SWOT analysis because it provides a wide range of information about the organization.</w:t>
      </w:r>
    </w:p>
    <w:p>
      <w:pPr>
        <w:pStyle w:val="6"/>
      </w:pPr>
      <w:r>
        <w:t>3.1.1 SWOT Analysis</w:t>
      </w:r>
      <w:bookmarkEnd w:id="10"/>
    </w:p>
    <w:p>
      <w:r>
        <w:rPr>
          <w:rFonts w:hint="eastAsia"/>
        </w:rPr>
        <w:t>The SWOT analysis contains the internal and external environments of the organization. Internally, the model identifies the strengths and weaknesses of the organization in key aspects such as financial performance, human resources, and organizational communication. Externally, the framework assesses the organization's key opportunities and threats, such as markets, economic conditions, technology and government regulations (Ferrell, 2014).</w:t>
      </w:r>
    </w:p>
    <w:p>
      <w:pPr>
        <w:pStyle w:val="5"/>
      </w:pPr>
      <w:r>
        <w:t>Strengths</w:t>
      </w:r>
    </w:p>
    <w:p>
      <w:pPr>
        <w:tabs>
          <w:tab w:val="left" w:pos="312"/>
        </w:tabs>
        <w:rPr>
          <w:rFonts w:ascii="Segoe UI" w:hAnsi="Segoe UI" w:eastAsia="Segoe UI" w:cs="Segoe UI"/>
          <w:color w:val="3B3B3B"/>
          <w:szCs w:val="21"/>
          <w:shd w:val="clear" w:color="auto" w:fill="FFFFFF"/>
        </w:rPr>
      </w:pPr>
      <w:r>
        <w:rPr>
          <w:rFonts w:hint="eastAsia" w:cs="Segoe UI" w:asciiTheme="minorEastAsia" w:hAnsiTheme="minorEastAsia"/>
          <w:color w:val="3B3B3B"/>
          <w:szCs w:val="21"/>
          <w:shd w:val="clear" w:color="auto" w:fill="FFFFFF"/>
        </w:rPr>
        <w:t>1.</w:t>
      </w:r>
      <w:r>
        <w:rPr>
          <w:rFonts w:ascii="Segoe UI" w:hAnsi="Segoe UI" w:eastAsia="Segoe UI" w:cs="Segoe UI"/>
          <w:color w:val="3B3B3B"/>
          <w:szCs w:val="21"/>
          <w:shd w:val="clear" w:color="auto" w:fill="FFFFFF"/>
        </w:rPr>
        <w:t>Strong normative consciousness</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Good Life Catering Company strictly abides by the government food safety normative documents promulgated by the Chinese government. Seriously fulfill the duties of on-site supervision and management of food safety strategic links such as raw material procurement and acceptance, food processing, tableware disinfection, food sample retention, etc., and comprehensively supervise canteen business operations. Improve the management of leftovers and put the leftovers on the students' table.</w:t>
      </w:r>
      <w:r>
        <w:rPr>
          <w:rFonts w:ascii="Segoe UI" w:hAnsi="Segoe UI" w:eastAsia="Segoe UI" w:cs="Segoe UI"/>
          <w:color w:val="3B3B3B"/>
          <w:szCs w:val="21"/>
          <w:shd w:val="clear" w:color="auto" w:fill="FFFFFF"/>
        </w:rPr>
        <w:br w:type="textWrapping"/>
      </w:r>
    </w:p>
    <w:p>
      <w:pPr>
        <w:tabs>
          <w:tab w:val="left" w:pos="312"/>
        </w:tabs>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2.With a unique food supply, the nutrition mix of students is reasonable and balanced.</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Good Life Catering Company has excellent purchasing center and huge logistics distribution center. It has two agricultural bases, multiple large-scale procurement and distribution centers, which can reduce intermediate sales links from the source, huge logistics distribution center, and highly centralized and unified logistics. The system can narrow the operating and management costs of the company.</w:t>
      </w:r>
      <w:r>
        <w:rPr>
          <w:rFonts w:ascii="Segoe UI" w:hAnsi="Segoe UI" w:eastAsia="Segoe UI" w:cs="Segoe UI"/>
          <w:color w:val="3B3B3B"/>
          <w:szCs w:val="21"/>
          <w:shd w:val="clear" w:color="auto" w:fill="FFFFFF"/>
        </w:rPr>
        <w:br w:type="textWrapping"/>
      </w:r>
    </w:p>
    <w:p>
      <w:pPr>
        <w:tabs>
          <w:tab w:val="left" w:pos="312"/>
        </w:tabs>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3.There are a variety of dishes to select from at a moderate price.</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In China, food is not only cheap food, but also responds to the needs of high-end consumers in different consumer markets. Good Life Catering Company has a wealth of food and the price of the beverage is moderate. With its unique style and charm, it meets the dietary needs of diverse students in the school. In the previous market, it has achieved good quality and low price.</w:t>
      </w:r>
    </w:p>
    <w:p>
      <w:pPr>
        <w:pStyle w:val="5"/>
      </w:pPr>
      <w:r>
        <w:rPr>
          <w:rFonts w:hint="eastAsia"/>
        </w:rPr>
        <w:t>Weaknesses</w:t>
      </w:r>
    </w:p>
    <w:p>
      <w:pPr>
        <w:numPr>
          <w:ilvl w:val="0"/>
          <w:numId w:val="2"/>
        </w:num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 Food safety issues are prominent and the regulatory system is not sound</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In recent years, China has frequently experienced food safety issues. Since the media report on “ditch oil” in 2006, food safety has been part of the concerns of the Chinese people. After exposing the well-known takeaway platform “eleme” in 2016, food safety issues have become the focus of public opinion. All kinds of phenomena indicate that China's supervision of the catering industry is not enough, especially in the Internet era. The lack of effective management of new catering areas has seriously affected the reputation and healthy development of the catering industry.</w:t>
      </w:r>
      <w:r>
        <w:rPr>
          <w:rFonts w:ascii="Segoe UI" w:hAnsi="Segoe UI" w:eastAsia="Segoe UI" w:cs="Segoe UI"/>
          <w:color w:val="3B3B3B"/>
          <w:szCs w:val="21"/>
          <w:shd w:val="clear" w:color="auto" w:fill="FFFFFF"/>
        </w:rPr>
        <w:br w:type="textWrapping"/>
      </w:r>
    </w:p>
    <w:p>
      <w:pPr>
        <w:tabs>
          <w:tab w:val="left" w:pos="312"/>
        </w:tabs>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2. Catering companies lack brand marketing awareness</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At present, most Chinese catering companies lack innovation in marketing, and a large number of “old brands” have closed down due to lack of brand awareness. However, some new catering enterprises lack the historical and cultural precipitation and lack of brand building awareness, and cannot quickly build their own brands, resulting in fewer and more catering brands.</w:t>
      </w:r>
      <w:r>
        <w:rPr>
          <w:rFonts w:ascii="Segoe UI" w:hAnsi="Segoe UI" w:eastAsia="Segoe UI" w:cs="Segoe UI"/>
          <w:color w:val="3B3B3B"/>
          <w:szCs w:val="21"/>
          <w:shd w:val="clear" w:color="auto" w:fill="FFFFFF"/>
        </w:rPr>
        <w:br w:type="textWrapping"/>
      </w:r>
    </w:p>
    <w:p>
      <w:pPr>
        <w:tabs>
          <w:tab w:val="left" w:pos="312"/>
        </w:tabs>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3. Lack of professional management talent</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Catering education and scientific research lags behind. There is no special undergraduate cooking school in China, and the catering professional manager team training and professional training work lags behind. The quality of industry personnel is not high, lacking senior management talents and cooking technology talents. In particular, the flow of Chinese food industry personnel is extremely difficult, and it is difficult to retain outstanding talents.</w:t>
      </w:r>
    </w:p>
    <w:p>
      <w:pPr>
        <w:pStyle w:val="5"/>
        <w:rPr>
          <w:rFonts w:ascii="Segoe UI" w:hAnsi="Segoe UI" w:eastAsia="Segoe UI" w:cs="Segoe UI"/>
          <w:i w:val="0"/>
          <w:color w:val="3B3B3B"/>
          <w:szCs w:val="21"/>
          <w:shd w:val="clear" w:color="auto" w:fill="FFFFFF"/>
        </w:rPr>
      </w:pPr>
      <w:r>
        <w:t>Opportunities</w:t>
      </w:r>
    </w:p>
    <w:p>
      <w:pPr>
        <w:rPr>
          <w:lang w:val="en-GB"/>
        </w:rPr>
      </w:pPr>
      <w:r>
        <w:rPr>
          <w:rFonts w:ascii="Segoe UI" w:hAnsi="Segoe UI" w:eastAsia="Segoe UI" w:cs="Segoe UI"/>
          <w:color w:val="3B3B3B"/>
          <w:szCs w:val="21"/>
          <w:shd w:val="clear" w:color="auto" w:fill="FFFFFF"/>
        </w:rPr>
        <w:t>1. Fast-moving platform for take-out</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China's catering industry is rapidly developing towards e-commerce, which is a rare development opportunity for some small and medium-sized catering enterprises.</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2. Management upgrade</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With the development of the time, the strategic goals of the catering industry managers are also advancing with the times, and many stores have developed from exclusive operations to chain operations. Enterprises no longer simply uses the price advantage to attract customers. Taking “Grandma's diet” as an example, they have created their own brands. Through the promotion of corporate culture and brand building, they have attracted a group of loyal customers.</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3. New community is catering demand expansion</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The new community is usually composed of small families and floating population. Under the trend of the generalization of the mainstream consumer groups, the community catering industry needs to be tiny and beautiful. In the era, when the kitchen is gradually “disappearing”, community catering will become the second major catering outlet outside the super shopping center. Taking “Groups of Life” as an example, they adopted a small store thinking and implemented a single product + snacks strategy, which was favored by young client groups.</w:t>
      </w:r>
    </w:p>
    <w:p>
      <w:pPr>
        <w:pStyle w:val="5"/>
        <w:rPr>
          <w:rFonts w:eastAsiaTheme="minorEastAsia"/>
        </w:rPr>
      </w:pPr>
      <w:r>
        <w:t>Threats</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1 Market competition is intensifying</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With the concept of “mass entrepreneurship, innovation” and the rapid development of e-commerce, many entrepreneurs in China have turned their attention to the catering industry, and the market capacity of the catering industry itself has become saturated, from pure quality competition to products and The competition of corporate brands is a severe test for every operator.</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At the same time, more and more foreign catering brands have entered the Chinese market, including fast food and western food. The market share of brands such as KFC, McDonald's and Starbucks continues to grow in China. Compared with overseas countries, domestic catering enterprises have large gaps in scale, management and services, and their competitiveness is weak.</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2 comprehensively enter the "short profit era"</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As the impact of the global financial crisis on the global economy continues to deepen, the domestic catering industry has also been greatly affected. The cost of food raw materials, labor costs have risen, management talents are scarce, and cost control is becoming ever more difficult. Industry competition is intensifying and the catering industry is comprehensive. Entering the "micro-profit era", the traditional management and business model have encountered severe challenges.</w:t>
      </w:r>
    </w:p>
    <w:p>
      <w:pPr>
        <w:pStyle w:val="3"/>
      </w:pPr>
      <w:bookmarkStart w:id="11" w:name="_Toc8250120"/>
      <w:r>
        <w:rPr>
          <w:rFonts w:hint="eastAsia"/>
        </w:rPr>
        <w:t>3.2</w:t>
      </w:r>
      <w:r>
        <w:t xml:space="preserve"> Analysis of Key Reasons for High Employee Turnover</w:t>
      </w:r>
      <w:bookmarkEnd w:id="11"/>
    </w:p>
    <w:p>
      <w:pPr>
        <w:rPr>
          <w:rFonts w:asciiTheme="majorHAnsi" w:hAnsiTheme="majorHAnsi" w:eastAsiaTheme="majorEastAsia" w:cstheme="majorBidi"/>
          <w:i/>
          <w:iCs/>
          <w:color w:val="2E75B6" w:themeColor="accent1" w:themeShade="BF"/>
          <w:kern w:val="0"/>
          <w:sz w:val="24"/>
          <w:szCs w:val="22"/>
        </w:rPr>
      </w:pPr>
      <w:r>
        <w:rPr>
          <w:rFonts w:hint="eastAsia" w:asciiTheme="majorHAnsi" w:hAnsiTheme="majorHAnsi" w:eastAsiaTheme="majorEastAsia" w:cstheme="majorBidi"/>
          <w:i/>
          <w:iCs/>
          <w:color w:val="2E75B6" w:themeColor="accent1" w:themeShade="BF"/>
          <w:kern w:val="0"/>
          <w:sz w:val="24"/>
          <w:szCs w:val="22"/>
        </w:rPr>
        <w:t>High-cost food prices caused by government policies</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Studies have shown that one of the reasons for the high cost of self-employed canteens in schools is the change in domestic policies triggered by frequent food safety problems in recent years. Due to the frequent occurrence of food safety problems in China in recent years. After the introduction of eight regulations by the Chinese government, the development of catering was seriously frustrated, and the overall development situation was grim. As people's demand for food increases, food suppliers often go directly to farmers to buy ingredients instead of owning farms in order to get better and cheaper ingredients. A large number of purchases of the same ingredients will make farmers have a herd effect: They will plant more of the same ingredients to gain higher benefits. But even China has a huge catering market that can't consume a lot of the same ingredients, which lead to market inflation, and farmers can only give up their own ingredients. At this time, the supplier will be sold to the restaurant or the wholesale food market at a high price. Therefore, it costs 400,000 RMB (about 45,000 pounds) per month to buy the ingredients.</w:t>
      </w: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r>
        <w:rPr>
          <w:rFonts w:asciiTheme="majorHAnsi" w:hAnsiTheme="majorHAnsi" w:eastAsiaTheme="majorEastAsia" w:cstheme="majorBidi"/>
          <w:i/>
          <w:iCs/>
          <w:color w:val="2E75B6" w:themeColor="accent1" w:themeShade="BF"/>
          <w:kern w:val="0"/>
          <w:sz w:val="24"/>
          <w:szCs w:val="22"/>
          <w:lang w:val="en-GB" w:eastAsia="en-US"/>
        </w:rPr>
        <w:t>Monotonous and busy work</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During the school's self-operated canteen, employees seeking to develop and expand their skills, abilities, and experience have a tendency to find that the nature of the work in the field is dull and boring. Because cooking in the cafeteria is often a laborious and cumbersome thing. According to statistics, there are 20 employees in the school working in the cafeteria, and their work is often boring and hard work: cutting vegetables, carrying fresh ingredients to the kitchen, and then responsible for moving the cooked food at the meal. Restaurant. Since the school has a large number of students, 20 people need to cut all the ingredients in one hour and get in the basket. The labor force in China is cheap, which leads to the fact that this kind of work can only be done to people with low educational level in schools, because graduates with high education will not do such robot-like work.</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In 1943, Abraham H. Maslow proposed an incentive theory that human behavior is directed at the goal. This satisfaction can be achieved by satisfying the requirements (Maslow, 1943). Once the basic motivational needs of the employee's physiology, safety and belonging are met, they begin to seek achievement and self-esteem from their work. At this stage, they pursue challenging work. Because the challenge of canteen work is just to cut vegetables within the specified time, it is not challenging.</w:t>
      </w: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r>
        <w:rPr>
          <w:lang w:eastAsia="en-GB"/>
        </w:rPr>
        <w:drawing>
          <wp:anchor distT="0" distB="0" distL="114300" distR="114300" simplePos="0" relativeHeight="251666432" behindDoc="1" locked="0" layoutInCell="1" allowOverlap="1">
            <wp:simplePos x="0" y="0"/>
            <wp:positionH relativeFrom="margin">
              <wp:posOffset>789305</wp:posOffset>
            </wp:positionH>
            <wp:positionV relativeFrom="paragraph">
              <wp:posOffset>-252095</wp:posOffset>
            </wp:positionV>
            <wp:extent cx="3485515" cy="2480945"/>
            <wp:effectExtent l="0" t="0" r="635" b="14605"/>
            <wp:wrapNone/>
            <wp:docPr id="34" name="Picture 34" descr="http://www.broadreachtraining.com/images/misc/maslow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http://www.broadreachtraining.com/images/misc/maslow1.jpg"/>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a:xfrm>
                      <a:off x="0" y="0"/>
                      <a:ext cx="3485515" cy="2480945"/>
                    </a:xfrm>
                    <a:prstGeom prst="rect">
                      <a:avLst/>
                    </a:prstGeom>
                    <a:noFill/>
                    <a:ln>
                      <a:noFill/>
                    </a:ln>
                  </pic:spPr>
                </pic:pic>
              </a:graphicData>
            </a:graphic>
          </wp:anchor>
        </w:drawing>
      </w: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r>
        <w:rPr>
          <w:rFonts w:hint="eastAsia" w:ascii="Segoe UI" w:hAnsi="Segoe UI" w:eastAsia="Segoe UI" w:cs="Segoe UI"/>
          <w:color w:val="3B3B3B"/>
          <w:szCs w:val="21"/>
          <w:shd w:val="clear" w:color="auto" w:fill="FFFFFF"/>
        </w:rPr>
        <w:t>Compared to the 20 employees who only need to be responsible for cutting vegetables, the school only needs to pay 2,000 yuan (about 227 pounds) per month, while the three chefs need to pay 6,000 yuan (about 681 pounds) per month. This is because the people who cook at school need to have a lot of effort to flip the spatula as big as a shovel. Therefore, the chefs who do not have such great strength are generally unable to perform the job of the school chef, and the school can only keep raising wages to retain the three chefs. This is a very dangerous but helpless move for the school.</w:t>
      </w:r>
    </w:p>
    <w:p>
      <w:pPr>
        <w:rPr>
          <w:rFonts w:ascii="Segoe UI" w:hAnsi="Segoe UI" w:eastAsia="Segoe UI" w:cs="Segoe UI"/>
          <w:color w:val="3B3B3B"/>
          <w:szCs w:val="21"/>
          <w:shd w:val="clear" w:color="auto" w:fill="FFFFFF"/>
        </w:rPr>
      </w:pPr>
    </w:p>
    <w:p>
      <w:pPr>
        <w:pStyle w:val="3"/>
        <w:rPr>
          <w:shd w:val="clear" w:color="auto" w:fill="FFFFFF"/>
        </w:rPr>
      </w:pPr>
      <w:bookmarkStart w:id="12" w:name="_Toc8250121"/>
      <w:r>
        <w:rPr>
          <w:rFonts w:hint="eastAsia"/>
          <w:shd w:val="clear" w:color="auto" w:fill="FFFFFF"/>
        </w:rPr>
        <w:t xml:space="preserve">3.3 </w:t>
      </w:r>
      <w:r>
        <w:rPr>
          <w:shd w:val="clear" w:color="auto" w:fill="FFFFFF"/>
        </w:rPr>
        <w:t>K</w:t>
      </w:r>
      <w:r>
        <w:rPr>
          <w:rFonts w:hint="eastAsia"/>
          <w:shd w:val="clear" w:color="auto" w:fill="FFFFFF"/>
        </w:rPr>
        <w:t>ey intervention</w:t>
      </w:r>
      <w:bookmarkEnd w:id="12"/>
    </w:p>
    <w:p>
      <w:pPr>
        <w:rPr>
          <w:rFonts w:ascii="Segoe UI" w:hAnsi="Segoe UI" w:eastAsia="Segoe UI" w:cs="Segoe UI"/>
          <w:color w:val="3B3B3B"/>
          <w:szCs w:val="21"/>
          <w:shd w:val="clear" w:color="auto" w:fill="FFFFFF"/>
        </w:rPr>
      </w:pPr>
      <w:r>
        <w:rPr>
          <w:rFonts w:hint="eastAsia" w:ascii="Segoe UI" w:hAnsi="Segoe UI" w:eastAsia="Segoe UI" w:cs="Segoe UI"/>
          <w:color w:val="3B3B3B"/>
          <w:szCs w:val="21"/>
          <w:shd w:val="clear" w:color="auto" w:fill="FFFFFF"/>
        </w:rPr>
        <w:t>Undoubtedly, the negative impact of the self-service canteen will adversely affect the organizational performance of Ersha boarding school. Therefore, the school took the canteen outsourcing instead of the self-service canteen. The report analyzes and evaluates the main reasons for the high cost of the school's self-operated canteens, so the benefits and drawbacks of taking out canteen outsourcing make it necessary for me to analyze and develop strategies for implementation in schools.</w:t>
      </w: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r>
        <w:rPr>
          <w:rStyle w:val="17"/>
        </w:rPr>
        <w:t>3.3.1 Benefits of outsourcing the canteen</w:t>
      </w:r>
      <w:r>
        <w:rPr>
          <w:rStyle w:val="17"/>
        </w:rPr>
        <w:br w:type="textWrapping"/>
      </w:r>
      <w:r>
        <w:rPr>
          <w:rFonts w:ascii="Segoe UI" w:hAnsi="Segoe UI" w:eastAsia="Segoe UI" w:cs="Segoe UI"/>
          <w:color w:val="3B3B3B"/>
          <w:szCs w:val="21"/>
          <w:shd w:val="clear" w:color="auto" w:fill="FFFFFF"/>
        </w:rPr>
        <w:t>Safety of food</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In the management of students' tableware, spoons, spoons, and shovel for cooking are not placed directly on the countertop, but placed in clean buckets or basins and must have an area logo. After use, the rice bowl, chopsticks and other tableware must be rinsed with boiling water, water and detergent to ensure that the tableware is clean. Kitchen cleaning must establish a post responsibility system, school canteen contracting company. All day kitchen utensils must be strictly disinfected after work every day. Kitchenware should be placed in an orderly manner, the cutting boards should be placed vertically, and the cutting boards for cutting cooked food should be used separately.</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The canteen contracting company must ensure that the company's employees also maintain personal hygiene and health, develop good hygiene habits, and maintain a safe working style. Do not spit, smoke, or apply lipstick in the kitchen or canteen.</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Full outsourcing mode</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As the school is outsourced, the school only needs to provide kitchen equipment, dining venues and personnel accommodation, which are funded by the canteen contracting company and is regularly settled to customers. Schools in this mode can transfer the canteen to the contracting company for management, and the school can save energy by providing basic equipment. Moreover, the professional team is stationed, the standardized operation process, and ensuring the high-quality, high-efficiency, low-cost food supply is the reason for the school to opt for.</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Prepaid food expenses</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Prepaid food expenses implemented by the canteen outsourcing company implement the contracting method of paying for the first meal and the payment. The checkout method agrees on the regular payment, which rescues the company the trouble of spending one month of food expenses and saves the operating funds of this part of the company.</w:t>
      </w: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r>
        <w:rPr>
          <w:rStyle w:val="17"/>
        </w:rPr>
        <w:t>3.3.</w:t>
      </w:r>
      <w:r>
        <w:rPr>
          <w:rStyle w:val="17"/>
          <w:rFonts w:hint="eastAsia"/>
        </w:rPr>
        <w:t>2</w:t>
      </w:r>
      <w:r>
        <w:rPr>
          <w:rStyle w:val="17"/>
        </w:rPr>
        <w:t xml:space="preserve"> The disadvantages of the canteen after outsourcing</w:t>
      </w:r>
      <w:r>
        <w:rPr>
          <w:rStyle w:val="17"/>
        </w:rPr>
        <w:br w:type="textWrapping"/>
      </w:r>
      <w:r>
        <w:rPr>
          <w:rFonts w:ascii="Segoe UI" w:hAnsi="Segoe UI" w:eastAsia="Segoe UI" w:cs="Segoe UI"/>
          <w:color w:val="3B3B3B"/>
          <w:szCs w:val="21"/>
          <w:shd w:val="clear" w:color="auto" w:fill="FFFFFF"/>
        </w:rPr>
        <w:t>Disadvantages of responsibility awareness</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After the canteen is contracted, the catering service company will clarify that the principal is the general responsibility of the school canteen safety management, and the catering company will only sign the food safety responsibility book, although the catering service company will formulate job responsibilities according to the content of the responsibility book and go to the wall. Regularly carry out food safety inspections, make inspection records, identify hidden problems and prompt rectification. However, once the school has a food safety responsibility, it is often the principal responsible for the principal. Therefore, although the school has the initiative, the school cannot know the situation of the campus canteen for the first time because of the outsourcing of the canteen. Therefore, it is necessary to think twice before signing the contract.</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Supplier and catering market</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The catering service company requires uniform supply in procurement. Designated suppliers of rice and oil, and have their own breeding bases, and signed long-term purchase and sales contracts with other bases. Raw materials are collected directly from the base and distributed to the corporate canteens. The cost of intermediate logistics links is reduced, which seems to be good and cheap, but the actual situation is that the catering service companies often have abnormal behaviors. They may obtain unqualified ingredients directly from the suppliers to make food, so they need to purchase them at the catering service company. Identify the supplier's information.</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Food prices need to be clearly defined</w:t>
      </w:r>
      <w:r>
        <w:rPr>
          <w:rFonts w:ascii="Segoe UI" w:hAnsi="Segoe UI" w:eastAsia="Segoe UI" w:cs="Segoe UI"/>
          <w:color w:val="3B3B3B"/>
          <w:szCs w:val="21"/>
          <w:shd w:val="clear" w:color="auto" w:fill="FFFFFF"/>
        </w:rPr>
        <w:br w:type="textWrapping"/>
      </w:r>
      <w:r>
        <w:rPr>
          <w:rFonts w:ascii="Segoe UI" w:hAnsi="Segoe UI" w:eastAsia="Segoe UI" w:cs="Segoe UI"/>
          <w:color w:val="3B3B3B"/>
          <w:szCs w:val="21"/>
          <w:shd w:val="clear" w:color="auto" w:fill="FFFFFF"/>
        </w:rPr>
        <w:t>Compared with the customer's self-operated canteen, the canteen contract utilizes long-term and large-scale use of rice cooking oil and meat and vegetable seasoning, or has already reached a strategic partnership with related manufacturers, or can accurately select a supplier with strength to lower than the market wholesale. The price is sent directly from the manufacturer. Directly reduce storage, transportation and operating costs for the advantage of resource integration. However, this often leads to the consequences of the “high price of low-priced vegetables” caused by the unclear price of suppliers' food ingredients. Therefore, the clear grasp of the price of ingredients can effectively avoid the results of excessive vegetable prices caused by inequalities of information.</w:t>
      </w:r>
    </w:p>
    <w:p>
      <w:pPr>
        <w:pStyle w:val="6"/>
        <w:rPr>
          <w:shd w:val="clear" w:color="auto" w:fill="FFFFFF"/>
        </w:rPr>
      </w:pPr>
      <w:r>
        <w:rPr>
          <w:shd w:val="clear" w:color="auto" w:fill="FFFFFF"/>
        </w:rPr>
        <w:t>3.3.3 Solve the problem after the canteen contracting</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In terms of responsibility, the school needs to be clear first, that is, food safety. Since the food safety after contracting is completely represented by the catering service company, it is necessary to clearly indicate that the school is allowed to check the school kitchen and canteen at any time when signing the contract, so as to prevent food safety problems.</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On the issue of suppliers, it is best for the school to adopt a unified procurement computerized management, which can reduce the artificial abnormal operation and make the health status an indicator of the management of the management. And doing so can clearly know the price of food and prevent eating "high-priced dishes"</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Due to the transfer of personnel generated after the canteen is outsourced, an employee who is familiar with the canteen work process can be reserved to communicate and communicate with the catering service company. This will keep you in touch with the food service company.</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After the contracting of the restaurant, the financial pressure brought by the self-run canteen will be alleviated. The saved campus funds can be used for campus construction and improve the learning environment of students.</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About the pricing problem after contracting the canteen</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After the restaurant is contracted, the dining hall will adopt a meal card system. The school should avoid excessive food prices and prevent the catering service company from illegally obtaining a large amount of profits.</w:t>
      </w:r>
    </w:p>
    <w:p>
      <w:pPr>
        <w:rPr>
          <w:rFonts w:ascii="Segoe UI" w:hAnsi="Segoe UI" w:eastAsia="Segoe UI" w:cs="Segoe UI"/>
          <w:color w:val="3B3B3B"/>
          <w:szCs w:val="21"/>
          <w:shd w:val="clear" w:color="auto" w:fill="FFFFFF"/>
        </w:rPr>
      </w:pPr>
    </w:p>
    <w:p>
      <w:pPr>
        <w:pStyle w:val="2"/>
      </w:pPr>
      <w:bookmarkStart w:id="13" w:name="_Toc8250122"/>
      <w:r>
        <w:rPr>
          <w:rFonts w:hint="eastAsia"/>
        </w:rPr>
        <w:t>4.0</w:t>
      </w:r>
      <w:r>
        <w:t xml:space="preserve"> Conclusions</w:t>
      </w:r>
      <w:bookmarkEnd w:id="13"/>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The report was intended to take practical steps to help Zhengzhou Ersha boarding school find restaurant contractors. The report is given a three-stage approach, in which a situational analysis of the school has an obligation to gain insight into the various situations in the school. The second phase of the report involved the main reasons for assessing the high cost of self-operated canteens. Studies have shown that the main factors are High-cost food prices caused by government policies and Monotonous and busy work. The report allows the Good Life Catering Service Company to intervene in the school cafeteria to solve the school's self-service canteen problem. The third phase of the report provides the benefits and disadvantages of the canteen outsourcing. And further answers to questions resulting from the contracting of the school cafeteria to the catering service company. In order to prevent the most terrible food safety problems.</w:t>
      </w: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eastAsia="Segoe UI" w:cs="Segoe UI"/>
          <w:color w:val="3B3B3B"/>
          <w:szCs w:val="21"/>
          <w:shd w:val="clear" w:color="auto" w:fill="FFFFFF"/>
        </w:rPr>
      </w:pPr>
    </w:p>
    <w:p>
      <w:pPr>
        <w:rPr>
          <w:rFonts w:ascii="Segoe UI" w:hAnsi="Segoe UI" w:cs="Segoe UI"/>
          <w:color w:val="3B3B3B"/>
          <w:szCs w:val="21"/>
          <w:shd w:val="clear" w:color="auto" w:fill="FFFFFF"/>
        </w:rPr>
      </w:pPr>
    </w:p>
    <w:p>
      <w:pPr>
        <w:rPr>
          <w:rFonts w:ascii="Segoe UI" w:hAnsi="Segoe UI" w:cs="Segoe UI"/>
          <w:color w:val="3B3B3B"/>
          <w:szCs w:val="21"/>
          <w:shd w:val="clear" w:color="auto" w:fill="FFFFFF"/>
        </w:rPr>
      </w:pPr>
    </w:p>
    <w:p>
      <w:pPr>
        <w:rPr>
          <w:rFonts w:ascii="Segoe UI" w:hAnsi="Segoe UI" w:cs="Segoe UI"/>
          <w:color w:val="3B3B3B"/>
          <w:szCs w:val="21"/>
          <w:shd w:val="clear" w:color="auto" w:fill="FFFFFF"/>
        </w:rPr>
      </w:pPr>
    </w:p>
    <w:p>
      <w:pPr>
        <w:rPr>
          <w:rFonts w:ascii="Segoe UI" w:hAnsi="Segoe UI" w:cs="Segoe UI"/>
          <w:color w:val="3B3B3B"/>
          <w:szCs w:val="21"/>
          <w:shd w:val="clear" w:color="auto" w:fill="FFFFFF"/>
        </w:rPr>
      </w:pPr>
    </w:p>
    <w:p>
      <w:pPr>
        <w:rPr>
          <w:rFonts w:ascii="Segoe UI" w:hAnsi="Segoe UI" w:cs="Segoe UI"/>
          <w:color w:val="3B3B3B"/>
          <w:szCs w:val="21"/>
          <w:shd w:val="clear" w:color="auto" w:fill="FFFFFF"/>
        </w:rPr>
      </w:pPr>
    </w:p>
    <w:p>
      <w:pPr>
        <w:rPr>
          <w:rFonts w:hint="eastAsia" w:ascii="Segoe UI" w:hAnsi="Segoe UI" w:cs="Segoe UI"/>
          <w:color w:val="3B3B3B"/>
          <w:szCs w:val="21"/>
          <w:shd w:val="clear" w:color="auto" w:fill="FFFFFF"/>
        </w:rPr>
      </w:pPr>
    </w:p>
    <w:p>
      <w:pPr>
        <w:rPr>
          <w:rFonts w:ascii="Segoe UI" w:hAnsi="Segoe UI" w:eastAsia="Segoe UI" w:cs="Segoe UI"/>
          <w:color w:val="3B3B3B"/>
          <w:szCs w:val="21"/>
          <w:shd w:val="clear" w:color="auto" w:fill="FFFFFF"/>
        </w:rPr>
      </w:pPr>
    </w:p>
    <w:p>
      <w:pPr>
        <w:pStyle w:val="2"/>
      </w:pPr>
      <w:bookmarkStart w:id="14" w:name="_Toc8250123"/>
      <w:r>
        <w:rPr>
          <w:rFonts w:hint="eastAsia"/>
        </w:rPr>
        <w:t xml:space="preserve">5.0 </w:t>
      </w:r>
      <w:r>
        <w:t>References</w:t>
      </w:r>
      <w:bookmarkEnd w:id="14"/>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 </w:t>
      </w:r>
      <w:r>
        <w:fldChar w:fldCharType="begin"/>
      </w:r>
      <w:r>
        <w:instrText xml:space="preserve"> HYPERLINK "http://www.mindtools.com/pages/article/newTMC_05.htm" </w:instrText>
      </w:r>
      <w:r>
        <w:fldChar w:fldCharType="separate"/>
      </w:r>
      <w:r>
        <w:rPr>
          <w:rFonts w:ascii="Segoe UI" w:hAnsi="Segoe UI" w:eastAsia="Segoe UI" w:cs="Segoe UI"/>
          <w:color w:val="3B3B3B"/>
          <w:szCs w:val="21"/>
          <w:shd w:val="clear" w:color="auto" w:fill="FFFFFF"/>
        </w:rPr>
        <w:t>"SWOT Analysis: Discover New Opportunities, Manage and Eliminate Threats"</w:t>
      </w:r>
      <w:r>
        <w:rPr>
          <w:rFonts w:ascii="Segoe UI" w:hAnsi="Segoe UI" w:eastAsia="Segoe UI" w:cs="Segoe UI"/>
          <w:color w:val="3B3B3B"/>
          <w:szCs w:val="21"/>
          <w:shd w:val="clear" w:color="auto" w:fill="FFFFFF"/>
        </w:rPr>
        <w:fldChar w:fldCharType="end"/>
      </w:r>
      <w:r>
        <w:rPr>
          <w:rFonts w:ascii="Segoe UI" w:hAnsi="Segoe UI" w:eastAsia="Segoe UI" w:cs="Segoe UI"/>
          <w:color w:val="3B3B3B"/>
          <w:szCs w:val="21"/>
          <w:shd w:val="clear" w:color="auto" w:fill="FFFFFF"/>
        </w:rPr>
        <w:t>.</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 xml:space="preserve">Dess, Gregory (2018). Strategic Management. United States: McGraw-Hill. </w:t>
      </w:r>
    </w:p>
    <w:p>
      <w:pPr>
        <w:rPr>
          <w:rFonts w:ascii="Segoe UI" w:hAnsi="Segoe UI" w:eastAsia="Segoe UI" w:cs="Segoe UI"/>
          <w:color w:val="3B3B3B"/>
          <w:szCs w:val="21"/>
          <w:shd w:val="clear" w:color="auto" w:fill="FFFFFF"/>
        </w:rPr>
      </w:pPr>
      <w:r>
        <w:fldChar w:fldCharType="begin"/>
      </w:r>
      <w:r>
        <w:instrText xml:space="preserve"> HYPERLINK "https://en.wikipedia.org/wiki/Albert_S._Humphrey" \o "Albert S. Humphrey" </w:instrText>
      </w:r>
      <w:r>
        <w:fldChar w:fldCharType="separate"/>
      </w:r>
      <w:r>
        <w:rPr>
          <w:rFonts w:ascii="Segoe UI" w:hAnsi="Segoe UI" w:eastAsia="Segoe UI" w:cs="Segoe UI"/>
          <w:color w:val="3B3B3B"/>
          <w:szCs w:val="21"/>
          <w:shd w:val="clear" w:color="auto" w:fill="FFFFFF"/>
        </w:rPr>
        <w:t>Humphrey, Albert</w:t>
      </w:r>
      <w:r>
        <w:rPr>
          <w:rFonts w:ascii="Segoe UI" w:hAnsi="Segoe UI" w:eastAsia="Segoe UI" w:cs="Segoe UI"/>
          <w:color w:val="3B3B3B"/>
          <w:szCs w:val="21"/>
          <w:shd w:val="clear" w:color="auto" w:fill="FFFFFF"/>
        </w:rPr>
        <w:fldChar w:fldCharType="end"/>
      </w:r>
      <w:r>
        <w:rPr>
          <w:rFonts w:ascii="Segoe UI" w:hAnsi="Segoe UI" w:eastAsia="Segoe UI" w:cs="Segoe UI"/>
          <w:color w:val="3B3B3B"/>
          <w:szCs w:val="21"/>
          <w:shd w:val="clear" w:color="auto" w:fill="FFFFFF"/>
        </w:rPr>
        <w:t> (December 2005). </w:t>
      </w:r>
      <w:r>
        <w:fldChar w:fldCharType="begin"/>
      </w:r>
      <w:r>
        <w:instrText xml:space="preserve"> HYPERLINK "http://www.sri.com/sites/default/files/brochures/dec-05.pdf" </w:instrText>
      </w:r>
      <w:r>
        <w:fldChar w:fldCharType="separate"/>
      </w:r>
      <w:r>
        <w:rPr>
          <w:rFonts w:ascii="Segoe UI" w:hAnsi="Segoe UI" w:eastAsia="Segoe UI" w:cs="Segoe UI"/>
          <w:color w:val="3B3B3B"/>
          <w:szCs w:val="21"/>
          <w:shd w:val="clear" w:color="auto" w:fill="FFFFFF"/>
        </w:rPr>
        <w:t>"SWOT Analysis for Management Consulting"</w:t>
      </w:r>
      <w:r>
        <w:rPr>
          <w:rFonts w:ascii="Segoe UI" w:hAnsi="Segoe UI" w:eastAsia="Segoe UI" w:cs="Segoe UI"/>
          <w:color w:val="3B3B3B"/>
          <w:szCs w:val="21"/>
          <w:shd w:val="clear" w:color="auto" w:fill="FFFFFF"/>
        </w:rPr>
        <w:fldChar w:fldCharType="end"/>
      </w:r>
      <w:r>
        <w:rPr>
          <w:rFonts w:ascii="Segoe UI" w:hAnsi="Segoe UI" w:eastAsia="Segoe UI" w:cs="Segoe UI"/>
          <w:color w:val="3B3B3B"/>
          <w:szCs w:val="21"/>
          <w:shd w:val="clear" w:color="auto" w:fill="FFFFFF"/>
        </w:rPr>
        <w:t> </w:t>
      </w:r>
    </w:p>
    <w:p>
      <w:pPr>
        <w:rPr>
          <w:rFonts w:ascii="Segoe UI" w:hAnsi="Segoe UI" w:eastAsia="Segoe UI" w:cs="Segoe UI"/>
          <w:color w:val="3B3B3B"/>
          <w:szCs w:val="21"/>
          <w:shd w:val="clear" w:color="auto" w:fill="FFFFFF"/>
        </w:rPr>
      </w:pPr>
      <w:r>
        <w:fldChar w:fldCharType="begin"/>
      </w:r>
      <w:r>
        <w:instrText xml:space="preserve"> HYPERLINK "http://www.tamplc.com/Humphsprofile.htm" </w:instrText>
      </w:r>
      <w:r>
        <w:fldChar w:fldCharType="separate"/>
      </w:r>
      <w:r>
        <w:rPr>
          <w:rFonts w:ascii="Segoe UI" w:hAnsi="Segoe UI" w:eastAsia="Segoe UI" w:cs="Segoe UI"/>
          <w:color w:val="3B3B3B"/>
          <w:szCs w:val="21"/>
          <w:shd w:val="clear" w:color="auto" w:fill="FFFFFF"/>
        </w:rPr>
        <w:t>"Albert Humphrey The "Father" of TAM"</w:t>
      </w:r>
      <w:r>
        <w:rPr>
          <w:rFonts w:ascii="Segoe UI" w:hAnsi="Segoe UI" w:eastAsia="Segoe UI" w:cs="Segoe UI"/>
          <w:color w:val="3B3B3B"/>
          <w:szCs w:val="21"/>
          <w:shd w:val="clear" w:color="auto" w:fill="FFFFFF"/>
        </w:rPr>
        <w:fldChar w:fldCharType="end"/>
      </w:r>
      <w:r>
        <w:rPr>
          <w:rFonts w:ascii="Segoe UI" w:hAnsi="Segoe UI" w:eastAsia="Segoe UI" w:cs="Segoe UI"/>
          <w:color w:val="3B3B3B"/>
          <w:szCs w:val="21"/>
          <w:shd w:val="clear" w:color="auto" w:fill="FFFFFF"/>
        </w:rPr>
        <w:t xml:space="preserve">. TAM UK. </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 Blake, Martin; Wijetilaka, Shehan (26 February 2015). </w:t>
      </w:r>
      <w:r>
        <w:fldChar w:fldCharType="begin"/>
      </w:r>
      <w:r>
        <w:instrText xml:space="preserve"> HYPERLINK "http://www.brw.com.au/p/entrepreneurs/tips_to_grow_your_start_up_using_eQEF8Pm8l2Q9hME9TBXvVL" </w:instrText>
      </w:r>
      <w:r>
        <w:fldChar w:fldCharType="separate"/>
      </w:r>
      <w:r>
        <w:rPr>
          <w:rFonts w:ascii="Segoe UI" w:hAnsi="Segoe UI" w:eastAsia="Segoe UI" w:cs="Segoe UI"/>
          <w:color w:val="3B3B3B"/>
          <w:szCs w:val="21"/>
          <w:shd w:val="clear" w:color="auto" w:fill="FFFFFF"/>
        </w:rPr>
        <w:t>"5 tips to grow your start-up using SWOT analysis"</w:t>
      </w:r>
      <w:r>
        <w:rPr>
          <w:rFonts w:ascii="Segoe UI" w:hAnsi="Segoe UI" w:eastAsia="Segoe UI" w:cs="Segoe UI"/>
          <w:color w:val="3B3B3B"/>
          <w:szCs w:val="21"/>
          <w:shd w:val="clear" w:color="auto" w:fill="FFFFFF"/>
        </w:rPr>
        <w:fldChar w:fldCharType="end"/>
      </w:r>
      <w:r>
        <w:rPr>
          <w:rFonts w:ascii="Segoe UI" w:hAnsi="Segoe UI" w:eastAsia="Segoe UI" w:cs="Segoe UI"/>
          <w:color w:val="3B3B3B"/>
          <w:szCs w:val="21"/>
          <w:shd w:val="clear" w:color="auto" w:fill="FFFFFF"/>
        </w:rPr>
        <w:t xml:space="preserve">. Sydney. </w:t>
      </w:r>
    </w:p>
    <w:p>
      <w:pPr>
        <w:rPr>
          <w:rFonts w:ascii="Segoe UI" w:hAnsi="Segoe UI" w:eastAsia="Segoe UI" w:cs="Segoe UI"/>
          <w:color w:val="3B3B3B"/>
          <w:szCs w:val="21"/>
          <w:shd w:val="clear" w:color="auto" w:fill="FFFFFF"/>
        </w:rPr>
      </w:pPr>
      <w:r>
        <w:fldChar w:fldCharType="begin"/>
      </w:r>
      <w:r>
        <w:instrText xml:space="preserve"> HYPERLINK "http://www.shsu.edu/~mkt_ssm/mkt570/Chap04.ppt" </w:instrText>
      </w:r>
      <w:r>
        <w:fldChar w:fldCharType="separate"/>
      </w:r>
      <w:r>
        <w:rPr>
          <w:rFonts w:ascii="Segoe UI" w:hAnsi="Segoe UI" w:eastAsia="Segoe UI" w:cs="Segoe UI"/>
          <w:color w:val="3B3B3B"/>
          <w:szCs w:val="21"/>
          <w:shd w:val="clear" w:color="auto" w:fill="FFFFFF"/>
        </w:rPr>
        <w:t>See for instance: Mehta, S. (2000) Marketing Strategy</w:t>
      </w:r>
      <w:r>
        <w:rPr>
          <w:rFonts w:ascii="Segoe UI" w:hAnsi="Segoe UI" w:eastAsia="Segoe UI" w:cs="Segoe UI"/>
          <w:color w:val="3B3B3B"/>
          <w:szCs w:val="21"/>
          <w:shd w:val="clear" w:color="auto" w:fill="FFFFFF"/>
        </w:rPr>
        <w:fldChar w:fldCharType="end"/>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Armstrong. M. A handbook of Human Resource Management Practice (10th edition) 2006, Kogan Page, London </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Maslow, Abraham H. (1996). Critique of self-actualization theory. In: E. Hoffman (Ed.), Future visions: The unpublished papers of Abraham Maslow. </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Thousand Oaks, Maslow, Abraham H. (1969). The farther reaches of human nature. Journal of Transpersonal Psychology </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Maslow, Abraham H. (1971). The farther reaches of human nature. New York: The Viking Press.</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Koltko-Rivera, Mark E. (2006). Rediscovering the later version of Maslow’s hierarchy of needs: Self-transcendence and opportunities for theory, research, and unification, Review of General Psychology </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Garcia-Romeu, Albert. (2010). Self-transcendence as a measurable transpersonal construct. </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Villarica, H. (August 17, 2011). </w:t>
      </w:r>
      <w:r>
        <w:fldChar w:fldCharType="begin"/>
      </w:r>
      <w:r>
        <w:instrText xml:space="preserve"> HYPERLINK "https://www.theatlantic.com/life/archive/2011/08/maslow-20-a-new-and-improved-recipe-for-happiness/243486/" \l ".TkvKIRv8USE.facebook" </w:instrText>
      </w:r>
      <w:r>
        <w:fldChar w:fldCharType="separate"/>
      </w:r>
      <w:r>
        <w:rPr>
          <w:rFonts w:ascii="Segoe UI" w:hAnsi="Segoe UI" w:eastAsia="Segoe UI" w:cs="Segoe UI"/>
          <w:color w:val="3B3B3B"/>
          <w:szCs w:val="21"/>
          <w:shd w:val="clear" w:color="auto" w:fill="FFFFFF"/>
        </w:rPr>
        <w:t>"Maslow 2.0: A new and improved recipe for happiness"</w:t>
      </w:r>
      <w:r>
        <w:rPr>
          <w:rFonts w:ascii="Segoe UI" w:hAnsi="Segoe UI" w:eastAsia="Segoe UI" w:cs="Segoe UI"/>
          <w:color w:val="3B3B3B"/>
          <w:szCs w:val="21"/>
          <w:shd w:val="clear" w:color="auto" w:fill="FFFFFF"/>
        </w:rPr>
        <w:fldChar w:fldCharType="end"/>
      </w:r>
      <w:r>
        <w:rPr>
          <w:rFonts w:ascii="Segoe UI" w:hAnsi="Segoe UI" w:eastAsia="Segoe UI" w:cs="Segoe UI"/>
          <w:color w:val="3B3B3B"/>
          <w:szCs w:val="21"/>
          <w:shd w:val="clear" w:color="auto" w:fill="FFFFFF"/>
        </w:rPr>
        <w:t>.</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Chastain, Sue (March 5, 1987). </w:t>
      </w:r>
      <w:r>
        <w:fldChar w:fldCharType="begin"/>
      </w:r>
      <w:r>
        <w:instrText xml:space="preserve"> HYPERLINK "http://articles.philly.com/1987-03-05/news/26223512_1_black-industry-catering-exhibit" </w:instrText>
      </w:r>
      <w:r>
        <w:fldChar w:fldCharType="separate"/>
      </w:r>
      <w:r>
        <w:rPr>
          <w:rFonts w:ascii="Segoe UI" w:hAnsi="Segoe UI" w:eastAsia="Segoe UI" w:cs="Segoe UI"/>
          <w:color w:val="3B3B3B"/>
          <w:szCs w:val="21"/>
          <w:shd w:val="clear" w:color="auto" w:fill="FFFFFF"/>
        </w:rPr>
        <w:t>"Philadelphia's Historic Feasts How Blacks Carved Out A Niche In Society Through Catering"</w:t>
      </w:r>
      <w:r>
        <w:rPr>
          <w:rFonts w:ascii="Segoe UI" w:hAnsi="Segoe UI" w:eastAsia="Segoe UI" w:cs="Segoe UI"/>
          <w:color w:val="3B3B3B"/>
          <w:szCs w:val="21"/>
          <w:shd w:val="clear" w:color="auto" w:fill="FFFFFF"/>
        </w:rPr>
        <w:fldChar w:fldCharType="end"/>
      </w:r>
      <w:r>
        <w:rPr>
          <w:rFonts w:ascii="Segoe UI" w:hAnsi="Segoe UI" w:eastAsia="Segoe UI" w:cs="Segoe UI"/>
          <w:color w:val="3B3B3B"/>
          <w:szCs w:val="21"/>
          <w:shd w:val="clear" w:color="auto" w:fill="FFFFFF"/>
        </w:rPr>
        <w:t>. The Philadelphia Inquirer. Retrieved 1 November 2014.</w:t>
      </w:r>
    </w:p>
    <w:p>
      <w:pPr>
        <w:rPr>
          <w:rFonts w:ascii="Segoe UI" w:hAnsi="Segoe UI" w:eastAsia="Segoe UI" w:cs="Segoe UI"/>
          <w:color w:val="3B3B3B"/>
          <w:szCs w:val="21"/>
          <w:shd w:val="clear" w:color="auto" w:fill="FFFFFF"/>
        </w:rPr>
      </w:pPr>
      <w:r>
        <w:rPr>
          <w:rFonts w:ascii="Segoe UI" w:hAnsi="Segoe UI" w:eastAsia="Segoe UI" w:cs="Segoe UI"/>
          <w:color w:val="3B3B3B"/>
          <w:szCs w:val="21"/>
          <w:shd w:val="clear" w:color="auto" w:fill="FFFFFF"/>
        </w:rPr>
        <w:t>Walker, Juliet E. K. (2009). </w:t>
      </w:r>
      <w:r>
        <w:fldChar w:fldCharType="begin"/>
      </w:r>
      <w:r>
        <w:instrText xml:space="preserve"> HYPERLINK "https://books.google.com/books?id=mfiV6kQm2OYC&amp;pg=PA133" </w:instrText>
      </w:r>
      <w:r>
        <w:fldChar w:fldCharType="separate"/>
      </w:r>
      <w:r>
        <w:rPr>
          <w:rFonts w:ascii="Segoe UI" w:hAnsi="Segoe UI" w:eastAsia="Segoe UI" w:cs="Segoe UI"/>
          <w:color w:val="3B3B3B"/>
          <w:szCs w:val="21"/>
          <w:shd w:val="clear" w:color="auto" w:fill="FFFFFF"/>
        </w:rPr>
        <w:t>The history of black business in America: capitalism, race, entrepreneurship</w:t>
      </w:r>
      <w:r>
        <w:rPr>
          <w:rFonts w:ascii="Segoe UI" w:hAnsi="Segoe UI" w:eastAsia="Segoe UI" w:cs="Segoe UI"/>
          <w:color w:val="3B3B3B"/>
          <w:szCs w:val="21"/>
          <w:shd w:val="clear" w:color="auto" w:fill="FFFFFF"/>
        </w:rPr>
        <w:fldChar w:fldCharType="end"/>
      </w:r>
      <w:r>
        <w:rPr>
          <w:rFonts w:ascii="Segoe UI" w:hAnsi="Segoe UI" w:eastAsia="Segoe UI" w:cs="Segoe UI"/>
          <w:color w:val="3B3B3B"/>
          <w:szCs w:val="21"/>
          <w:shd w:val="clear" w:color="auto" w:fill="FFFFFF"/>
        </w:rPr>
        <w:t xml:space="preserve"> (2nd ed.). Chapel Hill, N.C.: University of North Carolina Press. </w:t>
      </w:r>
    </w:p>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Calibri Light">
    <w:panose1 w:val="020F0302020204030204"/>
    <w:charset w:val="00"/>
    <w:family w:val="swiss"/>
    <w:pitch w:val="default"/>
    <w:sig w:usb0="E0002AFF" w:usb1="C000247B" w:usb2="00000009" w:usb3="00000000" w:csb0="200001FF" w:csb1="00000000"/>
  </w:font>
  <w:font w:name="Segoe UI">
    <w:panose1 w:val="020B0502040204020203"/>
    <w:charset w:val="00"/>
    <w:family w:val="swiss"/>
    <w:pitch w:val="default"/>
    <w:sig w:usb0="E4002EFF" w:usb1="C000E47F"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B1F4C7FE"/>
    <w:multiLevelType w:val="singleLevel"/>
    <w:tmpl w:val="B1F4C7FE"/>
    <w:lvl w:ilvl="0" w:tentative="0">
      <w:start w:val="1"/>
      <w:numFmt w:val="decimal"/>
      <w:lvlText w:val="%1."/>
      <w:lvlJc w:val="left"/>
      <w:pPr>
        <w:tabs>
          <w:tab w:val="left" w:pos="312"/>
        </w:tabs>
      </w:pPr>
    </w:lvl>
  </w:abstractNum>
  <w:abstractNum w:abstractNumId="1">
    <w:nsid w:val="5D49EF43"/>
    <w:multiLevelType w:val="singleLevel"/>
    <w:tmpl w:val="5D49EF43"/>
    <w:lvl w:ilvl="0" w:tentative="0">
      <w:start w:val="1"/>
      <w:numFmt w:val="decimal"/>
      <w:lvlText w:val="%1."/>
      <w:lvlJc w:val="left"/>
      <w:pPr>
        <w:tabs>
          <w:tab w:val="left" w:pos="312"/>
        </w:tabs>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documentProtection w:enforcement="0"/>
  <w:defaultTabStop w:val="420"/>
  <w:drawingGridVerticalSpacing w:val="156"/>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3C1774F"/>
    <w:rsid w:val="000D1080"/>
    <w:rsid w:val="00D61470"/>
    <w:rsid w:val="20317258"/>
    <w:rsid w:val="38697BDF"/>
    <w:rsid w:val="45A2171C"/>
    <w:rsid w:val="492D5597"/>
    <w:rsid w:val="63C1774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heme="minorEastAsia"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9" w:semiHidden="0" w:name="heading 3"/>
    <w:lsdException w:qFormat="1" w:uiPriority="9" w:semiHidden="0" w:name="heading 4"/>
    <w:lsdException w:qFormat="1" w:uiPriority="0" w:semiHidden="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iPriority="39" w:semiHidden="0" w:name="toc 1"/>
    <w:lsdException w:uiPriority="39" w:semiHidden="0" w:name="toc 2"/>
    <w:lsdException w:qFormat="1" w:uiPriority="39"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qFormat="1"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iPriority="99" w:name="Normal Table"/>
    <w:lsdException w:unhideWhenUsed="0" w:uiPriority="0" w:semiHidden="0" w:name="annotation subject"/>
    <w:lsdException w:uiPriority="0" w:name="Table Simple 1"/>
    <w:lsdException w:uiPriority="0" w:name="Table Simple 2"/>
    <w:lsdException w:uiPriority="0" w:name="Table Simple 3"/>
    <w:lsdException w:uiPriority="0" w:name="Table Classic 1"/>
    <w:lsdException w:uiPriority="0" w:name="Table Classic 2"/>
    <w:lsdException w:uiPriority="0" w:name="Table Classic 3"/>
    <w:lsdException w:uiPriority="0" w:name="Table Classic 4"/>
    <w:lsdException w:uiPriority="0" w:name="Table Colorful 1"/>
    <w:lsdException w:uiPriority="0" w:name="Table Colorful 2"/>
    <w:lsdException w:uiPriority="0" w:name="Table Colorful 3"/>
    <w:lsdException w:uiPriority="0" w:name="Table Columns 1"/>
    <w:lsdException w:uiPriority="0" w:name="Table Columns 2"/>
    <w:lsdException w:uiPriority="0" w:name="Table Columns 3"/>
    <w:lsdException w:uiPriority="0" w:name="Table Columns 4"/>
    <w:lsdException w:uiPriority="0" w:name="Table Columns 5"/>
    <w:lsdException w:uiPriority="0" w:name="Table Grid 1"/>
    <w:lsdException w:uiPriority="0" w:name="Table Grid 2"/>
    <w:lsdException w:uiPriority="0" w:name="Table Grid 3"/>
    <w:lsdException w:uiPriority="0" w:name="Table Grid 4"/>
    <w:lsdException w:uiPriority="0" w:name="Table Grid 5"/>
    <w:lsdException w:uiPriority="0" w:name="Table Grid 6"/>
    <w:lsdException w:uiPriority="0" w:name="Table Grid 7"/>
    <w:lsdException w:uiPriority="0" w:name="Table Grid 8"/>
    <w:lsdException w:uiPriority="0" w:name="Table List 1"/>
    <w:lsdException w:uiPriority="0" w:name="Table List 2"/>
    <w:lsdException w:uiPriority="0" w:name="Table List 3"/>
    <w:lsdException w:uiPriority="0" w:name="Table List 4"/>
    <w:lsdException w:uiPriority="0" w:name="Table List 5"/>
    <w:lsdException w:uiPriority="0" w:name="Table List 6"/>
    <w:lsdException w:uiPriority="0" w:name="Table List 7"/>
    <w:lsdException w:uiPriority="0" w:name="Table List 8"/>
    <w:lsdException w:uiPriority="0" w:name="Table 3D effects 1"/>
    <w:lsdException w:uiPriority="0" w:name="Table 3D effects 2"/>
    <w:lsdException w:uiPriority="0" w:name="Table 3D effects 3"/>
    <w:lsdException w:uiPriority="0" w:name="Table Contemporary"/>
    <w:lsdException w:uiPriority="0" w:name="Table Elegant"/>
    <w:lsdException w:uiPriority="0" w:name="Table Professional"/>
    <w:lsdException w:uiPriority="0" w:name="Table Subtle 1"/>
    <w:lsdException w:uiPriority="0" w:name="Table Subtle 2"/>
    <w:lsdException w:uiPriority="0" w:name="Table Web 1"/>
    <w:lsdException w:uiPriority="0" w:name="Table Web 2"/>
    <w:lsdException w:uiPriority="0" w:name="Table Web 3"/>
    <w:lsdException w:unhideWhenUsed="0" w:uiPriority="0" w:semiHidden="0" w:name="Balloon Text"/>
    <w:lsdException w:unhideWhenUsed="0" w:uiPriority="0" w:semiHidden="0" w:name="Table Grid"/>
    <w:lsdException w:uiPriority="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15"/>
    <w:qFormat/>
    <w:uiPriority w:val="0"/>
    <w:pPr>
      <w:keepNext/>
      <w:keepLines/>
      <w:spacing w:before="340" w:after="330" w:line="578" w:lineRule="auto"/>
      <w:outlineLvl w:val="0"/>
    </w:pPr>
    <w:rPr>
      <w:b/>
      <w:bCs/>
      <w:kern w:val="44"/>
      <w:sz w:val="44"/>
      <w:szCs w:val="44"/>
    </w:rPr>
  </w:style>
  <w:style w:type="paragraph" w:styleId="3">
    <w:name w:val="heading 2"/>
    <w:basedOn w:val="1"/>
    <w:next w:val="1"/>
    <w:link w:val="16"/>
    <w:unhideWhenUsed/>
    <w:qFormat/>
    <w:uiPriority w:val="0"/>
    <w:pPr>
      <w:keepNext/>
      <w:keepLines/>
      <w:spacing w:before="260" w:after="260" w:line="416" w:lineRule="auto"/>
      <w:outlineLvl w:val="1"/>
    </w:pPr>
    <w:rPr>
      <w:rFonts w:asciiTheme="majorHAnsi" w:hAnsiTheme="majorHAnsi" w:eastAsiaTheme="majorEastAsia" w:cstheme="majorBidi"/>
      <w:b/>
      <w:bCs/>
      <w:sz w:val="32"/>
      <w:szCs w:val="32"/>
    </w:rPr>
  </w:style>
  <w:style w:type="paragraph" w:styleId="4">
    <w:name w:val="heading 3"/>
    <w:basedOn w:val="1"/>
    <w:next w:val="1"/>
    <w:unhideWhenUsed/>
    <w:qFormat/>
    <w:uiPriority w:val="9"/>
    <w:pPr>
      <w:keepNext/>
      <w:keepLines/>
      <w:spacing w:before="40"/>
      <w:outlineLvl w:val="2"/>
    </w:pPr>
    <w:rPr>
      <w:rFonts w:asciiTheme="majorHAnsi" w:hAnsiTheme="majorHAnsi" w:eastAsiaTheme="majorEastAsia" w:cstheme="majorBidi"/>
      <w:color w:val="1F4E79" w:themeColor="accent1" w:themeShade="80"/>
    </w:rPr>
  </w:style>
  <w:style w:type="paragraph" w:styleId="5">
    <w:name w:val="heading 4"/>
    <w:basedOn w:val="1"/>
    <w:next w:val="1"/>
    <w:unhideWhenUsed/>
    <w:qFormat/>
    <w:uiPriority w:val="9"/>
    <w:pPr>
      <w:keepNext/>
      <w:keepLines/>
      <w:spacing w:before="40"/>
      <w:outlineLvl w:val="3"/>
    </w:pPr>
    <w:rPr>
      <w:rFonts w:asciiTheme="majorHAnsi" w:hAnsiTheme="majorHAnsi" w:eastAsiaTheme="majorEastAsia" w:cstheme="majorBidi"/>
      <w:i/>
      <w:iCs/>
      <w:color w:val="2E75B6" w:themeColor="accent1" w:themeShade="BF"/>
    </w:rPr>
  </w:style>
  <w:style w:type="paragraph" w:styleId="6">
    <w:name w:val="heading 5"/>
    <w:basedOn w:val="1"/>
    <w:next w:val="1"/>
    <w:link w:val="17"/>
    <w:unhideWhenUsed/>
    <w:qFormat/>
    <w:uiPriority w:val="0"/>
    <w:pPr>
      <w:keepNext/>
      <w:keepLines/>
      <w:spacing w:before="280" w:after="290" w:line="376" w:lineRule="auto"/>
      <w:outlineLvl w:val="4"/>
    </w:pPr>
    <w:rPr>
      <w:b/>
      <w:bCs/>
      <w:sz w:val="28"/>
      <w:szCs w:val="28"/>
    </w:rPr>
  </w:style>
  <w:style w:type="character" w:default="1" w:styleId="11">
    <w:name w:val="Default Paragraph Font"/>
    <w:semiHidden/>
    <w:unhideWhenUsed/>
    <w:qFormat/>
    <w:uiPriority w:val="1"/>
  </w:style>
  <w:style w:type="table" w:default="1" w:styleId="10">
    <w:name w:val="Normal Table"/>
    <w:semiHidden/>
    <w:unhideWhenUsed/>
    <w:uiPriority w:val="99"/>
    <w:tblPr>
      <w:tblLayout w:type="fixed"/>
      <w:tblCellMar>
        <w:top w:w="0" w:type="dxa"/>
        <w:left w:w="108" w:type="dxa"/>
        <w:bottom w:w="0" w:type="dxa"/>
        <w:right w:w="108" w:type="dxa"/>
      </w:tblCellMar>
    </w:tblPr>
  </w:style>
  <w:style w:type="paragraph" w:styleId="7">
    <w:name w:val="toc 3"/>
    <w:basedOn w:val="1"/>
    <w:next w:val="1"/>
    <w:unhideWhenUsed/>
    <w:qFormat/>
    <w:uiPriority w:val="39"/>
    <w:pPr>
      <w:widowControl/>
      <w:spacing w:after="100" w:line="259" w:lineRule="auto"/>
      <w:ind w:left="440"/>
      <w:jc w:val="left"/>
    </w:pPr>
    <w:rPr>
      <w:rFonts w:cs="Times New Roman"/>
      <w:kern w:val="0"/>
      <w:sz w:val="22"/>
      <w:szCs w:val="22"/>
    </w:rPr>
  </w:style>
  <w:style w:type="paragraph" w:styleId="8">
    <w:name w:val="toc 1"/>
    <w:basedOn w:val="1"/>
    <w:next w:val="1"/>
    <w:unhideWhenUsed/>
    <w:uiPriority w:val="39"/>
    <w:pPr>
      <w:widowControl/>
      <w:spacing w:after="100" w:line="259" w:lineRule="auto"/>
      <w:jc w:val="left"/>
    </w:pPr>
    <w:rPr>
      <w:rFonts w:cs="Times New Roman"/>
      <w:kern w:val="0"/>
      <w:sz w:val="22"/>
      <w:szCs w:val="22"/>
    </w:rPr>
  </w:style>
  <w:style w:type="paragraph" w:styleId="9">
    <w:name w:val="toc 2"/>
    <w:basedOn w:val="1"/>
    <w:next w:val="1"/>
    <w:unhideWhenUsed/>
    <w:uiPriority w:val="39"/>
    <w:pPr>
      <w:widowControl/>
      <w:spacing w:after="100" w:line="259" w:lineRule="auto"/>
      <w:ind w:left="220"/>
      <w:jc w:val="left"/>
    </w:pPr>
    <w:rPr>
      <w:rFonts w:cs="Times New Roman"/>
      <w:kern w:val="0"/>
      <w:sz w:val="22"/>
      <w:szCs w:val="22"/>
    </w:rPr>
  </w:style>
  <w:style w:type="character" w:styleId="12">
    <w:name w:val="Hyperlink"/>
    <w:basedOn w:val="11"/>
    <w:uiPriority w:val="99"/>
    <w:rPr>
      <w:color w:val="0000FF"/>
      <w:u w:val="single"/>
    </w:rPr>
  </w:style>
  <w:style w:type="character" w:styleId="13">
    <w:name w:val="HTML Cite"/>
    <w:basedOn w:val="11"/>
    <w:qFormat/>
    <w:uiPriority w:val="0"/>
    <w:rPr>
      <w:i/>
    </w:rPr>
  </w:style>
  <w:style w:type="paragraph" w:styleId="14">
    <w:name w:val="List Paragraph"/>
    <w:basedOn w:val="1"/>
    <w:qFormat/>
    <w:uiPriority w:val="34"/>
    <w:pPr>
      <w:ind w:left="720"/>
      <w:contextualSpacing/>
    </w:pPr>
  </w:style>
  <w:style w:type="character" w:customStyle="1" w:styleId="15">
    <w:name w:val="标题 1 字符"/>
    <w:basedOn w:val="11"/>
    <w:link w:val="2"/>
    <w:qFormat/>
    <w:uiPriority w:val="0"/>
    <w:rPr>
      <w:rFonts w:asciiTheme="minorHAnsi" w:hAnsiTheme="minorHAnsi" w:eastAsiaTheme="minorEastAsia" w:cstheme="minorBidi"/>
      <w:b/>
      <w:bCs/>
      <w:kern w:val="44"/>
      <w:sz w:val="44"/>
      <w:szCs w:val="44"/>
    </w:rPr>
  </w:style>
  <w:style w:type="character" w:customStyle="1" w:styleId="16">
    <w:name w:val="标题 2 字符"/>
    <w:basedOn w:val="11"/>
    <w:link w:val="3"/>
    <w:qFormat/>
    <w:uiPriority w:val="0"/>
    <w:rPr>
      <w:rFonts w:asciiTheme="majorHAnsi" w:hAnsiTheme="majorHAnsi" w:eastAsiaTheme="majorEastAsia" w:cstheme="majorBidi"/>
      <w:b/>
      <w:bCs/>
      <w:kern w:val="2"/>
      <w:sz w:val="32"/>
      <w:szCs w:val="32"/>
    </w:rPr>
  </w:style>
  <w:style w:type="character" w:customStyle="1" w:styleId="17">
    <w:name w:val="标题 5 字符"/>
    <w:basedOn w:val="11"/>
    <w:link w:val="6"/>
    <w:uiPriority w:val="0"/>
    <w:rPr>
      <w:rFonts w:asciiTheme="minorHAnsi" w:hAnsiTheme="minorHAnsi" w:eastAsiaTheme="minorEastAsia" w:cstheme="minorBidi"/>
      <w:b/>
      <w:bCs/>
      <w:kern w:val="2"/>
      <w:sz w:val="28"/>
      <w:szCs w:val="28"/>
    </w:rPr>
  </w:style>
  <w:style w:type="paragraph" w:customStyle="1" w:styleId="18">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E75B6" w:themeColor="accent1" w:themeShade="BF"/>
      <w:kern w:val="0"/>
      <w:sz w:val="32"/>
      <w:szCs w:val="32"/>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customXml" Target="../customXml/item2.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5E715059-9FC5-4D30-91D4-C30AFDD3BBB9}">
  <ds:schemaRefs/>
</ds:datastoreItem>
</file>

<file path=docProps/app.xml><?xml version="1.0" encoding="utf-8"?>
<Properties xmlns="http://schemas.openxmlformats.org/officeDocument/2006/extended-properties" xmlns:vt="http://schemas.openxmlformats.org/officeDocument/2006/docPropsVTypes">
  <Template>Normal.dotm</Template>
  <Pages>12</Pages>
  <Words>4197</Words>
  <Characters>23928</Characters>
  <Lines>199</Lines>
  <Paragraphs>56</Paragraphs>
  <TotalTime>0</TotalTime>
  <ScaleCrop>false</ScaleCrop>
  <LinksUpToDate>false</LinksUpToDate>
  <CharactersWithSpaces>28069</CharactersWithSpaces>
  <Application>WPS Office_11.1.0.8612_F1E327BC-269C-435d-A152-05C5408002CA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2019-05-07T20:36:00Z</dcterms:created>
  <dc:creator>陆登</dc:creator>
  <cp:lastModifiedBy>陆登</cp:lastModifiedBy>
  <dcterms:modified xsi:type="dcterms:W3CDTF">2019-05-08T22:23:51Z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