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9236724" w14:textId="72D29042" w:rsidR="003A19C5" w:rsidRDefault="00932A7B" w:rsidP="00932A7B">
      <w:r>
        <w:t>There were many reasons for the success of the Spartan military, including quantity and quality of manpower, good allies, reputation and good leadership, however the two most important reasons for the success of the Spartan military were the agoge and the socio-economic system, both of which encompass other reasons for success</w:t>
      </w:r>
      <w:r w:rsidR="00F767B6">
        <w:t>. However, the agoge was the more important factor of the two for the success of the Spartan military.</w:t>
      </w:r>
    </w:p>
    <w:p w14:paraId="4E7214FF" w14:textId="77777777" w:rsidR="00D93F50" w:rsidRDefault="00932A7B" w:rsidP="00932A7B">
      <w:r>
        <w:tab/>
        <w:t>To begin, the agoge</w:t>
      </w:r>
      <w:r w:rsidR="00977EC0">
        <w:t xml:space="preserve"> in Sparta</w:t>
      </w:r>
      <w:r>
        <w:t xml:space="preserve"> was a rigid</w:t>
      </w:r>
      <w:r w:rsidR="00F9482D">
        <w:t xml:space="preserve"> education and</w:t>
      </w:r>
      <w:r>
        <w:t xml:space="preserve"> training programme that all young male Spartans between the ages of 7</w:t>
      </w:r>
      <w:r w:rsidR="00293027">
        <w:rPr>
          <w:rStyle w:val="FootnoteReference"/>
        </w:rPr>
        <w:footnoteReference w:id="1"/>
      </w:r>
      <w:r>
        <w:t xml:space="preserve"> and 1</w:t>
      </w:r>
      <w:r w:rsidR="00977EC0">
        <w:t>7</w:t>
      </w:r>
      <w:r w:rsidR="00FE45E1">
        <w:t>,</w:t>
      </w:r>
      <w:r w:rsidR="00FE45E1">
        <w:rPr>
          <w:rStyle w:val="FootnoteReference"/>
        </w:rPr>
        <w:footnoteReference w:id="2"/>
      </w:r>
      <w:r w:rsidR="00FE45E1">
        <w:t xml:space="preserve"> maybe even up to the age of 30,</w:t>
      </w:r>
      <w:r w:rsidR="00FE45E1">
        <w:rPr>
          <w:rStyle w:val="FootnoteReference"/>
        </w:rPr>
        <w:footnoteReference w:id="3"/>
      </w:r>
      <w:r w:rsidR="00977EC0">
        <w:t xml:space="preserve"> </w:t>
      </w:r>
      <w:r>
        <w:t>went through, unless they were a direct heir to the throne.</w:t>
      </w:r>
      <w:r>
        <w:rPr>
          <w:rStyle w:val="FootnoteReference"/>
        </w:rPr>
        <w:footnoteReference w:id="4"/>
      </w:r>
      <w:r w:rsidR="0057275D">
        <w:t xml:space="preserve"> There are a vast amount of reasons of varying significance </w:t>
      </w:r>
      <w:r w:rsidR="00EC4B6A">
        <w:t xml:space="preserve">for why the Spartan military was successful that can come under the agoge, namely obedience, discipline, enough training, strategy, professionalism, quality of (a fair portion) of manpower, reputation, and even leadership to a degree. </w:t>
      </w:r>
    </w:p>
    <w:p w14:paraId="0576EAE3" w14:textId="2756E8DC" w:rsidR="001B24FD" w:rsidRDefault="00F9482D" w:rsidP="00D93F50">
      <w:pPr>
        <w:ind w:firstLine="720"/>
      </w:pPr>
      <w:r>
        <w:t>As the agoge was a strict and rigid education system</w:t>
      </w:r>
      <w:r w:rsidR="00EC4B6A">
        <w:t xml:space="preserve"> </w:t>
      </w:r>
      <w:r>
        <w:t>for young Spartan boys, which taught them music and basics of writing and reading,</w:t>
      </w:r>
      <w:r w:rsidR="00DC0942">
        <w:rPr>
          <w:rStyle w:val="FootnoteReference"/>
        </w:rPr>
        <w:footnoteReference w:id="5"/>
      </w:r>
      <w:r>
        <w:t xml:space="preserve"> as well as how to fight, how to obey, discipline, how to lead justly and how to strategize. </w:t>
      </w:r>
      <w:r w:rsidR="00977EC0">
        <w:t xml:space="preserve">It </w:t>
      </w:r>
      <w:proofErr w:type="gramStart"/>
      <w:r w:rsidR="00977EC0">
        <w:t>was thought</w:t>
      </w:r>
      <w:proofErr w:type="gramEnd"/>
      <w:r w:rsidR="00977EC0">
        <w:t xml:space="preserve"> that all they were taught to do was fight,</w:t>
      </w:r>
      <w:r w:rsidR="00DC0942">
        <w:rPr>
          <w:rStyle w:val="FootnoteReference"/>
        </w:rPr>
        <w:footnoteReference w:id="6"/>
      </w:r>
      <w:r w:rsidR="00977EC0">
        <w:t xml:space="preserve"> which is not the case, as mentioned. </w:t>
      </w:r>
      <w:r w:rsidR="00FE45E1">
        <w:t xml:space="preserve">The </w:t>
      </w:r>
      <w:proofErr w:type="spellStart"/>
      <w:r w:rsidR="00FE45E1">
        <w:rPr>
          <w:i/>
          <w:iCs/>
        </w:rPr>
        <w:t>paides</w:t>
      </w:r>
      <w:proofErr w:type="spellEnd"/>
      <w:r w:rsidR="00FE45E1">
        <w:rPr>
          <w:i/>
          <w:iCs/>
        </w:rPr>
        <w:t xml:space="preserve"> </w:t>
      </w:r>
      <w:r w:rsidR="00FE45E1">
        <w:t>(meaning boys, thought to age between 7 and 13,</w:t>
      </w:r>
      <w:r w:rsidR="00ED725F">
        <w:rPr>
          <w:rStyle w:val="FootnoteReference"/>
        </w:rPr>
        <w:footnoteReference w:id="7"/>
      </w:r>
      <w:r w:rsidR="00FE45E1">
        <w:t xml:space="preserve"> or 7-17</w:t>
      </w:r>
      <w:r w:rsidR="00ED725F">
        <w:rPr>
          <w:rStyle w:val="FootnoteReference"/>
        </w:rPr>
        <w:footnoteReference w:id="8"/>
      </w:r>
      <w:r w:rsidR="00FE45E1">
        <w:t>) were taught obedience, austerity (harsh discipline, or even severe simplicity, perhaps both) and had mock battles with each other,</w:t>
      </w:r>
      <w:r w:rsidR="00DC0942">
        <w:rPr>
          <w:rStyle w:val="FootnoteReference"/>
        </w:rPr>
        <w:footnoteReference w:id="9"/>
      </w:r>
      <w:r w:rsidR="00FE45E1">
        <w:t xml:space="preserve"> sometimes with internal leadership (thus training their leadership skills) or led by older youths (</w:t>
      </w:r>
      <w:proofErr w:type="spellStart"/>
      <w:r w:rsidR="00FE45E1" w:rsidRPr="00ED725F">
        <w:rPr>
          <w:i/>
          <w:iCs/>
        </w:rPr>
        <w:t>paidiskoi</w:t>
      </w:r>
      <w:proofErr w:type="spellEnd"/>
      <w:r w:rsidR="00ED725F">
        <w:t xml:space="preserve">, meaning </w:t>
      </w:r>
      <w:r w:rsidR="00FE45E1">
        <w:t>bigger boys</w:t>
      </w:r>
      <w:r w:rsidR="00ED725F">
        <w:t>, thought to be ages 14 to 19</w:t>
      </w:r>
      <w:r w:rsidR="00ED725F">
        <w:rPr>
          <w:rStyle w:val="FootnoteReference"/>
        </w:rPr>
        <w:footnoteReference w:id="10"/>
      </w:r>
      <w:r w:rsidR="00ED725F">
        <w:t xml:space="preserve"> or 17-19</w:t>
      </w:r>
      <w:r w:rsidR="00ED725F">
        <w:rPr>
          <w:rStyle w:val="FootnoteReference"/>
        </w:rPr>
        <w:footnoteReference w:id="11"/>
      </w:r>
      <w:r w:rsidR="00FE45E1">
        <w:t>).</w:t>
      </w:r>
      <w:r w:rsidR="00FE45E1">
        <w:rPr>
          <w:rStyle w:val="FootnoteReference"/>
        </w:rPr>
        <w:footnoteReference w:id="12"/>
      </w:r>
      <w:r w:rsidR="00287732">
        <w:t xml:space="preserve"> Since the mock battles happened throughout the years for all boys within the </w:t>
      </w:r>
      <w:proofErr w:type="spellStart"/>
      <w:r w:rsidR="00287732">
        <w:rPr>
          <w:i/>
          <w:iCs/>
        </w:rPr>
        <w:t>paides</w:t>
      </w:r>
      <w:proofErr w:type="spellEnd"/>
      <w:r w:rsidR="00287732">
        <w:rPr>
          <w:i/>
          <w:iCs/>
        </w:rPr>
        <w:t xml:space="preserve"> </w:t>
      </w:r>
      <w:r w:rsidR="00287732">
        <w:t xml:space="preserve">and </w:t>
      </w:r>
      <w:proofErr w:type="spellStart"/>
      <w:r w:rsidR="00287732">
        <w:rPr>
          <w:i/>
          <w:iCs/>
        </w:rPr>
        <w:t>paidiskoi</w:t>
      </w:r>
      <w:proofErr w:type="spellEnd"/>
      <w:r w:rsidR="00287732">
        <w:t xml:space="preserve">, it suggests that by their last year in the </w:t>
      </w:r>
      <w:proofErr w:type="spellStart"/>
      <w:r w:rsidR="00287732">
        <w:t>paidiskoi</w:t>
      </w:r>
      <w:proofErr w:type="spellEnd"/>
      <w:r w:rsidR="00287732">
        <w:t xml:space="preserve"> they would all be extremely good at fighting, as the </w:t>
      </w:r>
      <w:proofErr w:type="spellStart"/>
      <w:r w:rsidR="00287732">
        <w:t>paidiskois</w:t>
      </w:r>
      <w:proofErr w:type="spellEnd"/>
      <w:r w:rsidR="00287732">
        <w:t xml:space="preserve"> were usually reserves</w:t>
      </w:r>
      <w:r w:rsidR="00287732">
        <w:rPr>
          <w:rStyle w:val="FootnoteReference"/>
        </w:rPr>
        <w:footnoteReference w:id="13"/>
      </w:r>
      <w:r w:rsidR="00287732">
        <w:t xml:space="preserve"> for whenever Lacedaemon went to war (as it is Lacedaemon that was the area of the polis, Sparta was just the name of the polis) and the </w:t>
      </w:r>
      <w:proofErr w:type="spellStart"/>
      <w:r w:rsidR="00287732">
        <w:rPr>
          <w:i/>
          <w:iCs/>
        </w:rPr>
        <w:t>hebontes</w:t>
      </w:r>
      <w:proofErr w:type="spellEnd"/>
      <w:r w:rsidR="00287732">
        <w:rPr>
          <w:i/>
          <w:iCs/>
        </w:rPr>
        <w:t xml:space="preserve"> </w:t>
      </w:r>
      <w:r w:rsidR="00287732">
        <w:t xml:space="preserve">(thought to be </w:t>
      </w:r>
      <w:r w:rsidR="001B24FD">
        <w:t>ages 20 to 29</w:t>
      </w:r>
      <w:r w:rsidR="00A12C73">
        <w:rPr>
          <w:rStyle w:val="FootnoteReference"/>
        </w:rPr>
        <w:footnoteReference w:id="14"/>
      </w:r>
      <w:r w:rsidR="001B24FD">
        <w:t xml:space="preserve">) joined the </w:t>
      </w:r>
      <w:r w:rsidR="001B24FD">
        <w:rPr>
          <w:i/>
          <w:iCs/>
        </w:rPr>
        <w:t xml:space="preserve">syssitia </w:t>
      </w:r>
      <w:r w:rsidR="001B24FD">
        <w:t>(a mess</w:t>
      </w:r>
      <w:r w:rsidR="00A12C73">
        <w:t xml:space="preserve"> </w:t>
      </w:r>
      <w:r w:rsidR="001B24FD">
        <w:t>company</w:t>
      </w:r>
      <w:r w:rsidR="001B24FD">
        <w:rPr>
          <w:rStyle w:val="FootnoteReference"/>
        </w:rPr>
        <w:footnoteReference w:id="15"/>
      </w:r>
      <w:r w:rsidR="001B24FD">
        <w:t xml:space="preserve">) and competed to be within the 300 places of the </w:t>
      </w:r>
      <w:proofErr w:type="spellStart"/>
      <w:r w:rsidR="001B24FD">
        <w:rPr>
          <w:i/>
          <w:iCs/>
        </w:rPr>
        <w:t>hippeis</w:t>
      </w:r>
      <w:proofErr w:type="spellEnd"/>
      <w:r w:rsidR="001B24FD">
        <w:t xml:space="preserve"> (the Kings’ bodyguards)</w:t>
      </w:r>
      <w:r w:rsidR="006C75F0">
        <w:t>.</w:t>
      </w:r>
    </w:p>
    <w:p w14:paraId="2FF1A8DD" w14:textId="375554F1" w:rsidR="00DC0942" w:rsidRDefault="00A85AEC" w:rsidP="00DC0942">
      <w:r>
        <w:tab/>
        <w:t xml:space="preserve">Carrying on from that, it shows there is a lot of professionalism within the agoge, as there are the different stages within the agoge, then there is also the syssitia for after the agoge. There is also the fact that one stage makes up the reserve army, and members of the </w:t>
      </w:r>
      <w:proofErr w:type="spellStart"/>
      <w:r>
        <w:rPr>
          <w:i/>
          <w:iCs/>
        </w:rPr>
        <w:t>hebontes</w:t>
      </w:r>
      <w:proofErr w:type="spellEnd"/>
      <w:r>
        <w:t xml:space="preserve"> attempt to become one of the 300 bodyguards of the two Kings of Sparta. This shows the amount of professionalism within the </w:t>
      </w:r>
      <w:r w:rsidRPr="00A85AEC">
        <w:t>agoge</w:t>
      </w:r>
      <w:r>
        <w:t xml:space="preserve"> as there is an obvious structure set out within it that everybody followed. In addition, the fact that Sparta had a </w:t>
      </w:r>
      <w:r>
        <w:rPr>
          <w:u w:val="single"/>
        </w:rPr>
        <w:t>professional</w:t>
      </w:r>
      <w:r>
        <w:t xml:space="preserve"> army before any other Greek state </w:t>
      </w:r>
      <w:r>
        <w:lastRenderedPageBreak/>
        <w:t xml:space="preserve">solidifies the fact that the agoge </w:t>
      </w:r>
      <w:r w:rsidR="00F5113D">
        <w:t xml:space="preserve">has a lot of professionalism and trains the Spartan boys well. </w:t>
      </w:r>
      <w:r w:rsidR="00293027">
        <w:t>In turn, professionalism can also help with leadership and strategies as it means that all members of the army would follow the orders to the letter with their obedience, which can help the leaders to plan out what to do in battles. The agoge helps with leadership as the boys who excelled with strategies</w:t>
      </w:r>
      <w:r w:rsidR="00DC0942">
        <w:t xml:space="preserve">, fighting and </w:t>
      </w:r>
      <w:r w:rsidR="00293027">
        <w:t xml:space="preserve">leadership </w:t>
      </w:r>
      <w:r w:rsidR="00DC0942">
        <w:t xml:space="preserve">were </w:t>
      </w:r>
      <w:r w:rsidR="00293027">
        <w:t>promoted into leader roles</w:t>
      </w:r>
      <w:r w:rsidR="00DC0942">
        <w:t>, for example the captain of their company</w:t>
      </w:r>
      <w:r w:rsidR="00DC0942">
        <w:rPr>
          <w:rStyle w:val="FootnoteReference"/>
        </w:rPr>
        <w:footnoteReference w:id="16"/>
      </w:r>
      <w:r w:rsidR="00DC0942">
        <w:t xml:space="preserve">, and the rest of their company had to listen to commands and take any punishment that was given out, although if the leader was too harsh or too kind, the leader would too be punished by </w:t>
      </w:r>
      <w:r w:rsidR="00BB63EB">
        <w:t>the elders and magistrates watching.</w:t>
      </w:r>
      <w:r w:rsidR="00BB63EB">
        <w:rPr>
          <w:rStyle w:val="FootnoteReference"/>
        </w:rPr>
        <w:footnoteReference w:id="17"/>
      </w:r>
      <w:r w:rsidR="00BB63EB">
        <w:t xml:space="preserve"> The agoge also helped create good strategies as the boys would sometimes be forced to steal so they had enough food to eat.</w:t>
      </w:r>
      <w:r w:rsidR="00BB63EB">
        <w:rPr>
          <w:rStyle w:val="FootnoteReference"/>
        </w:rPr>
        <w:footnoteReference w:id="18"/>
      </w:r>
      <w:r w:rsidR="00BB63EB">
        <w:t xml:space="preserve"> However, if they were caught then they would be punished, thus encouraging the boys to strategize and be cunning so they would not be caught, ultimately creating men who can create great strategies.</w:t>
      </w:r>
      <w:r w:rsidR="00BB63EB">
        <w:rPr>
          <w:rStyle w:val="FootnoteReference"/>
        </w:rPr>
        <w:footnoteReference w:id="19"/>
      </w:r>
      <w:r w:rsidR="00BB63EB">
        <w:t xml:space="preserve"> </w:t>
      </w:r>
      <w:r w:rsidR="00711524">
        <w:t>Therefore, the quality the agoge created was sufficiently high for the Spartans to have a reputation of a society that loved to fight, creating a kind of mirage about the Spartan society, as they were not as battle hungry as they are thought to be without proper research into them. Consequently, the agoge is without a shadow of a doubt a very important factor in the success of Spartan military.</w:t>
      </w:r>
    </w:p>
    <w:p w14:paraId="5C3710F8" w14:textId="69F8658B" w:rsidR="00D93F50" w:rsidRDefault="00711524" w:rsidP="00DC0942">
      <w:r>
        <w:tab/>
        <w:t>However, socio-economic factors also were an influence on the success of Spartan military. Socio-economic factors to be mentioned are the allies of Sparta (so the other people of Lacedaemon</w:t>
      </w:r>
      <w:r w:rsidR="00D93F50">
        <w:t>, as well as any other Greek states they align with to fight a common enemy, for example Persia</w:t>
      </w:r>
      <w:r>
        <w:t>), religion and the syssitia</w:t>
      </w:r>
      <w:r w:rsidR="00D93F50">
        <w:t>, which was Spartan citizenship which required the men to provide food and money for the training of the boys in the agoge.</w:t>
      </w:r>
    </w:p>
    <w:p w14:paraId="795C6421" w14:textId="73247C90" w:rsidR="00D93F50" w:rsidRDefault="00D93F50" w:rsidP="00046C6E">
      <w:pPr>
        <w:tabs>
          <w:tab w:val="left" w:pos="720"/>
          <w:tab w:val="left" w:pos="1440"/>
          <w:tab w:val="left" w:pos="2160"/>
          <w:tab w:val="left" w:pos="2880"/>
          <w:tab w:val="left" w:pos="3600"/>
          <w:tab w:val="left" w:pos="4320"/>
          <w:tab w:val="left" w:pos="5040"/>
          <w:tab w:val="left" w:pos="5760"/>
          <w:tab w:val="left" w:pos="7167"/>
        </w:tabs>
      </w:pPr>
      <w:r>
        <w:tab/>
      </w:r>
      <w:r w:rsidR="00046C6E">
        <w:t>The allies of Sparta</w:t>
      </w:r>
      <w:r w:rsidR="00D21AC4">
        <w:t xml:space="preserve"> are </w:t>
      </w:r>
      <w:r w:rsidR="00046C6E">
        <w:t xml:space="preserve">primarily the </w:t>
      </w:r>
      <w:proofErr w:type="spellStart"/>
      <w:r w:rsidR="00046C6E" w:rsidRPr="00046C6E">
        <w:rPr>
          <w:i/>
          <w:iCs/>
        </w:rPr>
        <w:t>perioikoi</w:t>
      </w:r>
      <w:proofErr w:type="spellEnd"/>
      <w:r w:rsidR="00046C6E">
        <w:t xml:space="preserve"> of Lacedaemon (the people who live in the area of Lacedaemon but are not part of Sparta, or at least are not Spartan citizens)</w:t>
      </w:r>
      <w:r w:rsidR="00D21AC4">
        <w:t>, and they</w:t>
      </w:r>
      <w:r w:rsidR="00046C6E">
        <w:t xml:space="preserve"> could be very useful in battle, especially if they had passed through the agoge themselves as the Spartan agoge is not just for sons of Spartan citizens, but can also be for the </w:t>
      </w:r>
      <w:proofErr w:type="spellStart"/>
      <w:r w:rsidR="00046C6E" w:rsidRPr="00A84B7B">
        <w:rPr>
          <w:i/>
          <w:iCs/>
        </w:rPr>
        <w:t>perioikoi</w:t>
      </w:r>
      <w:proofErr w:type="spellEnd"/>
      <w:r w:rsidR="00046C6E">
        <w:t xml:space="preserve"> (although when they pass through they cannot become a Spartan citizen, likewise neither can members of other Greek states if they too pass through the Spartan agoge and stay in Sparta; they can fight as a volunteer, however) and members of other Greek states, as Xenophon’s children passed through the Spartan agoge, and so became </w:t>
      </w:r>
      <w:proofErr w:type="spellStart"/>
      <w:r w:rsidR="00D21AC4">
        <w:rPr>
          <w:i/>
          <w:iCs/>
        </w:rPr>
        <w:t>t</w:t>
      </w:r>
      <w:r w:rsidR="00046C6E" w:rsidRPr="00A84B7B">
        <w:rPr>
          <w:i/>
          <w:iCs/>
        </w:rPr>
        <w:t>rophimoi</w:t>
      </w:r>
      <w:proofErr w:type="spellEnd"/>
      <w:r w:rsidR="00046C6E">
        <w:rPr>
          <w:rStyle w:val="FootnoteReference"/>
        </w:rPr>
        <w:footnoteReference w:id="20"/>
      </w:r>
      <w:r w:rsidR="00046C6E">
        <w:t xml:space="preserve"> </w:t>
      </w:r>
      <w:r w:rsidR="00463812">
        <w:t>(volunteers from other Greek states who are part of the Spartan army). Helots were also a member of the Spartan army, who were a servile population who were classed between slaves and freedmen.</w:t>
      </w:r>
      <w:r w:rsidR="00463812">
        <w:rPr>
          <w:rStyle w:val="FootnoteReference"/>
        </w:rPr>
        <w:footnoteReference w:id="21"/>
      </w:r>
      <w:r w:rsidR="00463812">
        <w:t xml:space="preserve"> They were also in charge of looking after the land, and were servant to the land and to the community, not any individual; they were tied to the land, not any specific person.</w:t>
      </w:r>
      <w:r w:rsidR="00D21AC4">
        <w:t xml:space="preserve"> However, the allies of Sparta change depending on who the enemy of the Spartan state was at the time, although the </w:t>
      </w:r>
      <w:proofErr w:type="spellStart"/>
      <w:r w:rsidR="00D21AC4">
        <w:rPr>
          <w:i/>
          <w:iCs/>
        </w:rPr>
        <w:t>perioikoi</w:t>
      </w:r>
      <w:proofErr w:type="spellEnd"/>
      <w:r w:rsidR="00D21AC4">
        <w:t xml:space="preserve"> were the most common allies of Sparta as they are from the surrounding areas of Lacedaemon and can easily understand each other. Moreover, their allies did not have a combative agoge like the Spartans, and therefore their armies were less trained and less professional, which could mean the difference between life and death, or the difference between winning the battle and winning the war. The allies also could turn against the Spartans at </w:t>
      </w:r>
      <w:r w:rsidR="00D21AC4">
        <w:lastRenderedPageBreak/>
        <w:t>any moment, whether because of bribes or difference of beliefs, thus meaning the Spartan allies are unreliable and so are not as important as the agoge as a factor in the success of the Spartan military.</w:t>
      </w:r>
    </w:p>
    <w:p w14:paraId="54DC442A" w14:textId="7253CE2A" w:rsidR="00002608" w:rsidRPr="00D21AC4" w:rsidRDefault="00D21AC4" w:rsidP="00046C6E">
      <w:pPr>
        <w:tabs>
          <w:tab w:val="left" w:pos="720"/>
          <w:tab w:val="left" w:pos="1440"/>
          <w:tab w:val="left" w:pos="2160"/>
          <w:tab w:val="left" w:pos="2880"/>
          <w:tab w:val="left" w:pos="3600"/>
          <w:tab w:val="left" w:pos="4320"/>
          <w:tab w:val="left" w:pos="5040"/>
          <w:tab w:val="left" w:pos="5760"/>
          <w:tab w:val="left" w:pos="7167"/>
        </w:tabs>
      </w:pPr>
      <w:r>
        <w:tab/>
      </w:r>
      <w:r w:rsidR="0013359B">
        <w:t>Religion is also a socio-economic factor that influenced the success of the Spartan military; in fact, it influenced the success of many armies of the Greeks in general, not just the Spartans. For example</w:t>
      </w:r>
      <w:r w:rsidR="00C1273F">
        <w:t>, Thucydides mentions that in 413 BC, Athenian led troops changed their minds from an immediate departure from Syracuse in Sicily to remain there because of the divinations about the lunar eclipse, which meant they stayed in place for just under a month and were thus surrounded when they were allowed to move again after the eclipse</w:t>
      </w:r>
      <w:r w:rsidR="0013359B">
        <w:t>.</w:t>
      </w:r>
      <w:r w:rsidR="00C1273F">
        <w:rPr>
          <w:rStyle w:val="FootnoteReference"/>
        </w:rPr>
        <w:footnoteReference w:id="22"/>
      </w:r>
      <w:r w:rsidR="0013359B">
        <w:t xml:space="preserve"> However, it is said that Herodotus, Thucydides and Xenophon suggest clearly that religious prophecy formed part of Sparta’s motivation in political matters,</w:t>
      </w:r>
      <w:r w:rsidR="0013359B">
        <w:rPr>
          <w:rStyle w:val="FootnoteReference"/>
        </w:rPr>
        <w:footnoteReference w:id="23"/>
      </w:r>
      <w:r w:rsidR="0013359B">
        <w:t xml:space="preserve"> and battles and wars can be results of political matters, for instance: wanting more territory, or a disagreement between two states, or even getting revenge on someone else.</w:t>
      </w:r>
      <w:r w:rsidR="00DE560D">
        <w:t xml:space="preserve"> In addition, it is said that Herodotus and Xenophon report that the Spartans were unusually stern when it came to piety towards the gods,</w:t>
      </w:r>
      <w:r w:rsidR="00DE560D">
        <w:rPr>
          <w:rStyle w:val="FootnoteReference"/>
        </w:rPr>
        <w:footnoteReference w:id="24"/>
      </w:r>
      <w:r w:rsidR="00DE560D">
        <w:t xml:space="preserve"> so if there was any divine intervention, whether positive or negative, in regards to military matters, the chances are they would completely abide by it. Therefore, they would do what the omen said</w:t>
      </w:r>
      <w:r w:rsidR="006E6EDB">
        <w:t xml:space="preserve">; </w:t>
      </w:r>
      <w:r w:rsidR="00DE560D">
        <w:t xml:space="preserve">whether that was not embarking on the campaign they would have otherwise gone on, or by rushing matters so they could embark on the campaign they were planning on. As shown with the example of the Athenian </w:t>
      </w:r>
      <w:r w:rsidR="00002608">
        <w:t>led campaign in Sicily, it was not always beneficial for the party or parties believing in the omens and divine intervention to do they believe it said to do, thus making religion a factor that was important to the success of the military, but as it was as much a detriment to the success as much as it was beneficial to the success of the military, in consequence making the agoge a far more important factor to the success of the Spartan military.</w:t>
      </w:r>
    </w:p>
    <w:p w14:paraId="02C407F0" w14:textId="78C5CB6E" w:rsidR="00F767B6" w:rsidRDefault="00A12C73" w:rsidP="00DC0942">
      <w:r>
        <w:tab/>
        <w:t>A final socio-economic factor in the success of Spartan military is the syssitia, which is a mess company,</w:t>
      </w:r>
      <w:r>
        <w:rPr>
          <w:rStyle w:val="FootnoteReference"/>
        </w:rPr>
        <w:footnoteReference w:id="25"/>
      </w:r>
      <w:r>
        <w:t xml:space="preserve"> or a ‘citizenship club’. </w:t>
      </w:r>
      <w:r w:rsidR="00BD504B">
        <w:t>Candidates of Spartan citizenship</w:t>
      </w:r>
      <w:r>
        <w:t xml:space="preserve"> who have just finished with the agoge, so usually around the ages of 19</w:t>
      </w:r>
      <w:r w:rsidR="00BD504B">
        <w:t>,</w:t>
      </w:r>
      <w:r>
        <w:rPr>
          <w:rStyle w:val="FootnoteReference"/>
        </w:rPr>
        <w:footnoteReference w:id="26"/>
      </w:r>
      <w:r w:rsidR="00BD504B">
        <w:t xml:space="preserve"> would join a syssitia in the hopes of becoming a citizen of Sparta, but they needed to pay a tribute every year, or an ‘annual contribution’ as it more than likely would have been referred to, of money and food to the Spartan state to keep the agoge afloat. </w:t>
      </w:r>
      <w:r w:rsidR="001433E1">
        <w:t>So while it is extremely important factor for the agoge to function, it is not the only way the agoge got its funds, and so while it is a very important factor for the agoge, and thus the success of the Spartan military, because it is not the only way that the agoge got funds, it is not quite as important as the agoge in general, in consequence making socio-economic factors of the success</w:t>
      </w:r>
      <w:r w:rsidR="006E6EDB">
        <w:t xml:space="preserve"> of Spartan military not as important as the agoge in the success of the Spartan military.</w:t>
      </w:r>
    </w:p>
    <w:p w14:paraId="50D75271" w14:textId="6F828AF2" w:rsidR="00F767B6" w:rsidRDefault="00F767B6" w:rsidP="00DC0942"/>
    <w:p w14:paraId="7E195434" w14:textId="1655B88A" w:rsidR="00F767B6" w:rsidRDefault="00F767B6" w:rsidP="00DC0942">
      <w:r>
        <w:t xml:space="preserve">In conclusion, the agoge and the entire structure of the military training system for the Spartans is the more significant and important factor for the success of the Spartan military. Not only is that because the agoge creates a Spartan army out of all the Spartan boys who are sons of citizens, but also from boys who are sons </w:t>
      </w:r>
      <w:r w:rsidR="00A84B7B">
        <w:t xml:space="preserve">of </w:t>
      </w:r>
      <w:r>
        <w:t>non-citizens</w:t>
      </w:r>
      <w:r w:rsidR="00A84B7B">
        <w:t xml:space="preserve"> (</w:t>
      </w:r>
      <w:proofErr w:type="spellStart"/>
      <w:r w:rsidR="00A84B7B" w:rsidRPr="00A84B7B">
        <w:rPr>
          <w:i/>
          <w:iCs/>
        </w:rPr>
        <w:t>perioikoi</w:t>
      </w:r>
      <w:proofErr w:type="spellEnd"/>
      <w:r w:rsidR="00A84B7B">
        <w:t xml:space="preserve"> and </w:t>
      </w:r>
      <w:proofErr w:type="spellStart"/>
      <w:r w:rsidR="00A84B7B" w:rsidRPr="00A84B7B">
        <w:rPr>
          <w:i/>
          <w:iCs/>
        </w:rPr>
        <w:t>trophimoi</w:t>
      </w:r>
      <w:proofErr w:type="spellEnd"/>
      <w:r w:rsidR="00A84B7B">
        <w:rPr>
          <w:i/>
          <w:iCs/>
        </w:rPr>
        <w:t xml:space="preserve"> - </w:t>
      </w:r>
      <w:r w:rsidR="00A84B7B" w:rsidRPr="00A84B7B">
        <w:t>members</w:t>
      </w:r>
      <w:r w:rsidR="00A84B7B">
        <w:t xml:space="preserve"> of other Greek states who passed through the agoge) </w:t>
      </w:r>
      <w:r>
        <w:t xml:space="preserve">and the </w:t>
      </w:r>
      <w:r w:rsidR="00463812">
        <w:t>helots</w:t>
      </w:r>
      <w:r>
        <w:t xml:space="preserve"> of </w:t>
      </w:r>
      <w:r w:rsidR="00A84B7B">
        <w:t xml:space="preserve">the state, as well as those who are born of </w:t>
      </w:r>
      <w:r w:rsidR="00A84B7B">
        <w:lastRenderedPageBreak/>
        <w:t>citizens and non-citizens</w:t>
      </w:r>
      <w:r>
        <w:t xml:space="preserve">, thus the Spartan army would have been well-trained with a quantity and quality that meant that their reputation would obviously precede the Spartans. In addition, allies of the Spartans are not quite reliable enough to be classed as the most important factor of </w:t>
      </w:r>
      <w:r w:rsidR="004E6C9B">
        <w:t>the success of the Spartan military, as</w:t>
      </w:r>
      <w:r w:rsidR="00A84B7B">
        <w:t xml:space="preserve"> not only did the other Greek states not have an agoge that included fighting as young as the Spartans, but</w:t>
      </w:r>
      <w:r w:rsidR="004E6C9B">
        <w:t xml:space="preserve"> their allies changed throughout the decades, centuries and millennia and the success of Spartan military fluctuated throughout time too. Therefore, the quality of Spartan allies is a definite factor of the success of Spartan military, but not as important as the agoge by far. In addition, the impact of religion on the success of Spartan military was not always a positive one, hence while it is a factor of the success of the Spartan military, it is as often a negative factor as a positive one and therefore not significant enough, or positive enough, to be the most important factor in the success of the Spartan military. Consequently, the agoge is the more important factor in the success of the Spartan military, not the soc</w:t>
      </w:r>
      <w:r w:rsidR="00A84B7B">
        <w:t>i</w:t>
      </w:r>
      <w:r w:rsidR="004E6C9B">
        <w:t>o-economic system.</w:t>
      </w:r>
    </w:p>
    <w:p w14:paraId="71954B84" w14:textId="077EE870" w:rsidR="00F268AE" w:rsidRDefault="00F268AE" w:rsidP="00DC0942"/>
    <w:p w14:paraId="2AA7D04E" w14:textId="43C20831" w:rsidR="00F268AE" w:rsidRDefault="00F268AE" w:rsidP="00F268AE">
      <w:pPr>
        <w:pStyle w:val="Title"/>
      </w:pPr>
      <w:r>
        <w:t>Bibliography</w:t>
      </w:r>
    </w:p>
    <w:p w14:paraId="05C128DB" w14:textId="3C2C289E" w:rsidR="00F268AE" w:rsidRPr="00F268AE" w:rsidRDefault="00F268AE" w:rsidP="00F268AE">
      <w:r>
        <w:t>Modern</w:t>
      </w:r>
    </w:p>
    <w:p w14:paraId="25EB29F8" w14:textId="77777777" w:rsidR="00F268AE" w:rsidRPr="00F268AE" w:rsidRDefault="00F268AE" w:rsidP="00F268AE">
      <w:pPr>
        <w:numPr>
          <w:ilvl w:val="0"/>
          <w:numId w:val="1"/>
        </w:numPr>
        <w:spacing w:after="0" w:line="240" w:lineRule="auto"/>
        <w:textAlignment w:val="baseline"/>
        <w:rPr>
          <w:rFonts w:ascii="Arial" w:eastAsia="Times New Roman" w:hAnsi="Arial" w:cs="Arial"/>
          <w:color w:val="000000"/>
          <w:lang w:eastAsia="en-GB"/>
        </w:rPr>
      </w:pPr>
      <w:r w:rsidRPr="00F268AE">
        <w:rPr>
          <w:rFonts w:ascii="Arial" w:eastAsia="Times New Roman" w:hAnsi="Arial" w:cs="Arial"/>
          <w:color w:val="000000"/>
          <w:shd w:val="clear" w:color="auto" w:fill="FFFFFF"/>
          <w:lang w:eastAsia="en-GB"/>
        </w:rPr>
        <w:t xml:space="preserve">Hodkinson, S., (2012), Agoge, available at </w:t>
      </w:r>
      <w:hyperlink r:id="rId8" w:history="1">
        <w:r w:rsidRPr="00F268AE">
          <w:rPr>
            <w:rFonts w:ascii="Arial" w:eastAsia="Times New Roman" w:hAnsi="Arial" w:cs="Arial"/>
            <w:color w:val="1155CC"/>
            <w:u w:val="single"/>
            <w:shd w:val="clear" w:color="auto" w:fill="FFFFFF"/>
            <w:lang w:eastAsia="en-GB"/>
          </w:rPr>
          <w:t>https://www-oxfordreference-com.ezproxy.uwtsd.ac.uk/view/10.1093/acref/9780199545568.001.0001/acref-9780199545568-e-201?rskey=0QFGdc&amp;result=2</w:t>
        </w:r>
      </w:hyperlink>
      <w:r w:rsidRPr="00F268AE">
        <w:rPr>
          <w:rFonts w:ascii="Arial" w:eastAsia="Times New Roman" w:hAnsi="Arial" w:cs="Arial"/>
          <w:color w:val="000000"/>
          <w:shd w:val="clear" w:color="auto" w:fill="FFFFFF"/>
          <w:lang w:eastAsia="en-GB"/>
        </w:rPr>
        <w:t xml:space="preserve"> (accessed at 06/12/19)</w:t>
      </w:r>
    </w:p>
    <w:p w14:paraId="49B5D228" w14:textId="77777777" w:rsidR="00F268AE" w:rsidRPr="00F268AE" w:rsidRDefault="00F268AE" w:rsidP="00F268AE">
      <w:pPr>
        <w:numPr>
          <w:ilvl w:val="0"/>
          <w:numId w:val="1"/>
        </w:numPr>
        <w:spacing w:after="0" w:line="240" w:lineRule="auto"/>
        <w:textAlignment w:val="baseline"/>
        <w:rPr>
          <w:rFonts w:ascii="Arial" w:eastAsia="Times New Roman" w:hAnsi="Arial" w:cs="Arial"/>
          <w:color w:val="373A3C"/>
          <w:lang w:eastAsia="en-GB"/>
        </w:rPr>
      </w:pPr>
      <w:r w:rsidRPr="00F268AE">
        <w:rPr>
          <w:rFonts w:ascii="Arial" w:eastAsia="Times New Roman" w:hAnsi="Arial" w:cs="Arial"/>
          <w:color w:val="373A3C"/>
          <w:shd w:val="clear" w:color="auto" w:fill="FFFFFF"/>
          <w:lang w:eastAsia="en-GB"/>
        </w:rPr>
        <w:t xml:space="preserve">Hodkinson, S., (2015), Agoge, available at </w:t>
      </w:r>
      <w:hyperlink r:id="rId9" w:history="1">
        <w:r w:rsidRPr="00F268AE">
          <w:rPr>
            <w:rFonts w:ascii="Arial" w:eastAsia="Times New Roman" w:hAnsi="Arial" w:cs="Arial"/>
            <w:color w:val="1155CC"/>
            <w:u w:val="single"/>
            <w:shd w:val="clear" w:color="auto" w:fill="FFFFFF"/>
            <w:lang w:eastAsia="en-GB"/>
          </w:rPr>
          <w:t>https://oxfordre.com/classics/view/10.1093/acrefore/9780199381135.001.0001/acrefore-9780199381135-e-201</w:t>
        </w:r>
      </w:hyperlink>
      <w:r w:rsidRPr="00F268AE">
        <w:rPr>
          <w:rFonts w:ascii="Arial" w:eastAsia="Times New Roman" w:hAnsi="Arial" w:cs="Arial"/>
          <w:color w:val="373A3C"/>
          <w:shd w:val="clear" w:color="auto" w:fill="FFFFFF"/>
          <w:lang w:eastAsia="en-GB"/>
        </w:rPr>
        <w:t xml:space="preserve"> (accessed 06/12/19)</w:t>
      </w:r>
    </w:p>
    <w:p w14:paraId="5F4C11CF" w14:textId="77777777" w:rsidR="00F268AE" w:rsidRPr="00DC0942" w:rsidRDefault="00F268AE" w:rsidP="00F268AE">
      <w:pPr>
        <w:pStyle w:val="ListParagraph"/>
        <w:numPr>
          <w:ilvl w:val="0"/>
          <w:numId w:val="1"/>
        </w:numPr>
      </w:pPr>
      <w:proofErr w:type="spellStart"/>
      <w:r w:rsidRPr="00F268AE">
        <w:rPr>
          <w:rFonts w:ascii="Arial" w:eastAsia="Times New Roman" w:hAnsi="Arial" w:cs="Arial"/>
          <w:color w:val="373A3C"/>
          <w:shd w:val="clear" w:color="auto" w:fill="FFFFFF"/>
          <w:lang w:eastAsia="en-GB"/>
        </w:rPr>
        <w:t>Kouloumpis</w:t>
      </w:r>
      <w:proofErr w:type="spellEnd"/>
      <w:r w:rsidRPr="00F268AE">
        <w:rPr>
          <w:rFonts w:ascii="Arial" w:eastAsia="Times New Roman" w:hAnsi="Arial" w:cs="Arial"/>
          <w:color w:val="373A3C"/>
          <w:shd w:val="clear" w:color="auto" w:fill="FFFFFF"/>
          <w:lang w:eastAsia="en-GB"/>
        </w:rPr>
        <w:t xml:space="preserve">, N., (2010) "The Worship and the Role of Religion in the Formation of the Spartan State.", trans by </w:t>
      </w:r>
      <w:proofErr w:type="spellStart"/>
      <w:r w:rsidRPr="00F268AE">
        <w:rPr>
          <w:rFonts w:ascii="Arial" w:eastAsia="Times New Roman" w:hAnsi="Arial" w:cs="Arial"/>
          <w:color w:val="373A3C"/>
          <w:shd w:val="clear" w:color="auto" w:fill="FFFFFF"/>
          <w:lang w:eastAsia="en-GB"/>
        </w:rPr>
        <w:t>Markoulakis</w:t>
      </w:r>
      <w:proofErr w:type="spellEnd"/>
      <w:r w:rsidRPr="00F268AE">
        <w:rPr>
          <w:rFonts w:ascii="Arial" w:eastAsia="Times New Roman" w:hAnsi="Arial" w:cs="Arial"/>
          <w:color w:val="373A3C"/>
          <w:shd w:val="clear" w:color="auto" w:fill="FFFFFF"/>
          <w:lang w:eastAsia="en-GB"/>
        </w:rPr>
        <w:t xml:space="preserve">, N.,  </w:t>
      </w:r>
      <w:hyperlink r:id="rId10" w:history="1">
        <w:r w:rsidRPr="00F268AE">
          <w:rPr>
            <w:rFonts w:ascii="Arial" w:eastAsia="Times New Roman" w:hAnsi="Arial" w:cs="Arial"/>
            <w:i/>
            <w:iCs/>
            <w:color w:val="003E5A"/>
            <w:u w:val="single"/>
            <w:shd w:val="clear" w:color="auto" w:fill="FFFFFF"/>
            <w:lang w:eastAsia="en-GB"/>
          </w:rPr>
          <w:t>Sparta: Journal of Ancient Spartian &amp; Greek History</w:t>
        </w:r>
      </w:hyperlink>
      <w:r w:rsidRPr="00F268AE">
        <w:rPr>
          <w:rFonts w:ascii="Arial" w:eastAsia="Times New Roman" w:hAnsi="Arial" w:cs="Arial"/>
          <w:color w:val="373A3C"/>
          <w:shd w:val="clear" w:color="auto" w:fill="FFFFFF"/>
          <w:lang w:eastAsia="en-GB"/>
        </w:rPr>
        <w:t xml:space="preserve"> 6.1: 33-46, available at </w:t>
      </w:r>
      <w:hyperlink r:id="rId11" w:history="1">
        <w:r w:rsidRPr="00F268AE">
          <w:rPr>
            <w:rFonts w:ascii="Arial" w:eastAsia="Times New Roman" w:hAnsi="Arial" w:cs="Arial"/>
            <w:color w:val="1155CC"/>
            <w:u w:val="single"/>
            <w:shd w:val="clear" w:color="auto" w:fill="FFFFFF"/>
            <w:lang w:eastAsia="en-GB"/>
          </w:rPr>
          <w:t>https://web-b-ebscohost-com.ezproxy.uwtsd.ac.uk/ehost/pdfviewer/pdfviewer?vid=3&amp;sid=b33f4c3d-80bb-4ed3-99b6-c2df70164df0%40sessionmgr102</w:t>
        </w:r>
      </w:hyperlink>
    </w:p>
    <w:p w14:paraId="045424C5" w14:textId="77777777" w:rsidR="00F268AE" w:rsidRPr="00F268AE" w:rsidRDefault="00F268AE" w:rsidP="00F268AE">
      <w:pPr>
        <w:numPr>
          <w:ilvl w:val="0"/>
          <w:numId w:val="1"/>
        </w:numPr>
        <w:spacing w:after="0" w:line="240" w:lineRule="auto"/>
        <w:textAlignment w:val="baseline"/>
        <w:rPr>
          <w:rFonts w:ascii="Arial" w:eastAsia="Times New Roman" w:hAnsi="Arial" w:cs="Arial"/>
          <w:color w:val="000000"/>
          <w:lang w:eastAsia="en-GB"/>
        </w:rPr>
      </w:pPr>
      <w:r w:rsidRPr="00F268AE">
        <w:rPr>
          <w:rFonts w:ascii="Arial" w:eastAsia="Times New Roman" w:hAnsi="Arial" w:cs="Arial"/>
          <w:color w:val="000000"/>
          <w:lang w:eastAsia="en-GB"/>
        </w:rPr>
        <w:t xml:space="preserve">Montgomery, R., </w:t>
      </w:r>
      <w:r w:rsidRPr="00F268AE">
        <w:rPr>
          <w:rFonts w:ascii="Arial" w:eastAsia="Times New Roman" w:hAnsi="Arial" w:cs="Arial"/>
          <w:color w:val="373A3C"/>
          <w:shd w:val="clear" w:color="auto" w:fill="FFFFFF"/>
          <w:lang w:eastAsia="en-GB"/>
        </w:rPr>
        <w:t>(2011)</w:t>
      </w:r>
      <w:r w:rsidRPr="00F268AE">
        <w:rPr>
          <w:rFonts w:ascii="Arial" w:eastAsia="Times New Roman" w:hAnsi="Arial" w:cs="Arial"/>
          <w:color w:val="000000"/>
          <w:lang w:eastAsia="en-GB"/>
        </w:rPr>
        <w:t xml:space="preserve"> "Leonidas of Sparta; A Boy of the Agoge</w:t>
      </w:r>
      <w:r w:rsidRPr="00F268AE">
        <w:rPr>
          <w:rFonts w:ascii="Arial" w:eastAsia="Times New Roman" w:hAnsi="Arial" w:cs="Arial"/>
          <w:color w:val="373A3C"/>
          <w:shd w:val="clear" w:color="auto" w:fill="FFFFFF"/>
          <w:lang w:eastAsia="en-GB"/>
        </w:rPr>
        <w:t xml:space="preserve">" review of: </w:t>
      </w:r>
      <w:proofErr w:type="spellStart"/>
      <w:r w:rsidRPr="00F268AE">
        <w:rPr>
          <w:rFonts w:ascii="Arial" w:eastAsia="Times New Roman" w:hAnsi="Arial" w:cs="Arial"/>
          <w:color w:val="373A3C"/>
          <w:shd w:val="clear" w:color="auto" w:fill="FFFFFF"/>
          <w:lang w:eastAsia="en-GB"/>
        </w:rPr>
        <w:t>Leonisas</w:t>
      </w:r>
      <w:proofErr w:type="spellEnd"/>
      <w:r w:rsidRPr="00F268AE">
        <w:rPr>
          <w:rFonts w:ascii="Arial" w:eastAsia="Times New Roman" w:hAnsi="Arial" w:cs="Arial"/>
          <w:color w:val="373A3C"/>
          <w:shd w:val="clear" w:color="auto" w:fill="FFFFFF"/>
          <w:lang w:eastAsia="en-GB"/>
        </w:rPr>
        <w:t xml:space="preserve"> of Sparta; A Boy of the Agoge, by Helena Schrader, </w:t>
      </w:r>
      <w:hyperlink r:id="rId12" w:history="1">
        <w:r w:rsidRPr="00F268AE">
          <w:rPr>
            <w:rFonts w:ascii="Arial" w:eastAsia="Times New Roman" w:hAnsi="Arial" w:cs="Arial"/>
            <w:i/>
            <w:iCs/>
            <w:color w:val="003E5A"/>
            <w:u w:val="single"/>
            <w:shd w:val="clear" w:color="auto" w:fill="FFFFFF"/>
            <w:lang w:eastAsia="en-GB"/>
          </w:rPr>
          <w:t xml:space="preserve">Sparta: Journal of Ancient </w:t>
        </w:r>
        <w:proofErr w:type="spellStart"/>
        <w:r w:rsidRPr="00F268AE">
          <w:rPr>
            <w:rFonts w:ascii="Arial" w:eastAsia="Times New Roman" w:hAnsi="Arial" w:cs="Arial"/>
            <w:i/>
            <w:iCs/>
            <w:color w:val="003E5A"/>
            <w:u w:val="single"/>
            <w:shd w:val="clear" w:color="auto" w:fill="FFFFFF"/>
            <w:lang w:eastAsia="en-GB"/>
          </w:rPr>
          <w:t>Spartian</w:t>
        </w:r>
        <w:proofErr w:type="spellEnd"/>
        <w:r w:rsidRPr="00F268AE">
          <w:rPr>
            <w:rFonts w:ascii="Arial" w:eastAsia="Times New Roman" w:hAnsi="Arial" w:cs="Arial"/>
            <w:i/>
            <w:iCs/>
            <w:color w:val="003E5A"/>
            <w:u w:val="single"/>
            <w:shd w:val="clear" w:color="auto" w:fill="FFFFFF"/>
            <w:lang w:eastAsia="en-GB"/>
          </w:rPr>
          <w:t xml:space="preserve"> &amp; Greek History</w:t>
        </w:r>
      </w:hyperlink>
      <w:r w:rsidRPr="00F268AE">
        <w:rPr>
          <w:rFonts w:ascii="Arial" w:eastAsia="Times New Roman" w:hAnsi="Arial" w:cs="Arial"/>
          <w:color w:val="373A3C"/>
          <w:shd w:val="clear" w:color="auto" w:fill="FFFFFF"/>
          <w:lang w:eastAsia="en-GB"/>
        </w:rPr>
        <w:t xml:space="preserve"> 7.1  p27</w:t>
      </w:r>
    </w:p>
    <w:p w14:paraId="2B1342A1" w14:textId="77777777" w:rsidR="00F268AE" w:rsidRPr="00F268AE" w:rsidRDefault="00F268AE" w:rsidP="00F268AE">
      <w:pPr>
        <w:numPr>
          <w:ilvl w:val="0"/>
          <w:numId w:val="1"/>
        </w:numPr>
        <w:spacing w:after="0" w:line="240" w:lineRule="auto"/>
        <w:textAlignment w:val="baseline"/>
        <w:rPr>
          <w:rFonts w:ascii="Arial" w:eastAsia="Times New Roman" w:hAnsi="Arial" w:cs="Arial"/>
          <w:color w:val="373A3C"/>
          <w:lang w:eastAsia="en-GB"/>
        </w:rPr>
      </w:pPr>
      <w:r w:rsidRPr="00F268AE">
        <w:rPr>
          <w:rFonts w:ascii="Arial" w:eastAsia="Times New Roman" w:hAnsi="Arial" w:cs="Arial"/>
          <w:color w:val="373A3C"/>
          <w:shd w:val="clear" w:color="auto" w:fill="FFFFFF"/>
          <w:lang w:eastAsia="en-GB"/>
        </w:rPr>
        <w:t xml:space="preserve"> Powell, A., (2009) Divination, Royalty and Insecurity in Classical Sparta, available at </w:t>
      </w:r>
      <w:hyperlink r:id="rId13" w:history="1">
        <w:r w:rsidRPr="00F268AE">
          <w:rPr>
            <w:rFonts w:ascii="Arial" w:eastAsia="Times New Roman" w:hAnsi="Arial" w:cs="Arial"/>
            <w:color w:val="1155CC"/>
            <w:u w:val="single"/>
            <w:shd w:val="clear" w:color="auto" w:fill="FFFFFF"/>
            <w:lang w:eastAsia="en-GB"/>
          </w:rPr>
          <w:t>https://journals.openedition.org/kernos/1767</w:t>
        </w:r>
      </w:hyperlink>
      <w:r w:rsidRPr="00F268AE">
        <w:rPr>
          <w:rFonts w:ascii="Arial" w:eastAsia="Times New Roman" w:hAnsi="Arial" w:cs="Arial"/>
          <w:color w:val="373A3C"/>
          <w:shd w:val="clear" w:color="auto" w:fill="FFFFFF"/>
          <w:lang w:eastAsia="en-GB"/>
        </w:rPr>
        <w:t xml:space="preserve"> (accessed 06/12/19)</w:t>
      </w:r>
    </w:p>
    <w:p w14:paraId="1CEFE2A6" w14:textId="77777777" w:rsidR="00F268AE" w:rsidRPr="00F268AE" w:rsidRDefault="00F268AE" w:rsidP="00F268AE">
      <w:pPr>
        <w:numPr>
          <w:ilvl w:val="0"/>
          <w:numId w:val="1"/>
        </w:numPr>
        <w:spacing w:after="0" w:line="240" w:lineRule="auto"/>
        <w:textAlignment w:val="baseline"/>
        <w:rPr>
          <w:rFonts w:ascii="Arial" w:eastAsia="Times New Roman" w:hAnsi="Arial" w:cs="Arial"/>
          <w:color w:val="373A3C"/>
          <w:lang w:eastAsia="en-GB"/>
        </w:rPr>
      </w:pPr>
      <w:r w:rsidRPr="00F268AE">
        <w:rPr>
          <w:rFonts w:ascii="Arial" w:eastAsia="Times New Roman" w:hAnsi="Arial" w:cs="Arial"/>
          <w:color w:val="373A3C"/>
          <w:shd w:val="clear" w:color="auto" w:fill="FFFFFF"/>
          <w:lang w:eastAsia="en-GB"/>
        </w:rPr>
        <w:t xml:space="preserve"> Roberts J., (2007a), Agoge, available at </w:t>
      </w:r>
      <w:hyperlink r:id="rId14" w:history="1">
        <w:r w:rsidRPr="00F268AE">
          <w:rPr>
            <w:rFonts w:ascii="Arial" w:eastAsia="Times New Roman" w:hAnsi="Arial" w:cs="Arial"/>
            <w:color w:val="1155CC"/>
            <w:u w:val="single"/>
            <w:shd w:val="clear" w:color="auto" w:fill="FFFFFF"/>
            <w:lang w:eastAsia="en-GB"/>
          </w:rPr>
          <w:t>https://www-oxfordreference-com.ezproxy.uwtsd.ac.uk/view/10.1093/acref/9780192801463.001.0001/acref-9780192801463-e-66?rskey=0QFGdc&amp;result=1</w:t>
        </w:r>
      </w:hyperlink>
      <w:r w:rsidRPr="00F268AE">
        <w:rPr>
          <w:rFonts w:ascii="Arial" w:eastAsia="Times New Roman" w:hAnsi="Arial" w:cs="Arial"/>
          <w:color w:val="373A3C"/>
          <w:shd w:val="clear" w:color="auto" w:fill="FFFFFF"/>
          <w:lang w:eastAsia="en-GB"/>
        </w:rPr>
        <w:t xml:space="preserve"> (accessed 06/12/19)</w:t>
      </w:r>
    </w:p>
    <w:p w14:paraId="39D6AAB6" w14:textId="051F0341" w:rsidR="00F268AE" w:rsidRPr="00F268AE" w:rsidRDefault="00F268AE" w:rsidP="00F268AE">
      <w:pPr>
        <w:numPr>
          <w:ilvl w:val="0"/>
          <w:numId w:val="1"/>
        </w:numPr>
        <w:spacing w:after="0" w:line="240" w:lineRule="auto"/>
        <w:textAlignment w:val="baseline"/>
        <w:rPr>
          <w:rFonts w:ascii="Arial" w:eastAsia="Times New Roman" w:hAnsi="Arial" w:cs="Arial"/>
          <w:color w:val="373A3C"/>
          <w:lang w:eastAsia="en-GB"/>
        </w:rPr>
      </w:pPr>
      <w:r w:rsidRPr="00F268AE">
        <w:rPr>
          <w:rFonts w:ascii="Arial" w:eastAsia="Times New Roman" w:hAnsi="Arial" w:cs="Arial"/>
          <w:color w:val="373A3C"/>
          <w:shd w:val="clear" w:color="auto" w:fill="FFFFFF"/>
          <w:lang w:eastAsia="en-GB"/>
        </w:rPr>
        <w:t xml:space="preserve"> Roberts, J., (2007b), Syssitia, available at </w:t>
      </w:r>
      <w:hyperlink r:id="rId15" w:history="1">
        <w:r w:rsidRPr="00F268AE">
          <w:rPr>
            <w:rFonts w:ascii="Arial" w:eastAsia="Times New Roman" w:hAnsi="Arial" w:cs="Arial"/>
            <w:color w:val="1155CC"/>
            <w:u w:val="single"/>
            <w:shd w:val="clear" w:color="auto" w:fill="FFFFFF"/>
            <w:lang w:eastAsia="en-GB"/>
          </w:rPr>
          <w:t>https://www-oxfordreference-com.ezproxy.uwtsd.ac.uk/view/10.1093/acref/9780192801463.001.0001/acref-9780192801463-e-2125#</w:t>
        </w:r>
      </w:hyperlink>
      <w:r w:rsidRPr="00F268AE">
        <w:rPr>
          <w:rFonts w:ascii="Arial" w:eastAsia="Times New Roman" w:hAnsi="Arial" w:cs="Arial"/>
          <w:color w:val="373A3C"/>
          <w:shd w:val="clear" w:color="auto" w:fill="FFFFFF"/>
          <w:lang w:eastAsia="en-GB"/>
        </w:rPr>
        <w:t xml:space="preserve"> (accessed 06/12/19)</w:t>
      </w:r>
    </w:p>
    <w:p w14:paraId="11CC7D87" w14:textId="373BEE1C" w:rsidR="00F268AE" w:rsidRDefault="00F268AE" w:rsidP="00F268AE">
      <w:pPr>
        <w:spacing w:after="0" w:line="240" w:lineRule="auto"/>
        <w:ind w:left="360"/>
        <w:textAlignment w:val="baseline"/>
        <w:rPr>
          <w:rFonts w:ascii="Arial" w:eastAsia="Times New Roman" w:hAnsi="Arial" w:cs="Arial"/>
          <w:color w:val="373A3C"/>
          <w:shd w:val="clear" w:color="auto" w:fill="FFFFFF"/>
          <w:lang w:eastAsia="en-GB"/>
        </w:rPr>
      </w:pPr>
      <w:r>
        <w:rPr>
          <w:rFonts w:ascii="Arial" w:eastAsia="Times New Roman" w:hAnsi="Arial" w:cs="Arial"/>
          <w:color w:val="373A3C"/>
          <w:shd w:val="clear" w:color="auto" w:fill="FFFFFF"/>
          <w:lang w:eastAsia="en-GB"/>
        </w:rPr>
        <w:t>Classical</w:t>
      </w:r>
    </w:p>
    <w:p w14:paraId="659D9488" w14:textId="77777777" w:rsidR="00D10351" w:rsidRDefault="00D10351" w:rsidP="00F268AE">
      <w:pPr>
        <w:pStyle w:val="ListParagraph"/>
        <w:numPr>
          <w:ilvl w:val="0"/>
          <w:numId w:val="1"/>
        </w:numPr>
        <w:spacing w:after="0" w:line="240" w:lineRule="auto"/>
        <w:textAlignment w:val="baseline"/>
        <w:rPr>
          <w:rFonts w:ascii="Arial" w:eastAsia="Times New Roman" w:hAnsi="Arial" w:cs="Arial"/>
          <w:color w:val="373A3C"/>
          <w:lang w:eastAsia="en-GB"/>
        </w:rPr>
      </w:pPr>
      <w:bookmarkStart w:id="0" w:name="_GoBack"/>
      <w:r>
        <w:rPr>
          <w:rFonts w:ascii="Arial" w:eastAsia="Times New Roman" w:hAnsi="Arial" w:cs="Arial"/>
          <w:color w:val="373A3C"/>
          <w:lang w:eastAsia="en-GB"/>
        </w:rPr>
        <w:t xml:space="preserve">Plutarch, Lives, </w:t>
      </w:r>
      <w:proofErr w:type="spellStart"/>
      <w:r>
        <w:rPr>
          <w:rFonts w:ascii="Arial" w:eastAsia="Times New Roman" w:hAnsi="Arial" w:cs="Arial"/>
          <w:color w:val="373A3C"/>
          <w:lang w:eastAsia="en-GB"/>
        </w:rPr>
        <w:t>Lycargus</w:t>
      </w:r>
      <w:proofErr w:type="spellEnd"/>
      <w:r>
        <w:rPr>
          <w:rFonts w:ascii="Arial" w:eastAsia="Times New Roman" w:hAnsi="Arial" w:cs="Arial"/>
          <w:color w:val="373A3C"/>
          <w:lang w:eastAsia="en-GB"/>
        </w:rPr>
        <w:t xml:space="preserve">, available at </w:t>
      </w:r>
      <w:hyperlink r:id="rId16" w:history="1">
        <w:r>
          <w:rPr>
            <w:rStyle w:val="Hyperlink"/>
          </w:rPr>
          <w:t>https://www-loebclassics-com.ezproxy.uwtsd.ac.uk/view/plutarch-lives_lycurgus/1914/pb_LCL046.267.xml?result=2&amp;rskey=64e7qa</w:t>
        </w:r>
      </w:hyperlink>
      <w:r>
        <w:t xml:space="preserve"> (accessed 06/12/19)</w:t>
      </w:r>
    </w:p>
    <w:p w14:paraId="69581D24" w14:textId="77777777" w:rsidR="00D10351" w:rsidRDefault="00D10351" w:rsidP="00F268AE">
      <w:pPr>
        <w:pStyle w:val="ListParagraph"/>
        <w:numPr>
          <w:ilvl w:val="0"/>
          <w:numId w:val="1"/>
        </w:numPr>
        <w:spacing w:after="0" w:line="240" w:lineRule="auto"/>
        <w:textAlignment w:val="baseline"/>
        <w:rPr>
          <w:rFonts w:ascii="Arial" w:eastAsia="Times New Roman" w:hAnsi="Arial" w:cs="Arial"/>
          <w:color w:val="373A3C"/>
          <w:lang w:eastAsia="en-GB"/>
        </w:rPr>
      </w:pPr>
      <w:r>
        <w:rPr>
          <w:rFonts w:ascii="Arial" w:eastAsia="Times New Roman" w:hAnsi="Arial" w:cs="Arial"/>
          <w:color w:val="373A3C"/>
          <w:lang w:eastAsia="en-GB"/>
        </w:rPr>
        <w:t xml:space="preserve">Thucydides, History of the Peloponnesian War, available at </w:t>
      </w:r>
      <w:hyperlink r:id="rId17" w:history="1">
        <w:r>
          <w:rPr>
            <w:rStyle w:val="Hyperlink"/>
          </w:rPr>
          <w:t>https://www-loebclassics-com.ezproxy.uwtsd.ac.uk/view/thucydides-</w:t>
        </w:r>
        <w:r>
          <w:rPr>
            <w:rStyle w:val="Hyperlink"/>
          </w:rPr>
          <w:lastRenderedPageBreak/>
          <w:t>history_peloponnesian_war/1919/pb_LCL108.3.xml?rskey=wrJKLZ&amp;result=1</w:t>
        </w:r>
      </w:hyperlink>
      <w:r>
        <w:t xml:space="preserve"> (accessed 06/12/19)</w:t>
      </w:r>
    </w:p>
    <w:p w14:paraId="7462D1F4" w14:textId="77777777" w:rsidR="00D10351" w:rsidRPr="00F268AE" w:rsidRDefault="00D10351" w:rsidP="00F268AE">
      <w:pPr>
        <w:pStyle w:val="ListParagraph"/>
        <w:numPr>
          <w:ilvl w:val="0"/>
          <w:numId w:val="1"/>
        </w:numPr>
        <w:spacing w:after="0" w:line="240" w:lineRule="auto"/>
        <w:textAlignment w:val="baseline"/>
        <w:rPr>
          <w:rFonts w:ascii="Arial" w:eastAsia="Times New Roman" w:hAnsi="Arial" w:cs="Arial"/>
          <w:color w:val="373A3C"/>
          <w:lang w:eastAsia="en-GB"/>
        </w:rPr>
      </w:pPr>
      <w:r>
        <w:rPr>
          <w:rFonts w:ascii="Arial" w:eastAsia="Times New Roman" w:hAnsi="Arial" w:cs="Arial"/>
          <w:color w:val="373A3C"/>
          <w:lang w:eastAsia="en-GB"/>
        </w:rPr>
        <w:t xml:space="preserve">Xenophon of Athens, Constitution of the Lacedaemonians, available at: </w:t>
      </w:r>
      <w:hyperlink r:id="rId18" w:history="1">
        <w:r>
          <w:rPr>
            <w:rStyle w:val="Hyperlink"/>
          </w:rPr>
          <w:t>https://www-loebclassics-com.ezproxy.uwtsd.ac.uk/view/xenophon_athens-constitution_lacedaimonians/1925/pb_LCL183.147.xml?result=13&amp;rskey=2vJiJP</w:t>
        </w:r>
      </w:hyperlink>
      <w:r>
        <w:t xml:space="preserve"> (accessed 06/12/19)</w:t>
      </w:r>
      <w:bookmarkEnd w:id="0"/>
    </w:p>
    <w:sectPr w:rsidR="00D10351" w:rsidRPr="00F268AE" w:rsidSect="00932A7B">
      <w:headerReference w:type="default" r:id="rId19"/>
      <w:pgSz w:w="11906" w:h="16838"/>
      <w:pgMar w:top="1440" w:right="1440" w:bottom="1440" w:left="1440" w:header="170"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97989D5" w14:textId="77777777" w:rsidR="00E059DA" w:rsidRDefault="00E059DA" w:rsidP="00932A7B">
      <w:pPr>
        <w:spacing w:after="0" w:line="240" w:lineRule="auto"/>
      </w:pPr>
      <w:r>
        <w:separator/>
      </w:r>
    </w:p>
  </w:endnote>
  <w:endnote w:type="continuationSeparator" w:id="0">
    <w:p w14:paraId="2D684336" w14:textId="77777777" w:rsidR="00E059DA" w:rsidRDefault="00E059DA" w:rsidP="00932A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4709C61" w14:textId="77777777" w:rsidR="00E059DA" w:rsidRDefault="00E059DA" w:rsidP="00932A7B">
      <w:pPr>
        <w:spacing w:after="0" w:line="240" w:lineRule="auto"/>
      </w:pPr>
      <w:r>
        <w:separator/>
      </w:r>
    </w:p>
  </w:footnote>
  <w:footnote w:type="continuationSeparator" w:id="0">
    <w:p w14:paraId="48738220" w14:textId="77777777" w:rsidR="00E059DA" w:rsidRDefault="00E059DA" w:rsidP="00932A7B">
      <w:pPr>
        <w:spacing w:after="0" w:line="240" w:lineRule="auto"/>
      </w:pPr>
      <w:r>
        <w:continuationSeparator/>
      </w:r>
    </w:p>
  </w:footnote>
  <w:footnote w:id="1">
    <w:p w14:paraId="47870339" w14:textId="118FE811" w:rsidR="00F268AE" w:rsidRDefault="00F268AE">
      <w:pPr>
        <w:pStyle w:val="FootnoteText"/>
      </w:pPr>
      <w:r>
        <w:rPr>
          <w:rStyle w:val="FootnoteReference"/>
        </w:rPr>
        <w:footnoteRef/>
      </w:r>
      <w:r>
        <w:t xml:space="preserve"> </w:t>
      </w:r>
      <w:proofErr w:type="spellStart"/>
      <w:r>
        <w:t>Plut</w:t>
      </w:r>
      <w:proofErr w:type="spellEnd"/>
      <w:r>
        <w:t>. Lycurgus 16</w:t>
      </w:r>
    </w:p>
  </w:footnote>
  <w:footnote w:id="2">
    <w:p w14:paraId="5C541B70" w14:textId="56B55BF3" w:rsidR="00F268AE" w:rsidRDefault="00F268AE" w:rsidP="00FE45E1">
      <w:pPr>
        <w:pStyle w:val="FootnoteText"/>
      </w:pPr>
      <w:r>
        <w:rPr>
          <w:rStyle w:val="FootnoteReference"/>
        </w:rPr>
        <w:footnoteRef/>
      </w:r>
      <w:r>
        <w:t xml:space="preserve"> Hodkinson (2015) </w:t>
      </w:r>
    </w:p>
  </w:footnote>
  <w:footnote w:id="3">
    <w:p w14:paraId="1A24D46D" w14:textId="0B564EF7" w:rsidR="00F268AE" w:rsidRDefault="00F268AE">
      <w:pPr>
        <w:pStyle w:val="FootnoteText"/>
      </w:pPr>
      <w:r>
        <w:rPr>
          <w:rStyle w:val="FootnoteReference"/>
        </w:rPr>
        <w:footnoteRef/>
      </w:r>
      <w:r>
        <w:t xml:space="preserve"> Hodkinson (2012)</w:t>
      </w:r>
    </w:p>
  </w:footnote>
  <w:footnote w:id="4">
    <w:p w14:paraId="7A0F2F00" w14:textId="7DAB9E32" w:rsidR="00F268AE" w:rsidRDefault="00F268AE">
      <w:pPr>
        <w:pStyle w:val="FootnoteText"/>
      </w:pPr>
      <w:r>
        <w:rPr>
          <w:rStyle w:val="FootnoteReference"/>
        </w:rPr>
        <w:footnoteRef/>
      </w:r>
      <w:r>
        <w:t xml:space="preserve"> Montgomery (2011) review of Schrader (2010) in </w:t>
      </w:r>
      <w:proofErr w:type="spellStart"/>
      <w:r>
        <w:t>Markoulakis</w:t>
      </w:r>
      <w:proofErr w:type="spellEnd"/>
      <w:r>
        <w:t xml:space="preserve"> (2011) p27; Hodkinson (2015)</w:t>
      </w:r>
    </w:p>
  </w:footnote>
  <w:footnote w:id="5">
    <w:p w14:paraId="5DDD3EE5" w14:textId="447B05B4" w:rsidR="00F268AE" w:rsidRDefault="00F268AE">
      <w:pPr>
        <w:pStyle w:val="FootnoteText"/>
      </w:pPr>
      <w:r>
        <w:rPr>
          <w:rStyle w:val="FootnoteReference"/>
        </w:rPr>
        <w:footnoteRef/>
      </w:r>
      <w:r>
        <w:t xml:space="preserve"> </w:t>
      </w:r>
      <w:proofErr w:type="spellStart"/>
      <w:r>
        <w:t>Plut</w:t>
      </w:r>
      <w:proofErr w:type="spellEnd"/>
      <w:r>
        <w:t>. Lycurgus 16</w:t>
      </w:r>
    </w:p>
  </w:footnote>
  <w:footnote w:id="6">
    <w:p w14:paraId="361886BC" w14:textId="33EAEB28" w:rsidR="00F268AE" w:rsidRDefault="00F268AE">
      <w:pPr>
        <w:pStyle w:val="FootnoteText"/>
      </w:pPr>
      <w:r>
        <w:rPr>
          <w:rStyle w:val="FootnoteReference"/>
        </w:rPr>
        <w:footnoteRef/>
      </w:r>
      <w:r>
        <w:t xml:space="preserve"> </w:t>
      </w:r>
      <w:proofErr w:type="spellStart"/>
      <w:r>
        <w:t>Plut</w:t>
      </w:r>
      <w:proofErr w:type="spellEnd"/>
      <w:r>
        <w:t>. Lycurgus 16</w:t>
      </w:r>
    </w:p>
  </w:footnote>
  <w:footnote w:id="7">
    <w:p w14:paraId="164C12F1" w14:textId="3DC8590B" w:rsidR="00F268AE" w:rsidRDefault="00F268AE">
      <w:pPr>
        <w:pStyle w:val="FootnoteText"/>
      </w:pPr>
      <w:r>
        <w:rPr>
          <w:rStyle w:val="FootnoteReference"/>
        </w:rPr>
        <w:footnoteRef/>
      </w:r>
      <w:r>
        <w:t xml:space="preserve"> Hodkinson (2012)</w:t>
      </w:r>
    </w:p>
  </w:footnote>
  <w:footnote w:id="8">
    <w:p w14:paraId="06538FFC" w14:textId="09BA87E6" w:rsidR="00F268AE" w:rsidRDefault="00F268AE">
      <w:pPr>
        <w:pStyle w:val="FootnoteText"/>
      </w:pPr>
      <w:r>
        <w:rPr>
          <w:rStyle w:val="FootnoteReference"/>
        </w:rPr>
        <w:footnoteRef/>
      </w:r>
      <w:r>
        <w:t xml:space="preserve"> Roberts (2007a)</w:t>
      </w:r>
    </w:p>
  </w:footnote>
  <w:footnote w:id="9">
    <w:p w14:paraId="42740606" w14:textId="44D60DBA" w:rsidR="00F268AE" w:rsidRDefault="00F268AE">
      <w:pPr>
        <w:pStyle w:val="FootnoteText"/>
      </w:pPr>
      <w:r>
        <w:rPr>
          <w:rStyle w:val="FootnoteReference"/>
        </w:rPr>
        <w:footnoteRef/>
      </w:r>
      <w:r>
        <w:t xml:space="preserve"> </w:t>
      </w:r>
      <w:proofErr w:type="spellStart"/>
      <w:r>
        <w:t>Plut</w:t>
      </w:r>
      <w:proofErr w:type="spellEnd"/>
      <w:r>
        <w:t>. Lycurgus 16</w:t>
      </w:r>
    </w:p>
  </w:footnote>
  <w:footnote w:id="10">
    <w:p w14:paraId="2005F093" w14:textId="662ECB5D" w:rsidR="00F268AE" w:rsidRDefault="00F268AE">
      <w:pPr>
        <w:pStyle w:val="FootnoteText"/>
      </w:pPr>
      <w:r>
        <w:rPr>
          <w:rStyle w:val="FootnoteReference"/>
        </w:rPr>
        <w:footnoteRef/>
      </w:r>
      <w:r>
        <w:t xml:space="preserve"> Hodkinson (2012)</w:t>
      </w:r>
    </w:p>
  </w:footnote>
  <w:footnote w:id="11">
    <w:p w14:paraId="6B335F45" w14:textId="22724F37" w:rsidR="00F268AE" w:rsidRDefault="00F268AE">
      <w:pPr>
        <w:pStyle w:val="FootnoteText"/>
      </w:pPr>
      <w:r>
        <w:rPr>
          <w:rStyle w:val="FootnoteReference"/>
        </w:rPr>
        <w:footnoteRef/>
      </w:r>
      <w:r>
        <w:t xml:space="preserve"> Roberts (2007a)</w:t>
      </w:r>
    </w:p>
  </w:footnote>
  <w:footnote w:id="12">
    <w:p w14:paraId="19D5D7E3" w14:textId="301FDF7A" w:rsidR="00F268AE" w:rsidRDefault="00F268AE">
      <w:pPr>
        <w:pStyle w:val="FootnoteText"/>
      </w:pPr>
      <w:r>
        <w:rPr>
          <w:rStyle w:val="FootnoteReference"/>
        </w:rPr>
        <w:footnoteRef/>
      </w:r>
      <w:r>
        <w:t xml:space="preserve"> Hodkinson (2012)</w:t>
      </w:r>
    </w:p>
  </w:footnote>
  <w:footnote w:id="13">
    <w:p w14:paraId="64364F1C" w14:textId="66D4B898" w:rsidR="00F268AE" w:rsidRDefault="00F268AE">
      <w:pPr>
        <w:pStyle w:val="FootnoteText"/>
      </w:pPr>
      <w:r>
        <w:rPr>
          <w:rStyle w:val="FootnoteReference"/>
        </w:rPr>
        <w:footnoteRef/>
      </w:r>
      <w:r>
        <w:t xml:space="preserve"> Roberts (2007a)</w:t>
      </w:r>
    </w:p>
  </w:footnote>
  <w:footnote w:id="14">
    <w:p w14:paraId="4C2FFC2A" w14:textId="53A076A7" w:rsidR="00F268AE" w:rsidRDefault="00F268AE">
      <w:pPr>
        <w:pStyle w:val="FootnoteText"/>
      </w:pPr>
      <w:r>
        <w:rPr>
          <w:rStyle w:val="FootnoteReference"/>
        </w:rPr>
        <w:footnoteRef/>
      </w:r>
      <w:r>
        <w:t xml:space="preserve"> Hodkinson (2012)</w:t>
      </w:r>
    </w:p>
  </w:footnote>
  <w:footnote w:id="15">
    <w:p w14:paraId="74A7A8AE" w14:textId="0F11D2EA" w:rsidR="00F268AE" w:rsidRDefault="00F268AE">
      <w:pPr>
        <w:pStyle w:val="FootnoteText"/>
      </w:pPr>
      <w:r>
        <w:rPr>
          <w:rStyle w:val="FootnoteReference"/>
        </w:rPr>
        <w:footnoteRef/>
      </w:r>
      <w:r>
        <w:t xml:space="preserve"> Roberts (2007b)</w:t>
      </w:r>
    </w:p>
  </w:footnote>
  <w:footnote w:id="16">
    <w:p w14:paraId="420CB432" w14:textId="594D97C9" w:rsidR="00F268AE" w:rsidRDefault="00F268AE">
      <w:pPr>
        <w:pStyle w:val="FootnoteText"/>
      </w:pPr>
      <w:r>
        <w:rPr>
          <w:rStyle w:val="FootnoteReference"/>
        </w:rPr>
        <w:footnoteRef/>
      </w:r>
      <w:r>
        <w:t xml:space="preserve"> </w:t>
      </w:r>
      <w:proofErr w:type="spellStart"/>
      <w:r>
        <w:t>Plut</w:t>
      </w:r>
      <w:proofErr w:type="spellEnd"/>
      <w:r>
        <w:t>. Lycurgus 16</w:t>
      </w:r>
    </w:p>
  </w:footnote>
  <w:footnote w:id="17">
    <w:p w14:paraId="3BD9448D" w14:textId="7A8B7DAC" w:rsidR="00F268AE" w:rsidRDefault="00F268AE">
      <w:pPr>
        <w:pStyle w:val="FootnoteText"/>
      </w:pPr>
      <w:r>
        <w:rPr>
          <w:rStyle w:val="FootnoteReference"/>
        </w:rPr>
        <w:footnoteRef/>
      </w:r>
      <w:r>
        <w:t xml:space="preserve"> </w:t>
      </w:r>
      <w:proofErr w:type="spellStart"/>
      <w:r>
        <w:t>Plut</w:t>
      </w:r>
      <w:proofErr w:type="spellEnd"/>
      <w:r>
        <w:t>. Lycurgus 17</w:t>
      </w:r>
    </w:p>
  </w:footnote>
  <w:footnote w:id="18">
    <w:p w14:paraId="2C4CB84B" w14:textId="7ECA63C2" w:rsidR="00F268AE" w:rsidRDefault="00F268AE">
      <w:pPr>
        <w:pStyle w:val="FootnoteText"/>
      </w:pPr>
      <w:r>
        <w:rPr>
          <w:rStyle w:val="FootnoteReference"/>
        </w:rPr>
        <w:footnoteRef/>
      </w:r>
      <w:r>
        <w:t xml:space="preserve"> </w:t>
      </w:r>
      <w:proofErr w:type="spellStart"/>
      <w:r>
        <w:t>Plut</w:t>
      </w:r>
      <w:proofErr w:type="spellEnd"/>
      <w:r>
        <w:t>. Lycurgus 17; Xen. Lac. 2</w:t>
      </w:r>
    </w:p>
  </w:footnote>
  <w:footnote w:id="19">
    <w:p w14:paraId="0DF2E961" w14:textId="3561F6CC" w:rsidR="00F268AE" w:rsidRDefault="00F268AE">
      <w:pPr>
        <w:pStyle w:val="FootnoteText"/>
      </w:pPr>
      <w:r>
        <w:rPr>
          <w:rStyle w:val="FootnoteReference"/>
        </w:rPr>
        <w:footnoteRef/>
      </w:r>
      <w:r>
        <w:t xml:space="preserve"> </w:t>
      </w:r>
      <w:proofErr w:type="spellStart"/>
      <w:r>
        <w:t>Plut</w:t>
      </w:r>
      <w:proofErr w:type="spellEnd"/>
      <w:r>
        <w:t>. Lycurgus 17; Xen. Lac. 2</w:t>
      </w:r>
    </w:p>
  </w:footnote>
  <w:footnote w:id="20">
    <w:p w14:paraId="5FD2C81B" w14:textId="33780904" w:rsidR="00F268AE" w:rsidRDefault="00F268AE">
      <w:pPr>
        <w:pStyle w:val="FootnoteText"/>
      </w:pPr>
      <w:r>
        <w:rPr>
          <w:rStyle w:val="FootnoteReference"/>
        </w:rPr>
        <w:footnoteRef/>
      </w:r>
      <w:r>
        <w:t xml:space="preserve"> Xen. Hell. 5.3.9</w:t>
      </w:r>
    </w:p>
  </w:footnote>
  <w:footnote w:id="21">
    <w:p w14:paraId="5A6D7420" w14:textId="75353DD6" w:rsidR="00F268AE" w:rsidRDefault="00F268AE">
      <w:pPr>
        <w:pStyle w:val="FootnoteText"/>
      </w:pPr>
      <w:r>
        <w:rPr>
          <w:rStyle w:val="FootnoteReference"/>
        </w:rPr>
        <w:footnoteRef/>
      </w:r>
      <w:r>
        <w:t xml:space="preserve"> Pollux. 3.83</w:t>
      </w:r>
    </w:p>
  </w:footnote>
  <w:footnote w:id="22">
    <w:p w14:paraId="1AAF213A" w14:textId="550A919A" w:rsidR="00F268AE" w:rsidRDefault="00F268AE">
      <w:pPr>
        <w:pStyle w:val="FootnoteText"/>
      </w:pPr>
      <w:r>
        <w:rPr>
          <w:rStyle w:val="FootnoteReference"/>
        </w:rPr>
        <w:footnoteRef/>
      </w:r>
      <w:r>
        <w:t xml:space="preserve"> Powell (2009); </w:t>
      </w:r>
      <w:proofErr w:type="spellStart"/>
      <w:r>
        <w:t>Thuc</w:t>
      </w:r>
      <w:proofErr w:type="spellEnd"/>
      <w:r>
        <w:t>. 7.50.4</w:t>
      </w:r>
    </w:p>
  </w:footnote>
  <w:footnote w:id="23">
    <w:p w14:paraId="6F902539" w14:textId="504FE6DD" w:rsidR="00F268AE" w:rsidRDefault="00F268AE">
      <w:pPr>
        <w:pStyle w:val="FootnoteText"/>
      </w:pPr>
      <w:r>
        <w:rPr>
          <w:rStyle w:val="FootnoteReference"/>
        </w:rPr>
        <w:footnoteRef/>
      </w:r>
      <w:r>
        <w:t xml:space="preserve"> Powell (2009)</w:t>
      </w:r>
    </w:p>
  </w:footnote>
  <w:footnote w:id="24">
    <w:p w14:paraId="309CB322" w14:textId="25EB8D8A" w:rsidR="00F268AE" w:rsidRDefault="00F268AE">
      <w:pPr>
        <w:pStyle w:val="FootnoteText"/>
      </w:pPr>
      <w:r>
        <w:rPr>
          <w:rStyle w:val="FootnoteReference"/>
        </w:rPr>
        <w:footnoteRef/>
      </w:r>
      <w:r>
        <w:t xml:space="preserve"> </w:t>
      </w:r>
      <w:proofErr w:type="spellStart"/>
      <w:r>
        <w:t>Kouloumpis</w:t>
      </w:r>
      <w:proofErr w:type="spellEnd"/>
      <w:r>
        <w:t xml:space="preserve">, trans by </w:t>
      </w:r>
      <w:proofErr w:type="spellStart"/>
      <w:r>
        <w:t>Markoulakis</w:t>
      </w:r>
      <w:proofErr w:type="spellEnd"/>
      <w:r>
        <w:t xml:space="preserve"> (2010) p33</w:t>
      </w:r>
    </w:p>
  </w:footnote>
  <w:footnote w:id="25">
    <w:p w14:paraId="0B5A4AC8" w14:textId="2E2CC3D9" w:rsidR="00F268AE" w:rsidRDefault="00F268AE">
      <w:pPr>
        <w:pStyle w:val="FootnoteText"/>
      </w:pPr>
      <w:r>
        <w:rPr>
          <w:rStyle w:val="FootnoteReference"/>
        </w:rPr>
        <w:footnoteRef/>
      </w:r>
      <w:r>
        <w:t xml:space="preserve"> Roberts (2007b)</w:t>
      </w:r>
    </w:p>
  </w:footnote>
  <w:footnote w:id="26">
    <w:p w14:paraId="493BAEC9" w14:textId="77313567" w:rsidR="00F268AE" w:rsidRDefault="00F268AE">
      <w:pPr>
        <w:pStyle w:val="FootnoteText"/>
      </w:pPr>
      <w:r>
        <w:rPr>
          <w:rStyle w:val="FootnoteReference"/>
        </w:rPr>
        <w:footnoteRef/>
      </w:r>
      <w:r>
        <w:t xml:space="preserve"> Hodkinson (2012)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136A34" w14:textId="62706058" w:rsidR="00F268AE" w:rsidRDefault="00F268AE" w:rsidP="00932A7B">
    <w:pPr>
      <w:pStyle w:val="Title"/>
    </w:pPr>
    <w:r>
      <w:t>Was the agoge or the socio-economic system the most important factor in the success of the Spartan military.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49B29FA"/>
    <w:multiLevelType w:val="multilevel"/>
    <w:tmpl w:val="1284BB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19C5"/>
    <w:rsid w:val="00002608"/>
    <w:rsid w:val="00046C6E"/>
    <w:rsid w:val="0013359B"/>
    <w:rsid w:val="001433E1"/>
    <w:rsid w:val="001B24FD"/>
    <w:rsid w:val="00287732"/>
    <w:rsid w:val="00293027"/>
    <w:rsid w:val="003A19C5"/>
    <w:rsid w:val="00463812"/>
    <w:rsid w:val="004E6C9B"/>
    <w:rsid w:val="0057275D"/>
    <w:rsid w:val="006C75F0"/>
    <w:rsid w:val="006E6EDB"/>
    <w:rsid w:val="00711524"/>
    <w:rsid w:val="00711CEB"/>
    <w:rsid w:val="00932A7B"/>
    <w:rsid w:val="00977EC0"/>
    <w:rsid w:val="00A12C73"/>
    <w:rsid w:val="00A84B7B"/>
    <w:rsid w:val="00A85AEC"/>
    <w:rsid w:val="00B00ED9"/>
    <w:rsid w:val="00BB63EB"/>
    <w:rsid w:val="00BD504B"/>
    <w:rsid w:val="00C1273F"/>
    <w:rsid w:val="00D10351"/>
    <w:rsid w:val="00D21AC4"/>
    <w:rsid w:val="00D93F50"/>
    <w:rsid w:val="00DC0942"/>
    <w:rsid w:val="00DE560D"/>
    <w:rsid w:val="00E059DA"/>
    <w:rsid w:val="00EC4B6A"/>
    <w:rsid w:val="00ED725F"/>
    <w:rsid w:val="00F268AE"/>
    <w:rsid w:val="00F5113D"/>
    <w:rsid w:val="00F767B6"/>
    <w:rsid w:val="00F9482D"/>
    <w:rsid w:val="00FE45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105C49"/>
  <w15:chartTrackingRefBased/>
  <w15:docId w15:val="{426F6D55-6A62-43A8-8FBC-B6AB262ECB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unhideWhenUsed/>
    <w:qFormat/>
    <w:rsid w:val="00F268A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F268AE"/>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32A7B"/>
    <w:pPr>
      <w:tabs>
        <w:tab w:val="center" w:pos="4513"/>
        <w:tab w:val="right" w:pos="9026"/>
      </w:tabs>
      <w:spacing w:after="0" w:line="240" w:lineRule="auto"/>
    </w:pPr>
  </w:style>
  <w:style w:type="character" w:customStyle="1" w:styleId="HeaderChar">
    <w:name w:val="Header Char"/>
    <w:basedOn w:val="DefaultParagraphFont"/>
    <w:link w:val="Header"/>
    <w:uiPriority w:val="99"/>
    <w:rsid w:val="00932A7B"/>
  </w:style>
  <w:style w:type="paragraph" w:styleId="Footer">
    <w:name w:val="footer"/>
    <w:basedOn w:val="Normal"/>
    <w:link w:val="FooterChar"/>
    <w:uiPriority w:val="99"/>
    <w:unhideWhenUsed/>
    <w:rsid w:val="00932A7B"/>
    <w:pPr>
      <w:tabs>
        <w:tab w:val="center" w:pos="4513"/>
        <w:tab w:val="right" w:pos="9026"/>
      </w:tabs>
      <w:spacing w:after="0" w:line="240" w:lineRule="auto"/>
    </w:pPr>
  </w:style>
  <w:style w:type="character" w:customStyle="1" w:styleId="FooterChar">
    <w:name w:val="Footer Char"/>
    <w:basedOn w:val="DefaultParagraphFont"/>
    <w:link w:val="Footer"/>
    <w:uiPriority w:val="99"/>
    <w:rsid w:val="00932A7B"/>
  </w:style>
  <w:style w:type="paragraph" w:styleId="Title">
    <w:name w:val="Title"/>
    <w:basedOn w:val="Normal"/>
    <w:next w:val="Normal"/>
    <w:link w:val="TitleChar"/>
    <w:uiPriority w:val="10"/>
    <w:qFormat/>
    <w:rsid w:val="00932A7B"/>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32A7B"/>
    <w:rPr>
      <w:rFonts w:asciiTheme="majorHAnsi" w:eastAsiaTheme="majorEastAsia" w:hAnsiTheme="majorHAnsi" w:cstheme="majorBidi"/>
      <w:spacing w:val="-10"/>
      <w:kern w:val="28"/>
      <w:sz w:val="56"/>
      <w:szCs w:val="56"/>
    </w:rPr>
  </w:style>
  <w:style w:type="paragraph" w:styleId="FootnoteText">
    <w:name w:val="footnote text"/>
    <w:basedOn w:val="Normal"/>
    <w:link w:val="FootnoteTextChar"/>
    <w:uiPriority w:val="99"/>
    <w:semiHidden/>
    <w:unhideWhenUsed/>
    <w:rsid w:val="00932A7B"/>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932A7B"/>
    <w:rPr>
      <w:sz w:val="20"/>
      <w:szCs w:val="20"/>
    </w:rPr>
  </w:style>
  <w:style w:type="character" w:styleId="FootnoteReference">
    <w:name w:val="footnote reference"/>
    <w:basedOn w:val="DefaultParagraphFont"/>
    <w:uiPriority w:val="99"/>
    <w:semiHidden/>
    <w:unhideWhenUsed/>
    <w:rsid w:val="00932A7B"/>
    <w:rPr>
      <w:vertAlign w:val="superscript"/>
    </w:rPr>
  </w:style>
  <w:style w:type="paragraph" w:styleId="NormalWeb">
    <w:name w:val="Normal (Web)"/>
    <w:basedOn w:val="Normal"/>
    <w:uiPriority w:val="99"/>
    <w:semiHidden/>
    <w:unhideWhenUsed/>
    <w:rsid w:val="00F268A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F268AE"/>
    <w:rPr>
      <w:color w:val="0000FF"/>
      <w:u w:val="single"/>
    </w:rPr>
  </w:style>
  <w:style w:type="paragraph" w:styleId="ListParagraph">
    <w:name w:val="List Paragraph"/>
    <w:basedOn w:val="Normal"/>
    <w:uiPriority w:val="34"/>
    <w:qFormat/>
    <w:rsid w:val="00F268AE"/>
    <w:pPr>
      <w:ind w:left="720"/>
      <w:contextualSpacing/>
    </w:pPr>
  </w:style>
  <w:style w:type="character" w:customStyle="1" w:styleId="Heading2Char">
    <w:name w:val="Heading 2 Char"/>
    <w:basedOn w:val="DefaultParagraphFont"/>
    <w:link w:val="Heading2"/>
    <w:uiPriority w:val="9"/>
    <w:rsid w:val="00F268AE"/>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F268AE"/>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874700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oxfordreference-com.ezproxy.uwtsd.ac.uk/view/10.1093/acref/9780199545568.001.0001/acref-9780199545568-e-201?rskey=0QFGdc&amp;result=2" TargetMode="External"/><Relationship Id="rId13" Type="http://schemas.openxmlformats.org/officeDocument/2006/relationships/hyperlink" Target="https://journals.openedition.org/kernos/1767" TargetMode="External"/><Relationship Id="rId18" Type="http://schemas.openxmlformats.org/officeDocument/2006/relationships/hyperlink" Target="https://www-loebclassics-com.ezproxy.uwtsd.ac.uk/view/xenophon_athens-constitution_lacedaimonians/1925/pb_LCL183.147.xml?result=13&amp;rskey=2vJiJP"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hel-primo.hosted.exlibrisgroup.com/permalink/f/14dj339/44UWTSD_ALMA51169093270002421" TargetMode="External"/><Relationship Id="rId17" Type="http://schemas.openxmlformats.org/officeDocument/2006/relationships/hyperlink" Target="https://www-loebclassics-com.ezproxy.uwtsd.ac.uk/view/thucydides-history_peloponnesian_war/1919/pb_LCL108.3.xml?rskey=wrJKLZ&amp;result=1" TargetMode="External"/><Relationship Id="rId2" Type="http://schemas.openxmlformats.org/officeDocument/2006/relationships/numbering" Target="numbering.xml"/><Relationship Id="rId16" Type="http://schemas.openxmlformats.org/officeDocument/2006/relationships/hyperlink" Target="https://www-loebclassics-com.ezproxy.uwtsd.ac.uk/view/plutarch-lives_lycurgus/1914/pb_LCL046.267.xml?result=2&amp;rskey=64e7qa"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eb-b-ebscohost-com.ezproxy.uwtsd.ac.uk/ehost/pdfviewer/pdfviewer?vid=3&amp;sid=b33f4c3d-80bb-4ed3-99b6-c2df70164df0%40sessionmgr102" TargetMode="External"/><Relationship Id="rId5" Type="http://schemas.openxmlformats.org/officeDocument/2006/relationships/webSettings" Target="webSettings.xml"/><Relationship Id="rId15" Type="http://schemas.openxmlformats.org/officeDocument/2006/relationships/hyperlink" Target="https://www-oxfordreference-com.ezproxy.uwtsd.ac.uk/view/10.1093/acref/9780192801463.001.0001/acref-9780192801463-e-2125" TargetMode="External"/><Relationship Id="rId10" Type="http://schemas.openxmlformats.org/officeDocument/2006/relationships/hyperlink" Target="https://whel-primo.hosted.exlibrisgroup.com/permalink/f/14dj339/44UWTSD_ALMA51169093270002421"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oxfordre.com/classics/view/10.1093/acrefore/9780199381135.001.0001/acrefore-9780199381135-e-201" TargetMode="External"/><Relationship Id="rId14" Type="http://schemas.openxmlformats.org/officeDocument/2006/relationships/hyperlink" Target="https://www-oxfordreference-com.ezproxy.uwtsd.ac.uk/view/10.1093/acref/9780192801463.001.0001/acref-9780192801463-e-66?rskey=0QFGdc&amp;result=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450DC0-22FA-4A39-91C7-76F8FFFF57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2182</Words>
  <Characters>12441</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Matthews</dc:creator>
  <cp:keywords/>
  <dc:description/>
  <cp:lastModifiedBy>Anna Matthews</cp:lastModifiedBy>
  <cp:revision>5</cp:revision>
  <dcterms:created xsi:type="dcterms:W3CDTF">2019-12-06T09:04:00Z</dcterms:created>
  <dcterms:modified xsi:type="dcterms:W3CDTF">2019-12-06T14:55:00Z</dcterms:modified>
</cp:coreProperties>
</file>