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71436" w14:textId="77777777" w:rsidR="009079E6" w:rsidRPr="002129CF" w:rsidRDefault="009079E6" w:rsidP="009079E6">
      <w:pPr>
        <w:jc w:val="left"/>
        <w:rPr>
          <w:b/>
          <w:bCs/>
          <w:sz w:val="40"/>
          <w:szCs w:val="40"/>
        </w:rPr>
      </w:pPr>
      <w:r w:rsidRPr="002129CF">
        <w:rPr>
          <w:b/>
          <w:bCs/>
          <w:sz w:val="40"/>
          <w:szCs w:val="40"/>
        </w:rPr>
        <w:drawing>
          <wp:inline distT="114300" distB="114300" distL="114300" distR="114300" wp14:anchorId="2DEA8BE5" wp14:editId="1A0599C6">
            <wp:extent cx="2143125" cy="866775"/>
            <wp:effectExtent l="0" t="0" r="0" 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referRelativeResize="0"/>
                  </pic:nvPicPr>
                  <pic:blipFill>
                    <a:blip r:embed="rId7"/>
                    <a:srcRect/>
                    <a:stretch>
                      <a:fillRect/>
                    </a:stretch>
                  </pic:blipFill>
                  <pic:spPr>
                    <a:xfrm>
                      <a:off x="0" y="0"/>
                      <a:ext cx="2143125" cy="866775"/>
                    </a:xfrm>
                    <a:prstGeom prst="rect">
                      <a:avLst/>
                    </a:prstGeom>
                    <a:ln/>
                  </pic:spPr>
                </pic:pic>
              </a:graphicData>
            </a:graphic>
          </wp:inline>
        </w:drawing>
      </w:r>
    </w:p>
    <w:p w14:paraId="1FAF5142" w14:textId="77777777" w:rsidR="009079E6" w:rsidRPr="002129CF" w:rsidRDefault="009079E6" w:rsidP="009079E6">
      <w:pPr>
        <w:jc w:val="center"/>
        <w:rPr>
          <w:b/>
          <w:bCs/>
          <w:sz w:val="40"/>
          <w:szCs w:val="40"/>
        </w:rPr>
      </w:pPr>
    </w:p>
    <w:p w14:paraId="23CD0B33" w14:textId="77777777" w:rsidR="009079E6" w:rsidRPr="002129CF" w:rsidRDefault="009079E6" w:rsidP="009079E6">
      <w:pPr>
        <w:jc w:val="center"/>
        <w:rPr>
          <w:b/>
          <w:bCs/>
          <w:sz w:val="40"/>
          <w:szCs w:val="40"/>
        </w:rPr>
      </w:pPr>
    </w:p>
    <w:p w14:paraId="0C335C2D" w14:textId="77777777" w:rsidR="009079E6" w:rsidRPr="002129CF" w:rsidRDefault="009079E6" w:rsidP="009079E6">
      <w:pPr>
        <w:jc w:val="center"/>
        <w:rPr>
          <w:b/>
          <w:bCs/>
          <w:sz w:val="40"/>
          <w:szCs w:val="40"/>
        </w:rPr>
      </w:pPr>
    </w:p>
    <w:p w14:paraId="2963EA1D" w14:textId="77777777" w:rsidR="009079E6" w:rsidRPr="002129CF" w:rsidRDefault="009079E6" w:rsidP="009079E6">
      <w:pPr>
        <w:jc w:val="center"/>
        <w:rPr>
          <w:b/>
          <w:bCs/>
          <w:sz w:val="40"/>
          <w:szCs w:val="40"/>
        </w:rPr>
      </w:pPr>
    </w:p>
    <w:p w14:paraId="7919241D" w14:textId="77777777" w:rsidR="009079E6" w:rsidRPr="002129CF" w:rsidRDefault="009079E6" w:rsidP="009079E6">
      <w:pPr>
        <w:jc w:val="center"/>
        <w:rPr>
          <w:b/>
          <w:bCs/>
          <w:sz w:val="40"/>
          <w:szCs w:val="40"/>
        </w:rPr>
      </w:pPr>
    </w:p>
    <w:p w14:paraId="548B549C" w14:textId="78F55927" w:rsidR="009079E6" w:rsidRPr="002129CF" w:rsidRDefault="009079E6" w:rsidP="009079E6">
      <w:pPr>
        <w:jc w:val="center"/>
        <w:rPr>
          <w:b/>
          <w:bCs/>
          <w:sz w:val="22"/>
          <w:szCs w:val="22"/>
        </w:rPr>
      </w:pPr>
      <w:r w:rsidRPr="002129CF">
        <w:rPr>
          <w:b/>
          <w:bCs/>
          <w:sz w:val="22"/>
          <w:szCs w:val="22"/>
        </w:rPr>
        <w:t>Design Thinking and Innovation</w:t>
      </w:r>
    </w:p>
    <w:p w14:paraId="0039CA0E" w14:textId="77777777" w:rsidR="009079E6" w:rsidRPr="002129CF" w:rsidRDefault="009079E6" w:rsidP="009079E6">
      <w:pPr>
        <w:jc w:val="center"/>
        <w:rPr>
          <w:sz w:val="22"/>
          <w:szCs w:val="22"/>
        </w:rPr>
      </w:pPr>
      <w:r w:rsidRPr="002129CF">
        <w:rPr>
          <w:sz w:val="22"/>
          <w:szCs w:val="22"/>
        </w:rPr>
        <w:t>Student Name: Telcio Matheus Gomes</w:t>
      </w:r>
    </w:p>
    <w:p w14:paraId="44092558" w14:textId="535FC9DC" w:rsidR="009079E6" w:rsidRPr="002129CF" w:rsidRDefault="009079E6" w:rsidP="009079E6">
      <w:pPr>
        <w:jc w:val="center"/>
        <w:rPr>
          <w:sz w:val="22"/>
          <w:szCs w:val="22"/>
        </w:rPr>
      </w:pPr>
      <w:r w:rsidRPr="002129CF">
        <w:rPr>
          <w:sz w:val="22"/>
          <w:szCs w:val="22"/>
        </w:rPr>
        <w:t>Student ID: 2331408</w:t>
      </w:r>
      <w:r w:rsidRPr="002129CF">
        <w:rPr>
          <w:sz w:val="22"/>
          <w:szCs w:val="22"/>
        </w:rPr>
        <w:br/>
        <w:t>Lecture</w:t>
      </w:r>
      <w:r w:rsidR="00A64416">
        <w:rPr>
          <w:sz w:val="22"/>
          <w:szCs w:val="22"/>
        </w:rPr>
        <w:t>r</w:t>
      </w:r>
      <w:r w:rsidRPr="002129CF">
        <w:rPr>
          <w:sz w:val="22"/>
          <w:szCs w:val="22"/>
        </w:rPr>
        <w:t xml:space="preserve"> Name: </w:t>
      </w:r>
      <w:r w:rsidR="009034B1" w:rsidRPr="002129CF">
        <w:rPr>
          <w:sz w:val="22"/>
          <w:szCs w:val="22"/>
        </w:rPr>
        <w:t>Rexon Nting</w:t>
      </w:r>
      <w:r w:rsidRPr="002129CF">
        <w:rPr>
          <w:sz w:val="22"/>
          <w:szCs w:val="22"/>
        </w:rPr>
        <w:br/>
        <w:t>Module Name:</w:t>
      </w:r>
      <w:r w:rsidR="00B2795E">
        <w:rPr>
          <w:sz w:val="22"/>
          <w:szCs w:val="22"/>
        </w:rPr>
        <w:t xml:space="preserve"> Design Thinking and Innovation</w:t>
      </w:r>
      <w:r w:rsidRPr="002129CF">
        <w:rPr>
          <w:sz w:val="22"/>
          <w:szCs w:val="22"/>
        </w:rPr>
        <w:br/>
        <w:t>Module Code: LCLM6002_LON</w:t>
      </w:r>
    </w:p>
    <w:p w14:paraId="42261D35" w14:textId="77777777" w:rsidR="00A55E9F" w:rsidRPr="002129CF" w:rsidRDefault="00A55E9F" w:rsidP="009079E6">
      <w:pPr>
        <w:jc w:val="center"/>
        <w:rPr>
          <w:sz w:val="22"/>
          <w:szCs w:val="22"/>
        </w:rPr>
      </w:pPr>
    </w:p>
    <w:p w14:paraId="3FCADABC" w14:textId="77777777" w:rsidR="00A55E9F" w:rsidRPr="002129CF" w:rsidRDefault="00A55E9F" w:rsidP="009079E6">
      <w:pPr>
        <w:jc w:val="center"/>
        <w:rPr>
          <w:sz w:val="22"/>
          <w:szCs w:val="22"/>
        </w:rPr>
      </w:pPr>
    </w:p>
    <w:p w14:paraId="0D203EE5" w14:textId="77777777" w:rsidR="00A55E9F" w:rsidRPr="002129CF" w:rsidRDefault="00A55E9F" w:rsidP="009079E6">
      <w:pPr>
        <w:jc w:val="center"/>
        <w:rPr>
          <w:sz w:val="22"/>
          <w:szCs w:val="22"/>
        </w:rPr>
      </w:pPr>
    </w:p>
    <w:p w14:paraId="52122900" w14:textId="77777777" w:rsidR="00A55E9F" w:rsidRPr="002129CF" w:rsidRDefault="00A55E9F" w:rsidP="009079E6">
      <w:pPr>
        <w:jc w:val="center"/>
        <w:rPr>
          <w:sz w:val="22"/>
          <w:szCs w:val="22"/>
        </w:rPr>
      </w:pPr>
    </w:p>
    <w:p w14:paraId="4A1027B0" w14:textId="77777777" w:rsidR="00A55E9F" w:rsidRPr="002129CF" w:rsidRDefault="00A55E9F" w:rsidP="009079E6">
      <w:pPr>
        <w:jc w:val="center"/>
        <w:rPr>
          <w:sz w:val="22"/>
          <w:szCs w:val="22"/>
        </w:rPr>
      </w:pPr>
    </w:p>
    <w:p w14:paraId="758E0CA7" w14:textId="77777777" w:rsidR="00A55E9F" w:rsidRPr="002129CF" w:rsidRDefault="00A55E9F" w:rsidP="009079E6">
      <w:pPr>
        <w:jc w:val="center"/>
        <w:rPr>
          <w:sz w:val="22"/>
          <w:szCs w:val="22"/>
        </w:rPr>
      </w:pPr>
    </w:p>
    <w:p w14:paraId="3D488B1F" w14:textId="77777777" w:rsidR="00A55E9F" w:rsidRPr="002129CF" w:rsidRDefault="00A55E9F" w:rsidP="009079E6">
      <w:pPr>
        <w:jc w:val="center"/>
        <w:rPr>
          <w:sz w:val="22"/>
          <w:szCs w:val="22"/>
        </w:rPr>
      </w:pPr>
    </w:p>
    <w:p w14:paraId="67FCFE18" w14:textId="77777777" w:rsidR="00A55E9F" w:rsidRPr="002129CF" w:rsidRDefault="00A55E9F" w:rsidP="009079E6">
      <w:pPr>
        <w:jc w:val="center"/>
        <w:rPr>
          <w:sz w:val="22"/>
          <w:szCs w:val="22"/>
        </w:rPr>
      </w:pPr>
    </w:p>
    <w:p w14:paraId="52619E67" w14:textId="77777777" w:rsidR="00A55E9F" w:rsidRPr="002129CF" w:rsidRDefault="00A55E9F" w:rsidP="009079E6">
      <w:pPr>
        <w:jc w:val="center"/>
        <w:rPr>
          <w:sz w:val="22"/>
          <w:szCs w:val="22"/>
        </w:rPr>
      </w:pPr>
    </w:p>
    <w:p w14:paraId="49BD85CE" w14:textId="77777777" w:rsidR="00A55E9F" w:rsidRPr="002129CF" w:rsidRDefault="00A55E9F" w:rsidP="009079E6">
      <w:pPr>
        <w:jc w:val="center"/>
        <w:rPr>
          <w:sz w:val="22"/>
          <w:szCs w:val="22"/>
        </w:rPr>
      </w:pPr>
    </w:p>
    <w:p w14:paraId="012F1C5B" w14:textId="77777777" w:rsidR="00A55E9F" w:rsidRPr="002129CF" w:rsidRDefault="00A55E9F" w:rsidP="009079E6">
      <w:pPr>
        <w:jc w:val="center"/>
        <w:rPr>
          <w:sz w:val="22"/>
          <w:szCs w:val="22"/>
        </w:rPr>
      </w:pPr>
    </w:p>
    <w:p w14:paraId="73E66D0C" w14:textId="77777777" w:rsidR="00A55E9F" w:rsidRPr="002129CF" w:rsidRDefault="00A55E9F" w:rsidP="009079E6">
      <w:pPr>
        <w:jc w:val="center"/>
        <w:rPr>
          <w:sz w:val="22"/>
          <w:szCs w:val="22"/>
        </w:rPr>
      </w:pPr>
    </w:p>
    <w:p w14:paraId="10A40464" w14:textId="77777777" w:rsidR="00A55E9F" w:rsidRPr="002129CF" w:rsidRDefault="00A55E9F" w:rsidP="009079E6">
      <w:pPr>
        <w:jc w:val="center"/>
        <w:rPr>
          <w:sz w:val="22"/>
          <w:szCs w:val="22"/>
        </w:rPr>
      </w:pPr>
    </w:p>
    <w:p w14:paraId="37566053" w14:textId="77777777" w:rsidR="00A55E9F" w:rsidRPr="002129CF" w:rsidRDefault="00A55E9F" w:rsidP="009079E6">
      <w:pPr>
        <w:jc w:val="center"/>
        <w:rPr>
          <w:sz w:val="22"/>
          <w:szCs w:val="22"/>
        </w:rPr>
      </w:pPr>
    </w:p>
    <w:p w14:paraId="08B3ABF0" w14:textId="77777777" w:rsidR="00A55E9F" w:rsidRPr="002129CF" w:rsidRDefault="00A55E9F" w:rsidP="009079E6">
      <w:pPr>
        <w:jc w:val="center"/>
        <w:rPr>
          <w:sz w:val="22"/>
          <w:szCs w:val="22"/>
        </w:rPr>
      </w:pPr>
    </w:p>
    <w:p w14:paraId="47463162" w14:textId="77777777" w:rsidR="00A55E9F" w:rsidRPr="002129CF" w:rsidRDefault="00A55E9F" w:rsidP="009079E6">
      <w:pPr>
        <w:jc w:val="center"/>
        <w:rPr>
          <w:sz w:val="22"/>
          <w:szCs w:val="22"/>
        </w:rPr>
      </w:pPr>
    </w:p>
    <w:p w14:paraId="5F345BF3" w14:textId="359C83AD" w:rsidR="00A55E9F" w:rsidRPr="002129CF" w:rsidRDefault="00A55E9F" w:rsidP="009079E6">
      <w:pPr>
        <w:jc w:val="center"/>
        <w:rPr>
          <w:sz w:val="22"/>
          <w:szCs w:val="22"/>
        </w:rPr>
      </w:pPr>
      <w:r w:rsidRPr="002129CF">
        <w:rPr>
          <w:sz w:val="22"/>
          <w:szCs w:val="22"/>
        </w:rPr>
        <w:t>1</w:t>
      </w:r>
      <w:r w:rsidR="00FB5C0B">
        <w:rPr>
          <w:sz w:val="22"/>
          <w:szCs w:val="22"/>
        </w:rPr>
        <w:t>8</w:t>
      </w:r>
      <w:r w:rsidRPr="002129CF">
        <w:rPr>
          <w:sz w:val="22"/>
          <w:szCs w:val="22"/>
        </w:rPr>
        <w:t xml:space="preserve"> of August, 2026</w:t>
      </w:r>
    </w:p>
    <w:p w14:paraId="3CF21D9C" w14:textId="77777777" w:rsidR="00A1512E" w:rsidRPr="002129CF" w:rsidRDefault="00A1512E" w:rsidP="00D03E5F">
      <w:pPr>
        <w:pStyle w:val="Heading1"/>
        <w:rPr>
          <w:rFonts w:ascii="Arial" w:hAnsi="Arial" w:cs="Arial"/>
          <w:b/>
          <w:bCs/>
          <w:sz w:val="24"/>
          <w:szCs w:val="24"/>
        </w:rPr>
      </w:pPr>
      <w:bookmarkStart w:id="0" w:name="_Toc237899523"/>
      <w:bookmarkStart w:id="1" w:name="_Toc237899617"/>
      <w:r w:rsidRPr="002129CF">
        <w:rPr>
          <w:rFonts w:ascii="Arial" w:hAnsi="Arial" w:cs="Arial"/>
          <w:b/>
          <w:bCs/>
          <w:sz w:val="24"/>
          <w:szCs w:val="24"/>
        </w:rPr>
        <w:lastRenderedPageBreak/>
        <w:t>Table of Contents</w:t>
      </w:r>
      <w:bookmarkEnd w:id="0"/>
      <w:bookmarkEnd w:id="1"/>
    </w:p>
    <w:sdt>
      <w:sdtPr>
        <w:rPr>
          <w:lang w:val="en-GB"/>
        </w:rPr>
        <w:id w:val="1922058992"/>
        <w:docPartObj>
          <w:docPartGallery w:val="Table of Contents"/>
          <w:docPartUnique/>
        </w:docPartObj>
      </w:sdtPr>
      <w:sdtEndPr>
        <w:rPr>
          <w:rFonts w:ascii="Arial" w:eastAsia="Arial" w:hAnsi="Arial" w:cs="Arial"/>
          <w:b/>
          <w:bCs/>
          <w:color w:val="auto"/>
          <w:sz w:val="24"/>
          <w:szCs w:val="24"/>
        </w:rPr>
      </w:sdtEndPr>
      <w:sdtContent>
        <w:p w14:paraId="089D3718" w14:textId="597359C9" w:rsidR="00D46AA6" w:rsidRPr="00482BB8" w:rsidRDefault="00D46AA6">
          <w:pPr>
            <w:pStyle w:val="TOCHeading"/>
            <w:rPr>
              <w:b/>
              <w:bCs/>
            </w:rPr>
          </w:pPr>
          <w:r w:rsidRPr="00482BB8">
            <w:rPr>
              <w:b/>
              <w:bCs/>
              <w:lang w:val="en-GB"/>
            </w:rPr>
            <w:t>Contents</w:t>
          </w:r>
        </w:p>
        <w:p w14:paraId="36486E7F" w14:textId="5402717C"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r>
            <w:fldChar w:fldCharType="begin"/>
          </w:r>
          <w:r>
            <w:instrText xml:space="preserve"> TOC \o "1-3" \h \z \u </w:instrText>
          </w:r>
          <w:r>
            <w:fldChar w:fldCharType="separate"/>
          </w:r>
          <w:hyperlink w:anchor="_Toc237899618" w:history="1">
            <w:r w:rsidRPr="00F20A4D">
              <w:rPr>
                <w:rStyle w:val="Hyperlink"/>
                <w:b/>
                <w:bCs/>
                <w:noProof/>
              </w:rPr>
              <w:t>Introduction</w:t>
            </w:r>
            <w:r>
              <w:rPr>
                <w:noProof/>
                <w:webHidden/>
              </w:rPr>
              <w:tab/>
            </w:r>
            <w:r>
              <w:rPr>
                <w:noProof/>
                <w:webHidden/>
              </w:rPr>
              <w:fldChar w:fldCharType="begin"/>
            </w:r>
            <w:r>
              <w:rPr>
                <w:noProof/>
                <w:webHidden/>
              </w:rPr>
              <w:instrText xml:space="preserve"> PAGEREF _Toc237899618 \h </w:instrText>
            </w:r>
            <w:r>
              <w:rPr>
                <w:noProof/>
                <w:webHidden/>
              </w:rPr>
            </w:r>
            <w:r>
              <w:rPr>
                <w:noProof/>
                <w:webHidden/>
              </w:rPr>
              <w:fldChar w:fldCharType="separate"/>
            </w:r>
            <w:r>
              <w:rPr>
                <w:noProof/>
                <w:webHidden/>
              </w:rPr>
              <w:t>3</w:t>
            </w:r>
            <w:r>
              <w:rPr>
                <w:noProof/>
                <w:webHidden/>
              </w:rPr>
              <w:fldChar w:fldCharType="end"/>
            </w:r>
          </w:hyperlink>
        </w:p>
        <w:p w14:paraId="13C3CAA4" w14:textId="65225F34"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19" w:history="1">
            <w:r w:rsidRPr="00F20A4D">
              <w:rPr>
                <w:rStyle w:val="Hyperlink"/>
                <w:b/>
                <w:bCs/>
                <w:noProof/>
              </w:rPr>
              <w:t>Identify Key Opportunity Areas in the UK Market</w:t>
            </w:r>
            <w:r>
              <w:rPr>
                <w:noProof/>
                <w:webHidden/>
              </w:rPr>
              <w:tab/>
            </w:r>
            <w:r>
              <w:rPr>
                <w:noProof/>
                <w:webHidden/>
              </w:rPr>
              <w:fldChar w:fldCharType="begin"/>
            </w:r>
            <w:r>
              <w:rPr>
                <w:noProof/>
                <w:webHidden/>
              </w:rPr>
              <w:instrText xml:space="preserve"> PAGEREF _Toc237899619 \h </w:instrText>
            </w:r>
            <w:r>
              <w:rPr>
                <w:noProof/>
                <w:webHidden/>
              </w:rPr>
            </w:r>
            <w:r>
              <w:rPr>
                <w:noProof/>
                <w:webHidden/>
              </w:rPr>
              <w:fldChar w:fldCharType="separate"/>
            </w:r>
            <w:r>
              <w:rPr>
                <w:noProof/>
                <w:webHidden/>
              </w:rPr>
              <w:t>4</w:t>
            </w:r>
            <w:r>
              <w:rPr>
                <w:noProof/>
                <w:webHidden/>
              </w:rPr>
              <w:fldChar w:fldCharType="end"/>
            </w:r>
          </w:hyperlink>
        </w:p>
        <w:p w14:paraId="5941BA83" w14:textId="30D720C8"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0" w:history="1">
            <w:r w:rsidRPr="00F20A4D">
              <w:rPr>
                <w:rStyle w:val="Hyperlink"/>
                <w:b/>
                <w:bCs/>
                <w:noProof/>
              </w:rPr>
              <w:t>Opportunity Area 1: Digital solutions for small retailers</w:t>
            </w:r>
            <w:r>
              <w:rPr>
                <w:noProof/>
                <w:webHidden/>
              </w:rPr>
              <w:tab/>
            </w:r>
            <w:r>
              <w:rPr>
                <w:noProof/>
                <w:webHidden/>
              </w:rPr>
              <w:fldChar w:fldCharType="begin"/>
            </w:r>
            <w:r>
              <w:rPr>
                <w:noProof/>
                <w:webHidden/>
              </w:rPr>
              <w:instrText xml:space="preserve"> PAGEREF _Toc237899620 \h </w:instrText>
            </w:r>
            <w:r>
              <w:rPr>
                <w:noProof/>
                <w:webHidden/>
              </w:rPr>
            </w:r>
            <w:r>
              <w:rPr>
                <w:noProof/>
                <w:webHidden/>
              </w:rPr>
              <w:fldChar w:fldCharType="separate"/>
            </w:r>
            <w:r>
              <w:rPr>
                <w:noProof/>
                <w:webHidden/>
              </w:rPr>
              <w:t>4</w:t>
            </w:r>
            <w:r>
              <w:rPr>
                <w:noProof/>
                <w:webHidden/>
              </w:rPr>
              <w:fldChar w:fldCharType="end"/>
            </w:r>
          </w:hyperlink>
        </w:p>
        <w:p w14:paraId="499D11A0" w14:textId="5C6E7154"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1" w:history="1">
            <w:r w:rsidRPr="00F20A4D">
              <w:rPr>
                <w:rStyle w:val="Hyperlink"/>
                <w:b/>
                <w:bCs/>
                <w:noProof/>
              </w:rPr>
              <w:t>Opportunity Area 2: Last-mile Delivery and local Fulfilment</w:t>
            </w:r>
            <w:r>
              <w:rPr>
                <w:noProof/>
                <w:webHidden/>
              </w:rPr>
              <w:tab/>
            </w:r>
            <w:r>
              <w:rPr>
                <w:noProof/>
                <w:webHidden/>
              </w:rPr>
              <w:fldChar w:fldCharType="begin"/>
            </w:r>
            <w:r>
              <w:rPr>
                <w:noProof/>
                <w:webHidden/>
              </w:rPr>
              <w:instrText xml:space="preserve"> PAGEREF _Toc237899621 \h </w:instrText>
            </w:r>
            <w:r>
              <w:rPr>
                <w:noProof/>
                <w:webHidden/>
              </w:rPr>
            </w:r>
            <w:r>
              <w:rPr>
                <w:noProof/>
                <w:webHidden/>
              </w:rPr>
              <w:fldChar w:fldCharType="separate"/>
            </w:r>
            <w:r>
              <w:rPr>
                <w:noProof/>
                <w:webHidden/>
              </w:rPr>
              <w:t>5</w:t>
            </w:r>
            <w:r>
              <w:rPr>
                <w:noProof/>
                <w:webHidden/>
              </w:rPr>
              <w:fldChar w:fldCharType="end"/>
            </w:r>
          </w:hyperlink>
        </w:p>
        <w:p w14:paraId="29B9FF64" w14:textId="6656019F"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2" w:history="1">
            <w:r w:rsidRPr="00F20A4D">
              <w:rPr>
                <w:rStyle w:val="Hyperlink"/>
                <w:b/>
                <w:bCs/>
                <w:noProof/>
              </w:rPr>
              <w:t>Opportunity Area 3: Digital platforms for rural and local producers</w:t>
            </w:r>
            <w:r>
              <w:rPr>
                <w:noProof/>
                <w:webHidden/>
              </w:rPr>
              <w:tab/>
            </w:r>
            <w:r w:rsidR="00894962">
              <w:rPr>
                <w:noProof/>
                <w:webHidden/>
              </w:rPr>
              <w:t>5</w:t>
            </w:r>
          </w:hyperlink>
        </w:p>
        <w:p w14:paraId="5F87781E" w14:textId="2882713D"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3" w:history="1">
            <w:r w:rsidRPr="00F20A4D">
              <w:rPr>
                <w:rStyle w:val="Hyperlink"/>
                <w:b/>
                <w:bCs/>
                <w:noProof/>
              </w:rPr>
              <w:t>Comparison and most viable opportunity</w:t>
            </w:r>
            <w:r>
              <w:rPr>
                <w:noProof/>
                <w:webHidden/>
              </w:rPr>
              <w:tab/>
            </w:r>
            <w:r w:rsidR="00894962">
              <w:rPr>
                <w:noProof/>
                <w:webHidden/>
              </w:rPr>
              <w:t>6</w:t>
            </w:r>
          </w:hyperlink>
        </w:p>
        <w:p w14:paraId="6B17FA1A" w14:textId="2D13FF39"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4" w:history="1">
            <w:r w:rsidRPr="00F20A4D">
              <w:rPr>
                <w:rStyle w:val="Hyperlink"/>
                <w:b/>
                <w:bCs/>
                <w:noProof/>
              </w:rPr>
              <w:t>Applying Design Thinking to a New Venture</w:t>
            </w:r>
            <w:r>
              <w:rPr>
                <w:noProof/>
                <w:webHidden/>
              </w:rPr>
              <w:tab/>
            </w:r>
            <w:r>
              <w:rPr>
                <w:noProof/>
                <w:webHidden/>
              </w:rPr>
              <w:fldChar w:fldCharType="begin"/>
            </w:r>
            <w:r>
              <w:rPr>
                <w:noProof/>
                <w:webHidden/>
              </w:rPr>
              <w:instrText xml:space="preserve"> PAGEREF _Toc237899624 \h </w:instrText>
            </w:r>
            <w:r>
              <w:rPr>
                <w:noProof/>
                <w:webHidden/>
              </w:rPr>
            </w:r>
            <w:r>
              <w:rPr>
                <w:noProof/>
                <w:webHidden/>
              </w:rPr>
              <w:fldChar w:fldCharType="separate"/>
            </w:r>
            <w:r>
              <w:rPr>
                <w:noProof/>
                <w:webHidden/>
              </w:rPr>
              <w:t>7</w:t>
            </w:r>
            <w:r>
              <w:rPr>
                <w:noProof/>
                <w:webHidden/>
              </w:rPr>
              <w:fldChar w:fldCharType="end"/>
            </w:r>
          </w:hyperlink>
        </w:p>
        <w:p w14:paraId="11E2A42B" w14:textId="7E1A7D57" w:rsidR="00D46AA6" w:rsidRDefault="00D46AA6">
          <w:pPr>
            <w:pStyle w:val="TOC2"/>
            <w:tabs>
              <w:tab w:val="right" w:leader="dot" w:pos="8494"/>
            </w:tabs>
            <w:rPr>
              <w:noProof/>
            </w:rPr>
          </w:pPr>
          <w:hyperlink w:anchor="_Toc237899625" w:history="1">
            <w:r w:rsidRPr="00F20A4D">
              <w:rPr>
                <w:rStyle w:val="Hyperlink"/>
                <w:b/>
                <w:bCs/>
                <w:noProof/>
              </w:rPr>
              <w:t>Stage 1: Empathise</w:t>
            </w:r>
            <w:r>
              <w:rPr>
                <w:noProof/>
                <w:webHidden/>
              </w:rPr>
              <w:tab/>
            </w:r>
            <w:r>
              <w:rPr>
                <w:noProof/>
                <w:webHidden/>
              </w:rPr>
              <w:fldChar w:fldCharType="begin"/>
            </w:r>
            <w:r>
              <w:rPr>
                <w:noProof/>
                <w:webHidden/>
              </w:rPr>
              <w:instrText xml:space="preserve"> PAGEREF _Toc237899625 \h </w:instrText>
            </w:r>
            <w:r>
              <w:rPr>
                <w:noProof/>
                <w:webHidden/>
              </w:rPr>
            </w:r>
            <w:r>
              <w:rPr>
                <w:noProof/>
                <w:webHidden/>
              </w:rPr>
              <w:fldChar w:fldCharType="separate"/>
            </w:r>
            <w:r>
              <w:rPr>
                <w:noProof/>
                <w:webHidden/>
              </w:rPr>
              <w:t>7</w:t>
            </w:r>
            <w:r>
              <w:rPr>
                <w:noProof/>
                <w:webHidden/>
              </w:rPr>
              <w:fldChar w:fldCharType="end"/>
            </w:r>
          </w:hyperlink>
        </w:p>
        <w:p w14:paraId="3EC0CEAD" w14:textId="1D2A880E"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6" w:history="1">
            <w:r w:rsidRPr="00F20A4D">
              <w:rPr>
                <w:rStyle w:val="Hyperlink"/>
                <w:b/>
                <w:bCs/>
                <w:noProof/>
              </w:rPr>
              <w:t>Stage 2: Define</w:t>
            </w:r>
            <w:r>
              <w:rPr>
                <w:noProof/>
                <w:webHidden/>
              </w:rPr>
              <w:tab/>
            </w:r>
            <w:r w:rsidR="00894962">
              <w:rPr>
                <w:noProof/>
                <w:webHidden/>
              </w:rPr>
              <w:t>8</w:t>
            </w:r>
          </w:hyperlink>
        </w:p>
        <w:p w14:paraId="05C5A083" w14:textId="67BB0CDB"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7" w:history="1">
            <w:r w:rsidRPr="00F20A4D">
              <w:rPr>
                <w:rStyle w:val="Hyperlink"/>
                <w:b/>
                <w:bCs/>
                <w:noProof/>
              </w:rPr>
              <w:t>Stage 3: Ideate</w:t>
            </w:r>
            <w:r>
              <w:rPr>
                <w:noProof/>
                <w:webHidden/>
              </w:rPr>
              <w:tab/>
            </w:r>
            <w:r w:rsidR="00894962">
              <w:rPr>
                <w:noProof/>
                <w:webHidden/>
              </w:rPr>
              <w:t>9</w:t>
            </w:r>
          </w:hyperlink>
        </w:p>
        <w:p w14:paraId="09AB7704" w14:textId="52BDFC26"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8" w:history="1">
            <w:r w:rsidRPr="00F20A4D">
              <w:rPr>
                <w:rStyle w:val="Hyperlink"/>
                <w:b/>
                <w:bCs/>
                <w:noProof/>
              </w:rPr>
              <w:t>Stage 4: Prototype and Minimum Viable Product (MVP)</w:t>
            </w:r>
            <w:r>
              <w:rPr>
                <w:noProof/>
                <w:webHidden/>
              </w:rPr>
              <w:tab/>
            </w:r>
            <w:r w:rsidR="00894962">
              <w:rPr>
                <w:noProof/>
                <w:webHidden/>
              </w:rPr>
              <w:t>10</w:t>
            </w:r>
          </w:hyperlink>
        </w:p>
        <w:p w14:paraId="12019B7D" w14:textId="0F9A9A0D"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29" w:history="1">
            <w:r w:rsidRPr="00F20A4D">
              <w:rPr>
                <w:rStyle w:val="Hyperlink"/>
                <w:b/>
                <w:bCs/>
                <w:noProof/>
              </w:rPr>
              <w:t>Stage 5: Test and Refine</w:t>
            </w:r>
            <w:r>
              <w:rPr>
                <w:noProof/>
                <w:webHidden/>
              </w:rPr>
              <w:tab/>
            </w:r>
            <w:r>
              <w:rPr>
                <w:noProof/>
                <w:webHidden/>
              </w:rPr>
              <w:fldChar w:fldCharType="begin"/>
            </w:r>
            <w:r>
              <w:rPr>
                <w:noProof/>
                <w:webHidden/>
              </w:rPr>
              <w:instrText xml:space="preserve"> PAGEREF _Toc237899629 \h </w:instrText>
            </w:r>
            <w:r>
              <w:rPr>
                <w:noProof/>
                <w:webHidden/>
              </w:rPr>
            </w:r>
            <w:r>
              <w:rPr>
                <w:noProof/>
                <w:webHidden/>
              </w:rPr>
              <w:fldChar w:fldCharType="separate"/>
            </w:r>
            <w:r>
              <w:rPr>
                <w:noProof/>
                <w:webHidden/>
              </w:rPr>
              <w:t>12</w:t>
            </w:r>
            <w:r>
              <w:rPr>
                <w:noProof/>
                <w:webHidden/>
              </w:rPr>
              <w:fldChar w:fldCharType="end"/>
            </w:r>
          </w:hyperlink>
        </w:p>
        <w:p w14:paraId="62B6C560" w14:textId="668E5938"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30" w:history="1">
            <w:r w:rsidRPr="00F20A4D">
              <w:rPr>
                <w:rStyle w:val="Hyperlink"/>
                <w:b/>
                <w:bCs/>
                <w:noProof/>
              </w:rPr>
              <w:t>Critical Evaluation of the Approach</w:t>
            </w:r>
            <w:r>
              <w:rPr>
                <w:noProof/>
                <w:webHidden/>
              </w:rPr>
              <w:tab/>
            </w:r>
            <w:r>
              <w:rPr>
                <w:noProof/>
                <w:webHidden/>
              </w:rPr>
              <w:fldChar w:fldCharType="begin"/>
            </w:r>
            <w:r>
              <w:rPr>
                <w:noProof/>
                <w:webHidden/>
              </w:rPr>
              <w:instrText xml:space="preserve"> PAGEREF _Toc237899630 \h </w:instrText>
            </w:r>
            <w:r>
              <w:rPr>
                <w:noProof/>
                <w:webHidden/>
              </w:rPr>
            </w:r>
            <w:r>
              <w:rPr>
                <w:noProof/>
                <w:webHidden/>
              </w:rPr>
              <w:fldChar w:fldCharType="separate"/>
            </w:r>
            <w:r>
              <w:rPr>
                <w:noProof/>
                <w:webHidden/>
              </w:rPr>
              <w:t>13</w:t>
            </w:r>
            <w:r>
              <w:rPr>
                <w:noProof/>
                <w:webHidden/>
              </w:rPr>
              <w:fldChar w:fldCharType="end"/>
            </w:r>
          </w:hyperlink>
        </w:p>
        <w:p w14:paraId="18BEF235" w14:textId="1F808C57"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31" w:history="1">
            <w:r w:rsidRPr="00F20A4D">
              <w:rPr>
                <w:rStyle w:val="Hyperlink"/>
                <w:b/>
                <w:bCs/>
                <w:noProof/>
              </w:rPr>
              <w:t>Conclusion</w:t>
            </w:r>
            <w:r>
              <w:rPr>
                <w:noProof/>
                <w:webHidden/>
              </w:rPr>
              <w:tab/>
            </w:r>
            <w:r>
              <w:rPr>
                <w:noProof/>
                <w:webHidden/>
              </w:rPr>
              <w:fldChar w:fldCharType="begin"/>
            </w:r>
            <w:r>
              <w:rPr>
                <w:noProof/>
                <w:webHidden/>
              </w:rPr>
              <w:instrText xml:space="preserve"> PAGEREF _Toc237899631 \h </w:instrText>
            </w:r>
            <w:r>
              <w:rPr>
                <w:noProof/>
                <w:webHidden/>
              </w:rPr>
            </w:r>
            <w:r>
              <w:rPr>
                <w:noProof/>
                <w:webHidden/>
              </w:rPr>
              <w:fldChar w:fldCharType="separate"/>
            </w:r>
            <w:r>
              <w:rPr>
                <w:noProof/>
                <w:webHidden/>
              </w:rPr>
              <w:t>14</w:t>
            </w:r>
            <w:r>
              <w:rPr>
                <w:noProof/>
                <w:webHidden/>
              </w:rPr>
              <w:fldChar w:fldCharType="end"/>
            </w:r>
          </w:hyperlink>
        </w:p>
        <w:p w14:paraId="705E982B" w14:textId="5FE66816" w:rsidR="00D46AA6" w:rsidRDefault="00D46AA6">
          <w:pPr>
            <w:pStyle w:val="TOC1"/>
            <w:tabs>
              <w:tab w:val="right" w:leader="dot" w:pos="8494"/>
            </w:tabs>
            <w:rPr>
              <w:rFonts w:asciiTheme="minorHAnsi" w:eastAsiaTheme="minorEastAsia" w:hAnsiTheme="minorHAnsi" w:cstheme="minorBidi"/>
              <w:noProof/>
              <w:kern w:val="2"/>
              <w:lang w:val="pt-BR"/>
              <w14:ligatures w14:val="standardContextual"/>
            </w:rPr>
          </w:pPr>
          <w:hyperlink w:anchor="_Toc237899632" w:history="1">
            <w:r w:rsidRPr="00F20A4D">
              <w:rPr>
                <w:rStyle w:val="Hyperlink"/>
                <w:b/>
                <w:bCs/>
                <w:noProof/>
              </w:rPr>
              <w:t>References</w:t>
            </w:r>
            <w:r>
              <w:rPr>
                <w:noProof/>
                <w:webHidden/>
              </w:rPr>
              <w:tab/>
            </w:r>
            <w:r>
              <w:rPr>
                <w:noProof/>
                <w:webHidden/>
              </w:rPr>
              <w:fldChar w:fldCharType="begin"/>
            </w:r>
            <w:r>
              <w:rPr>
                <w:noProof/>
                <w:webHidden/>
              </w:rPr>
              <w:instrText xml:space="preserve"> PAGEREF _Toc237899632 \h </w:instrText>
            </w:r>
            <w:r>
              <w:rPr>
                <w:noProof/>
                <w:webHidden/>
              </w:rPr>
            </w:r>
            <w:r>
              <w:rPr>
                <w:noProof/>
                <w:webHidden/>
              </w:rPr>
              <w:fldChar w:fldCharType="separate"/>
            </w:r>
            <w:r>
              <w:rPr>
                <w:noProof/>
                <w:webHidden/>
              </w:rPr>
              <w:t>15</w:t>
            </w:r>
            <w:r>
              <w:rPr>
                <w:noProof/>
                <w:webHidden/>
              </w:rPr>
              <w:fldChar w:fldCharType="end"/>
            </w:r>
          </w:hyperlink>
        </w:p>
        <w:p w14:paraId="12574A32" w14:textId="253410C0" w:rsidR="00D46AA6" w:rsidRDefault="00D46AA6">
          <w:r>
            <w:rPr>
              <w:b/>
              <w:bCs/>
            </w:rPr>
            <w:fldChar w:fldCharType="end"/>
          </w:r>
        </w:p>
      </w:sdtContent>
    </w:sdt>
    <w:p w14:paraId="3DDF88CC" w14:textId="1BCBAB13" w:rsidR="0081554B" w:rsidRPr="002129CF" w:rsidRDefault="0081554B" w:rsidP="009079E6"/>
    <w:p w14:paraId="32ECA6B7" w14:textId="77777777" w:rsidR="00A1512E" w:rsidRPr="002129CF" w:rsidRDefault="00A1512E" w:rsidP="009079E6"/>
    <w:p w14:paraId="7B8FAC98" w14:textId="77777777" w:rsidR="00A1512E" w:rsidRPr="002129CF" w:rsidRDefault="00A1512E" w:rsidP="009079E6"/>
    <w:p w14:paraId="2D70DA70" w14:textId="77777777" w:rsidR="00A1512E" w:rsidRPr="002129CF" w:rsidRDefault="00A1512E" w:rsidP="009079E6"/>
    <w:p w14:paraId="7D984691" w14:textId="77777777" w:rsidR="00A1512E" w:rsidRPr="002129CF" w:rsidRDefault="00A1512E" w:rsidP="009079E6"/>
    <w:p w14:paraId="6176E7F8" w14:textId="77777777" w:rsidR="00A1512E" w:rsidRPr="002129CF" w:rsidRDefault="00A1512E" w:rsidP="009079E6"/>
    <w:p w14:paraId="118BAECD" w14:textId="77777777" w:rsidR="00A1512E" w:rsidRPr="002129CF" w:rsidRDefault="00A1512E" w:rsidP="009079E6"/>
    <w:p w14:paraId="23961D7A" w14:textId="77777777" w:rsidR="00A1512E" w:rsidRPr="002129CF" w:rsidRDefault="00A1512E" w:rsidP="009079E6"/>
    <w:p w14:paraId="77035998" w14:textId="77777777" w:rsidR="00D46AA6" w:rsidRDefault="00D46AA6" w:rsidP="00154746">
      <w:bookmarkStart w:id="2" w:name="_Toc237899524"/>
      <w:bookmarkStart w:id="3" w:name="_Toc237899618"/>
    </w:p>
    <w:p w14:paraId="3706995A" w14:textId="77777777" w:rsidR="0090737D" w:rsidRDefault="0090737D" w:rsidP="00154746">
      <w:pPr>
        <w:rPr>
          <w:rStyle w:val="Heading1Char"/>
          <w:rFonts w:ascii="Arial" w:hAnsi="Arial" w:cs="Arial"/>
          <w:b/>
          <w:bCs/>
          <w:sz w:val="24"/>
          <w:szCs w:val="24"/>
        </w:rPr>
      </w:pPr>
    </w:p>
    <w:p w14:paraId="158E6479" w14:textId="77777777" w:rsidR="0090737D" w:rsidRDefault="0090737D" w:rsidP="00154746">
      <w:pPr>
        <w:rPr>
          <w:rStyle w:val="Heading1Char"/>
          <w:rFonts w:ascii="Arial" w:hAnsi="Arial" w:cs="Arial"/>
          <w:b/>
          <w:bCs/>
          <w:sz w:val="24"/>
          <w:szCs w:val="24"/>
        </w:rPr>
      </w:pPr>
    </w:p>
    <w:p w14:paraId="43C0E456" w14:textId="1335E492" w:rsidR="00154746" w:rsidRPr="002129CF" w:rsidRDefault="00CE0DE2" w:rsidP="00154746">
      <w:r w:rsidRPr="002129CF">
        <w:rPr>
          <w:rStyle w:val="Heading1Char"/>
          <w:rFonts w:ascii="Arial" w:hAnsi="Arial" w:cs="Arial"/>
          <w:b/>
          <w:bCs/>
          <w:sz w:val="24"/>
          <w:szCs w:val="24"/>
        </w:rPr>
        <w:lastRenderedPageBreak/>
        <w:t>Introduction</w:t>
      </w:r>
      <w:bookmarkEnd w:id="2"/>
      <w:bookmarkEnd w:id="3"/>
      <w:r w:rsidR="00A1512E" w:rsidRPr="002129CF">
        <w:rPr>
          <w:b/>
          <w:bCs/>
        </w:rPr>
        <w:br/>
      </w:r>
      <w:r w:rsidR="00154746" w:rsidRPr="002129CF">
        <w:t xml:space="preserve">The expansion of digital commerce has changed the way UK businesses sell, communicate with customers and deliver products and services. The assessment scenario shows that this change has reached beyond large retailers, with small shops, local producers and service businesses adopting online ordering, digital payments, social media and remote services. This creates opportunities for </w:t>
      </w:r>
      <w:r w:rsidR="002129CF" w:rsidRPr="002129CF">
        <w:t>entrepreneurs but</w:t>
      </w:r>
      <w:r w:rsidR="00154746" w:rsidRPr="002129CF">
        <w:t xml:space="preserve"> also exposes difficulties for businesses attempting to adapt with limited resources.</w:t>
      </w:r>
    </w:p>
    <w:p w14:paraId="5A047F8C" w14:textId="4DAC3310" w:rsidR="00154746" w:rsidRPr="002129CF" w:rsidRDefault="00154746" w:rsidP="00154746">
      <w:r w:rsidRPr="002129CF">
        <w:t>This report uses Design Thinking to examine these opportunities from a user-centred perspective. It first considers where unmet needs exist within the changing UK digital market and evaluates their potential for new venture creation. It then selects one problem and applies the five stages of Design Thinking—Empathise, Define, Ideate, Prototype and Test</w:t>
      </w:r>
      <w:r w:rsidR="00D46AA6">
        <w:t xml:space="preserve"> t</w:t>
      </w:r>
      <w:r w:rsidRPr="002129CF">
        <w:t>o develop a feasible venture concept.</w:t>
      </w:r>
    </w:p>
    <w:p w14:paraId="567D3827" w14:textId="799E028F" w:rsidR="00A1512E" w:rsidRPr="002129CF" w:rsidRDefault="00A1512E" w:rsidP="00154746"/>
    <w:p w14:paraId="7D0D4EB6" w14:textId="60040DE5" w:rsidR="00A1512E" w:rsidRPr="002129CF" w:rsidRDefault="00D46AA6" w:rsidP="00D62575">
      <w:r>
        <w:t xml:space="preserve"> </w:t>
      </w:r>
      <w:r>
        <w:tab/>
      </w:r>
    </w:p>
    <w:p w14:paraId="24A8BB2D" w14:textId="77777777" w:rsidR="00A1512E" w:rsidRPr="002129CF" w:rsidRDefault="00A1512E" w:rsidP="00D62575"/>
    <w:p w14:paraId="36FEDFA0" w14:textId="77777777" w:rsidR="00A1512E" w:rsidRPr="002129CF" w:rsidRDefault="00A1512E" w:rsidP="00D62575"/>
    <w:p w14:paraId="1BFA0C9F" w14:textId="77777777" w:rsidR="002C1F1C" w:rsidRPr="002129CF" w:rsidRDefault="002C1F1C" w:rsidP="00D62575"/>
    <w:p w14:paraId="6CC1E83B" w14:textId="77777777" w:rsidR="002C1F1C" w:rsidRPr="002129CF" w:rsidRDefault="002C1F1C" w:rsidP="00D62575"/>
    <w:p w14:paraId="5226FD2C" w14:textId="77777777" w:rsidR="002C1F1C" w:rsidRPr="002129CF" w:rsidRDefault="002C1F1C" w:rsidP="00D62575"/>
    <w:p w14:paraId="642B1700" w14:textId="77777777" w:rsidR="002C1F1C" w:rsidRPr="002129CF" w:rsidRDefault="002C1F1C" w:rsidP="00D62575"/>
    <w:p w14:paraId="75E0CDA5" w14:textId="77777777" w:rsidR="002C1F1C" w:rsidRPr="002129CF" w:rsidRDefault="002C1F1C" w:rsidP="00D62575"/>
    <w:p w14:paraId="088D8C28" w14:textId="77777777" w:rsidR="002C1F1C" w:rsidRPr="002129CF" w:rsidRDefault="002C1F1C" w:rsidP="00D62575"/>
    <w:p w14:paraId="6235DABC" w14:textId="77777777" w:rsidR="002C1F1C" w:rsidRPr="002129CF" w:rsidRDefault="002C1F1C" w:rsidP="00D62575"/>
    <w:p w14:paraId="158A37B5" w14:textId="77777777" w:rsidR="002C1F1C" w:rsidRPr="002129CF" w:rsidRDefault="002C1F1C" w:rsidP="00D62575"/>
    <w:p w14:paraId="5FC01670" w14:textId="77777777" w:rsidR="002C1F1C" w:rsidRPr="002129CF" w:rsidRDefault="002C1F1C" w:rsidP="00D62575"/>
    <w:p w14:paraId="478F3835" w14:textId="77777777" w:rsidR="002C1F1C" w:rsidRPr="002129CF" w:rsidRDefault="002C1F1C" w:rsidP="00D62575"/>
    <w:p w14:paraId="3DB3088F" w14:textId="77777777" w:rsidR="002C1F1C" w:rsidRPr="002129CF" w:rsidRDefault="002C1F1C" w:rsidP="00D62575"/>
    <w:p w14:paraId="25B8D201" w14:textId="77777777" w:rsidR="002C1F1C" w:rsidRPr="002129CF" w:rsidRDefault="002C1F1C" w:rsidP="00D62575"/>
    <w:p w14:paraId="16404043" w14:textId="77777777" w:rsidR="002C1F1C" w:rsidRPr="002129CF" w:rsidRDefault="002C1F1C" w:rsidP="00D62575"/>
    <w:p w14:paraId="7D65279B" w14:textId="77777777" w:rsidR="002C1F1C" w:rsidRPr="002129CF" w:rsidRDefault="002C1F1C" w:rsidP="00D62575"/>
    <w:p w14:paraId="14A312C0" w14:textId="0BFFB07C" w:rsidR="002C1F1C" w:rsidRPr="00FA7ED4" w:rsidRDefault="002C1F1C" w:rsidP="00D62575">
      <w:pPr>
        <w:pStyle w:val="Heading1"/>
        <w:spacing w:line="360" w:lineRule="auto"/>
        <w:rPr>
          <w:rFonts w:ascii="Arial" w:hAnsi="Arial" w:cs="Arial"/>
          <w:b/>
          <w:bCs/>
          <w:sz w:val="24"/>
          <w:szCs w:val="24"/>
        </w:rPr>
      </w:pPr>
      <w:bookmarkStart w:id="4" w:name="_Toc237899525"/>
      <w:bookmarkStart w:id="5" w:name="_Toc237899619"/>
      <w:r w:rsidRPr="00FA7ED4">
        <w:rPr>
          <w:rFonts w:ascii="Arial" w:hAnsi="Arial" w:cs="Arial"/>
          <w:b/>
          <w:bCs/>
          <w:sz w:val="24"/>
          <w:szCs w:val="24"/>
        </w:rPr>
        <w:lastRenderedPageBreak/>
        <w:t>Identify Key Opportunity Areas in the UK Market</w:t>
      </w:r>
      <w:bookmarkEnd w:id="4"/>
      <w:bookmarkEnd w:id="5"/>
    </w:p>
    <w:p w14:paraId="32034A68" w14:textId="0314178E" w:rsidR="002C1F1C" w:rsidRDefault="00E66FA5" w:rsidP="00D62575">
      <w:r w:rsidRPr="00E66FA5">
        <w:t>The scenario presents several opportunities created by the rapid movement towards digital commerce. However, from a Design Thinking perspective, an opportunity becomes valuable when it responds to a genuine user problem rather than simply introducing new technology. Three areas appear particularly relevant in the UK context: digital solutions for small retailers, improved last-mile delivery, and platforms connecting local and rural producers directly with consumers.</w:t>
      </w:r>
    </w:p>
    <w:p w14:paraId="11BD59E2" w14:textId="545CE0C8" w:rsidR="002C1F1C" w:rsidRPr="00FA7ED4" w:rsidRDefault="002C1F1C" w:rsidP="00FA7ED4">
      <w:pPr>
        <w:pStyle w:val="Heading1"/>
        <w:rPr>
          <w:b/>
          <w:bCs/>
          <w:sz w:val="24"/>
          <w:szCs w:val="24"/>
        </w:rPr>
      </w:pPr>
      <w:bookmarkStart w:id="6" w:name="_Toc237899526"/>
      <w:bookmarkStart w:id="7" w:name="_Toc237899620"/>
      <w:r w:rsidRPr="00FA7ED4">
        <w:rPr>
          <w:b/>
          <w:bCs/>
          <w:sz w:val="24"/>
          <w:szCs w:val="24"/>
        </w:rPr>
        <w:t>Opportunity Area 1: Digital solutions for small retailers</w:t>
      </w:r>
      <w:bookmarkEnd w:id="6"/>
      <w:bookmarkEnd w:id="7"/>
    </w:p>
    <w:p w14:paraId="7C3AD7AA" w14:textId="77777777" w:rsidR="00E66FA5" w:rsidRPr="00E66FA5" w:rsidRDefault="00E66FA5" w:rsidP="00E66FA5">
      <w:r w:rsidRPr="00E66FA5">
        <w:t>A strong opportunity exists in making digital commerce more manageable for small and independent retailers. The scenario shows that businesses such as corner shops, market traders and local bookstores have already adopted digital payments, social-media storefronts and online catalogues. The problem, therefore, is not necessarily a complete absence of technology, but the difficulty of managing different digital tools alongside the everyday demands of running a small business.</w:t>
      </w:r>
    </w:p>
    <w:p w14:paraId="787093E8" w14:textId="77777777" w:rsidR="00E66FA5" w:rsidRPr="00E66FA5" w:rsidRDefault="00E66FA5" w:rsidP="00E66FA5">
      <w:r w:rsidRPr="00E66FA5">
        <w:t>This creates a potential gap for a simple platform that combines essential functions such as online ordering, payments, basic stock management and customer communication. The value would come from reducing complexity rather than offering more technology for its own sake. This distinction reflects the human-centred principle of Design Thinking, where solutions are developed around user needs and practical constraints (Brown, 2008).</w:t>
      </w:r>
    </w:p>
    <w:p w14:paraId="11E734ED" w14:textId="77777777" w:rsidR="00E66FA5" w:rsidRDefault="00E66FA5" w:rsidP="00E66FA5">
      <w:r w:rsidRPr="00E66FA5">
        <w:t>The opportunity also has potential to scale because a software-based service could be offered to retailers across different locations and sectors without establishing a physical operation in each market. Nevertheless, competition from existing e-commerce and payment providers is considerable. A new venture would therefore need clear differentiation, such as simplicity, affordable pricing and support specifically designed for micro and small businesses.</w:t>
      </w:r>
    </w:p>
    <w:p w14:paraId="4171541E" w14:textId="1695FE55" w:rsidR="00F101D9" w:rsidRPr="00E66FA5" w:rsidRDefault="00F101D9" w:rsidP="00E66FA5">
      <w:r w:rsidRPr="00F101D9">
        <w:t>Recent evidence supports the view that this difficulty remains relevant in the UK. The SME Digital Adoption Taskforce found that smaller businesses can face high adoption and switching costs, limited confidence or expertise, and digital support that can feel fragmented (Department for Business and Trade, 2025</w:t>
      </w:r>
      <w:r w:rsidR="00D46AA6">
        <w:t>b</w:t>
      </w:r>
      <w:r w:rsidRPr="00F101D9">
        <w:t xml:space="preserve">). More recent OECD research also identifies cost, perceived relevance and trust in technology providers as important barriers affecting UK SMEs (OECD, 2026). </w:t>
      </w:r>
      <w:r w:rsidRPr="00F101D9">
        <w:lastRenderedPageBreak/>
        <w:t>This suggests that the opportunity is not simply to provide retailers with more digital products. A successful venture would need to make adoption easier and demonstrate a clear benefit relative to its cost.</w:t>
      </w:r>
    </w:p>
    <w:p w14:paraId="790D15A9" w14:textId="1B0917C6" w:rsidR="00E823B9" w:rsidRPr="00FA7ED4" w:rsidRDefault="00E823B9" w:rsidP="00FA7ED4">
      <w:pPr>
        <w:pStyle w:val="Heading1"/>
        <w:rPr>
          <w:b/>
          <w:bCs/>
          <w:sz w:val="24"/>
          <w:szCs w:val="24"/>
        </w:rPr>
      </w:pPr>
      <w:bookmarkStart w:id="8" w:name="_Toc237899527"/>
      <w:bookmarkStart w:id="9" w:name="_Toc237899621"/>
      <w:r w:rsidRPr="00FA7ED4">
        <w:rPr>
          <w:b/>
          <w:bCs/>
          <w:sz w:val="24"/>
          <w:szCs w:val="24"/>
        </w:rPr>
        <w:t>Opportunity Area 2: Last-mile Delivery and local Fulfilment</w:t>
      </w:r>
      <w:bookmarkEnd w:id="8"/>
      <w:bookmarkEnd w:id="9"/>
      <w:r w:rsidRPr="00FA7ED4">
        <w:rPr>
          <w:b/>
          <w:bCs/>
          <w:sz w:val="24"/>
          <w:szCs w:val="24"/>
        </w:rPr>
        <w:t xml:space="preserve"> </w:t>
      </w:r>
    </w:p>
    <w:p w14:paraId="10996218" w14:textId="77777777" w:rsidR="00E66FA5" w:rsidRPr="00E66FA5" w:rsidRDefault="00E66FA5" w:rsidP="00E66FA5">
      <w:r w:rsidRPr="00E66FA5">
        <w:t>A second opportunity concerns the final stage of online purchasing: getting an order to the customer. The scenario reports that increased online shopping produced record parcel volumes and encouraged major delivery companies to expand their operations. Growth in demand, however, also creates problems around delivery reliability, cost and the coordination of increasing numbers of individual orders.</w:t>
      </w:r>
    </w:p>
    <w:p w14:paraId="6754F8A0" w14:textId="77777777" w:rsidR="00E66FA5" w:rsidRPr="00E66FA5" w:rsidRDefault="00E66FA5" w:rsidP="00E66FA5">
      <w:r w:rsidRPr="00E66FA5">
        <w:t>For small retailers, competing with the delivery convenience offered by larger businesses can be particularly difficult. A possible market gap therefore exists for a local fulfilment service that allows independent retailers to share delivery capacity. Digital route planning, real-time tracking and automated order allocation could be used to group deliveries within the same area, potentially reducing unnecessary journeys and making local delivery more affordable.</w:t>
      </w:r>
    </w:p>
    <w:p w14:paraId="41D2FE06" w14:textId="67A11330" w:rsidR="00E66FA5" w:rsidRPr="00E66FA5" w:rsidRDefault="00E66FA5" w:rsidP="00E66FA5">
      <w:r w:rsidRPr="00E66FA5">
        <w:t>The model could initially operate within one town or region before expanding to areas with similar demand. This provides some scalability while allowing the concept to be tested locally. Its main weakness is that delivery requires more physical resources than a purely digital venture, and profitability would depend on achieving sufficient order volumes. Sustainability would also depend on whether consolidated routes genuinely reduce journeys. Therefore, although last-mile fulfilment offers a clear innovation opportunity, its operational complexity makes it more difficult to scale than a software-focused venture</w:t>
      </w:r>
      <w:r w:rsidR="009617BA">
        <w:t>.</w:t>
      </w:r>
    </w:p>
    <w:p w14:paraId="7E51A2E1" w14:textId="41191F92" w:rsidR="0085511C" w:rsidRPr="00FA7ED4" w:rsidRDefault="0085511C" w:rsidP="00FA7ED4">
      <w:pPr>
        <w:pStyle w:val="Heading1"/>
        <w:rPr>
          <w:b/>
          <w:bCs/>
          <w:sz w:val="24"/>
          <w:szCs w:val="24"/>
        </w:rPr>
      </w:pPr>
      <w:bookmarkStart w:id="10" w:name="_Toc237899528"/>
      <w:bookmarkStart w:id="11" w:name="_Toc237899622"/>
      <w:r w:rsidRPr="00FA7ED4">
        <w:rPr>
          <w:b/>
          <w:bCs/>
          <w:sz w:val="24"/>
          <w:szCs w:val="24"/>
        </w:rPr>
        <w:t xml:space="preserve">Opportunity Area 3: Digital platforms for rural and </w:t>
      </w:r>
      <w:r w:rsidR="00E66FA5" w:rsidRPr="00FA7ED4">
        <w:rPr>
          <w:b/>
          <w:bCs/>
          <w:sz w:val="24"/>
          <w:szCs w:val="24"/>
        </w:rPr>
        <w:t>local producers</w:t>
      </w:r>
      <w:bookmarkEnd w:id="10"/>
      <w:bookmarkEnd w:id="11"/>
    </w:p>
    <w:p w14:paraId="03A84E80" w14:textId="77777777" w:rsidR="00E66FA5" w:rsidRPr="00E66FA5" w:rsidRDefault="00E66FA5" w:rsidP="00E66FA5">
      <w:r w:rsidRPr="00E66FA5">
        <w:t>A third opportunity exists in improving how rural and local producers sell directly to consumers. The scenario shows that some farmers and producers already use social media for promotion and messaging applications to organise orders. However, this can leave the selling process fragmented, with advertising, customer communication, payment and delivery managed separately.</w:t>
      </w:r>
    </w:p>
    <w:p w14:paraId="6AD83760" w14:textId="77777777" w:rsidR="00E66FA5" w:rsidRPr="00E66FA5" w:rsidRDefault="00E66FA5" w:rsidP="00E66FA5">
      <w:r w:rsidRPr="00E66FA5">
        <w:t xml:space="preserve">A specialised local marketplace could bring these activities into one platform, allowing producers to list available products, accept payments and organise </w:t>
      </w:r>
      <w:r w:rsidRPr="00E66FA5">
        <w:lastRenderedPageBreak/>
        <w:t>collection or delivery. For consumers, it could provide a simpler way to discover and purchase goods from several local producers through one service. The market gap is therefore not merely access to online selling, but the lack of an integrated process designed around the needs of smaller local producers.</w:t>
      </w:r>
    </w:p>
    <w:p w14:paraId="03D14488" w14:textId="77777777" w:rsidR="00E66FA5" w:rsidRPr="00E66FA5" w:rsidRDefault="00E66FA5" w:rsidP="00E66FA5">
      <w:r w:rsidRPr="00E66FA5">
        <w:t>The model could begin within a defined region before expanding geographically. It may also support sustainability through consolidated orders and local collection points, although shorter supply chains should not automatically be assumed to have a lower environmental impact. A further challenge is the two-sided nature of the marketplace: without enough producers, customers may see little value in joining, while producers may hesitate to participate without sufficient customer demand. This makes the opportunity promising but potentially slower to establish than the SME digital solution.</w:t>
      </w:r>
    </w:p>
    <w:p w14:paraId="2916E37F" w14:textId="7B1136DE" w:rsidR="00A1512E" w:rsidRPr="00FA7ED4" w:rsidRDefault="00431664" w:rsidP="00FA7ED4">
      <w:pPr>
        <w:pStyle w:val="Heading1"/>
        <w:rPr>
          <w:b/>
          <w:bCs/>
          <w:sz w:val="24"/>
          <w:szCs w:val="24"/>
        </w:rPr>
      </w:pPr>
      <w:bookmarkStart w:id="12" w:name="_Toc237899529"/>
      <w:bookmarkStart w:id="13" w:name="_Toc237899623"/>
      <w:r w:rsidRPr="00FA7ED4">
        <w:rPr>
          <w:b/>
          <w:bCs/>
          <w:sz w:val="24"/>
          <w:szCs w:val="24"/>
        </w:rPr>
        <w:t>Comparison and most viable opportunity</w:t>
      </w:r>
      <w:bookmarkEnd w:id="12"/>
      <w:bookmarkEnd w:id="13"/>
    </w:p>
    <w:p w14:paraId="46F11E5E" w14:textId="452B6E11" w:rsidR="00431664" w:rsidRPr="00431664" w:rsidRDefault="00431664" w:rsidP="00431664">
      <w:r w:rsidRPr="00431664">
        <w:t>Across the three opportunities, the main user pain points are complexity, limited resources and difficulty connecting separate stages of digital commerce. This is particularly relevant to SMEs, as recent UK research identifies cost, lack of expertise and fragmented digital support as continuing barriers to technology adoption (Department for Business and Trade, 2025</w:t>
      </w:r>
      <w:r w:rsidR="009617BA">
        <w:t>b</w:t>
      </w:r>
      <w:r w:rsidRPr="00431664">
        <w:t>). The market gap is therefore not simply a shortage of technology, but a need for solutions that are easier for smaller businesses to adopt and manage.</w:t>
      </w:r>
    </w:p>
    <w:p w14:paraId="2B26E486" w14:textId="77777777" w:rsidR="00431664" w:rsidRPr="00431664" w:rsidRDefault="00431664" w:rsidP="00431664">
      <w:r w:rsidRPr="00431664">
        <w:t>Several technologies make these opportunities feasible. Cloud computing, APIs and digital payments can support an integrated retail platform, while GPS and route-optimisation technology enable more efficient fulfilment. These technologies can also improve scalability because digital services can reach additional users without requiring equivalent increases in physical infrastructure.</w:t>
      </w:r>
    </w:p>
    <w:p w14:paraId="0E19C37F" w14:textId="77777777" w:rsidR="00431664" w:rsidRPr="00431664" w:rsidRDefault="00431664" w:rsidP="00431664">
      <w:r w:rsidRPr="00431664">
        <w:t xml:space="preserve">Overall, the integrated digital solution for small retailers is the most viable opportunity. Compared with last-mile delivery, it requires less physical infrastructure, while unlike the rural marketplace it does not depend as heavily on simultaneously attracting two different user groups. A subscription-based platform could also generate recurring revenue and expand geographically. Sustainability should nevertheless include economic as well as environmental considerations: the venture must remain affordable for small businesses and avoid unnecessary technological complexity. The opportunity therefore offers the </w:t>
      </w:r>
      <w:r w:rsidRPr="00431664">
        <w:lastRenderedPageBreak/>
        <w:t>strongest balance between user desirability, technological feasibility and commercial viability, while still requiring differentiation from established competitors.</w:t>
      </w:r>
    </w:p>
    <w:p w14:paraId="68A0D6C3" w14:textId="77777777" w:rsidR="00D46AA6" w:rsidRDefault="00736F32" w:rsidP="003C30F8">
      <w:pPr>
        <w:pStyle w:val="Heading1"/>
        <w:rPr>
          <w:b/>
          <w:bCs/>
          <w:sz w:val="24"/>
          <w:szCs w:val="24"/>
        </w:rPr>
      </w:pPr>
      <w:bookmarkStart w:id="14" w:name="_Toc237899530"/>
      <w:bookmarkStart w:id="15" w:name="_Toc237899624"/>
      <w:r w:rsidRPr="003C30F8">
        <w:rPr>
          <w:b/>
          <w:bCs/>
          <w:sz w:val="24"/>
          <w:szCs w:val="24"/>
        </w:rPr>
        <w:t>Applying Design Thinking to a New Venture</w:t>
      </w:r>
      <w:bookmarkEnd w:id="15"/>
    </w:p>
    <w:p w14:paraId="315BB509" w14:textId="7C982106" w:rsidR="00736F32" w:rsidRPr="00D46AA6" w:rsidRDefault="00736F32" w:rsidP="00D46AA6">
      <w:pPr>
        <w:pStyle w:val="Heading2"/>
        <w:rPr>
          <w:rFonts w:ascii="Arial" w:hAnsi="Arial" w:cs="Arial"/>
          <w:b/>
          <w:bCs/>
          <w:sz w:val="24"/>
          <w:szCs w:val="24"/>
        </w:rPr>
      </w:pPr>
      <w:bookmarkStart w:id="16" w:name="_Toc237899625"/>
      <w:r w:rsidRPr="00D46AA6">
        <w:rPr>
          <w:rFonts w:ascii="Arial" w:hAnsi="Arial" w:cs="Arial"/>
          <w:b/>
          <w:bCs/>
          <w:sz w:val="24"/>
          <w:szCs w:val="24"/>
        </w:rPr>
        <w:t xml:space="preserve">Stage </w:t>
      </w:r>
      <w:r w:rsidR="00AF3F57">
        <w:rPr>
          <w:rStyle w:val="Heading2Char"/>
          <w:rFonts w:ascii="Arial" w:hAnsi="Arial" w:cs="Arial"/>
          <w:b/>
          <w:bCs/>
          <w:sz w:val="24"/>
          <w:szCs w:val="24"/>
        </w:rPr>
        <w:t>1:</w:t>
      </w:r>
      <w:r w:rsidRPr="00D46AA6">
        <w:rPr>
          <w:rFonts w:ascii="Arial" w:hAnsi="Arial" w:cs="Arial"/>
          <w:b/>
          <w:bCs/>
          <w:sz w:val="24"/>
          <w:szCs w:val="24"/>
        </w:rPr>
        <w:t xml:space="preserve"> Empathise</w:t>
      </w:r>
      <w:bookmarkEnd w:id="14"/>
      <w:bookmarkEnd w:id="16"/>
    </w:p>
    <w:p w14:paraId="1BD1ED62" w14:textId="77777777" w:rsidR="00736F32" w:rsidRPr="00736F32" w:rsidRDefault="00736F32" w:rsidP="00736F32">
      <w:pPr>
        <w:jc w:val="left"/>
      </w:pPr>
      <w:r w:rsidRPr="00736F32">
        <w:t>The first stage of Design Thinking involves understanding a problem from the user's perspective before deciding what the solution should be. This is important because entrepreneurs can easily make assumptions about what customers need and develop products that are technically effective but unsuitable in practice. Design Thinking instead places observation, interaction and user experience at the beginning of innovation (Brown, 2008).</w:t>
      </w:r>
    </w:p>
    <w:p w14:paraId="5F8C8B96" w14:textId="77777777" w:rsidR="00736F32" w:rsidRPr="00736F32" w:rsidRDefault="00736F32" w:rsidP="00736F32">
      <w:pPr>
        <w:jc w:val="left"/>
      </w:pPr>
      <w:r w:rsidRPr="00736F32">
        <w:t>For the proposed venture, the primary users are owners and managers of small independent UK retailers, particularly businesses attempting to combine physical trading with online sales. The assessment scenario indicates that small retailers have increasingly adopted card payments, online ordering, social-media storefronts and online catalogues. Although these tools create opportunities, they can also leave a retailer managing several separate systems while dealing with customers, stock, employees and everyday business administration.</w:t>
      </w:r>
    </w:p>
    <w:p w14:paraId="2DD3E22B" w14:textId="7A4DAAC2" w:rsidR="00736F32" w:rsidRPr="00736F32" w:rsidRDefault="00736F32" w:rsidP="00736F32">
      <w:pPr>
        <w:jc w:val="left"/>
      </w:pPr>
      <w:r w:rsidRPr="00736F32">
        <w:t xml:space="preserve">Empathy research would therefore involve semi-structured interviews with approximately 10–15 independent retailers from different sectors, such as convenience stores, clothing retailers and local bookshops. Short observations of how owners process online and in-store transactions could complement the interviews. Rather than asking whether retailers want a new platform, questions would explore where they lose time, which digital tasks cause frustration, what they currently do when systems do not communicate, and which activities they would prefer to simplify. </w:t>
      </w:r>
      <w:r w:rsidR="007B2597" w:rsidRPr="007B2597">
        <w:t>This reduces the risk of designing the venture around assumptions rather than actual behaviour (Stanford d.school, 2018).</w:t>
      </w:r>
    </w:p>
    <w:p w14:paraId="34985BF2" w14:textId="77777777" w:rsidR="00736F32" w:rsidRPr="00736F32" w:rsidRDefault="00736F32" w:rsidP="00736F32">
      <w:pPr>
        <w:jc w:val="left"/>
      </w:pPr>
      <w:r w:rsidRPr="00736F32">
        <w:t xml:space="preserve">An empathy map could then organise the findings around what users </w:t>
      </w:r>
      <w:r w:rsidRPr="00736F32">
        <w:rPr>
          <w:i/>
          <w:iCs/>
        </w:rPr>
        <w:t>say, think, do and feel</w:t>
      </w:r>
      <w:r w:rsidRPr="00736F32">
        <w:t xml:space="preserve"> (Gray, Brown and Macanufo, 2010). Likely pain points to investigate include limited time, subscription costs, lack of technical confidence, duplicate data entry and difficulty keeping online and physical stock information consistent. However, these should initially be treated as hypotheses rather than </w:t>
      </w:r>
      <w:r w:rsidRPr="00736F32">
        <w:lastRenderedPageBreak/>
        <w:t>confirmed needs. Interviews and observation may reveal that some retailers are satisfied with existing systems or that their main difficulty lies elsewhere.</w:t>
      </w:r>
    </w:p>
    <w:p w14:paraId="540C21F6" w14:textId="77777777" w:rsidR="00736F32" w:rsidRPr="00736F32" w:rsidRDefault="00736F32" w:rsidP="00736F32">
      <w:pPr>
        <w:jc w:val="left"/>
      </w:pPr>
      <w:r w:rsidRPr="00736F32">
        <w:t>A simple causal map could also connect the underlying problem: multiple disconnected tools may lead to repeated administrative tasks, which consume owners' time and increase the possibility of errors, potentially resulting in poor customer experiences and additional costs. This is useful because the assessment guidance specifically expects causal mapping to support innovation and Design Thinking.</w:t>
      </w:r>
    </w:p>
    <w:p w14:paraId="0E739656" w14:textId="37D3BF21" w:rsidR="00390D61" w:rsidRDefault="00736F32" w:rsidP="00736F32">
      <w:pPr>
        <w:jc w:val="left"/>
      </w:pPr>
      <w:r w:rsidRPr="00736F32">
        <w:t>The outcome of the Empathise stage would therefore be evidence about the retailers' actual priorities rather than a predetermined product specification. These insights would provide the basis for defining the precise problem that the venture should address.</w:t>
      </w:r>
      <w:r>
        <w:br/>
      </w:r>
      <w:r w:rsidR="00F101D9" w:rsidRPr="00F101D9">
        <w:t>These assumptions also have some support in recent UK research. The Department for Business and Trade (2025</w:t>
      </w:r>
      <w:r w:rsidR="001301F1">
        <w:t>c</w:t>
      </w:r>
      <w:r w:rsidR="00F101D9" w:rsidRPr="00F101D9">
        <w:t>) found that SMEs value reliable and personalised support when navigating technology adoption, while the Digital Adoption Taskforce identified time, financial resources and know-how as continuing constraints. However, secondary evidence should not replace direct empathy research. National findings may identify common patterns, but individual retailers can experience technology differently depending on their size, sector, existing systems and digital capability. Primary research would therefore be necessary to establish whether these wider barriers accurately represent RetailLink's intended users.</w:t>
      </w:r>
    </w:p>
    <w:p w14:paraId="4EFB9A57" w14:textId="3AB3F119" w:rsidR="00736F32" w:rsidRPr="00390D61" w:rsidRDefault="00736F32" w:rsidP="00390D61">
      <w:pPr>
        <w:pStyle w:val="Heading1"/>
        <w:rPr>
          <w:b/>
          <w:bCs/>
          <w:sz w:val="24"/>
          <w:szCs w:val="24"/>
        </w:rPr>
      </w:pPr>
      <w:bookmarkStart w:id="17" w:name="_Toc237899531"/>
      <w:bookmarkStart w:id="18" w:name="_Toc237899626"/>
      <w:r w:rsidRPr="00390D61">
        <w:rPr>
          <w:b/>
          <w:bCs/>
          <w:sz w:val="24"/>
          <w:szCs w:val="24"/>
        </w:rPr>
        <w:t>Stage 2: Define</w:t>
      </w:r>
      <w:bookmarkEnd w:id="17"/>
      <w:bookmarkEnd w:id="18"/>
    </w:p>
    <w:p w14:paraId="4A22987E" w14:textId="77777777" w:rsidR="00736F32" w:rsidRPr="00736F32" w:rsidRDefault="00736F32" w:rsidP="00736F32">
      <w:pPr>
        <w:jc w:val="left"/>
      </w:pPr>
      <w:r w:rsidRPr="00736F32">
        <w:t>The Define stage converts information gathered during empathy research into a focused problem that can guide idea generation. At this point, it would be important to distinguish between a symptom, such as a retailer spending too much time on administration, and its possible underlying cause, such as having to operate several systems that do not share information.</w:t>
      </w:r>
    </w:p>
    <w:p w14:paraId="2C40FFFA" w14:textId="77777777" w:rsidR="00736F32" w:rsidRPr="00736F32" w:rsidRDefault="00736F32" w:rsidP="00736F32">
      <w:pPr>
        <w:jc w:val="left"/>
      </w:pPr>
      <w:r w:rsidRPr="00736F32">
        <w:t xml:space="preserve">The interview, observation and empathy-map findings would be grouped into recurring themes. If the research confirms the initial assumptions, the main themes may include repeated data entry, difficulty monitoring stock across online and physical sales, unnecessary movement between applications and concern about the cost or complexity of introducing additional technology. A </w:t>
      </w:r>
      <w:r w:rsidRPr="00736F32">
        <w:lastRenderedPageBreak/>
        <w:t>causal map would help establish relationships between these issues and identify which problem is most appropriate for the venture to address.</w:t>
      </w:r>
    </w:p>
    <w:p w14:paraId="54A8EA5E" w14:textId="77777777" w:rsidR="00736F32" w:rsidRPr="00736F32" w:rsidRDefault="00736F32" w:rsidP="00736F32">
      <w:pPr>
        <w:jc w:val="left"/>
      </w:pPr>
      <w:r w:rsidRPr="00736F32">
        <w:t>Based on these findings, the proposed problem statement would be:</w:t>
      </w:r>
    </w:p>
    <w:p w14:paraId="6F33FC1A" w14:textId="77777777" w:rsidR="00736F32" w:rsidRPr="00736F32" w:rsidRDefault="00736F32" w:rsidP="00736F32">
      <w:pPr>
        <w:jc w:val="left"/>
      </w:pPr>
      <w:r w:rsidRPr="00736F32">
        <w:t>“Small independent UK retailers that operate both online and offline need a simpler way to manage essential digital activities because disconnected systems increase administrative work, create opportunities for errors and take time away from serving customers and developing the business.”</w:t>
      </w:r>
    </w:p>
    <w:p w14:paraId="385B5720" w14:textId="77777777" w:rsidR="00736F32" w:rsidRPr="00736F32" w:rsidRDefault="00736F32" w:rsidP="00736F32">
      <w:pPr>
        <w:jc w:val="left"/>
      </w:pPr>
      <w:r w:rsidRPr="00736F32">
        <w:t xml:space="preserve">This statement deliberately focuses on the user's need rather than prescribing a particular product. Defining the problem as </w:t>
      </w:r>
      <w:r w:rsidRPr="00736F32">
        <w:rPr>
          <w:i/>
          <w:iCs/>
        </w:rPr>
        <w:t>“small retailers need an all-in-one application”</w:t>
      </w:r>
      <w:r w:rsidRPr="00736F32">
        <w:t>, for example, would introduce the solution too early and could restrict innovation during the next stage.</w:t>
      </w:r>
    </w:p>
    <w:p w14:paraId="232A2CD6" w14:textId="77777777" w:rsidR="00736F32" w:rsidRPr="00736F32" w:rsidRDefault="00736F32" w:rsidP="00736F32">
      <w:pPr>
        <w:jc w:val="left"/>
      </w:pPr>
      <w:r w:rsidRPr="00736F32">
        <w:t>The problem can then be reframed as a How Might We question: “How might we help small independent retailers manage online and physical trading with less digital complexity, while keeping the solution affordable and easy to adopt?” This creates sufficient direction for ideation while leaving several possible solutions open for consideration.</w:t>
      </w:r>
    </w:p>
    <w:p w14:paraId="2406C8CA" w14:textId="77777777" w:rsidR="00736F32" w:rsidRPr="00736F32" w:rsidRDefault="00736F32" w:rsidP="00736F32">
      <w:pPr>
        <w:jc w:val="left"/>
      </w:pPr>
      <w:r w:rsidRPr="00736F32">
        <w:t>The Define stage therefore narrows a broad issue of SME digitalisation into a specific and testable user problem. However, the problem statement should remain provisional: if later prototyping or testing shows that retailers value integration less than expected, the venture should return to the earlier stages and redefine the problem rather than continue developing an unsuitable solution.</w:t>
      </w:r>
    </w:p>
    <w:p w14:paraId="7C1E012F" w14:textId="77777777" w:rsidR="00736F32" w:rsidRPr="00390D61" w:rsidRDefault="00736F32" w:rsidP="00390D61">
      <w:pPr>
        <w:pStyle w:val="Heading1"/>
        <w:rPr>
          <w:rFonts w:ascii="Arial" w:hAnsi="Arial" w:cs="Arial"/>
          <w:b/>
          <w:bCs/>
          <w:sz w:val="24"/>
          <w:szCs w:val="24"/>
        </w:rPr>
      </w:pPr>
      <w:bookmarkStart w:id="19" w:name="_Toc237899532"/>
      <w:bookmarkStart w:id="20" w:name="_Toc237899627"/>
      <w:r w:rsidRPr="00390D61">
        <w:rPr>
          <w:rFonts w:ascii="Arial" w:hAnsi="Arial" w:cs="Arial"/>
          <w:b/>
          <w:bCs/>
          <w:sz w:val="24"/>
          <w:szCs w:val="24"/>
        </w:rPr>
        <w:t>Stage 3: Ideate</w:t>
      </w:r>
      <w:bookmarkEnd w:id="19"/>
      <w:bookmarkEnd w:id="20"/>
    </w:p>
    <w:p w14:paraId="19AB6456" w14:textId="77777777" w:rsidR="00736F32" w:rsidRPr="00391B71" w:rsidRDefault="00736F32" w:rsidP="00736F32">
      <w:pPr>
        <w:jc w:val="left"/>
      </w:pPr>
      <w:r w:rsidRPr="00391B71">
        <w:t>The Ideate stage explores different ways of addressing the defined problem before resources are committed to one solution. A brainstorming session could involve retailers, a software developer and potential business partners, encouraging participants to generate ideas initially without judging their practicality. This supports divergent thinking, where a wider range of alternatives is considered before narrowing the options (Brown, 2008).</w:t>
      </w:r>
    </w:p>
    <w:p w14:paraId="5F34F488" w14:textId="77777777" w:rsidR="00736F32" w:rsidRPr="00391B71" w:rsidRDefault="00736F32" w:rsidP="00736F32">
      <w:pPr>
        <w:jc w:val="left"/>
      </w:pPr>
      <w:r w:rsidRPr="00391B71">
        <w:t xml:space="preserve">Ideas could include a digital adviser that recommends suitable software to retailers, a managed service that sets up and maintains existing systems, a shared dashboard connecting tools already used by the business, or a new all-in-one retail platform combining ordering, payments, stock and customer </w:t>
      </w:r>
      <w:r w:rsidRPr="00391B71">
        <w:lastRenderedPageBreak/>
        <w:t>communication. These ideas address the same underlying problem in different ways and avoid assuming that developing entirely new software is automatically the best response.</w:t>
      </w:r>
    </w:p>
    <w:p w14:paraId="0D95F594" w14:textId="77777777" w:rsidR="00736F32" w:rsidRPr="00391B71" w:rsidRDefault="00736F32" w:rsidP="00736F32">
      <w:pPr>
        <w:jc w:val="left"/>
      </w:pPr>
      <w:r w:rsidRPr="00391B71">
        <w:t>The alternatives could then be evaluated against four criteria derived from the empathy research: ease of use, affordability, ability to reduce administrative work and technical feasibility. An entirely new all-in-one platform may provide greater control but would be expensive to develop and would require retailers to replace systems they already understand. A consultancy-style service could provide personalised support but would be harder to scale because growth would require additional staff.</w:t>
      </w:r>
    </w:p>
    <w:p w14:paraId="4CFADF05" w14:textId="77777777" w:rsidR="00736F32" w:rsidRPr="00391B71" w:rsidRDefault="00736F32" w:rsidP="00736F32">
      <w:pPr>
        <w:jc w:val="left"/>
      </w:pPr>
      <w:r w:rsidRPr="00391B71">
        <w:t xml:space="preserve">The strongest concept is therefore a simple integration platform for independent retailers, provisionally called RetailLink. Instead of replacing every existing system, RetailLink would connect selected payment, online-ordering and stock-management tools through one dashboard. The initial value proposition would be straightforward: </w:t>
      </w:r>
      <w:r w:rsidRPr="00391B71">
        <w:rPr>
          <w:i/>
          <w:iCs/>
        </w:rPr>
        <w:t>less time switching between systems and more time running the business.</w:t>
      </w:r>
    </w:p>
    <w:p w14:paraId="4F4A9BC1" w14:textId="77777777" w:rsidR="00736F32" w:rsidRPr="00391B71" w:rsidRDefault="00736F32" w:rsidP="00736F32">
      <w:pPr>
        <w:jc w:val="left"/>
      </w:pPr>
      <w:r w:rsidRPr="00391B71">
        <w:t>This concept offers a balance between desirability, feasibility and viability. Existing technologies and APIs could reduce development requirements, while a subscription model could support recurring revenue. However, the idea remains a hypothesis at this stage. Its value depends on whether retailers genuinely regard integration as an important enough problem to change their current behaviour or pay for a solution. For this reason, RetailLink should first be developed as a limited prototype rather than a complete commercial platform.</w:t>
      </w:r>
    </w:p>
    <w:p w14:paraId="651CF676" w14:textId="77777777" w:rsidR="006F789D" w:rsidRPr="00391B71" w:rsidRDefault="006F789D" w:rsidP="00391B71">
      <w:pPr>
        <w:pStyle w:val="Heading1"/>
        <w:rPr>
          <w:rFonts w:ascii="Arial" w:hAnsi="Arial" w:cs="Arial"/>
          <w:b/>
          <w:bCs/>
          <w:sz w:val="24"/>
          <w:szCs w:val="24"/>
        </w:rPr>
      </w:pPr>
      <w:bookmarkStart w:id="21" w:name="_Toc237899533"/>
      <w:bookmarkStart w:id="22" w:name="_Toc237899628"/>
      <w:r w:rsidRPr="00391B71">
        <w:rPr>
          <w:rFonts w:ascii="Arial" w:hAnsi="Arial" w:cs="Arial"/>
          <w:b/>
          <w:bCs/>
          <w:sz w:val="24"/>
          <w:szCs w:val="24"/>
        </w:rPr>
        <w:t>Stage 4: Prototype and Minimum Viable Product (MVP)</w:t>
      </w:r>
      <w:bookmarkEnd w:id="21"/>
      <w:bookmarkEnd w:id="22"/>
    </w:p>
    <w:p w14:paraId="674E2E3F" w14:textId="77777777" w:rsidR="006F789D" w:rsidRPr="006F789D" w:rsidRDefault="006F789D" w:rsidP="006F789D">
      <w:pPr>
        <w:jc w:val="left"/>
      </w:pPr>
      <w:r w:rsidRPr="006F789D">
        <w:t>The Prototype stage turns the selected idea into something users can experience and evaluate before substantial resources are committed to development. Prototyping is particularly valuable because problems with an idea can be identified while changes remain relatively inexpensive (Brown, 2008). For RetailLink, developing a complete platform immediately would therefore be unnecessary and financially risky.</w:t>
      </w:r>
    </w:p>
    <w:p w14:paraId="3D5102F9" w14:textId="77777777" w:rsidR="006F789D" w:rsidRPr="006F789D" w:rsidRDefault="006F789D" w:rsidP="006F789D">
      <w:pPr>
        <w:jc w:val="left"/>
      </w:pPr>
      <w:r w:rsidRPr="006F789D">
        <w:t xml:space="preserve">The first prototype would be a low-fidelity clickable interface showing the main user journey. It would include a login page, a central dashboard, an order </w:t>
      </w:r>
      <w:r w:rsidRPr="006F789D">
        <w:lastRenderedPageBreak/>
        <w:t>screen, basic stock information and a payment overview. Retailers could click through realistic tasks, such as receiving an online order, checking whether an item is available and viewing payment information. At this stage, the screens would simulate integration rather than connecting to live business systems. This would allow the layout, terminology and workflow to be evaluated before technical development begins.</w:t>
      </w:r>
    </w:p>
    <w:p w14:paraId="67EBED5C" w14:textId="77777777" w:rsidR="006F789D" w:rsidRPr="006F789D" w:rsidRDefault="006F789D" w:rsidP="006F789D">
      <w:pPr>
        <w:jc w:val="left"/>
      </w:pPr>
      <w:r w:rsidRPr="006F789D">
        <w:t>Feedback from this prototype would inform a small MVP. Following the Lean Startup principle of testing important assumptions with limited resources (Ries, 2011), the MVP would include only the functions required to test RetailLink's central value proposition. It could connect one online-ordering service, one payment provider and a basic stock-management function within a single dashboard. Features such as advanced analytics, marketing automation, accounting tools and artificial intelligence would initially be excluded because they do not need to be built to determine whether users value simpler integration.</w:t>
      </w:r>
    </w:p>
    <w:p w14:paraId="60FDD9A2" w14:textId="77777777" w:rsidR="006F789D" w:rsidRPr="006F789D" w:rsidRDefault="006F789D" w:rsidP="006F789D">
      <w:pPr>
        <w:jc w:val="left"/>
      </w:pPr>
      <w:r w:rsidRPr="006F789D">
        <w:t>The MVP could be piloted with approximately 10 independent retailers for four to six weeks. This would provide a more realistic understanding of how the system fits into everyday business activity. Technical feasibility would also need consideration because RetailLink depends partly on access to third-party APIs and secure handling of business and customer information. Compliance with UK data-protection requirements would therefore need to be incorporated from the beginning rather than added after development.</w:t>
      </w:r>
    </w:p>
    <w:p w14:paraId="79C7FAE2" w14:textId="77CF7650" w:rsidR="00A1512E" w:rsidRDefault="006F789D" w:rsidP="006F789D">
      <w:pPr>
        <w:jc w:val="left"/>
      </w:pPr>
      <w:r w:rsidRPr="006F789D">
        <w:t>The purpose of the MVP is not to demonstrate that RetailLink is already a successful business. Instead, it is to test the key assumption that bringing essential retail activities into one simple interface can reduce administrative effort enough for small retailers to see value in adopting and eventually paying for the service.</w:t>
      </w:r>
    </w:p>
    <w:p w14:paraId="01692DB7" w14:textId="43D7B6F0" w:rsidR="009C41CE" w:rsidRDefault="009C41CE" w:rsidP="006F789D">
      <w:pPr>
        <w:jc w:val="left"/>
      </w:pPr>
      <w:r w:rsidRPr="009C41CE">
        <w:t xml:space="preserve">Integration itself would also need to be tested as a technical and commercial assumption. UK government research identifies systems alignment as an important consideration when businesses adopt technology, alongside implementation and maintenance costs (Department for Science, Innovation and Technology, 2025). This is particularly relevant to RetailLink because its value depends on connecting tools that may use different data structures and APIs. The MVP should therefore begin with a small number of widely used </w:t>
      </w:r>
      <w:r w:rsidRPr="009C41CE">
        <w:lastRenderedPageBreak/>
        <w:t>integrations rather than attempting to support every retail system. This would reduce development complexity while revealing which integrations users value most</w:t>
      </w:r>
      <w:r w:rsidR="00C576AB">
        <w:t>.</w:t>
      </w:r>
    </w:p>
    <w:p w14:paraId="61C2C86B" w14:textId="150C8D3D" w:rsidR="006F789D" w:rsidRPr="00C85406" w:rsidRDefault="006F789D" w:rsidP="00C85406">
      <w:pPr>
        <w:pStyle w:val="Heading1"/>
        <w:rPr>
          <w:rFonts w:ascii="Arial" w:hAnsi="Arial" w:cs="Arial"/>
          <w:b/>
          <w:bCs/>
          <w:sz w:val="24"/>
          <w:szCs w:val="24"/>
        </w:rPr>
      </w:pPr>
      <w:bookmarkStart w:id="23" w:name="_Toc237899534"/>
      <w:bookmarkStart w:id="24" w:name="_Toc237899629"/>
      <w:r w:rsidRPr="00C85406">
        <w:rPr>
          <w:rFonts w:ascii="Arial" w:hAnsi="Arial" w:cs="Arial"/>
          <w:b/>
          <w:bCs/>
          <w:sz w:val="24"/>
          <w:szCs w:val="24"/>
        </w:rPr>
        <w:t>Stage 5: Test and Refine</w:t>
      </w:r>
      <w:bookmarkEnd w:id="23"/>
      <w:bookmarkEnd w:id="24"/>
    </w:p>
    <w:p w14:paraId="545909BB" w14:textId="77777777" w:rsidR="00DC6700" w:rsidRPr="00DC6700" w:rsidRDefault="00DC6700" w:rsidP="00DC6700">
      <w:pPr>
        <w:jc w:val="left"/>
      </w:pPr>
      <w:r w:rsidRPr="00DC6700">
        <w:t>The final stage would test RetailLink with independent retailers to determine whether the proposed solution actually reduces digital complexity. Testing should focus on user behaviour and measurable outcomes rather than simply asking participants whether they like the platform.</w:t>
      </w:r>
    </w:p>
    <w:p w14:paraId="76D7387A" w14:textId="77777777" w:rsidR="00DC6700" w:rsidRPr="00DC6700" w:rsidRDefault="00DC6700" w:rsidP="00DC6700">
      <w:pPr>
        <w:jc w:val="left"/>
      </w:pPr>
      <w:r w:rsidRPr="00DC6700">
        <w:t>Initially, retailers would complete realistic tasks using the clickable prototype, such as locating an online order, checking stock and viewing payment information. Observation would identify where users hesitate, misunderstand features or require assistance. Short interviews could then explore which functions users consider useful, unnecessary or difficult to understand.</w:t>
      </w:r>
    </w:p>
    <w:p w14:paraId="399E8F97" w14:textId="77777777" w:rsidR="00DC6700" w:rsidRPr="00DC6700" w:rsidRDefault="00DC6700" w:rsidP="00DC6700">
      <w:pPr>
        <w:jc w:val="left"/>
      </w:pPr>
      <w:r w:rsidRPr="00DC6700">
        <w:t>The MVP would then be piloted with approximately 10 retailers for four to six weeks. Measures could include time spent on selected administrative tasks, frequency of platform use, number of errors or duplicated entries and willingness to continue using the service. Participants could also be asked what monthly price they would realistically pay. These measures would provide evidence of both user desirability and commercial viability.</w:t>
      </w:r>
    </w:p>
    <w:p w14:paraId="12F763A8" w14:textId="77777777" w:rsidR="00DC6700" w:rsidRPr="00DC6700" w:rsidRDefault="00DC6700" w:rsidP="00DC6700">
      <w:pPr>
        <w:jc w:val="left"/>
      </w:pPr>
      <w:r w:rsidRPr="00DC6700">
        <w:t>Feedback would guide further development. If retailers frequently use the combined order and stock functions but rarely use payment information, development could focus on the features producing greater value. Difficulties during setup could lead to simpler onboarding or additional user support.</w:t>
      </w:r>
    </w:p>
    <w:p w14:paraId="37B6E8AB" w14:textId="77777777" w:rsidR="00DC6700" w:rsidRPr="00DC6700" w:rsidRDefault="00DC6700" w:rsidP="00DC6700">
      <w:pPr>
        <w:jc w:val="left"/>
      </w:pPr>
      <w:r w:rsidRPr="00DC6700">
        <w:t>Testing could also challenge the original idea. If retailers indicate that system integration is less important than expected, RetailLink may need to change direction rather than continue developing an unwanted solution. This reflects the iterative nature of Design Thinking and the Lean Startup principle of using evidence to decide whether to improve an existing concept or pivot towards an alternative (Ries, 2011). The Build-Measure-Learn approach similarly emphasises testing assumptions through an MVP and using customer evidence to guide subsequent development.</w:t>
      </w:r>
    </w:p>
    <w:p w14:paraId="7F08AA47" w14:textId="77777777" w:rsidR="00DC6700" w:rsidRPr="00DC6700" w:rsidRDefault="00DC6700" w:rsidP="00DC6700">
      <w:pPr>
        <w:jc w:val="left"/>
      </w:pPr>
      <w:r w:rsidRPr="00DC6700">
        <w:t xml:space="preserve">A second pilot with a larger group of retailers would then determine whether the refined solution works beyond the original participants. Wider commercial </w:t>
      </w:r>
      <w:r w:rsidRPr="00DC6700">
        <w:lastRenderedPageBreak/>
        <w:t>development would only proceed if RetailLink demonstrates meaningful time savings, ease of use and sufficient value for retailers to pay for the service.</w:t>
      </w:r>
    </w:p>
    <w:p w14:paraId="13D19DB3" w14:textId="1EDEDB00" w:rsidR="00DC6700" w:rsidRPr="00C85406" w:rsidRDefault="00DC6700" w:rsidP="00C85406">
      <w:pPr>
        <w:pStyle w:val="Heading1"/>
        <w:rPr>
          <w:rFonts w:ascii="Arial" w:hAnsi="Arial" w:cs="Arial"/>
          <w:b/>
          <w:bCs/>
          <w:sz w:val="24"/>
          <w:szCs w:val="24"/>
        </w:rPr>
      </w:pPr>
      <w:bookmarkStart w:id="25" w:name="_Toc237899535"/>
      <w:bookmarkStart w:id="26" w:name="_Toc237899630"/>
      <w:r w:rsidRPr="00C85406">
        <w:rPr>
          <w:rFonts w:ascii="Arial" w:hAnsi="Arial" w:cs="Arial"/>
          <w:b/>
          <w:bCs/>
          <w:sz w:val="24"/>
          <w:szCs w:val="24"/>
        </w:rPr>
        <w:t>Critical Evaluation of the Approach</w:t>
      </w:r>
      <w:bookmarkEnd w:id="25"/>
      <w:bookmarkEnd w:id="26"/>
      <w:r w:rsidRPr="00C85406">
        <w:rPr>
          <w:rFonts w:ascii="Arial" w:hAnsi="Arial" w:cs="Arial"/>
          <w:b/>
          <w:bCs/>
          <w:sz w:val="24"/>
          <w:szCs w:val="24"/>
        </w:rPr>
        <w:t xml:space="preserve"> </w:t>
      </w:r>
    </w:p>
    <w:p w14:paraId="4C0E100A" w14:textId="2C1C333B" w:rsidR="00543409" w:rsidRPr="00543409" w:rsidRDefault="00543409" w:rsidP="00543409">
      <w:r w:rsidRPr="00543409">
        <w:t>Design Thinking is particularly suitable for developing RetailLink because the main uncertainty concerns the needs and behaviour of small retailers rather than the availability of technology. Its emphasis on empathy, problem definition and experimentation allows the venture to investigate the difficulties retailers actually experience before committing resources to a finished product. Research involving SMEs has also shown that Design Thinking can support collaborative learning and service innovation by helping businesses exchange and apply knowledge more effectively. This is relevant to RetailLink because the proposed solution is developed through direct involvement with its intended users.</w:t>
      </w:r>
    </w:p>
    <w:p w14:paraId="528A2008" w14:textId="60450A3B" w:rsidR="00543409" w:rsidRPr="00543409" w:rsidRDefault="00F83670" w:rsidP="00543409">
      <w:r w:rsidRPr="00F83670">
        <w:t>However, applying an iterative innovation process within SMEs may be challenging because smaller businesses often operate with limited resources and digital capabilities. Research on SME digital transformation identifies organisational, technological and environmental factors that can influence successful digital change (Sagala and Őri, 2024). Design Thinking may therefore require time, experimentation and capabilities that some smaller businesses do not readily possess.</w:t>
      </w:r>
      <w:r>
        <w:t xml:space="preserve"> </w:t>
      </w:r>
      <w:r w:rsidR="00543409" w:rsidRPr="00543409">
        <w:t>In addition, understanding user needs does not automatically demonstrate that a venture will be commercially successful. Retailers may identify a genuine problem during interviews but still be unwilling to change their existing systems or pay for RetailLink.</w:t>
      </w:r>
    </w:p>
    <w:p w14:paraId="17FBA8ED" w14:textId="77777777" w:rsidR="00543409" w:rsidRPr="00543409" w:rsidRDefault="00543409" w:rsidP="00543409">
      <w:r w:rsidRPr="00543409">
        <w:t>For this reason, Design Thinking can be strengthened by combining it with the Lean Startup approach. While Design Thinking is particularly useful for exploring users and defining the problem, Lean Startup places stronger emphasis on testing business assumptions through an MVP, measuring customer behaviour and learning before substantial investment is made (Ries, 2011). Research has similarly suggested that the two approaches can be integrated within the innovation process rather than treated as competing methods (Marion et al., 2021).</w:t>
      </w:r>
    </w:p>
    <w:p w14:paraId="2C8C53A8" w14:textId="77777777" w:rsidR="00543409" w:rsidRPr="00543409" w:rsidRDefault="00543409" w:rsidP="00543409">
      <w:r w:rsidRPr="00543409">
        <w:t xml:space="preserve">For RetailLink, combining the frameworks therefore reduces two different risks: Design Thinking reduces the risk of developing the wrong solution, while Lean Startup helps test whether the proposed solution can become a viable business. </w:t>
      </w:r>
      <w:r w:rsidRPr="00543409">
        <w:lastRenderedPageBreak/>
        <w:t>Nevertheless, neither approach removes uncertainty completely. Decisions to scale RetailLink should ultimately depend on evidence from repeated testing with a broader range of independent retailers rather than positive feedback from a small initial sample.</w:t>
      </w:r>
    </w:p>
    <w:p w14:paraId="47EBA241" w14:textId="6AE53B9A" w:rsidR="008E5FB0" w:rsidRPr="00D5748C" w:rsidRDefault="008E5FB0" w:rsidP="00D5748C">
      <w:pPr>
        <w:pStyle w:val="Heading1"/>
        <w:rPr>
          <w:rFonts w:ascii="Arial" w:hAnsi="Arial" w:cs="Arial"/>
          <w:b/>
          <w:bCs/>
          <w:sz w:val="24"/>
          <w:szCs w:val="24"/>
        </w:rPr>
      </w:pPr>
      <w:bookmarkStart w:id="27" w:name="_Toc237899536"/>
      <w:bookmarkStart w:id="28" w:name="_Toc237899631"/>
      <w:r w:rsidRPr="00D5748C">
        <w:rPr>
          <w:rFonts w:ascii="Arial" w:hAnsi="Arial" w:cs="Arial"/>
          <w:b/>
          <w:bCs/>
          <w:sz w:val="24"/>
          <w:szCs w:val="24"/>
        </w:rPr>
        <w:t>Conclusion</w:t>
      </w:r>
      <w:bookmarkEnd w:id="27"/>
      <w:bookmarkEnd w:id="28"/>
    </w:p>
    <w:p w14:paraId="442C5D89" w14:textId="77777777" w:rsidR="00F101D9" w:rsidRPr="00F101D9" w:rsidRDefault="00F101D9" w:rsidP="00F101D9">
      <w:r w:rsidRPr="00F101D9">
        <w:t>The growth of digital commerce has created significant opportunities for innovation across the UK, but this report has shown that the strongest opportunities arise where technology responds to a clearly understood user problem. Task 1 identified digital solutions for small retailers, last-mile fulfilment and platforms for rural and local producers as viable areas for new venture creation. Although each offers potential, an integrated digital solution for independent retailers was considered the strongest opportunity because it combines a clear user need with comparatively low physical infrastructure requirements and the potential to scale through a software-based model. This remains particularly relevant as UK SMEs continue to experience barriers including cost, capability and awareness when adopting digital technologies (Department for Business and Trade, 2026).</w:t>
      </w:r>
    </w:p>
    <w:p w14:paraId="750D3C70" w14:textId="77777777" w:rsidR="00F101D9" w:rsidRPr="00F101D9" w:rsidRDefault="00F101D9" w:rsidP="00F101D9">
      <w:r w:rsidRPr="00F101D9">
        <w:t>Task 2 developed this opportunity through the five stages of Design Thinking. Empathy and problem definition focused attention on the difficulties retailers may experience when managing disconnected systems, while ideation allowed several possible responses to be considered before RetailLink was selected. Prototyping and MVP development then provided a lower-risk method of testing the concept, with measurable user feedback informing subsequent refinement.</w:t>
      </w:r>
    </w:p>
    <w:p w14:paraId="6871A789" w14:textId="77777777" w:rsidR="0059515C" w:rsidRDefault="00F101D9" w:rsidP="0059515C">
      <w:r w:rsidRPr="00F101D9">
        <w:t>However, RetailLink should not be considered commercially viable simply because it addresses an identifiable problem. Its success would depend on demonstrating meaningful time savings, ease of adoption, reliable technical integration and willingness among retailers to pay. Combining Design Thinking with Lean Startup therefore provides a stronger approach by connecting user-centred innovation with continuous commercial experimentation. Overall, RetailLink should progress gradually through repeated testing and refinement, with wider investment and expansion only occurring once evidence demonstrates genuine and sustainable value for independent retailers.</w:t>
      </w:r>
    </w:p>
    <w:p w14:paraId="72E00CE7" w14:textId="77777777" w:rsidR="0059515C" w:rsidRDefault="0059515C" w:rsidP="0059515C"/>
    <w:p w14:paraId="3920E906" w14:textId="6B353285" w:rsidR="0059515C" w:rsidRDefault="0059515C" w:rsidP="0059515C">
      <w:pPr>
        <w:pStyle w:val="Heading1"/>
        <w:rPr>
          <w:rFonts w:ascii="Arial" w:hAnsi="Arial" w:cs="Arial"/>
          <w:b/>
          <w:bCs/>
          <w:sz w:val="24"/>
          <w:szCs w:val="24"/>
        </w:rPr>
      </w:pPr>
      <w:bookmarkStart w:id="29" w:name="_Toc237899537"/>
      <w:bookmarkStart w:id="30" w:name="_Toc237899632"/>
      <w:r w:rsidRPr="0059515C">
        <w:rPr>
          <w:rFonts w:ascii="Arial" w:hAnsi="Arial" w:cs="Arial"/>
          <w:b/>
          <w:bCs/>
          <w:sz w:val="24"/>
          <w:szCs w:val="24"/>
        </w:rPr>
        <w:lastRenderedPageBreak/>
        <w:t>References</w:t>
      </w:r>
      <w:bookmarkEnd w:id="29"/>
      <w:bookmarkEnd w:id="30"/>
    </w:p>
    <w:p w14:paraId="1EA6EBA7" w14:textId="77777777" w:rsidR="00004811" w:rsidRPr="00004811" w:rsidRDefault="00004811" w:rsidP="00004811">
      <w:pPr>
        <w:rPr>
          <w:lang w:eastAsia="en-US"/>
        </w:rPr>
      </w:pPr>
      <w:r w:rsidRPr="00004811">
        <w:rPr>
          <w:lang w:eastAsia="en-US"/>
        </w:rPr>
        <w:t xml:space="preserve">Brown, T. (2008) ‘Design thinking’, </w:t>
      </w:r>
      <w:r w:rsidRPr="00004811">
        <w:rPr>
          <w:i/>
          <w:iCs/>
          <w:lang w:eastAsia="en-US"/>
        </w:rPr>
        <w:t>Harvard Business Review</w:t>
      </w:r>
      <w:r w:rsidRPr="00004811">
        <w:rPr>
          <w:lang w:eastAsia="en-US"/>
        </w:rPr>
        <w:t xml:space="preserve">, 86(6), pp. 84–92. Available at: </w:t>
      </w:r>
      <w:hyperlink r:id="rId8" w:history="1">
        <w:r w:rsidRPr="00004811">
          <w:rPr>
            <w:rStyle w:val="Hyperlink"/>
            <w:lang w:eastAsia="en-US"/>
          </w:rPr>
          <w:t>https://hbr.org/2008/06/design-thinking</w:t>
        </w:r>
      </w:hyperlink>
      <w:r w:rsidRPr="00004811">
        <w:rPr>
          <w:lang w:eastAsia="en-US"/>
        </w:rPr>
        <w:t xml:space="preserve"> (Accessed: 17 August 2026).</w:t>
      </w:r>
    </w:p>
    <w:p w14:paraId="04AB1733" w14:textId="77777777" w:rsidR="00004811" w:rsidRPr="00004811" w:rsidRDefault="00004811" w:rsidP="00004811">
      <w:pPr>
        <w:rPr>
          <w:lang w:eastAsia="en-US"/>
        </w:rPr>
      </w:pPr>
      <w:r w:rsidRPr="00004811">
        <w:rPr>
          <w:lang w:eastAsia="en-US"/>
        </w:rPr>
        <w:t xml:space="preserve">Brown, T. (2009) </w:t>
      </w:r>
      <w:r w:rsidRPr="00004811">
        <w:rPr>
          <w:i/>
          <w:iCs/>
          <w:lang w:eastAsia="en-US"/>
        </w:rPr>
        <w:t>Change by Design: How Design Thinking Transforms Organizations and Inspires Innovation</w:t>
      </w:r>
      <w:r w:rsidRPr="00004811">
        <w:rPr>
          <w:lang w:eastAsia="en-US"/>
        </w:rPr>
        <w:t>. New York: HarperBusiness.</w:t>
      </w:r>
    </w:p>
    <w:p w14:paraId="32A5B57A" w14:textId="77777777" w:rsidR="00004811" w:rsidRPr="00004811" w:rsidRDefault="00004811" w:rsidP="00004811">
      <w:pPr>
        <w:rPr>
          <w:lang w:eastAsia="en-US"/>
        </w:rPr>
      </w:pPr>
      <w:r w:rsidRPr="00004811">
        <w:rPr>
          <w:lang w:eastAsia="en-US"/>
        </w:rPr>
        <w:t xml:space="preserve">Department for Business and Trade (2025a) </w:t>
      </w:r>
      <w:r w:rsidRPr="00004811">
        <w:rPr>
          <w:i/>
          <w:iCs/>
          <w:lang w:eastAsia="en-US"/>
        </w:rPr>
        <w:t>Longitudinal Small Business Survey 2024: SME employers (businesses with 1 to 249 employees)</w:t>
      </w:r>
      <w:r w:rsidRPr="00004811">
        <w:rPr>
          <w:lang w:eastAsia="en-US"/>
        </w:rPr>
        <w:t xml:space="preserve">. London: Department for Business and Trade. Available at: </w:t>
      </w:r>
      <w:hyperlink r:id="rId9" w:history="1">
        <w:r w:rsidRPr="00004811">
          <w:rPr>
            <w:rStyle w:val="Hyperlink"/>
            <w:lang w:eastAsia="en-US"/>
          </w:rPr>
          <w:t>https://www.gov.uk/government/statistics/small-business-survey-2024-businesses-with-employees/longitudinal-small-business-survey-2024-sme-employers-businesses-with-1-to-249-employees</w:t>
        </w:r>
      </w:hyperlink>
      <w:r w:rsidRPr="00004811">
        <w:rPr>
          <w:lang w:eastAsia="en-US"/>
        </w:rPr>
        <w:t xml:space="preserve"> (Accessed: 17 August 2026).</w:t>
      </w:r>
    </w:p>
    <w:p w14:paraId="1A2FDAC5" w14:textId="77777777" w:rsidR="00004811" w:rsidRPr="00004811" w:rsidRDefault="00004811" w:rsidP="00004811">
      <w:pPr>
        <w:rPr>
          <w:lang w:eastAsia="en-US"/>
        </w:rPr>
      </w:pPr>
      <w:r w:rsidRPr="00004811">
        <w:rPr>
          <w:lang w:eastAsia="en-US"/>
        </w:rPr>
        <w:t xml:space="preserve">Department for Business and Trade (2025b) </w:t>
      </w:r>
      <w:r w:rsidRPr="00004811">
        <w:rPr>
          <w:i/>
          <w:iCs/>
          <w:lang w:eastAsia="en-US"/>
        </w:rPr>
        <w:t>SME Digital Adoption Taskforce: final report</w:t>
      </w:r>
      <w:r w:rsidRPr="00004811">
        <w:rPr>
          <w:lang w:eastAsia="en-US"/>
        </w:rPr>
        <w:t xml:space="preserve">. London: Department for Business and Trade. Available at: </w:t>
      </w:r>
      <w:hyperlink r:id="rId10" w:history="1">
        <w:r w:rsidRPr="00004811">
          <w:rPr>
            <w:rStyle w:val="Hyperlink"/>
            <w:lang w:eastAsia="en-US"/>
          </w:rPr>
          <w:t>https://www.gov.uk/government/publications/sme-digital-adoption-taskforce-final-report</w:t>
        </w:r>
      </w:hyperlink>
      <w:r w:rsidRPr="00004811">
        <w:rPr>
          <w:lang w:eastAsia="en-US"/>
        </w:rPr>
        <w:t xml:space="preserve"> (Accessed: 17 August 2026).</w:t>
      </w:r>
    </w:p>
    <w:p w14:paraId="38E87C0D" w14:textId="77777777" w:rsidR="00004811" w:rsidRPr="00004811" w:rsidRDefault="00004811" w:rsidP="00004811">
      <w:pPr>
        <w:rPr>
          <w:lang w:eastAsia="en-US"/>
        </w:rPr>
      </w:pPr>
      <w:r w:rsidRPr="00004811">
        <w:rPr>
          <w:lang w:eastAsia="en-US"/>
        </w:rPr>
        <w:t xml:space="preserve">Department for Business and Trade (2025c) </w:t>
      </w:r>
      <w:r w:rsidRPr="00004811">
        <w:rPr>
          <w:i/>
          <w:iCs/>
          <w:lang w:eastAsia="en-US"/>
        </w:rPr>
        <w:t>Understanding technology adoption among UK SMEs</w:t>
      </w:r>
      <w:r w:rsidRPr="00004811">
        <w:rPr>
          <w:lang w:eastAsia="en-US"/>
        </w:rPr>
        <w:t xml:space="preserve">. London: Department for Business and Trade. Available at: </w:t>
      </w:r>
      <w:hyperlink r:id="rId11" w:history="1">
        <w:r w:rsidRPr="00004811">
          <w:rPr>
            <w:rStyle w:val="Hyperlink"/>
            <w:lang w:eastAsia="en-US"/>
          </w:rPr>
          <w:t>https://www.gov.uk/government/publications/understanding-technology-adoption-among-uk-smes</w:t>
        </w:r>
      </w:hyperlink>
      <w:r w:rsidRPr="00004811">
        <w:rPr>
          <w:lang w:eastAsia="en-US"/>
        </w:rPr>
        <w:t xml:space="preserve"> (Accessed: 17 August 2026).</w:t>
      </w:r>
    </w:p>
    <w:p w14:paraId="49EBD950" w14:textId="77777777" w:rsidR="00004811" w:rsidRPr="00004811" w:rsidRDefault="00004811" w:rsidP="00004811">
      <w:pPr>
        <w:rPr>
          <w:lang w:eastAsia="en-US"/>
        </w:rPr>
      </w:pPr>
      <w:r w:rsidRPr="00004811">
        <w:rPr>
          <w:lang w:eastAsia="en-US"/>
        </w:rPr>
        <w:t xml:space="preserve">Department for Business and Trade (2026) </w:t>
      </w:r>
      <w:r w:rsidRPr="00004811">
        <w:rPr>
          <w:i/>
          <w:iCs/>
          <w:lang w:eastAsia="en-US"/>
        </w:rPr>
        <w:t>SME Digital Adoption Taskforce: 2026 update</w:t>
      </w:r>
      <w:r w:rsidRPr="00004811">
        <w:rPr>
          <w:lang w:eastAsia="en-US"/>
        </w:rPr>
        <w:t xml:space="preserve">. London: Department for Business and Trade. Available at: </w:t>
      </w:r>
      <w:hyperlink r:id="rId12" w:history="1">
        <w:r w:rsidRPr="00004811">
          <w:rPr>
            <w:rStyle w:val="Hyperlink"/>
            <w:lang w:eastAsia="en-US"/>
          </w:rPr>
          <w:t>https://www.gov.uk/government/publications/sme-digital-adoption-taskforce-2026-update</w:t>
        </w:r>
      </w:hyperlink>
      <w:r w:rsidRPr="00004811">
        <w:rPr>
          <w:lang w:eastAsia="en-US"/>
        </w:rPr>
        <w:t xml:space="preserve"> (Accessed: 17 August 2026).</w:t>
      </w:r>
    </w:p>
    <w:p w14:paraId="77FC9CB0" w14:textId="77777777" w:rsidR="00004811" w:rsidRPr="00004811" w:rsidRDefault="00004811" w:rsidP="00004811">
      <w:pPr>
        <w:rPr>
          <w:lang w:eastAsia="en-US"/>
        </w:rPr>
      </w:pPr>
      <w:r w:rsidRPr="00004811">
        <w:rPr>
          <w:lang w:eastAsia="en-US"/>
        </w:rPr>
        <w:t xml:space="preserve">Department for Business and Trade, Department for Science, Innovation and Technology and HM Treasury (2025) </w:t>
      </w:r>
      <w:r w:rsidRPr="00004811">
        <w:rPr>
          <w:i/>
          <w:iCs/>
          <w:lang w:eastAsia="en-US"/>
        </w:rPr>
        <w:t>Technology Adoption Review</w:t>
      </w:r>
      <w:r w:rsidRPr="00004811">
        <w:rPr>
          <w:lang w:eastAsia="en-US"/>
        </w:rPr>
        <w:t xml:space="preserve">. London: UK Government. Available at: </w:t>
      </w:r>
      <w:hyperlink r:id="rId13" w:history="1">
        <w:r w:rsidRPr="00004811">
          <w:rPr>
            <w:rStyle w:val="Hyperlink"/>
            <w:lang w:eastAsia="en-US"/>
          </w:rPr>
          <w:t>https://www.gov.uk/government/publications/technology-adoption-review</w:t>
        </w:r>
      </w:hyperlink>
      <w:r w:rsidRPr="00004811">
        <w:rPr>
          <w:lang w:eastAsia="en-US"/>
        </w:rPr>
        <w:t xml:space="preserve"> (Accessed: 17 August 2026).</w:t>
      </w:r>
    </w:p>
    <w:p w14:paraId="311408D8" w14:textId="77777777" w:rsidR="00004811" w:rsidRPr="00004811" w:rsidRDefault="00004811" w:rsidP="00004811">
      <w:pPr>
        <w:rPr>
          <w:lang w:eastAsia="en-US"/>
        </w:rPr>
      </w:pPr>
      <w:r w:rsidRPr="00004811">
        <w:rPr>
          <w:lang w:eastAsia="en-US"/>
        </w:rPr>
        <w:t xml:space="preserve">Department for Science, Innovation and Technology and Department for Culture, Media and Sport (2025) </w:t>
      </w:r>
      <w:r w:rsidRPr="00004811">
        <w:rPr>
          <w:i/>
          <w:iCs/>
          <w:lang w:eastAsia="en-US"/>
        </w:rPr>
        <w:t>Barriers and Enablers to Advanced Technology Adoption for UK Businesses</w:t>
      </w:r>
      <w:r w:rsidRPr="00004811">
        <w:rPr>
          <w:lang w:eastAsia="en-US"/>
        </w:rPr>
        <w:t xml:space="preserve">. London: UK Government. Available at: </w:t>
      </w:r>
      <w:hyperlink r:id="rId14" w:history="1">
        <w:r w:rsidRPr="00004811">
          <w:rPr>
            <w:rStyle w:val="Hyperlink"/>
            <w:lang w:eastAsia="en-US"/>
          </w:rPr>
          <w:t>https://www.gov.uk/government/publications/barriers-and-enablers-to-advanced-technology-adoption-for-uk-businesses</w:t>
        </w:r>
      </w:hyperlink>
      <w:r w:rsidRPr="00004811">
        <w:rPr>
          <w:lang w:eastAsia="en-US"/>
        </w:rPr>
        <w:t xml:space="preserve"> (Accessed: 17 August 2026).</w:t>
      </w:r>
    </w:p>
    <w:p w14:paraId="68A41883" w14:textId="77777777" w:rsidR="00004811" w:rsidRPr="00004811" w:rsidRDefault="00004811" w:rsidP="00004811">
      <w:pPr>
        <w:rPr>
          <w:lang w:eastAsia="en-US"/>
        </w:rPr>
      </w:pPr>
      <w:r w:rsidRPr="00004811">
        <w:rPr>
          <w:lang w:eastAsia="en-US"/>
        </w:rPr>
        <w:lastRenderedPageBreak/>
        <w:t xml:space="preserve">Design Council (n.d.) </w:t>
      </w:r>
      <w:r w:rsidRPr="00004811">
        <w:rPr>
          <w:i/>
          <w:iCs/>
          <w:lang w:eastAsia="en-US"/>
        </w:rPr>
        <w:t>The Double Diamond</w:t>
      </w:r>
      <w:r w:rsidRPr="00004811">
        <w:rPr>
          <w:lang w:eastAsia="en-US"/>
        </w:rPr>
        <w:t xml:space="preserve">. Available at: </w:t>
      </w:r>
      <w:hyperlink r:id="rId15" w:history="1">
        <w:r w:rsidRPr="00004811">
          <w:rPr>
            <w:rStyle w:val="Hyperlink"/>
            <w:lang w:eastAsia="en-US"/>
          </w:rPr>
          <w:t>https://www.designcouncil.org.uk/resources/the-double-diamond/</w:t>
        </w:r>
      </w:hyperlink>
      <w:r w:rsidRPr="00004811">
        <w:rPr>
          <w:lang w:eastAsia="en-US"/>
        </w:rPr>
        <w:t xml:space="preserve"> (Accessed: 17 August 2026).</w:t>
      </w:r>
    </w:p>
    <w:p w14:paraId="7A4D55D1" w14:textId="77777777" w:rsidR="00004811" w:rsidRPr="00004811" w:rsidRDefault="00004811" w:rsidP="00004811">
      <w:pPr>
        <w:rPr>
          <w:lang w:eastAsia="en-US"/>
        </w:rPr>
      </w:pPr>
      <w:r w:rsidRPr="00004811">
        <w:rPr>
          <w:lang w:eastAsia="en-US"/>
        </w:rPr>
        <w:t xml:space="preserve">Gray, D., Brown, S. and Macanufo, J. (2010) </w:t>
      </w:r>
      <w:r w:rsidRPr="00004811">
        <w:rPr>
          <w:i/>
          <w:iCs/>
          <w:lang w:eastAsia="en-US"/>
        </w:rPr>
        <w:t>Gamestorming: A Playbook for Innovators, Rulebreakers, and Changemakers</w:t>
      </w:r>
      <w:r w:rsidRPr="00004811">
        <w:rPr>
          <w:lang w:eastAsia="en-US"/>
        </w:rPr>
        <w:t>. Sebastopol, CA: O’Reilly Media.</w:t>
      </w:r>
    </w:p>
    <w:p w14:paraId="03E23947" w14:textId="77777777" w:rsidR="00004811" w:rsidRPr="00004811" w:rsidRDefault="00004811" w:rsidP="00004811">
      <w:pPr>
        <w:rPr>
          <w:lang w:eastAsia="en-US"/>
        </w:rPr>
      </w:pPr>
      <w:r w:rsidRPr="00004811">
        <w:rPr>
          <w:lang w:eastAsia="en-US"/>
        </w:rPr>
        <w:t xml:space="preserve">Marion, T., Cannon, D., Reid, T. and McGowan, A-M. (2021) ‘A conceptual model for integrating design thinking and lean startup methods into the innovation process’, </w:t>
      </w:r>
      <w:r w:rsidRPr="00004811">
        <w:rPr>
          <w:i/>
          <w:iCs/>
          <w:lang w:eastAsia="en-US"/>
        </w:rPr>
        <w:t>Proceedings of the Design Society</w:t>
      </w:r>
      <w:r w:rsidRPr="00004811">
        <w:rPr>
          <w:lang w:eastAsia="en-US"/>
        </w:rPr>
        <w:t>, 1, pp. 31–40. doi: 10.1017/pds.2021.4.</w:t>
      </w:r>
    </w:p>
    <w:p w14:paraId="18BC0022" w14:textId="77777777" w:rsidR="00004811" w:rsidRPr="00004811" w:rsidRDefault="00004811" w:rsidP="00004811">
      <w:pPr>
        <w:rPr>
          <w:lang w:eastAsia="en-US"/>
        </w:rPr>
      </w:pPr>
      <w:r w:rsidRPr="00004811">
        <w:rPr>
          <w:lang w:eastAsia="en-US"/>
        </w:rPr>
        <w:t xml:space="preserve">OECD (2026) </w:t>
      </w:r>
      <w:r w:rsidRPr="00004811">
        <w:rPr>
          <w:i/>
          <w:iCs/>
          <w:lang w:eastAsia="en-US"/>
        </w:rPr>
        <w:t>SME Technology Adoption in the United Kingdom</w:t>
      </w:r>
      <w:r w:rsidRPr="00004811">
        <w:rPr>
          <w:lang w:eastAsia="en-US"/>
        </w:rPr>
        <w:t>. OECD Studies on SMEs and Entrepreneurship. Paris: OECD Publishing. doi: 10.1787/5f25ce2a-en.</w:t>
      </w:r>
    </w:p>
    <w:p w14:paraId="7F5DD9AF" w14:textId="77777777" w:rsidR="00004811" w:rsidRPr="00004811" w:rsidRDefault="00004811" w:rsidP="00004811">
      <w:pPr>
        <w:rPr>
          <w:lang w:eastAsia="en-US"/>
        </w:rPr>
      </w:pPr>
      <w:r w:rsidRPr="00004811">
        <w:rPr>
          <w:lang w:eastAsia="en-US"/>
        </w:rPr>
        <w:t xml:space="preserve">Ofcom (2025) </w:t>
      </w:r>
      <w:r w:rsidRPr="00004811">
        <w:rPr>
          <w:i/>
          <w:iCs/>
          <w:lang w:eastAsia="en-US"/>
        </w:rPr>
        <w:t>Best and worst parcel firms for customer satisfaction revealed</w:t>
      </w:r>
      <w:r w:rsidRPr="00004811">
        <w:rPr>
          <w:lang w:eastAsia="en-US"/>
        </w:rPr>
        <w:t xml:space="preserve">. London: Ofcom. Available at: </w:t>
      </w:r>
      <w:hyperlink r:id="rId16" w:history="1">
        <w:r w:rsidRPr="00004811">
          <w:rPr>
            <w:rStyle w:val="Hyperlink"/>
            <w:lang w:eastAsia="en-US"/>
          </w:rPr>
          <w:t>https://www.ofcom.org.uk/post/deliveries-and-charges/best-and-worst-parcel-firms-for-customer-satisfaction-revealed-2025</w:t>
        </w:r>
      </w:hyperlink>
      <w:r w:rsidRPr="00004811">
        <w:rPr>
          <w:lang w:eastAsia="en-US"/>
        </w:rPr>
        <w:t xml:space="preserve"> (Accessed: 17 August 2026).</w:t>
      </w:r>
    </w:p>
    <w:p w14:paraId="4E751DC3" w14:textId="77777777" w:rsidR="00004811" w:rsidRPr="00004811" w:rsidRDefault="00004811" w:rsidP="00004811">
      <w:pPr>
        <w:rPr>
          <w:lang w:eastAsia="en-US"/>
        </w:rPr>
      </w:pPr>
      <w:r w:rsidRPr="00004811">
        <w:rPr>
          <w:lang w:eastAsia="en-US"/>
        </w:rPr>
        <w:t xml:space="preserve">Ries, E. (2011) </w:t>
      </w:r>
      <w:r w:rsidRPr="00004811">
        <w:rPr>
          <w:i/>
          <w:iCs/>
          <w:lang w:eastAsia="en-US"/>
        </w:rPr>
        <w:t>The Lean Startup: How Constant Innovation Creates Radically Successful Businesses</w:t>
      </w:r>
      <w:r w:rsidRPr="00004811">
        <w:rPr>
          <w:lang w:eastAsia="en-US"/>
        </w:rPr>
        <w:t>. London: Portfolio Penguin.</w:t>
      </w:r>
    </w:p>
    <w:p w14:paraId="7E03A02C" w14:textId="77777777" w:rsidR="00004811" w:rsidRPr="00004811" w:rsidRDefault="00004811" w:rsidP="00004811">
      <w:pPr>
        <w:rPr>
          <w:lang w:eastAsia="en-US"/>
        </w:rPr>
      </w:pPr>
      <w:r w:rsidRPr="00004811">
        <w:rPr>
          <w:lang w:eastAsia="en-US"/>
        </w:rPr>
        <w:t xml:space="preserve">Sagala, G.H. and Őri, D. (2024) ‘Toward SMEs digital transformation success: a systematic literature review’, </w:t>
      </w:r>
      <w:r w:rsidRPr="00004811">
        <w:rPr>
          <w:i/>
          <w:iCs/>
          <w:lang w:eastAsia="en-US"/>
        </w:rPr>
        <w:t>Information Systems and e-Business Management</w:t>
      </w:r>
      <w:r w:rsidRPr="00004811">
        <w:rPr>
          <w:lang w:eastAsia="en-US"/>
        </w:rPr>
        <w:t>, 22, pp. 667–719. doi: 10.1007/s10257-024-00682-2.</w:t>
      </w:r>
    </w:p>
    <w:p w14:paraId="6C24AC1F" w14:textId="41E988A0" w:rsidR="00004811" w:rsidRPr="00004811" w:rsidRDefault="00004811" w:rsidP="00004811">
      <w:pPr>
        <w:rPr>
          <w:lang w:eastAsia="en-US"/>
        </w:rPr>
      </w:pPr>
      <w:r w:rsidRPr="00004811">
        <w:rPr>
          <w:lang w:eastAsia="en-US"/>
        </w:rPr>
        <w:t xml:space="preserve">Stanford d.school (2018) </w:t>
      </w:r>
      <w:r w:rsidRPr="00004811">
        <w:rPr>
          <w:i/>
          <w:iCs/>
          <w:lang w:eastAsia="en-US"/>
        </w:rPr>
        <w:t>Design Thinking Bootleg</w:t>
      </w:r>
      <w:r w:rsidRPr="00004811">
        <w:rPr>
          <w:lang w:eastAsia="en-US"/>
        </w:rPr>
        <w:t>. Stanford, CA: Hasso Plattner Institute of Design at Stanford</w:t>
      </w:r>
      <w:r>
        <w:rPr>
          <w:lang w:eastAsia="en-US"/>
        </w:rPr>
        <w:t xml:space="preserve"> </w:t>
      </w:r>
      <w:r w:rsidRPr="00004811">
        <w:rPr>
          <w:lang w:eastAsia="en-US"/>
        </w:rPr>
        <w:t xml:space="preserve">University. Available at: </w:t>
      </w:r>
      <w:hyperlink r:id="rId17" w:history="1">
        <w:r w:rsidRPr="00004811">
          <w:rPr>
            <w:rStyle w:val="Hyperlink"/>
            <w:lang w:eastAsia="en-US"/>
          </w:rPr>
          <w:t>https://dschool.stanford.edu/resources/design-thinking-bootleg</w:t>
        </w:r>
      </w:hyperlink>
      <w:r w:rsidRPr="00004811">
        <w:rPr>
          <w:lang w:eastAsia="en-US"/>
        </w:rPr>
        <w:t xml:space="preserve"> (Accessed: 17 August 2026).</w:t>
      </w:r>
    </w:p>
    <w:p w14:paraId="2B87F71A" w14:textId="77777777" w:rsidR="0059515C" w:rsidRPr="0059515C" w:rsidRDefault="0059515C" w:rsidP="00004811">
      <w:pPr>
        <w:rPr>
          <w:lang w:eastAsia="en-US"/>
        </w:rPr>
      </w:pPr>
    </w:p>
    <w:p w14:paraId="183D3E99" w14:textId="77777777" w:rsidR="008E5FB0" w:rsidRPr="008E5FB0" w:rsidRDefault="008E5FB0" w:rsidP="00004811"/>
    <w:sectPr w:rsidR="008E5FB0" w:rsidRPr="008E5FB0">
      <w:footerReference w:type="default" r:id="rId18"/>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103AC" w14:textId="77777777" w:rsidR="00FB2F1A" w:rsidRPr="002129CF" w:rsidRDefault="00FB2F1A" w:rsidP="000D7630">
      <w:pPr>
        <w:spacing w:line="240" w:lineRule="auto"/>
      </w:pPr>
      <w:r w:rsidRPr="002129CF">
        <w:separator/>
      </w:r>
    </w:p>
  </w:endnote>
  <w:endnote w:type="continuationSeparator" w:id="0">
    <w:p w14:paraId="2413D1B5" w14:textId="77777777" w:rsidR="00FB2F1A" w:rsidRPr="002129CF" w:rsidRDefault="00FB2F1A" w:rsidP="000D7630">
      <w:pPr>
        <w:spacing w:line="240" w:lineRule="auto"/>
      </w:pPr>
      <w:r w:rsidRPr="002129C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2266416"/>
      <w:docPartObj>
        <w:docPartGallery w:val="Page Numbers (Bottom of Page)"/>
        <w:docPartUnique/>
      </w:docPartObj>
    </w:sdtPr>
    <w:sdtContent>
      <w:p w14:paraId="787E19F4" w14:textId="30F6ED60" w:rsidR="000D7630" w:rsidRPr="002129CF" w:rsidRDefault="000D7630">
        <w:pPr>
          <w:pStyle w:val="Footer"/>
          <w:jc w:val="right"/>
        </w:pPr>
        <w:r w:rsidRPr="002129CF">
          <w:fldChar w:fldCharType="begin"/>
        </w:r>
        <w:r w:rsidRPr="002129CF">
          <w:instrText>PAGE   \* MERGEFORMAT</w:instrText>
        </w:r>
        <w:r w:rsidRPr="002129CF">
          <w:fldChar w:fldCharType="separate"/>
        </w:r>
        <w:r w:rsidRPr="002129CF">
          <w:t>2</w:t>
        </w:r>
        <w:r w:rsidRPr="002129CF">
          <w:fldChar w:fldCharType="end"/>
        </w:r>
      </w:p>
    </w:sdtContent>
  </w:sdt>
  <w:p w14:paraId="3C2C02E2" w14:textId="34EC3EB6" w:rsidR="000D7630" w:rsidRPr="002129CF" w:rsidRDefault="000D7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2C7CE" w14:textId="77777777" w:rsidR="00FB2F1A" w:rsidRPr="002129CF" w:rsidRDefault="00FB2F1A" w:rsidP="000D7630">
      <w:pPr>
        <w:spacing w:line="240" w:lineRule="auto"/>
      </w:pPr>
      <w:r w:rsidRPr="002129CF">
        <w:separator/>
      </w:r>
    </w:p>
  </w:footnote>
  <w:footnote w:type="continuationSeparator" w:id="0">
    <w:p w14:paraId="5375DFCF" w14:textId="77777777" w:rsidR="00FB2F1A" w:rsidRPr="002129CF" w:rsidRDefault="00FB2F1A" w:rsidP="000D7630">
      <w:pPr>
        <w:spacing w:line="240" w:lineRule="auto"/>
      </w:pPr>
      <w:r w:rsidRPr="002129C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9E6"/>
    <w:rsid w:val="00004811"/>
    <w:rsid w:val="000D7056"/>
    <w:rsid w:val="000D7630"/>
    <w:rsid w:val="001301F1"/>
    <w:rsid w:val="00154746"/>
    <w:rsid w:val="002129CF"/>
    <w:rsid w:val="0021536A"/>
    <w:rsid w:val="00264397"/>
    <w:rsid w:val="002C1F1C"/>
    <w:rsid w:val="002E2D22"/>
    <w:rsid w:val="002E7A68"/>
    <w:rsid w:val="00354142"/>
    <w:rsid w:val="0039011C"/>
    <w:rsid w:val="00390D61"/>
    <w:rsid w:val="00391B71"/>
    <w:rsid w:val="00396C03"/>
    <w:rsid w:val="003C30F8"/>
    <w:rsid w:val="00431664"/>
    <w:rsid w:val="0046265B"/>
    <w:rsid w:val="00482BB8"/>
    <w:rsid w:val="00523F4C"/>
    <w:rsid w:val="00543409"/>
    <w:rsid w:val="0059515C"/>
    <w:rsid w:val="005A5459"/>
    <w:rsid w:val="00682D05"/>
    <w:rsid w:val="006D3C41"/>
    <w:rsid w:val="006F789D"/>
    <w:rsid w:val="00736F32"/>
    <w:rsid w:val="007A5554"/>
    <w:rsid w:val="007B2597"/>
    <w:rsid w:val="0081554B"/>
    <w:rsid w:val="0085511C"/>
    <w:rsid w:val="00894962"/>
    <w:rsid w:val="008E5FB0"/>
    <w:rsid w:val="009034B1"/>
    <w:rsid w:val="0090737D"/>
    <w:rsid w:val="009079E6"/>
    <w:rsid w:val="009617BA"/>
    <w:rsid w:val="009C41CE"/>
    <w:rsid w:val="00A1512E"/>
    <w:rsid w:val="00A55E9F"/>
    <w:rsid w:val="00A64416"/>
    <w:rsid w:val="00A9402C"/>
    <w:rsid w:val="00AF3F57"/>
    <w:rsid w:val="00B2795E"/>
    <w:rsid w:val="00BC6E98"/>
    <w:rsid w:val="00C53051"/>
    <w:rsid w:val="00C576AB"/>
    <w:rsid w:val="00C85406"/>
    <w:rsid w:val="00CE0DE2"/>
    <w:rsid w:val="00D03E5F"/>
    <w:rsid w:val="00D106AE"/>
    <w:rsid w:val="00D44A08"/>
    <w:rsid w:val="00D46AA6"/>
    <w:rsid w:val="00D5748C"/>
    <w:rsid w:val="00D62575"/>
    <w:rsid w:val="00D6565A"/>
    <w:rsid w:val="00DC6700"/>
    <w:rsid w:val="00E049E9"/>
    <w:rsid w:val="00E66FA5"/>
    <w:rsid w:val="00E823B9"/>
    <w:rsid w:val="00F101D9"/>
    <w:rsid w:val="00F83670"/>
    <w:rsid w:val="00FA7ED4"/>
    <w:rsid w:val="00FB2F1A"/>
    <w:rsid w:val="00FB5C0B"/>
    <w:rsid w:val="00FD37BE"/>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1DCA7"/>
  <w15:chartTrackingRefBased/>
  <w15:docId w15:val="{DAAF2B08-6988-48CC-ADA6-1F3270001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9E6"/>
    <w:pPr>
      <w:spacing w:after="0" w:line="360" w:lineRule="auto"/>
      <w:jc w:val="both"/>
    </w:pPr>
    <w:rPr>
      <w:rFonts w:ascii="Arial" w:eastAsia="Arial" w:hAnsi="Arial" w:cs="Arial"/>
      <w:kern w:val="0"/>
      <w:lang w:val="en-GB" w:eastAsia="pt-BR"/>
      <w14:ligatures w14:val="none"/>
    </w:rPr>
  </w:style>
  <w:style w:type="paragraph" w:styleId="Heading1">
    <w:name w:val="heading 1"/>
    <w:basedOn w:val="Normal"/>
    <w:next w:val="Normal"/>
    <w:link w:val="Heading1Char"/>
    <w:uiPriority w:val="9"/>
    <w:qFormat/>
    <w:rsid w:val="009079E6"/>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079E6"/>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079E6"/>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079E6"/>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079E6"/>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079E6"/>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079E6"/>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079E6"/>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079E6"/>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9E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9079E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079E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079E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079E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079E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079E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079E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079E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079E6"/>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079E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079E6"/>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079E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079E6"/>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079E6"/>
    <w:rPr>
      <w:i/>
      <w:iCs/>
      <w:color w:val="404040" w:themeColor="text1" w:themeTint="BF"/>
      <w:lang w:val="en-GB"/>
    </w:rPr>
  </w:style>
  <w:style w:type="paragraph" w:styleId="ListParagraph">
    <w:name w:val="List Paragraph"/>
    <w:basedOn w:val="Normal"/>
    <w:uiPriority w:val="34"/>
    <w:qFormat/>
    <w:rsid w:val="009079E6"/>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079E6"/>
    <w:rPr>
      <w:i/>
      <w:iCs/>
      <w:color w:val="0F4761" w:themeColor="accent1" w:themeShade="BF"/>
    </w:rPr>
  </w:style>
  <w:style w:type="paragraph" w:styleId="IntenseQuote">
    <w:name w:val="Intense Quote"/>
    <w:basedOn w:val="Normal"/>
    <w:next w:val="Normal"/>
    <w:link w:val="IntenseQuoteChar"/>
    <w:uiPriority w:val="30"/>
    <w:qFormat/>
    <w:rsid w:val="009079E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079E6"/>
    <w:rPr>
      <w:i/>
      <w:iCs/>
      <w:color w:val="0F4761" w:themeColor="accent1" w:themeShade="BF"/>
      <w:lang w:val="en-GB"/>
    </w:rPr>
  </w:style>
  <w:style w:type="character" w:styleId="IntenseReference">
    <w:name w:val="Intense Reference"/>
    <w:basedOn w:val="DefaultParagraphFont"/>
    <w:uiPriority w:val="32"/>
    <w:qFormat/>
    <w:rsid w:val="009079E6"/>
    <w:rPr>
      <w:b/>
      <w:bCs/>
      <w:smallCaps/>
      <w:color w:val="0F4761" w:themeColor="accent1" w:themeShade="BF"/>
      <w:spacing w:val="5"/>
    </w:rPr>
  </w:style>
  <w:style w:type="paragraph" w:styleId="Header">
    <w:name w:val="header"/>
    <w:basedOn w:val="Normal"/>
    <w:link w:val="HeaderChar"/>
    <w:uiPriority w:val="99"/>
    <w:unhideWhenUsed/>
    <w:rsid w:val="000D7630"/>
    <w:pPr>
      <w:tabs>
        <w:tab w:val="center" w:pos="4252"/>
        <w:tab w:val="right" w:pos="8504"/>
      </w:tabs>
      <w:spacing w:line="240" w:lineRule="auto"/>
    </w:pPr>
  </w:style>
  <w:style w:type="character" w:customStyle="1" w:styleId="HeaderChar">
    <w:name w:val="Header Char"/>
    <w:basedOn w:val="DefaultParagraphFont"/>
    <w:link w:val="Header"/>
    <w:uiPriority w:val="99"/>
    <w:rsid w:val="000D7630"/>
    <w:rPr>
      <w:rFonts w:ascii="Arial" w:eastAsia="Arial" w:hAnsi="Arial" w:cs="Arial"/>
      <w:kern w:val="0"/>
      <w:lang w:val="en-GB" w:eastAsia="pt-BR"/>
      <w14:ligatures w14:val="none"/>
    </w:rPr>
  </w:style>
  <w:style w:type="paragraph" w:styleId="Footer">
    <w:name w:val="footer"/>
    <w:basedOn w:val="Normal"/>
    <w:link w:val="FooterChar"/>
    <w:uiPriority w:val="99"/>
    <w:unhideWhenUsed/>
    <w:rsid w:val="000D7630"/>
    <w:pPr>
      <w:tabs>
        <w:tab w:val="center" w:pos="4252"/>
        <w:tab w:val="right" w:pos="8504"/>
      </w:tabs>
      <w:spacing w:line="240" w:lineRule="auto"/>
    </w:pPr>
  </w:style>
  <w:style w:type="character" w:customStyle="1" w:styleId="FooterChar">
    <w:name w:val="Footer Char"/>
    <w:basedOn w:val="DefaultParagraphFont"/>
    <w:link w:val="Footer"/>
    <w:uiPriority w:val="99"/>
    <w:rsid w:val="000D7630"/>
    <w:rPr>
      <w:rFonts w:ascii="Arial" w:eastAsia="Arial" w:hAnsi="Arial" w:cs="Arial"/>
      <w:kern w:val="0"/>
      <w:lang w:val="en-GB" w:eastAsia="pt-BR"/>
      <w14:ligatures w14:val="none"/>
    </w:rPr>
  </w:style>
  <w:style w:type="character" w:styleId="Hyperlink">
    <w:name w:val="Hyperlink"/>
    <w:basedOn w:val="DefaultParagraphFont"/>
    <w:uiPriority w:val="99"/>
    <w:unhideWhenUsed/>
    <w:rsid w:val="00004811"/>
    <w:rPr>
      <w:color w:val="467886" w:themeColor="hyperlink"/>
      <w:u w:val="single"/>
    </w:rPr>
  </w:style>
  <w:style w:type="character" w:styleId="UnresolvedMention">
    <w:name w:val="Unresolved Mention"/>
    <w:basedOn w:val="DefaultParagraphFont"/>
    <w:uiPriority w:val="99"/>
    <w:semiHidden/>
    <w:unhideWhenUsed/>
    <w:rsid w:val="00004811"/>
    <w:rPr>
      <w:color w:val="605E5C"/>
      <w:shd w:val="clear" w:color="auto" w:fill="E1DFDD"/>
    </w:rPr>
  </w:style>
  <w:style w:type="paragraph" w:styleId="TOCHeading">
    <w:name w:val="TOC Heading"/>
    <w:basedOn w:val="Heading1"/>
    <w:next w:val="Normal"/>
    <w:uiPriority w:val="39"/>
    <w:unhideWhenUsed/>
    <w:qFormat/>
    <w:rsid w:val="00396C03"/>
    <w:pPr>
      <w:spacing w:before="240" w:after="0" w:line="259" w:lineRule="auto"/>
      <w:outlineLvl w:val="9"/>
    </w:pPr>
    <w:rPr>
      <w:kern w:val="0"/>
      <w:sz w:val="32"/>
      <w:szCs w:val="32"/>
      <w:lang w:val="pt-BR" w:eastAsia="pt-BR"/>
      <w14:ligatures w14:val="none"/>
    </w:rPr>
  </w:style>
  <w:style w:type="paragraph" w:styleId="TOC1">
    <w:name w:val="toc 1"/>
    <w:basedOn w:val="Normal"/>
    <w:next w:val="Normal"/>
    <w:autoRedefine/>
    <w:uiPriority w:val="39"/>
    <w:unhideWhenUsed/>
    <w:rsid w:val="00396C03"/>
    <w:pPr>
      <w:spacing w:after="100"/>
    </w:pPr>
  </w:style>
  <w:style w:type="paragraph" w:styleId="TOC2">
    <w:name w:val="toc 2"/>
    <w:basedOn w:val="Normal"/>
    <w:next w:val="Normal"/>
    <w:autoRedefine/>
    <w:uiPriority w:val="39"/>
    <w:unhideWhenUsed/>
    <w:rsid w:val="00D46AA6"/>
    <w:pPr>
      <w:spacing w:after="100"/>
      <w:ind w:left="240"/>
    </w:pPr>
  </w:style>
  <w:style w:type="character" w:styleId="FollowedHyperlink">
    <w:name w:val="FollowedHyperlink"/>
    <w:basedOn w:val="DefaultParagraphFont"/>
    <w:uiPriority w:val="99"/>
    <w:semiHidden/>
    <w:unhideWhenUsed/>
    <w:rsid w:val="00FB5C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8/06/design-thinking" TargetMode="External"/><Relationship Id="rId13" Type="http://schemas.openxmlformats.org/officeDocument/2006/relationships/hyperlink" Target="https://www.gov.uk/government/publications/technology-adoption-review"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sme-digital-adoption-taskforce-2026-update" TargetMode="External"/><Relationship Id="rId17" Type="http://schemas.openxmlformats.org/officeDocument/2006/relationships/hyperlink" Target="https://dschool.stanford.edu/resources/design-thinking-bootleg" TargetMode="External"/><Relationship Id="rId2" Type="http://schemas.openxmlformats.org/officeDocument/2006/relationships/styles" Target="styles.xml"/><Relationship Id="rId16" Type="http://schemas.openxmlformats.org/officeDocument/2006/relationships/hyperlink" Target="https://www.ofcom.org.uk/post/deliveries-and-charges/best-and-worst-parcel-firms-for-customer-satisfaction-revealed-202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understanding-technology-adoption-among-uk-smes" TargetMode="External"/><Relationship Id="rId5" Type="http://schemas.openxmlformats.org/officeDocument/2006/relationships/footnotes" Target="footnotes.xml"/><Relationship Id="rId15" Type="http://schemas.openxmlformats.org/officeDocument/2006/relationships/hyperlink" Target="https://www.designcouncil.org.uk/resources/the-double-diamond/" TargetMode="External"/><Relationship Id="rId10" Type="http://schemas.openxmlformats.org/officeDocument/2006/relationships/hyperlink" Target="https://www.gov.uk/government/publications/sme-digital-adoption-taskforce-final-repor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statistics/small-business-survey-2024-businesses-with-employees/longitudinal-small-business-survey-2024-sme-employers-businesses-with-1-to-249-employees" TargetMode="External"/><Relationship Id="rId14" Type="http://schemas.openxmlformats.org/officeDocument/2006/relationships/hyperlink" Target="https://www.gov.uk/government/publications/barriers-and-enablers-to-advanced-technology-adoption-for-uk-busi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419F1-1FCD-474C-BCA8-ECC669C4D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16</Pages>
  <Words>5147</Words>
  <Characters>27794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Telcio Matheus Gomes (2331408)</dc:creator>
  <cp:keywords/>
  <dc:description/>
  <cp:lastModifiedBy>Telcio Matheus Gomes (2331408)</cp:lastModifiedBy>
  <cp:revision>42</cp:revision>
  <dcterms:created xsi:type="dcterms:W3CDTF">2026-07-31T08:49:00Z</dcterms:created>
  <dcterms:modified xsi:type="dcterms:W3CDTF">2026-08-17T22:40:00Z</dcterms:modified>
</cp:coreProperties>
</file>