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00000002"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00000003"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00000004"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00000005"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00000006"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00000007"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00000008" w14:textId="77777777" w:rsidR="000F068D" w:rsidRPr="00D80E76" w:rsidRDefault="000F068D" w:rsidP="00D80E76">
      <w:pPr>
        <w:spacing w:line="360" w:lineRule="auto"/>
        <w:jc w:val="center"/>
        <w:rPr>
          <w:rFonts w:ascii="Times New Roman" w:eastAsia="Times New Roman" w:hAnsi="Times New Roman" w:cs="Times New Roman"/>
          <w:b/>
          <w:sz w:val="32"/>
          <w:szCs w:val="32"/>
        </w:rPr>
      </w:pPr>
    </w:p>
    <w:p w14:paraId="1FA1D1EA" w14:textId="07878903" w:rsidR="00730C58" w:rsidRPr="00730C58" w:rsidRDefault="00730C58" w:rsidP="00730C58">
      <w:pPr>
        <w:spacing w:line="360" w:lineRule="auto"/>
        <w:rPr>
          <w:rFonts w:ascii="Times New Roman" w:hAnsi="Times New Roman" w:cs="Times New Roman"/>
          <w:sz w:val="40"/>
          <w:szCs w:val="40"/>
        </w:rPr>
      </w:pPr>
      <w:r>
        <w:rPr>
          <w:rFonts w:ascii="Times New Roman" w:eastAsia="Times New Roman" w:hAnsi="Times New Roman" w:cs="Times New Roman"/>
          <w:b/>
          <w:sz w:val="32"/>
          <w:szCs w:val="32"/>
        </w:rPr>
        <w:t xml:space="preserve">             </w:t>
      </w:r>
      <w:proofErr w:type="spellStart"/>
      <w:r w:rsidRPr="00730C58">
        <w:rPr>
          <w:rFonts w:ascii="Times New Roman" w:hAnsi="Times New Roman" w:cs="Times New Roman"/>
          <w:sz w:val="40"/>
          <w:szCs w:val="40"/>
        </w:rPr>
        <w:t>Programme</w:t>
      </w:r>
      <w:proofErr w:type="spellEnd"/>
      <w:r w:rsidRPr="00730C58">
        <w:rPr>
          <w:rFonts w:ascii="Times New Roman" w:hAnsi="Times New Roman" w:cs="Times New Roman"/>
          <w:sz w:val="40"/>
          <w:szCs w:val="40"/>
        </w:rPr>
        <w:t>: BA Business Management</w:t>
      </w:r>
    </w:p>
    <w:p w14:paraId="4E95D67C" w14:textId="77777777" w:rsidR="00730C58" w:rsidRPr="00730C58" w:rsidRDefault="00730C58" w:rsidP="00D80E76">
      <w:pPr>
        <w:spacing w:line="360" w:lineRule="auto"/>
        <w:jc w:val="center"/>
        <w:rPr>
          <w:rFonts w:ascii="Times New Roman" w:hAnsi="Times New Roman" w:cs="Times New Roman"/>
          <w:sz w:val="40"/>
          <w:szCs w:val="40"/>
        </w:rPr>
      </w:pPr>
      <w:r w:rsidRPr="00730C58">
        <w:rPr>
          <w:rFonts w:ascii="Times New Roman" w:hAnsi="Times New Roman" w:cs="Times New Roman"/>
          <w:sz w:val="40"/>
          <w:szCs w:val="40"/>
        </w:rPr>
        <w:t xml:space="preserve">Module: International Financial Management </w:t>
      </w:r>
    </w:p>
    <w:p w14:paraId="16B79ACF" w14:textId="6368D507" w:rsidR="00730C58" w:rsidRPr="00730C58" w:rsidRDefault="00730C58" w:rsidP="00730C58">
      <w:pPr>
        <w:spacing w:line="360" w:lineRule="auto"/>
        <w:rPr>
          <w:rFonts w:ascii="Times New Roman" w:hAnsi="Times New Roman" w:cs="Times New Roman"/>
          <w:sz w:val="40"/>
          <w:szCs w:val="40"/>
        </w:rPr>
      </w:pPr>
      <w:r>
        <w:rPr>
          <w:rFonts w:ascii="Times New Roman" w:hAnsi="Times New Roman" w:cs="Times New Roman"/>
          <w:sz w:val="40"/>
          <w:szCs w:val="40"/>
        </w:rPr>
        <w:t xml:space="preserve">          </w:t>
      </w:r>
      <w:r w:rsidRPr="00730C58">
        <w:rPr>
          <w:rFonts w:ascii="Times New Roman" w:hAnsi="Times New Roman" w:cs="Times New Roman"/>
          <w:sz w:val="40"/>
          <w:szCs w:val="40"/>
        </w:rPr>
        <w:t xml:space="preserve">Module code: LCBB6002 </w:t>
      </w:r>
    </w:p>
    <w:p w14:paraId="42587B07" w14:textId="6D32B9ED" w:rsidR="00730C58" w:rsidRPr="00730C58" w:rsidRDefault="00730C58" w:rsidP="00730C58">
      <w:pPr>
        <w:spacing w:line="360" w:lineRule="auto"/>
        <w:rPr>
          <w:rFonts w:ascii="Times New Roman" w:hAnsi="Times New Roman" w:cs="Times New Roman"/>
          <w:sz w:val="40"/>
          <w:szCs w:val="40"/>
        </w:rPr>
      </w:pPr>
      <w:r>
        <w:rPr>
          <w:rFonts w:ascii="Times New Roman" w:hAnsi="Times New Roman" w:cs="Times New Roman"/>
          <w:sz w:val="40"/>
          <w:szCs w:val="40"/>
        </w:rPr>
        <w:t xml:space="preserve">          </w:t>
      </w:r>
      <w:r w:rsidRPr="00730C58">
        <w:rPr>
          <w:rFonts w:ascii="Times New Roman" w:hAnsi="Times New Roman" w:cs="Times New Roman"/>
          <w:sz w:val="40"/>
          <w:szCs w:val="40"/>
        </w:rPr>
        <w:t xml:space="preserve">Lecturer: Isaiah </w:t>
      </w:r>
      <w:proofErr w:type="spellStart"/>
      <w:r w:rsidRPr="00730C58">
        <w:rPr>
          <w:rFonts w:ascii="Times New Roman" w:hAnsi="Times New Roman" w:cs="Times New Roman"/>
          <w:sz w:val="40"/>
          <w:szCs w:val="40"/>
        </w:rPr>
        <w:t>Oino</w:t>
      </w:r>
      <w:proofErr w:type="spellEnd"/>
      <w:r w:rsidRPr="00730C58">
        <w:rPr>
          <w:rFonts w:ascii="Times New Roman" w:hAnsi="Times New Roman" w:cs="Times New Roman"/>
          <w:sz w:val="40"/>
          <w:szCs w:val="40"/>
        </w:rPr>
        <w:t xml:space="preserve"> </w:t>
      </w:r>
    </w:p>
    <w:p w14:paraId="2729359E" w14:textId="183E5153" w:rsidR="00730C58" w:rsidRPr="00730C58" w:rsidRDefault="00730C58" w:rsidP="00730C58">
      <w:pPr>
        <w:spacing w:line="360" w:lineRule="auto"/>
        <w:rPr>
          <w:rFonts w:ascii="Times New Roman" w:hAnsi="Times New Roman" w:cs="Times New Roman"/>
          <w:sz w:val="40"/>
          <w:szCs w:val="40"/>
        </w:rPr>
      </w:pPr>
      <w:r>
        <w:rPr>
          <w:rFonts w:ascii="Times New Roman" w:hAnsi="Times New Roman" w:cs="Times New Roman"/>
          <w:sz w:val="40"/>
          <w:szCs w:val="40"/>
        </w:rPr>
        <w:t xml:space="preserve">          </w:t>
      </w:r>
      <w:r w:rsidRPr="00730C58">
        <w:rPr>
          <w:rFonts w:ascii="Times New Roman" w:hAnsi="Times New Roman" w:cs="Times New Roman"/>
          <w:sz w:val="40"/>
          <w:szCs w:val="40"/>
        </w:rPr>
        <w:t xml:space="preserve">Assignment Title: Assessment 1 </w:t>
      </w:r>
    </w:p>
    <w:p w14:paraId="1D3BE4B6" w14:textId="28FDF0B9" w:rsidR="00730C58" w:rsidRPr="00730C58" w:rsidRDefault="00730C58" w:rsidP="00730C58">
      <w:pPr>
        <w:spacing w:line="360" w:lineRule="auto"/>
        <w:rPr>
          <w:rFonts w:ascii="Times New Roman" w:hAnsi="Times New Roman" w:cs="Times New Roman"/>
          <w:sz w:val="40"/>
          <w:szCs w:val="40"/>
        </w:rPr>
      </w:pPr>
      <w:r>
        <w:rPr>
          <w:rFonts w:ascii="Times New Roman" w:hAnsi="Times New Roman" w:cs="Times New Roman"/>
          <w:sz w:val="40"/>
          <w:szCs w:val="40"/>
        </w:rPr>
        <w:t xml:space="preserve">          </w:t>
      </w:r>
      <w:r w:rsidRPr="00730C58">
        <w:rPr>
          <w:rFonts w:ascii="Times New Roman" w:hAnsi="Times New Roman" w:cs="Times New Roman"/>
          <w:sz w:val="40"/>
          <w:szCs w:val="40"/>
        </w:rPr>
        <w:t xml:space="preserve">Student Name: Marin </w:t>
      </w:r>
      <w:proofErr w:type="spellStart"/>
      <w:r w:rsidRPr="00730C58">
        <w:rPr>
          <w:rFonts w:ascii="Times New Roman" w:hAnsi="Times New Roman" w:cs="Times New Roman"/>
          <w:sz w:val="40"/>
          <w:szCs w:val="40"/>
        </w:rPr>
        <w:t>Casu</w:t>
      </w:r>
      <w:proofErr w:type="spellEnd"/>
    </w:p>
    <w:p w14:paraId="00000010" w14:textId="27DCD1FF" w:rsidR="000F068D" w:rsidRPr="00D80E76" w:rsidRDefault="00730C58" w:rsidP="00730C58">
      <w:pPr>
        <w:spacing w:line="360" w:lineRule="auto"/>
        <w:rPr>
          <w:rFonts w:ascii="Times New Roman" w:eastAsia="Times New Roman" w:hAnsi="Times New Roman" w:cs="Times New Roman"/>
          <w:b/>
          <w:sz w:val="32"/>
          <w:szCs w:val="32"/>
        </w:rPr>
      </w:pPr>
      <w:r>
        <w:rPr>
          <w:rFonts w:ascii="Times New Roman" w:hAnsi="Times New Roman" w:cs="Times New Roman"/>
          <w:sz w:val="40"/>
          <w:szCs w:val="40"/>
        </w:rPr>
        <w:t xml:space="preserve">          </w:t>
      </w:r>
      <w:r w:rsidRPr="00730C58">
        <w:rPr>
          <w:rFonts w:ascii="Times New Roman" w:hAnsi="Times New Roman" w:cs="Times New Roman"/>
          <w:sz w:val="40"/>
          <w:szCs w:val="40"/>
        </w:rPr>
        <w:t>Student ID: 1922137</w:t>
      </w:r>
      <w:r w:rsidR="00000000" w:rsidRPr="00D80E76">
        <w:rPr>
          <w:rFonts w:ascii="Times New Roman" w:hAnsi="Times New Roman" w:cs="Times New Roman"/>
        </w:rPr>
        <w:br w:type="page"/>
      </w:r>
    </w:p>
    <w:sdt>
      <w:sdtPr>
        <w:rPr>
          <w:rFonts w:ascii="Times New Roman" w:eastAsia="Arial" w:hAnsi="Times New Roman" w:cs="Times New Roman"/>
          <w:color w:val="auto"/>
          <w:sz w:val="22"/>
          <w:szCs w:val="22"/>
        </w:rPr>
        <w:id w:val="-1525171145"/>
        <w:docPartObj>
          <w:docPartGallery w:val="Table of Contents"/>
          <w:docPartUnique/>
        </w:docPartObj>
      </w:sdtPr>
      <w:sdtEndPr>
        <w:rPr>
          <w:rFonts w:eastAsiaTheme="minorEastAsia"/>
          <w:b/>
          <w:bCs/>
          <w:noProof/>
          <w:sz w:val="24"/>
          <w:szCs w:val="24"/>
        </w:rPr>
      </w:sdtEndPr>
      <w:sdtContent>
        <w:p w14:paraId="249B80EE" w14:textId="2163EA69" w:rsidR="00D80E76" w:rsidRPr="00D80E76" w:rsidRDefault="00000000" w:rsidP="00D80E76">
          <w:pPr>
            <w:pStyle w:val="TOCHeading"/>
            <w:spacing w:line="360" w:lineRule="auto"/>
            <w:jc w:val="center"/>
            <w:rPr>
              <w:rFonts w:ascii="Times New Roman" w:hAnsi="Times New Roman" w:cs="Times New Roman"/>
              <w:b/>
              <w:bCs/>
              <w:color w:val="000000" w:themeColor="text1"/>
            </w:rPr>
          </w:pPr>
          <w:r w:rsidRPr="00D80E76">
            <w:rPr>
              <w:rFonts w:ascii="Times New Roman" w:hAnsi="Times New Roman" w:cs="Times New Roman"/>
              <w:b/>
              <w:bCs/>
              <w:color w:val="000000" w:themeColor="text1"/>
            </w:rPr>
            <w:t>Contents List</w:t>
          </w:r>
        </w:p>
        <w:p w14:paraId="55023970" w14:textId="55506558"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r w:rsidRPr="00D80E76">
            <w:rPr>
              <w:rFonts w:ascii="Times New Roman" w:hAnsi="Times New Roman" w:cs="Times New Roman"/>
              <w:sz w:val="24"/>
              <w:szCs w:val="24"/>
            </w:rPr>
            <w:fldChar w:fldCharType="begin"/>
          </w:r>
          <w:r w:rsidRPr="00D80E76">
            <w:rPr>
              <w:rFonts w:ascii="Times New Roman" w:hAnsi="Times New Roman" w:cs="Times New Roman"/>
              <w:sz w:val="24"/>
              <w:szCs w:val="24"/>
            </w:rPr>
            <w:instrText xml:space="preserve"> TOC \o "1-3" \h \z \u </w:instrText>
          </w:r>
          <w:r w:rsidRPr="00D80E76">
            <w:rPr>
              <w:rFonts w:ascii="Times New Roman" w:hAnsi="Times New Roman" w:cs="Times New Roman"/>
              <w:sz w:val="24"/>
              <w:szCs w:val="24"/>
            </w:rPr>
            <w:fldChar w:fldCharType="separate"/>
          </w:r>
          <w:hyperlink w:anchor="_Toc110606496" w:history="1">
            <w:r w:rsidRPr="00D80E76">
              <w:rPr>
                <w:rStyle w:val="Hyperlink"/>
                <w:rFonts w:ascii="Times New Roman" w:hAnsi="Times New Roman" w:cs="Times New Roman"/>
                <w:noProof/>
                <w:sz w:val="24"/>
                <w:szCs w:val="24"/>
              </w:rPr>
              <w:t>Introduction</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_Toc110606496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3</w:t>
            </w:r>
            <w:r w:rsidRPr="00D80E76">
              <w:rPr>
                <w:rFonts w:ascii="Times New Roman" w:hAnsi="Times New Roman" w:cs="Times New Roman"/>
                <w:noProof/>
                <w:webHidden/>
                <w:sz w:val="24"/>
                <w:szCs w:val="24"/>
              </w:rPr>
              <w:fldChar w:fldCharType="end"/>
            </w:r>
          </w:hyperlink>
        </w:p>
        <w:p w14:paraId="51625115" w14:textId="3FA0F38B"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hyperlink w:anchor="_Toc110606497" w:history="1">
            <w:r w:rsidRPr="00D80E76">
              <w:rPr>
                <w:rStyle w:val="Hyperlink"/>
                <w:rFonts w:ascii="Times New Roman" w:hAnsi="Times New Roman" w:cs="Times New Roman"/>
                <w:noProof/>
                <w:sz w:val="24"/>
                <w:szCs w:val="24"/>
              </w:rPr>
              <w:t>Importance of IFM in MNCs</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_Toc110606497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3</w:t>
            </w:r>
            <w:r w:rsidRPr="00D80E76">
              <w:rPr>
                <w:rFonts w:ascii="Times New Roman" w:hAnsi="Times New Roman" w:cs="Times New Roman"/>
                <w:noProof/>
                <w:webHidden/>
                <w:sz w:val="24"/>
                <w:szCs w:val="24"/>
              </w:rPr>
              <w:fldChar w:fldCharType="end"/>
            </w:r>
          </w:hyperlink>
        </w:p>
        <w:p w14:paraId="43CD72D6" w14:textId="134952DD"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hyperlink w:anchor="_Toc110606498" w:history="1">
            <w:r w:rsidRPr="00D80E76">
              <w:rPr>
                <w:rStyle w:val="Hyperlink"/>
                <w:rFonts w:ascii="Times New Roman" w:hAnsi="Times New Roman" w:cs="Times New Roman"/>
                <w:noProof/>
                <w:sz w:val="24"/>
                <w:szCs w:val="24"/>
              </w:rPr>
              <w:t>Dividend distribution policy of Coca-Cola</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_Toc110606498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4</w:t>
            </w:r>
            <w:r w:rsidRPr="00D80E76">
              <w:rPr>
                <w:rFonts w:ascii="Times New Roman" w:hAnsi="Times New Roman" w:cs="Times New Roman"/>
                <w:noProof/>
                <w:webHidden/>
                <w:sz w:val="24"/>
                <w:szCs w:val="24"/>
              </w:rPr>
              <w:fldChar w:fldCharType="end"/>
            </w:r>
          </w:hyperlink>
        </w:p>
        <w:p w14:paraId="3BBB5E46" w14:textId="7F854CCE"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hyperlink w:anchor="_Toc110606499" w:history="1">
            <w:r w:rsidRPr="00D80E76">
              <w:rPr>
                <w:rStyle w:val="Hyperlink"/>
                <w:rFonts w:ascii="Times New Roman" w:hAnsi="Times New Roman" w:cs="Times New Roman"/>
                <w:noProof/>
                <w:sz w:val="24"/>
                <w:szCs w:val="24"/>
              </w:rPr>
              <w:t>Efficient Market Hypothesis of Coca-Cola Company</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_Toc110606499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4</w:t>
            </w:r>
            <w:r w:rsidRPr="00D80E76">
              <w:rPr>
                <w:rFonts w:ascii="Times New Roman" w:hAnsi="Times New Roman" w:cs="Times New Roman"/>
                <w:noProof/>
                <w:webHidden/>
                <w:sz w:val="24"/>
                <w:szCs w:val="24"/>
              </w:rPr>
              <w:fldChar w:fldCharType="end"/>
            </w:r>
          </w:hyperlink>
        </w:p>
        <w:p w14:paraId="1E1C77CD" w14:textId="2DF0A6B8" w:rsidR="00D80E76" w:rsidRPr="00D80E76" w:rsidRDefault="00000000" w:rsidP="00D80E76">
          <w:pPr>
            <w:pStyle w:val="TOC2"/>
            <w:tabs>
              <w:tab w:val="right" w:leader="dot" w:pos="9350"/>
            </w:tabs>
            <w:spacing w:line="360" w:lineRule="auto"/>
            <w:jc w:val="both"/>
            <w:rPr>
              <w:rFonts w:ascii="Times New Roman" w:hAnsi="Times New Roman" w:cs="Times New Roman"/>
              <w:noProof/>
              <w:sz w:val="24"/>
              <w:szCs w:val="24"/>
            </w:rPr>
          </w:pPr>
          <w:hyperlink w:anchor="_Toc110606500" w:history="1">
            <w:r w:rsidRPr="00D80E76">
              <w:rPr>
                <w:rStyle w:val="Hyperlink"/>
                <w:rFonts w:ascii="Times New Roman" w:hAnsi="Times New Roman" w:cs="Times New Roman"/>
                <w:noProof/>
                <w:sz w:val="24"/>
                <w:szCs w:val="24"/>
              </w:rPr>
              <w:t>Weak form EMH:</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_Toc110606500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5</w:t>
            </w:r>
            <w:r w:rsidRPr="00D80E76">
              <w:rPr>
                <w:rFonts w:ascii="Times New Roman" w:hAnsi="Times New Roman" w:cs="Times New Roman"/>
                <w:noProof/>
                <w:webHidden/>
                <w:sz w:val="24"/>
                <w:szCs w:val="24"/>
              </w:rPr>
              <w:fldChar w:fldCharType="end"/>
            </w:r>
          </w:hyperlink>
        </w:p>
        <w:p w14:paraId="452CBB2E" w14:textId="35C32711" w:rsidR="00D80E76" w:rsidRPr="00D80E76" w:rsidRDefault="00000000" w:rsidP="00D80E76">
          <w:pPr>
            <w:pStyle w:val="TOC2"/>
            <w:tabs>
              <w:tab w:val="right" w:leader="dot" w:pos="9350"/>
            </w:tabs>
            <w:spacing w:line="360" w:lineRule="auto"/>
            <w:jc w:val="both"/>
            <w:rPr>
              <w:rFonts w:ascii="Times New Roman" w:hAnsi="Times New Roman" w:cs="Times New Roman"/>
              <w:noProof/>
              <w:sz w:val="24"/>
              <w:szCs w:val="24"/>
            </w:rPr>
          </w:pPr>
          <w:hyperlink w:anchor="_Toc110606501" w:history="1">
            <w:r w:rsidRPr="00D80E76">
              <w:rPr>
                <w:rStyle w:val="Hyperlink"/>
                <w:rFonts w:ascii="Times New Roman" w:hAnsi="Times New Roman" w:cs="Times New Roman"/>
                <w:noProof/>
                <w:sz w:val="24"/>
                <w:szCs w:val="24"/>
              </w:rPr>
              <w:t>Semi-Strong Form EMH:</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_Toc110606501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6</w:t>
            </w:r>
            <w:r w:rsidRPr="00D80E76">
              <w:rPr>
                <w:rFonts w:ascii="Times New Roman" w:hAnsi="Times New Roman" w:cs="Times New Roman"/>
                <w:noProof/>
                <w:webHidden/>
                <w:sz w:val="24"/>
                <w:szCs w:val="24"/>
              </w:rPr>
              <w:fldChar w:fldCharType="end"/>
            </w:r>
          </w:hyperlink>
        </w:p>
        <w:p w14:paraId="6015A708" w14:textId="2DE2F5BA" w:rsidR="00D80E76" w:rsidRPr="00D80E76" w:rsidRDefault="00000000" w:rsidP="00D80E76">
          <w:pPr>
            <w:pStyle w:val="TOC2"/>
            <w:tabs>
              <w:tab w:val="right" w:leader="dot" w:pos="9350"/>
            </w:tabs>
            <w:spacing w:line="360" w:lineRule="auto"/>
            <w:jc w:val="both"/>
            <w:rPr>
              <w:rFonts w:ascii="Times New Roman" w:hAnsi="Times New Roman" w:cs="Times New Roman"/>
              <w:noProof/>
              <w:sz w:val="24"/>
              <w:szCs w:val="24"/>
            </w:rPr>
          </w:pPr>
          <w:hyperlink w:anchor="_Toc110606502" w:history="1">
            <w:r w:rsidRPr="00D80E76">
              <w:rPr>
                <w:rStyle w:val="Hyperlink"/>
                <w:rFonts w:ascii="Times New Roman" w:hAnsi="Times New Roman" w:cs="Times New Roman"/>
                <w:noProof/>
                <w:sz w:val="24"/>
                <w:szCs w:val="24"/>
              </w:rPr>
              <w:t>Strong Form EMH:</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_Toc110606502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6</w:t>
            </w:r>
            <w:r w:rsidRPr="00D80E76">
              <w:rPr>
                <w:rFonts w:ascii="Times New Roman" w:hAnsi="Times New Roman" w:cs="Times New Roman"/>
                <w:noProof/>
                <w:webHidden/>
                <w:sz w:val="24"/>
                <w:szCs w:val="24"/>
              </w:rPr>
              <w:fldChar w:fldCharType="end"/>
            </w:r>
          </w:hyperlink>
        </w:p>
        <w:p w14:paraId="39B5B726" w14:textId="42F721CC"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hyperlink w:anchor="_Toc110606503" w:history="1">
            <w:r w:rsidRPr="00D80E76">
              <w:rPr>
                <w:rStyle w:val="Hyperlink"/>
                <w:rFonts w:ascii="Times New Roman" w:hAnsi="Times New Roman" w:cs="Times New Roman"/>
                <w:noProof/>
                <w:sz w:val="24"/>
                <w:szCs w:val="24"/>
              </w:rPr>
              <w:t>Coca-Cola’s project appraisal methods</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_Toc110606503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6</w:t>
            </w:r>
            <w:r w:rsidRPr="00D80E76">
              <w:rPr>
                <w:rFonts w:ascii="Times New Roman" w:hAnsi="Times New Roman" w:cs="Times New Roman"/>
                <w:noProof/>
                <w:webHidden/>
                <w:sz w:val="24"/>
                <w:szCs w:val="24"/>
              </w:rPr>
              <w:fldChar w:fldCharType="end"/>
            </w:r>
          </w:hyperlink>
        </w:p>
        <w:p w14:paraId="0B3FED19" w14:textId="5235FE6A"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hyperlink w:anchor="_Toc110606504" w:history="1">
            <w:r w:rsidRPr="00D80E76">
              <w:rPr>
                <w:rStyle w:val="Hyperlink"/>
                <w:rFonts w:ascii="Times New Roman" w:hAnsi="Times New Roman" w:cs="Times New Roman"/>
                <w:noProof/>
                <w:sz w:val="24"/>
                <w:szCs w:val="24"/>
              </w:rPr>
              <w:t>Challenges faced by the MNCs at present</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_Toc110606504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8</w:t>
            </w:r>
            <w:r w:rsidRPr="00D80E76">
              <w:rPr>
                <w:rFonts w:ascii="Times New Roman" w:hAnsi="Times New Roman" w:cs="Times New Roman"/>
                <w:noProof/>
                <w:webHidden/>
                <w:sz w:val="24"/>
                <w:szCs w:val="24"/>
              </w:rPr>
              <w:fldChar w:fldCharType="end"/>
            </w:r>
          </w:hyperlink>
        </w:p>
        <w:p w14:paraId="2E7785B7" w14:textId="29D3AF85"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hyperlink w:anchor="_Toc110606505" w:history="1">
            <w:r w:rsidRPr="00D80E76">
              <w:rPr>
                <w:rStyle w:val="Hyperlink"/>
                <w:rFonts w:ascii="Times New Roman" w:hAnsi="Times New Roman" w:cs="Times New Roman"/>
                <w:noProof/>
                <w:sz w:val="24"/>
                <w:szCs w:val="24"/>
              </w:rPr>
              <w:t>Conclusion</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_Toc110606505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9</w:t>
            </w:r>
            <w:r w:rsidRPr="00D80E76">
              <w:rPr>
                <w:rFonts w:ascii="Times New Roman" w:hAnsi="Times New Roman" w:cs="Times New Roman"/>
                <w:noProof/>
                <w:webHidden/>
                <w:sz w:val="24"/>
                <w:szCs w:val="24"/>
              </w:rPr>
              <w:fldChar w:fldCharType="end"/>
            </w:r>
          </w:hyperlink>
        </w:p>
        <w:p w14:paraId="3A5188B6" w14:textId="5218A57D" w:rsidR="00D80E76" w:rsidRPr="00D80E76" w:rsidRDefault="00000000" w:rsidP="00D80E76">
          <w:pPr>
            <w:pStyle w:val="TOC1"/>
            <w:tabs>
              <w:tab w:val="right" w:leader="dot" w:pos="9350"/>
            </w:tabs>
            <w:spacing w:line="360" w:lineRule="auto"/>
            <w:jc w:val="both"/>
            <w:rPr>
              <w:rFonts w:ascii="Times New Roman" w:hAnsi="Times New Roman" w:cs="Times New Roman"/>
              <w:noProof/>
              <w:sz w:val="24"/>
              <w:szCs w:val="24"/>
            </w:rPr>
          </w:pPr>
          <w:hyperlink w:anchor="_Toc110606506" w:history="1">
            <w:r w:rsidRPr="00D80E76">
              <w:rPr>
                <w:rStyle w:val="Hyperlink"/>
                <w:rFonts w:ascii="Times New Roman" w:hAnsi="Times New Roman" w:cs="Times New Roman"/>
                <w:noProof/>
                <w:sz w:val="24"/>
                <w:szCs w:val="24"/>
              </w:rPr>
              <w:t>Reference list</w:t>
            </w:r>
            <w:r w:rsidRPr="00D80E76">
              <w:rPr>
                <w:rFonts w:ascii="Times New Roman" w:hAnsi="Times New Roman" w:cs="Times New Roman"/>
                <w:noProof/>
                <w:webHidden/>
                <w:sz w:val="24"/>
                <w:szCs w:val="24"/>
              </w:rPr>
              <w:tab/>
            </w:r>
            <w:r w:rsidRPr="00D80E76">
              <w:rPr>
                <w:rFonts w:ascii="Times New Roman" w:hAnsi="Times New Roman" w:cs="Times New Roman"/>
                <w:noProof/>
                <w:webHidden/>
                <w:sz w:val="24"/>
                <w:szCs w:val="24"/>
              </w:rPr>
              <w:fldChar w:fldCharType="begin"/>
            </w:r>
            <w:r w:rsidRPr="00D80E76">
              <w:rPr>
                <w:rFonts w:ascii="Times New Roman" w:hAnsi="Times New Roman" w:cs="Times New Roman"/>
                <w:noProof/>
                <w:webHidden/>
                <w:sz w:val="24"/>
                <w:szCs w:val="24"/>
              </w:rPr>
              <w:instrText xml:space="preserve"> PAGEREF _Toc110606506 \h </w:instrText>
            </w:r>
            <w:r w:rsidRPr="00D80E76">
              <w:rPr>
                <w:rFonts w:ascii="Times New Roman" w:hAnsi="Times New Roman" w:cs="Times New Roman"/>
                <w:noProof/>
                <w:webHidden/>
                <w:sz w:val="24"/>
                <w:szCs w:val="24"/>
              </w:rPr>
            </w:r>
            <w:r w:rsidRPr="00D80E76">
              <w:rPr>
                <w:rFonts w:ascii="Times New Roman" w:hAnsi="Times New Roman" w:cs="Times New Roman"/>
                <w:noProof/>
                <w:webHidden/>
                <w:sz w:val="24"/>
                <w:szCs w:val="24"/>
              </w:rPr>
              <w:fldChar w:fldCharType="separate"/>
            </w:r>
            <w:r w:rsidRPr="00D80E76">
              <w:rPr>
                <w:rFonts w:ascii="Times New Roman" w:hAnsi="Times New Roman" w:cs="Times New Roman"/>
                <w:noProof/>
                <w:webHidden/>
                <w:sz w:val="24"/>
                <w:szCs w:val="24"/>
              </w:rPr>
              <w:t>10</w:t>
            </w:r>
            <w:r w:rsidRPr="00D80E76">
              <w:rPr>
                <w:rFonts w:ascii="Times New Roman" w:hAnsi="Times New Roman" w:cs="Times New Roman"/>
                <w:noProof/>
                <w:webHidden/>
                <w:sz w:val="24"/>
                <w:szCs w:val="24"/>
              </w:rPr>
              <w:fldChar w:fldCharType="end"/>
            </w:r>
          </w:hyperlink>
        </w:p>
        <w:p w14:paraId="7CADF29D" w14:textId="16917C10" w:rsidR="00D80E76" w:rsidRPr="00D80E76" w:rsidRDefault="00000000" w:rsidP="00D80E76">
          <w:pPr>
            <w:spacing w:line="360" w:lineRule="auto"/>
            <w:jc w:val="both"/>
            <w:rPr>
              <w:rFonts w:ascii="Times New Roman" w:hAnsi="Times New Roman" w:cs="Times New Roman"/>
              <w:sz w:val="24"/>
              <w:szCs w:val="24"/>
            </w:rPr>
          </w:pPr>
          <w:r w:rsidRPr="00D80E76">
            <w:rPr>
              <w:rFonts w:ascii="Times New Roman" w:hAnsi="Times New Roman" w:cs="Times New Roman"/>
              <w:b/>
              <w:bCs/>
              <w:noProof/>
              <w:sz w:val="24"/>
              <w:szCs w:val="24"/>
            </w:rPr>
            <w:fldChar w:fldCharType="end"/>
          </w:r>
        </w:p>
      </w:sdtContent>
    </w:sdt>
    <w:p w14:paraId="00000011" w14:textId="1A3DB628" w:rsidR="000F068D" w:rsidRPr="00D80E76" w:rsidRDefault="00000000" w:rsidP="00D80E76">
      <w:pPr>
        <w:spacing w:line="360" w:lineRule="auto"/>
        <w:jc w:val="center"/>
        <w:rPr>
          <w:rFonts w:ascii="Times New Roman" w:eastAsia="Times New Roman" w:hAnsi="Times New Roman" w:cs="Times New Roman"/>
          <w:b/>
          <w:sz w:val="32"/>
          <w:szCs w:val="32"/>
        </w:rPr>
      </w:pPr>
      <w:r w:rsidRPr="00D80E76">
        <w:rPr>
          <w:rFonts w:ascii="Times New Roman" w:hAnsi="Times New Roman" w:cs="Times New Roman"/>
        </w:rPr>
        <w:br w:type="page"/>
      </w:r>
    </w:p>
    <w:p w14:paraId="00000012" w14:textId="77777777" w:rsidR="000F068D" w:rsidRPr="00D80E76" w:rsidRDefault="00000000" w:rsidP="00D80E76">
      <w:pPr>
        <w:pStyle w:val="Heading1"/>
        <w:spacing w:line="360" w:lineRule="auto"/>
        <w:rPr>
          <w:rFonts w:cs="Times New Roman"/>
        </w:rPr>
      </w:pPr>
      <w:bookmarkStart w:id="0" w:name="_Toc110606496"/>
      <w:r w:rsidRPr="00D80E76">
        <w:rPr>
          <w:rFonts w:cs="Times New Roman"/>
        </w:rPr>
        <w:lastRenderedPageBreak/>
        <w:t>Introduction</w:t>
      </w:r>
      <w:bookmarkEnd w:id="0"/>
      <w:r w:rsidRPr="00D80E76">
        <w:rPr>
          <w:rFonts w:cs="Times New Roman"/>
        </w:rPr>
        <w:t xml:space="preserve"> </w:t>
      </w:r>
    </w:p>
    <w:p w14:paraId="00000013" w14:textId="77777777" w:rsidR="000F068D" w:rsidRPr="00D80E76" w:rsidRDefault="00000000" w:rsidP="00D80E76">
      <w:p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The objective of this assessment is to go through the roles that IFM plays in a Multinational Corporation, the dividend distribution policy of </w:t>
      </w:r>
      <w:proofErr w:type="gramStart"/>
      <w:r w:rsidRPr="00D80E76">
        <w:rPr>
          <w:rFonts w:ascii="Times New Roman" w:eastAsia="Times New Roman" w:hAnsi="Times New Roman" w:cs="Times New Roman"/>
          <w:sz w:val="24"/>
          <w:szCs w:val="24"/>
        </w:rPr>
        <w:t>Coca-Cola</w:t>
      </w:r>
      <w:proofErr w:type="gramEnd"/>
      <w:r w:rsidRPr="00D80E76">
        <w:rPr>
          <w:rFonts w:ascii="Times New Roman" w:eastAsia="Times New Roman" w:hAnsi="Times New Roman" w:cs="Times New Roman"/>
          <w:sz w:val="24"/>
          <w:szCs w:val="24"/>
        </w:rPr>
        <w:t xml:space="preserve"> which is also an MNC, analyze the Efficient Market Hypothesis of the company, and suggest one of the methods of the company's project appraisal. Also, the recent issues faced by the MNCs and Coca-Cola</w:t>
      </w:r>
      <w:proofErr w:type="gramStart"/>
      <w:r w:rsidRPr="00D80E76">
        <w:rPr>
          <w:rFonts w:ascii="Times New Roman" w:eastAsia="Times New Roman" w:hAnsi="Times New Roman" w:cs="Times New Roman"/>
          <w:sz w:val="24"/>
          <w:szCs w:val="24"/>
        </w:rPr>
        <w:t>, in particular, will</w:t>
      </w:r>
      <w:proofErr w:type="gramEnd"/>
      <w:r w:rsidRPr="00D80E76">
        <w:rPr>
          <w:rFonts w:ascii="Times New Roman" w:eastAsia="Times New Roman" w:hAnsi="Times New Roman" w:cs="Times New Roman"/>
          <w:sz w:val="24"/>
          <w:szCs w:val="24"/>
        </w:rPr>
        <w:t xml:space="preserve"> be discussed too.</w:t>
      </w:r>
    </w:p>
    <w:p w14:paraId="669E2F50" w14:textId="77777777" w:rsidR="00103F95" w:rsidRDefault="00000000" w:rsidP="00D80E76">
      <w:p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International Finance is an evaluated topic of financial management that a company uses on a global basis to deal with several risky tasks and decisions. A company's financial decision-making is very important to achieve </w:t>
      </w:r>
      <w:r w:rsidR="00730C58" w:rsidRPr="00D80E76">
        <w:rPr>
          <w:rFonts w:ascii="Times New Roman" w:eastAsia="Times New Roman" w:hAnsi="Times New Roman" w:cs="Times New Roman"/>
          <w:sz w:val="24"/>
          <w:szCs w:val="24"/>
        </w:rPr>
        <w:t>success,</w:t>
      </w:r>
      <w:r w:rsidRPr="00D80E76">
        <w:rPr>
          <w:rFonts w:ascii="Times New Roman" w:eastAsia="Times New Roman" w:hAnsi="Times New Roman" w:cs="Times New Roman"/>
          <w:sz w:val="24"/>
          <w:szCs w:val="24"/>
        </w:rPr>
        <w:t xml:space="preserve"> so risk management is key </w:t>
      </w:r>
      <w:r w:rsidR="00631131" w:rsidRPr="00D80E76">
        <w:rPr>
          <w:rFonts w:ascii="Times New Roman" w:eastAsia="Times New Roman" w:hAnsi="Times New Roman" w:cs="Times New Roman"/>
          <w:sz w:val="24"/>
          <w:szCs w:val="24"/>
        </w:rPr>
        <w:t>and, in this case,</w:t>
      </w:r>
      <w:r w:rsidRPr="00D80E76">
        <w:rPr>
          <w:rFonts w:ascii="Times New Roman" w:eastAsia="Times New Roman" w:hAnsi="Times New Roman" w:cs="Times New Roman"/>
          <w:sz w:val="24"/>
          <w:szCs w:val="24"/>
        </w:rPr>
        <w:t xml:space="preserve"> IFM works well. </w:t>
      </w:r>
    </w:p>
    <w:p w14:paraId="00000014" w14:textId="30A6230F" w:rsidR="000F068D" w:rsidRPr="00D80E76" w:rsidRDefault="00103F95" w:rsidP="00D80E76">
      <w:pPr>
        <w:spacing w:line="360" w:lineRule="auto"/>
        <w:jc w:val="both"/>
        <w:rPr>
          <w:rFonts w:ascii="Times New Roman" w:eastAsia="Times New Roman" w:hAnsi="Times New Roman" w:cs="Times New Roman"/>
          <w:sz w:val="24"/>
          <w:szCs w:val="24"/>
        </w:rPr>
      </w:pPr>
      <w:r w:rsidRPr="00103F95">
        <w:rPr>
          <w:rFonts w:ascii="Times New Roman" w:eastAsia="Times New Roman" w:hAnsi="Times New Roman" w:cs="Times New Roman"/>
          <w:sz w:val="24"/>
          <w:szCs w:val="24"/>
        </w:rPr>
        <w:t>Coca-Cola, or Coke, is a carbonated soft drink manufactured by the Coca-Cola Company. Originally marketed as a temperance drink and intended as a patent medicine, it was invented in the late 19th century by John Stith Pemberton in Atlanta, Georgia.</w:t>
      </w:r>
      <w:r>
        <w:rPr>
          <w:rFonts w:ascii="Times New Roman" w:eastAsia="Times New Roman" w:hAnsi="Times New Roman" w:cs="Times New Roman"/>
          <w:sz w:val="24"/>
          <w:szCs w:val="24"/>
        </w:rPr>
        <w:t xml:space="preserve"> </w:t>
      </w:r>
      <w:r w:rsidR="00000000" w:rsidRPr="00D80E76">
        <w:rPr>
          <w:rFonts w:ascii="Times New Roman" w:eastAsia="Times New Roman" w:hAnsi="Times New Roman" w:cs="Times New Roman"/>
          <w:sz w:val="24"/>
          <w:szCs w:val="24"/>
        </w:rPr>
        <w:t xml:space="preserve">Coca-Cola is a multinational soft drinks manufacturer which has </w:t>
      </w:r>
      <w:r w:rsidR="00631131" w:rsidRPr="00D80E76">
        <w:rPr>
          <w:rFonts w:ascii="Times New Roman" w:eastAsia="Times New Roman" w:hAnsi="Times New Roman" w:cs="Times New Roman"/>
          <w:sz w:val="24"/>
          <w:szCs w:val="24"/>
        </w:rPr>
        <w:t>it</w:t>
      </w:r>
      <w:r w:rsidR="00000000" w:rsidRPr="00D80E76">
        <w:rPr>
          <w:rFonts w:ascii="Times New Roman" w:eastAsia="Times New Roman" w:hAnsi="Times New Roman" w:cs="Times New Roman"/>
          <w:sz w:val="24"/>
          <w:szCs w:val="24"/>
        </w:rPr>
        <w:t xml:space="preserve">s headquarters in Georgia, USA but the company is the most famous soft drink brand in the UK. The company is also said to have several factories in the UK where the bottles containing </w:t>
      </w:r>
      <w:r w:rsidR="00631131" w:rsidRPr="00D80E76">
        <w:rPr>
          <w:rFonts w:ascii="Times New Roman" w:eastAsia="Times New Roman" w:hAnsi="Times New Roman" w:cs="Times New Roman"/>
          <w:sz w:val="24"/>
          <w:szCs w:val="24"/>
        </w:rPr>
        <w:t>Coca-Cola’s</w:t>
      </w:r>
      <w:r w:rsidR="00000000" w:rsidRPr="00D80E76">
        <w:rPr>
          <w:rFonts w:ascii="Times New Roman" w:eastAsia="Times New Roman" w:hAnsi="Times New Roman" w:cs="Times New Roman"/>
          <w:sz w:val="24"/>
          <w:szCs w:val="24"/>
        </w:rPr>
        <w:t xml:space="preserve"> soft drinks are produced (</w:t>
      </w:r>
      <w:proofErr w:type="spellStart"/>
      <w:r w:rsidR="005F1375" w:rsidRPr="00D80E76">
        <w:rPr>
          <w:rFonts w:ascii="Times New Roman" w:hAnsi="Times New Roman" w:cs="Times New Roman"/>
          <w:color w:val="000000"/>
          <w:sz w:val="24"/>
          <w:szCs w:val="24"/>
        </w:rPr>
        <w:t>Ccep</w:t>
      </w:r>
      <w:proofErr w:type="spellEnd"/>
      <w:r w:rsidR="005F1375" w:rsidRPr="00D80E76">
        <w:rPr>
          <w:rFonts w:ascii="Times New Roman" w:hAnsi="Times New Roman" w:cs="Times New Roman"/>
          <w:color w:val="000000"/>
          <w:sz w:val="24"/>
          <w:szCs w:val="24"/>
        </w:rPr>
        <w:t>, 2022</w:t>
      </w:r>
      <w:r w:rsidR="00000000" w:rsidRPr="00D80E76">
        <w:rPr>
          <w:rFonts w:ascii="Times New Roman" w:eastAsia="Times New Roman" w:hAnsi="Times New Roman" w:cs="Times New Roman"/>
          <w:sz w:val="24"/>
          <w:szCs w:val="24"/>
        </w:rPr>
        <w:t xml:space="preserve">).   </w:t>
      </w:r>
    </w:p>
    <w:p w14:paraId="00000015" w14:textId="77777777" w:rsidR="000F068D" w:rsidRPr="00D80E76" w:rsidRDefault="00000000" w:rsidP="00D80E76">
      <w:pPr>
        <w:pStyle w:val="Heading1"/>
        <w:spacing w:line="360" w:lineRule="auto"/>
        <w:rPr>
          <w:rFonts w:cs="Times New Roman"/>
        </w:rPr>
      </w:pPr>
      <w:bookmarkStart w:id="1" w:name="_Toc110606497"/>
      <w:r w:rsidRPr="00D80E76">
        <w:rPr>
          <w:rFonts w:cs="Times New Roman"/>
        </w:rPr>
        <w:t>Importance of IFM in MNCs</w:t>
      </w:r>
      <w:bookmarkEnd w:id="1"/>
    </w:p>
    <w:p w14:paraId="00000016" w14:textId="341E4979" w:rsidR="000F068D" w:rsidRPr="00D80E76" w:rsidRDefault="00000000" w:rsidP="00D80E76">
      <w:p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IFM is very important for those MNCs that operate in domestic as well as foreign markets significantly and manage to generate a high share of the revenue from overseas. Some </w:t>
      </w:r>
      <w:r w:rsidR="008C2FC8" w:rsidRPr="00D80E76">
        <w:rPr>
          <w:rFonts w:ascii="Times New Roman" w:eastAsia="Times New Roman" w:hAnsi="Times New Roman" w:cs="Times New Roman"/>
          <w:sz w:val="24"/>
          <w:szCs w:val="24"/>
        </w:rPr>
        <w:t>importance</w:t>
      </w:r>
      <w:r w:rsidRPr="00D80E76">
        <w:rPr>
          <w:rFonts w:ascii="Times New Roman" w:eastAsia="Times New Roman" w:hAnsi="Times New Roman" w:cs="Times New Roman"/>
          <w:sz w:val="24"/>
          <w:szCs w:val="24"/>
        </w:rPr>
        <w:t xml:space="preserve"> of IFM include-</w:t>
      </w:r>
    </w:p>
    <w:p w14:paraId="00000017" w14:textId="5F701B70" w:rsidR="000F068D" w:rsidRPr="00D80E76" w:rsidRDefault="00000000" w:rsidP="00D80E76">
      <w:pPr>
        <w:numPr>
          <w:ilvl w:val="0"/>
          <w:numId w:val="1"/>
        </w:num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IFM allows the MNCs to understand the complexities of the international financial market and make investment and economic decisions accordingly</w:t>
      </w:r>
      <w:r w:rsidR="005F1375" w:rsidRPr="00D80E76">
        <w:rPr>
          <w:rFonts w:ascii="Times New Roman" w:eastAsia="Times New Roman" w:hAnsi="Times New Roman" w:cs="Times New Roman"/>
          <w:sz w:val="24"/>
          <w:szCs w:val="24"/>
        </w:rPr>
        <w:t xml:space="preserve"> (</w:t>
      </w:r>
      <w:r w:rsidR="005F1375" w:rsidRPr="00D80E76">
        <w:rPr>
          <w:rFonts w:ascii="Times New Roman" w:eastAsia="Times New Roman" w:hAnsi="Times New Roman" w:cs="Times New Roman"/>
          <w:color w:val="000000" w:themeColor="text1"/>
          <w:sz w:val="24"/>
          <w:szCs w:val="24"/>
          <w:highlight w:val="white"/>
        </w:rPr>
        <w:t xml:space="preserve">Bekaert and </w:t>
      </w:r>
      <w:proofErr w:type="spellStart"/>
      <w:r w:rsidR="005F1375" w:rsidRPr="00D80E76">
        <w:rPr>
          <w:rFonts w:ascii="Times New Roman" w:eastAsia="Times New Roman" w:hAnsi="Times New Roman" w:cs="Times New Roman"/>
          <w:color w:val="000000" w:themeColor="text1"/>
          <w:sz w:val="24"/>
          <w:szCs w:val="24"/>
          <w:highlight w:val="white"/>
        </w:rPr>
        <w:t>Hodrick</w:t>
      </w:r>
      <w:proofErr w:type="spellEnd"/>
      <w:r w:rsidR="005F1375" w:rsidRPr="00D80E76">
        <w:rPr>
          <w:rFonts w:ascii="Times New Roman" w:eastAsia="Times New Roman" w:hAnsi="Times New Roman" w:cs="Times New Roman"/>
          <w:color w:val="000000" w:themeColor="text1"/>
          <w:sz w:val="24"/>
          <w:szCs w:val="24"/>
          <w:highlight w:val="white"/>
        </w:rPr>
        <w:t>, 2017</w:t>
      </w:r>
      <w:r w:rsidR="005F1375" w:rsidRPr="00D80E76">
        <w:rPr>
          <w:rFonts w:ascii="Times New Roman" w:eastAsia="Times New Roman" w:hAnsi="Times New Roman" w:cs="Times New Roman"/>
          <w:color w:val="000000" w:themeColor="text1"/>
          <w:sz w:val="24"/>
          <w:szCs w:val="24"/>
        </w:rPr>
        <w:t>)</w:t>
      </w:r>
      <w:r w:rsidRPr="00D80E76">
        <w:rPr>
          <w:rFonts w:ascii="Times New Roman" w:eastAsia="Times New Roman" w:hAnsi="Times New Roman" w:cs="Times New Roman"/>
          <w:sz w:val="24"/>
          <w:szCs w:val="24"/>
        </w:rPr>
        <w:t xml:space="preserve">. </w:t>
      </w:r>
    </w:p>
    <w:p w14:paraId="00000018" w14:textId="2F2421A6" w:rsidR="000F068D" w:rsidRPr="00D80E76" w:rsidRDefault="00000000" w:rsidP="00D80E76">
      <w:pPr>
        <w:numPr>
          <w:ilvl w:val="0"/>
          <w:numId w:val="1"/>
        </w:num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IFM also </w:t>
      </w:r>
      <w:proofErr w:type="gramStart"/>
      <w:r w:rsidRPr="00D80E76">
        <w:rPr>
          <w:rFonts w:ascii="Times New Roman" w:eastAsia="Times New Roman" w:hAnsi="Times New Roman" w:cs="Times New Roman"/>
          <w:sz w:val="24"/>
          <w:szCs w:val="24"/>
        </w:rPr>
        <w:t>takes into account</w:t>
      </w:r>
      <w:proofErr w:type="gramEnd"/>
      <w:r w:rsidRPr="00D80E76">
        <w:rPr>
          <w:rFonts w:ascii="Times New Roman" w:eastAsia="Times New Roman" w:hAnsi="Times New Roman" w:cs="Times New Roman"/>
          <w:sz w:val="24"/>
          <w:szCs w:val="24"/>
        </w:rPr>
        <w:t xml:space="preserve"> the multi-currency problem and foreign direct investment problem. This helps the leaders and management group of the companies to act accordingly keeping an eye on these issues</w:t>
      </w:r>
      <w:r w:rsidR="005F1375" w:rsidRPr="00D80E76">
        <w:rPr>
          <w:rFonts w:ascii="Times New Roman" w:eastAsia="Times New Roman" w:hAnsi="Times New Roman" w:cs="Times New Roman"/>
          <w:sz w:val="24"/>
          <w:szCs w:val="24"/>
        </w:rPr>
        <w:t xml:space="preserve"> (</w:t>
      </w:r>
      <w:proofErr w:type="spellStart"/>
      <w:r w:rsidR="005F1375" w:rsidRPr="00D80E76">
        <w:rPr>
          <w:rFonts w:ascii="Times New Roman" w:hAnsi="Times New Roman" w:cs="Times New Roman"/>
          <w:color w:val="000000" w:themeColor="text1"/>
          <w:sz w:val="24"/>
          <w:szCs w:val="24"/>
          <w:shd w:val="clear" w:color="auto" w:fill="FFFFFF"/>
        </w:rPr>
        <w:t>Atrill</w:t>
      </w:r>
      <w:proofErr w:type="spellEnd"/>
      <w:r w:rsidR="005F1375" w:rsidRPr="00D80E76">
        <w:rPr>
          <w:rFonts w:ascii="Times New Roman" w:hAnsi="Times New Roman" w:cs="Times New Roman"/>
          <w:color w:val="000000" w:themeColor="text1"/>
          <w:sz w:val="24"/>
          <w:szCs w:val="24"/>
          <w:shd w:val="clear" w:color="auto" w:fill="FFFFFF"/>
        </w:rPr>
        <w:t>, 2017)</w:t>
      </w:r>
      <w:r w:rsidRPr="00D80E76">
        <w:rPr>
          <w:rFonts w:ascii="Times New Roman" w:eastAsia="Times New Roman" w:hAnsi="Times New Roman" w:cs="Times New Roman"/>
          <w:sz w:val="24"/>
          <w:szCs w:val="24"/>
        </w:rPr>
        <w:t xml:space="preserve">. </w:t>
      </w:r>
    </w:p>
    <w:p w14:paraId="00000019" w14:textId="29A55707" w:rsidR="000F068D" w:rsidRPr="00D80E76" w:rsidRDefault="00000000" w:rsidP="00D80E76">
      <w:pPr>
        <w:numPr>
          <w:ilvl w:val="0"/>
          <w:numId w:val="1"/>
        </w:num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There are several institutional, economic, and legal barriers to </w:t>
      </w:r>
      <w:r w:rsidR="008C2FC8" w:rsidRPr="00D80E76">
        <w:rPr>
          <w:rFonts w:ascii="Times New Roman" w:eastAsia="Times New Roman" w:hAnsi="Times New Roman" w:cs="Times New Roman"/>
          <w:sz w:val="24"/>
          <w:szCs w:val="24"/>
        </w:rPr>
        <w:t>an</w:t>
      </w:r>
      <w:r w:rsidRPr="00D80E76">
        <w:rPr>
          <w:rFonts w:ascii="Times New Roman" w:eastAsia="Times New Roman" w:hAnsi="Times New Roman" w:cs="Times New Roman"/>
          <w:sz w:val="24"/>
          <w:szCs w:val="24"/>
        </w:rPr>
        <w:t xml:space="preserve"> MNC. IFM in the MNCs provides proper ideas about how to tackle these issues. Changes in tax policies, the balance of payment crises, etc. are dealt with by the IFM of </w:t>
      </w:r>
      <w:r w:rsidR="008C2FC8" w:rsidRPr="00D80E76">
        <w:rPr>
          <w:rFonts w:ascii="Times New Roman" w:eastAsia="Times New Roman" w:hAnsi="Times New Roman" w:cs="Times New Roman"/>
          <w:sz w:val="24"/>
          <w:szCs w:val="24"/>
        </w:rPr>
        <w:t>an</w:t>
      </w:r>
      <w:r w:rsidRPr="00D80E76">
        <w:rPr>
          <w:rFonts w:ascii="Times New Roman" w:eastAsia="Times New Roman" w:hAnsi="Times New Roman" w:cs="Times New Roman"/>
          <w:sz w:val="24"/>
          <w:szCs w:val="24"/>
        </w:rPr>
        <w:t xml:space="preserve"> MNC. </w:t>
      </w:r>
    </w:p>
    <w:p w14:paraId="0000001A" w14:textId="77777777" w:rsidR="000F068D" w:rsidRPr="00D80E76" w:rsidRDefault="00000000" w:rsidP="00D80E76">
      <w:pPr>
        <w:numPr>
          <w:ilvl w:val="0"/>
          <w:numId w:val="1"/>
        </w:num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lastRenderedPageBreak/>
        <w:t>Internal problems like working capital management, sources of financing, etc. are also solved by the IFM of Multinational corporations. These effects will be seen more if the overseas activities of an MNC increase.</w:t>
      </w:r>
    </w:p>
    <w:p w14:paraId="0000001B" w14:textId="77777777" w:rsidR="000F068D" w:rsidRPr="00D80E76" w:rsidRDefault="00000000" w:rsidP="00D80E76">
      <w:p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International Financial Management has helped Coca-Cola a lot. The company has managed the margin of sales as well as expanding the current portfolio. The company has also been able to manage its costs even in these recent years as rising inflation has hit the UK households in this covid-hit period. Multiple levers have been used by Coca-Cola to mitigate rising financial and operating costs. Different types of derivative instruments are used by the company to mitigate foreign exchange risks. Forward contracts are used to save the value of the investment of foreign subsidiaries. Coca-Cola has implemented an economic hedging strategy to deal with the financial risks. In this way, certain hedging strategies are used to manage various risks involved in the overseas markets.      </w:t>
      </w:r>
    </w:p>
    <w:p w14:paraId="0000001C" w14:textId="77777777" w:rsidR="000F068D" w:rsidRPr="00D80E76" w:rsidRDefault="00000000" w:rsidP="00D80E76">
      <w:pPr>
        <w:pStyle w:val="Heading1"/>
        <w:spacing w:line="360" w:lineRule="auto"/>
        <w:rPr>
          <w:rFonts w:cs="Times New Roman"/>
        </w:rPr>
      </w:pPr>
      <w:bookmarkStart w:id="2" w:name="_Toc110606498"/>
      <w:r w:rsidRPr="00D80E76">
        <w:rPr>
          <w:rFonts w:cs="Times New Roman"/>
        </w:rPr>
        <w:t>Dividend distribution policy of Coca-Cola</w:t>
      </w:r>
      <w:bookmarkEnd w:id="2"/>
    </w:p>
    <w:p w14:paraId="0000001D" w14:textId="20051361" w:rsidR="000F068D" w:rsidRPr="00D80E76" w:rsidRDefault="00000000" w:rsidP="00D80E76">
      <w:p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Talking about the dividend distribution policy, Coca-Cola has managed to earn 10 billion US dollars or around 8.25 billion pounds in the 3rd quarter 2021having a 16% increase from the revenue of 2020. Net income has also increased by around 47% in 2020 to reach a value of around 2 billion GBP in 2021. The profit margin is said to be 25% having a 5% increase. The company has also planned to acquire </w:t>
      </w:r>
      <w:proofErr w:type="spellStart"/>
      <w:r w:rsidRPr="00D80E76">
        <w:rPr>
          <w:rFonts w:ascii="Times New Roman" w:eastAsia="Times New Roman" w:hAnsi="Times New Roman" w:cs="Times New Roman"/>
          <w:sz w:val="24"/>
          <w:szCs w:val="24"/>
        </w:rPr>
        <w:t>BodyArmour</w:t>
      </w:r>
      <w:proofErr w:type="spellEnd"/>
      <w:r w:rsidRPr="00D80E76">
        <w:rPr>
          <w:rFonts w:ascii="Times New Roman" w:eastAsia="Times New Roman" w:hAnsi="Times New Roman" w:cs="Times New Roman"/>
          <w:sz w:val="24"/>
          <w:szCs w:val="24"/>
        </w:rPr>
        <w:t xml:space="preserve"> which is a manufacturer of sports drinks. The company is also said to have paid 82% of its profits as dividends in the last 12 months. Around 77% of the cash flow was paid in the last year which is said to be </w:t>
      </w:r>
      <w:proofErr w:type="gramStart"/>
      <w:r w:rsidRPr="00D80E76">
        <w:rPr>
          <w:rFonts w:ascii="Times New Roman" w:eastAsia="Times New Roman" w:hAnsi="Times New Roman" w:cs="Times New Roman"/>
          <w:sz w:val="24"/>
          <w:szCs w:val="24"/>
        </w:rPr>
        <w:t>sustainable</w:t>
      </w:r>
      <w:proofErr w:type="gramEnd"/>
      <w:r w:rsidRPr="00D80E76">
        <w:rPr>
          <w:rFonts w:ascii="Times New Roman" w:eastAsia="Times New Roman" w:hAnsi="Times New Roman" w:cs="Times New Roman"/>
          <w:sz w:val="24"/>
          <w:szCs w:val="24"/>
        </w:rPr>
        <w:t xml:space="preserve"> but the company can come across a liquidity crisis to deal with unprecedented short-term challenges. The earnings per share have increased by 3.9% per year in a span of the last 5 years which is great. Also, the dividends of the company have been lifted by around 6% in the last10 years which is encouraging for investors and shareholders. The company is said to be trailing by 3% yields compared to last year. Annual reports of the company say that the payments of dividends have shown great consistency in the last few years alongside an increase in the earnings per share. It is said that the limited earning growth and high payout ratio resemble the struggle of the company. Coca-Cola is having a rising earning share growth and its dividend payout ratio is high as well which indicates the reason behind the high sustainable growth of the company (</w:t>
      </w:r>
      <w:r w:rsidR="00D80E76" w:rsidRPr="00D80E76">
        <w:rPr>
          <w:rFonts w:ascii="Times New Roman" w:hAnsi="Times New Roman" w:cs="Times New Roman"/>
          <w:color w:val="000000"/>
          <w:sz w:val="24"/>
          <w:szCs w:val="24"/>
        </w:rPr>
        <w:t>Finance, 2022</w:t>
      </w:r>
      <w:r w:rsidRPr="00D80E76">
        <w:rPr>
          <w:rFonts w:ascii="Times New Roman" w:eastAsia="Times New Roman" w:hAnsi="Times New Roman" w:cs="Times New Roman"/>
          <w:sz w:val="24"/>
          <w:szCs w:val="24"/>
        </w:rPr>
        <w:t xml:space="preserve">).         </w:t>
      </w:r>
    </w:p>
    <w:p w14:paraId="0000001E" w14:textId="508E1BDC" w:rsidR="000F068D" w:rsidRPr="00D80E76" w:rsidRDefault="00000000" w:rsidP="00D80E76">
      <w:pPr>
        <w:pStyle w:val="Heading1"/>
        <w:spacing w:line="360" w:lineRule="auto"/>
        <w:rPr>
          <w:rFonts w:cs="Times New Roman"/>
        </w:rPr>
      </w:pPr>
      <w:bookmarkStart w:id="3" w:name="_Toc110606499"/>
      <w:r w:rsidRPr="00D80E76">
        <w:rPr>
          <w:rFonts w:cs="Times New Roman"/>
        </w:rPr>
        <w:lastRenderedPageBreak/>
        <w:t xml:space="preserve">Efficient Market Hypothesis of </w:t>
      </w:r>
      <w:r w:rsidR="00EC23B4" w:rsidRPr="00D80E76">
        <w:rPr>
          <w:rFonts w:cs="Times New Roman"/>
        </w:rPr>
        <w:t>Coca-Cola</w:t>
      </w:r>
      <w:r w:rsidRPr="00D80E76">
        <w:rPr>
          <w:rFonts w:cs="Times New Roman"/>
        </w:rPr>
        <w:t xml:space="preserve"> Company</w:t>
      </w:r>
      <w:bookmarkEnd w:id="3"/>
    </w:p>
    <w:p w14:paraId="12C999AF" w14:textId="6BC286AF" w:rsidR="00EC23B4" w:rsidRPr="00D80E76" w:rsidRDefault="00000000" w:rsidP="00D80E76">
      <w:p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The efficient market Hypothesis is a topic of Financial Management that covers the factors affecting the market efficiency of a company. The prices, securities, etc. aspect-based information is considered in an Efficient Market Hypothesis</w:t>
      </w:r>
      <w:r w:rsidR="008C2FC8" w:rsidRPr="00D80E76">
        <w:rPr>
          <w:rFonts w:ascii="Times New Roman" w:eastAsia="Times New Roman" w:hAnsi="Times New Roman" w:cs="Times New Roman"/>
          <w:sz w:val="24"/>
          <w:szCs w:val="24"/>
        </w:rPr>
        <w:t xml:space="preserve"> (</w:t>
      </w:r>
      <w:r w:rsidR="008C2FC8" w:rsidRPr="00D80E76">
        <w:rPr>
          <w:rFonts w:ascii="Times New Roman" w:hAnsi="Times New Roman" w:cs="Times New Roman"/>
          <w:color w:val="000000" w:themeColor="text1"/>
          <w:sz w:val="24"/>
          <w:szCs w:val="24"/>
          <w:shd w:val="clear" w:color="auto" w:fill="FFFFFF"/>
        </w:rPr>
        <w:t>Arnold, 2013)</w:t>
      </w:r>
      <w:r w:rsidRPr="00D80E76">
        <w:rPr>
          <w:rFonts w:ascii="Times New Roman" w:eastAsia="Times New Roman" w:hAnsi="Times New Roman" w:cs="Times New Roman"/>
          <w:sz w:val="24"/>
          <w:szCs w:val="24"/>
        </w:rPr>
        <w:t xml:space="preserve">. The assumption made in the EMH is that financial securities are priced correctly. This also indicates that the stocks cannot be valued high or low. The subscribed investors of the Efficient Market Hypothesis like to invest in passive index funds implying the market's overall performance. EMH is said to have 3 stages- Weak form, Semi-strong form, and Strong From.  </w:t>
      </w:r>
    </w:p>
    <w:p w14:paraId="543F4552" w14:textId="77777777" w:rsidR="00EE1165" w:rsidRPr="00D80E76" w:rsidRDefault="00000000" w:rsidP="00D80E76">
      <w:pPr>
        <w:pStyle w:val="Heading2"/>
        <w:spacing w:line="360" w:lineRule="auto"/>
        <w:rPr>
          <w:rFonts w:cs="Times New Roman"/>
        </w:rPr>
      </w:pPr>
      <w:bookmarkStart w:id="4" w:name="_Toc110606500"/>
      <w:r w:rsidRPr="00D80E76">
        <w:rPr>
          <w:rFonts w:cs="Times New Roman"/>
        </w:rPr>
        <w:t>Weak form EMH:</w:t>
      </w:r>
      <w:bookmarkEnd w:id="4"/>
      <w:r w:rsidRPr="00D80E76">
        <w:rPr>
          <w:rFonts w:cs="Times New Roman"/>
        </w:rPr>
        <w:t xml:space="preserve"> </w:t>
      </w:r>
    </w:p>
    <w:p w14:paraId="64EF5A65" w14:textId="4CF453CA" w:rsidR="00B84344" w:rsidRPr="00D80E76" w:rsidRDefault="00000000" w:rsidP="00D80E76">
      <w:p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sz w:val="24"/>
          <w:szCs w:val="24"/>
        </w:rPr>
        <w:t xml:space="preserve">This form of EMH says that past prices or values will never give a perfect prediction about the market efficiency in the future. Here is the data of the share prices of Coca-Cola for last year from September 2021 to August 2022. </w:t>
      </w: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73"/>
        <w:gridCol w:w="1515"/>
        <w:gridCol w:w="1515"/>
        <w:gridCol w:w="1515"/>
        <w:gridCol w:w="2964"/>
      </w:tblGrid>
      <w:tr w:rsidR="00C93C24" w14:paraId="5C2BE049" w14:textId="77777777" w:rsidTr="00B84344">
        <w:trPr>
          <w:trHeight w:val="387"/>
          <w:tblHeader/>
          <w:jc w:val="center"/>
        </w:trPr>
        <w:tc>
          <w:tcPr>
            <w:tcW w:w="1972" w:type="dxa"/>
            <w:shd w:val="clear" w:color="auto" w:fill="FFFFFF"/>
            <w:tcMar>
              <w:top w:w="90" w:type="dxa"/>
              <w:left w:w="0" w:type="dxa"/>
              <w:bottom w:w="90" w:type="dxa"/>
              <w:right w:w="90" w:type="dxa"/>
            </w:tcMar>
            <w:vAlign w:val="center"/>
            <w:hideMark/>
          </w:tcPr>
          <w:p w14:paraId="280A868B"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Date</w:t>
            </w:r>
          </w:p>
        </w:tc>
        <w:tc>
          <w:tcPr>
            <w:tcW w:w="0" w:type="auto"/>
            <w:shd w:val="clear" w:color="auto" w:fill="FFFFFF"/>
            <w:tcMar>
              <w:top w:w="90" w:type="dxa"/>
              <w:left w:w="0" w:type="dxa"/>
              <w:bottom w:w="90" w:type="dxa"/>
              <w:right w:w="90" w:type="dxa"/>
            </w:tcMar>
            <w:vAlign w:val="center"/>
            <w:hideMark/>
          </w:tcPr>
          <w:p w14:paraId="36D85657"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Open</w:t>
            </w:r>
          </w:p>
        </w:tc>
        <w:tc>
          <w:tcPr>
            <w:tcW w:w="0" w:type="auto"/>
            <w:shd w:val="clear" w:color="auto" w:fill="FFFFFF"/>
            <w:tcMar>
              <w:top w:w="90" w:type="dxa"/>
              <w:left w:w="0" w:type="dxa"/>
              <w:bottom w:w="90" w:type="dxa"/>
              <w:right w:w="90" w:type="dxa"/>
            </w:tcMar>
            <w:vAlign w:val="center"/>
            <w:hideMark/>
          </w:tcPr>
          <w:p w14:paraId="24752B43"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High</w:t>
            </w:r>
          </w:p>
        </w:tc>
        <w:tc>
          <w:tcPr>
            <w:tcW w:w="0" w:type="auto"/>
            <w:shd w:val="clear" w:color="auto" w:fill="FFFFFF"/>
            <w:tcMar>
              <w:top w:w="90" w:type="dxa"/>
              <w:left w:w="0" w:type="dxa"/>
              <w:bottom w:w="90" w:type="dxa"/>
              <w:right w:w="90" w:type="dxa"/>
            </w:tcMar>
            <w:vAlign w:val="center"/>
            <w:hideMark/>
          </w:tcPr>
          <w:p w14:paraId="3E097325"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Low</w:t>
            </w:r>
          </w:p>
        </w:tc>
        <w:tc>
          <w:tcPr>
            <w:tcW w:w="0" w:type="auto"/>
            <w:shd w:val="clear" w:color="auto" w:fill="FFFFFF"/>
            <w:tcMar>
              <w:top w:w="90" w:type="dxa"/>
              <w:left w:w="0" w:type="dxa"/>
              <w:bottom w:w="90" w:type="dxa"/>
              <w:right w:w="90" w:type="dxa"/>
            </w:tcMar>
            <w:vAlign w:val="center"/>
            <w:hideMark/>
          </w:tcPr>
          <w:p w14:paraId="7FF7B01A"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Volume</w:t>
            </w:r>
          </w:p>
        </w:tc>
      </w:tr>
      <w:tr w:rsidR="00C93C24" w14:paraId="40CF2518"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134A8831"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Aug 2022</w:t>
            </w:r>
          </w:p>
        </w:tc>
        <w:tc>
          <w:tcPr>
            <w:tcW w:w="0" w:type="auto"/>
            <w:shd w:val="clear" w:color="auto" w:fill="FFFFFF"/>
            <w:tcMar>
              <w:top w:w="150" w:type="dxa"/>
              <w:left w:w="150" w:type="dxa"/>
              <w:bottom w:w="150" w:type="dxa"/>
              <w:right w:w="0" w:type="dxa"/>
            </w:tcMar>
            <w:vAlign w:val="center"/>
            <w:hideMark/>
          </w:tcPr>
          <w:p w14:paraId="2D576903"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64.09</w:t>
            </w:r>
          </w:p>
        </w:tc>
        <w:tc>
          <w:tcPr>
            <w:tcW w:w="0" w:type="auto"/>
            <w:shd w:val="clear" w:color="auto" w:fill="FFFFFF"/>
            <w:tcMar>
              <w:top w:w="150" w:type="dxa"/>
              <w:left w:w="150" w:type="dxa"/>
              <w:bottom w:w="150" w:type="dxa"/>
              <w:right w:w="0" w:type="dxa"/>
            </w:tcMar>
            <w:vAlign w:val="center"/>
            <w:hideMark/>
          </w:tcPr>
          <w:p w14:paraId="0D646E30"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65.04</w:t>
            </w:r>
          </w:p>
        </w:tc>
        <w:tc>
          <w:tcPr>
            <w:tcW w:w="0" w:type="auto"/>
            <w:shd w:val="clear" w:color="auto" w:fill="FFFFFF"/>
            <w:tcMar>
              <w:top w:w="150" w:type="dxa"/>
              <w:left w:w="150" w:type="dxa"/>
              <w:bottom w:w="150" w:type="dxa"/>
              <w:right w:w="0" w:type="dxa"/>
            </w:tcMar>
            <w:vAlign w:val="center"/>
            <w:hideMark/>
          </w:tcPr>
          <w:p w14:paraId="60E3CF99"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62.92</w:t>
            </w:r>
          </w:p>
        </w:tc>
        <w:tc>
          <w:tcPr>
            <w:tcW w:w="0" w:type="auto"/>
            <w:shd w:val="clear" w:color="auto" w:fill="FFFFFF"/>
            <w:tcMar>
              <w:top w:w="150" w:type="dxa"/>
              <w:left w:w="150" w:type="dxa"/>
              <w:bottom w:w="150" w:type="dxa"/>
              <w:right w:w="0" w:type="dxa"/>
            </w:tcMar>
            <w:vAlign w:val="center"/>
            <w:hideMark/>
          </w:tcPr>
          <w:p w14:paraId="3282038E"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51,182,100</w:t>
            </w:r>
          </w:p>
        </w:tc>
      </w:tr>
      <w:tr w:rsidR="00C93C24" w14:paraId="4B3EA149"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65CEE0A2"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Jul 2022</w:t>
            </w:r>
          </w:p>
        </w:tc>
        <w:tc>
          <w:tcPr>
            <w:tcW w:w="0" w:type="auto"/>
            <w:shd w:val="clear" w:color="auto" w:fill="FFFFFF"/>
            <w:tcMar>
              <w:top w:w="150" w:type="dxa"/>
              <w:left w:w="150" w:type="dxa"/>
              <w:bottom w:w="150" w:type="dxa"/>
              <w:right w:w="0" w:type="dxa"/>
            </w:tcMar>
            <w:vAlign w:val="center"/>
            <w:hideMark/>
          </w:tcPr>
          <w:p w14:paraId="4C8C9BAA"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63.12</w:t>
            </w:r>
          </w:p>
        </w:tc>
        <w:tc>
          <w:tcPr>
            <w:tcW w:w="0" w:type="auto"/>
            <w:shd w:val="clear" w:color="auto" w:fill="FFFFFF"/>
            <w:tcMar>
              <w:top w:w="150" w:type="dxa"/>
              <w:left w:w="150" w:type="dxa"/>
              <w:bottom w:w="150" w:type="dxa"/>
              <w:right w:w="0" w:type="dxa"/>
            </w:tcMar>
            <w:vAlign w:val="center"/>
            <w:hideMark/>
          </w:tcPr>
          <w:p w14:paraId="493CA96A"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64.45</w:t>
            </w:r>
          </w:p>
        </w:tc>
        <w:tc>
          <w:tcPr>
            <w:tcW w:w="0" w:type="auto"/>
            <w:shd w:val="clear" w:color="auto" w:fill="FFFFFF"/>
            <w:tcMar>
              <w:top w:w="150" w:type="dxa"/>
              <w:left w:w="150" w:type="dxa"/>
              <w:bottom w:w="150" w:type="dxa"/>
              <w:right w:w="0" w:type="dxa"/>
            </w:tcMar>
            <w:vAlign w:val="center"/>
            <w:hideMark/>
          </w:tcPr>
          <w:p w14:paraId="373C2D7C"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60.79</w:t>
            </w:r>
          </w:p>
        </w:tc>
        <w:tc>
          <w:tcPr>
            <w:tcW w:w="0" w:type="auto"/>
            <w:shd w:val="clear" w:color="auto" w:fill="FFFFFF"/>
            <w:tcMar>
              <w:top w:w="150" w:type="dxa"/>
              <w:left w:w="150" w:type="dxa"/>
              <w:bottom w:w="150" w:type="dxa"/>
              <w:right w:w="0" w:type="dxa"/>
            </w:tcMar>
            <w:vAlign w:val="center"/>
            <w:hideMark/>
          </w:tcPr>
          <w:p w14:paraId="230D2B30"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275,801,500</w:t>
            </w:r>
          </w:p>
        </w:tc>
      </w:tr>
      <w:tr w:rsidR="00C93C24" w14:paraId="430A34ED"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3DFAEF62"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Jun 2022</w:t>
            </w:r>
          </w:p>
        </w:tc>
        <w:tc>
          <w:tcPr>
            <w:tcW w:w="0" w:type="auto"/>
            <w:shd w:val="clear" w:color="auto" w:fill="FFFFFF"/>
            <w:tcMar>
              <w:top w:w="150" w:type="dxa"/>
              <w:left w:w="150" w:type="dxa"/>
              <w:bottom w:w="150" w:type="dxa"/>
              <w:right w:w="0" w:type="dxa"/>
            </w:tcMar>
            <w:vAlign w:val="center"/>
            <w:hideMark/>
          </w:tcPr>
          <w:p w14:paraId="5EBE5FF6"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63.42</w:t>
            </w:r>
          </w:p>
        </w:tc>
        <w:tc>
          <w:tcPr>
            <w:tcW w:w="0" w:type="auto"/>
            <w:shd w:val="clear" w:color="auto" w:fill="FFFFFF"/>
            <w:tcMar>
              <w:top w:w="150" w:type="dxa"/>
              <w:left w:w="150" w:type="dxa"/>
              <w:bottom w:w="150" w:type="dxa"/>
              <w:right w:w="0" w:type="dxa"/>
            </w:tcMar>
            <w:vAlign w:val="center"/>
            <w:hideMark/>
          </w:tcPr>
          <w:p w14:paraId="487446A5"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63.77</w:t>
            </w:r>
          </w:p>
        </w:tc>
        <w:tc>
          <w:tcPr>
            <w:tcW w:w="0" w:type="auto"/>
            <w:shd w:val="clear" w:color="auto" w:fill="FFFFFF"/>
            <w:tcMar>
              <w:top w:w="150" w:type="dxa"/>
              <w:left w:w="150" w:type="dxa"/>
              <w:bottom w:w="150" w:type="dxa"/>
              <w:right w:w="0" w:type="dxa"/>
            </w:tcMar>
            <w:vAlign w:val="center"/>
            <w:hideMark/>
          </w:tcPr>
          <w:p w14:paraId="2FC6FF75"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58.25</w:t>
            </w:r>
          </w:p>
        </w:tc>
        <w:tc>
          <w:tcPr>
            <w:tcW w:w="0" w:type="auto"/>
            <w:shd w:val="clear" w:color="auto" w:fill="FFFFFF"/>
            <w:tcMar>
              <w:top w:w="150" w:type="dxa"/>
              <w:left w:w="150" w:type="dxa"/>
              <w:bottom w:w="150" w:type="dxa"/>
              <w:right w:w="0" w:type="dxa"/>
            </w:tcMar>
            <w:vAlign w:val="center"/>
            <w:hideMark/>
          </w:tcPr>
          <w:p w14:paraId="300ECE39"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353,151,200</w:t>
            </w:r>
          </w:p>
        </w:tc>
      </w:tr>
      <w:tr w:rsidR="00C93C24" w14:paraId="7BBF49AA"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799D483A"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May 2022</w:t>
            </w:r>
          </w:p>
        </w:tc>
        <w:tc>
          <w:tcPr>
            <w:tcW w:w="0" w:type="auto"/>
            <w:shd w:val="clear" w:color="auto" w:fill="FFFFFF"/>
            <w:tcMar>
              <w:top w:w="150" w:type="dxa"/>
              <w:left w:w="150" w:type="dxa"/>
              <w:bottom w:w="150" w:type="dxa"/>
              <w:right w:w="0" w:type="dxa"/>
            </w:tcMar>
            <w:vAlign w:val="center"/>
            <w:hideMark/>
          </w:tcPr>
          <w:p w14:paraId="21E8DB00"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65.28</w:t>
            </w:r>
          </w:p>
        </w:tc>
        <w:tc>
          <w:tcPr>
            <w:tcW w:w="0" w:type="auto"/>
            <w:shd w:val="clear" w:color="auto" w:fill="FFFFFF"/>
            <w:tcMar>
              <w:top w:w="150" w:type="dxa"/>
              <w:left w:w="150" w:type="dxa"/>
              <w:bottom w:w="150" w:type="dxa"/>
              <w:right w:w="0" w:type="dxa"/>
            </w:tcMar>
            <w:vAlign w:val="center"/>
            <w:hideMark/>
          </w:tcPr>
          <w:p w14:paraId="7D264146"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66.38</w:t>
            </w:r>
          </w:p>
        </w:tc>
        <w:tc>
          <w:tcPr>
            <w:tcW w:w="0" w:type="auto"/>
            <w:shd w:val="clear" w:color="auto" w:fill="FFFFFF"/>
            <w:tcMar>
              <w:top w:w="150" w:type="dxa"/>
              <w:left w:w="150" w:type="dxa"/>
              <w:bottom w:w="150" w:type="dxa"/>
              <w:right w:w="0" w:type="dxa"/>
            </w:tcMar>
            <w:vAlign w:val="center"/>
            <w:hideMark/>
          </w:tcPr>
          <w:p w14:paraId="3FA31610"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59.66</w:t>
            </w:r>
          </w:p>
        </w:tc>
        <w:tc>
          <w:tcPr>
            <w:tcW w:w="0" w:type="auto"/>
            <w:shd w:val="clear" w:color="auto" w:fill="FFFFFF"/>
            <w:tcMar>
              <w:top w:w="150" w:type="dxa"/>
              <w:left w:w="150" w:type="dxa"/>
              <w:bottom w:w="150" w:type="dxa"/>
              <w:right w:w="0" w:type="dxa"/>
            </w:tcMar>
            <w:vAlign w:val="center"/>
            <w:hideMark/>
          </w:tcPr>
          <w:p w14:paraId="200F0854"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459,881,800</w:t>
            </w:r>
          </w:p>
        </w:tc>
      </w:tr>
      <w:tr w:rsidR="00C93C24" w14:paraId="0800F093" w14:textId="77777777" w:rsidTr="00B84344">
        <w:trPr>
          <w:trHeight w:val="398"/>
          <w:jc w:val="center"/>
        </w:trPr>
        <w:tc>
          <w:tcPr>
            <w:tcW w:w="0" w:type="auto"/>
            <w:shd w:val="clear" w:color="auto" w:fill="FFFFFF"/>
            <w:tcMar>
              <w:top w:w="150" w:type="dxa"/>
              <w:left w:w="0" w:type="dxa"/>
              <w:bottom w:w="150" w:type="dxa"/>
              <w:right w:w="150" w:type="dxa"/>
            </w:tcMar>
            <w:vAlign w:val="center"/>
            <w:hideMark/>
          </w:tcPr>
          <w:p w14:paraId="747A0613"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Apr 2022</w:t>
            </w:r>
          </w:p>
        </w:tc>
        <w:tc>
          <w:tcPr>
            <w:tcW w:w="0" w:type="auto"/>
            <w:shd w:val="clear" w:color="auto" w:fill="FFFFFF"/>
            <w:tcMar>
              <w:top w:w="150" w:type="dxa"/>
              <w:left w:w="150" w:type="dxa"/>
              <w:bottom w:w="150" w:type="dxa"/>
              <w:right w:w="0" w:type="dxa"/>
            </w:tcMar>
            <w:vAlign w:val="center"/>
            <w:hideMark/>
          </w:tcPr>
          <w:p w14:paraId="084808E8"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62.33</w:t>
            </w:r>
          </w:p>
        </w:tc>
        <w:tc>
          <w:tcPr>
            <w:tcW w:w="0" w:type="auto"/>
            <w:shd w:val="clear" w:color="auto" w:fill="FFFFFF"/>
            <w:tcMar>
              <w:top w:w="150" w:type="dxa"/>
              <w:left w:w="150" w:type="dxa"/>
              <w:bottom w:w="150" w:type="dxa"/>
              <w:right w:w="0" w:type="dxa"/>
            </w:tcMar>
            <w:vAlign w:val="center"/>
            <w:hideMark/>
          </w:tcPr>
          <w:p w14:paraId="4E8A6573"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67.20</w:t>
            </w:r>
          </w:p>
        </w:tc>
        <w:tc>
          <w:tcPr>
            <w:tcW w:w="0" w:type="auto"/>
            <w:shd w:val="clear" w:color="auto" w:fill="FFFFFF"/>
            <w:tcMar>
              <w:top w:w="150" w:type="dxa"/>
              <w:left w:w="150" w:type="dxa"/>
              <w:bottom w:w="150" w:type="dxa"/>
              <w:right w:w="0" w:type="dxa"/>
            </w:tcMar>
            <w:vAlign w:val="center"/>
            <w:hideMark/>
          </w:tcPr>
          <w:p w14:paraId="2E62DD52"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61.72</w:t>
            </w:r>
          </w:p>
        </w:tc>
        <w:tc>
          <w:tcPr>
            <w:tcW w:w="0" w:type="auto"/>
            <w:shd w:val="clear" w:color="auto" w:fill="FFFFFF"/>
            <w:tcMar>
              <w:top w:w="150" w:type="dxa"/>
              <w:left w:w="150" w:type="dxa"/>
              <w:bottom w:w="150" w:type="dxa"/>
              <w:right w:w="0" w:type="dxa"/>
            </w:tcMar>
            <w:vAlign w:val="center"/>
            <w:hideMark/>
          </w:tcPr>
          <w:p w14:paraId="6CD37A1F"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319,591,200</w:t>
            </w:r>
          </w:p>
        </w:tc>
      </w:tr>
      <w:tr w:rsidR="00C93C24" w14:paraId="62F6D3D3"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008E221C"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Mar 2022</w:t>
            </w:r>
          </w:p>
        </w:tc>
        <w:tc>
          <w:tcPr>
            <w:tcW w:w="0" w:type="auto"/>
            <w:shd w:val="clear" w:color="auto" w:fill="FFFFFF"/>
            <w:tcMar>
              <w:top w:w="150" w:type="dxa"/>
              <w:left w:w="150" w:type="dxa"/>
              <w:bottom w:w="150" w:type="dxa"/>
              <w:right w:w="0" w:type="dxa"/>
            </w:tcMar>
            <w:vAlign w:val="center"/>
            <w:hideMark/>
          </w:tcPr>
          <w:p w14:paraId="67BF3E26"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62.14</w:t>
            </w:r>
          </w:p>
        </w:tc>
        <w:tc>
          <w:tcPr>
            <w:tcW w:w="0" w:type="auto"/>
            <w:shd w:val="clear" w:color="auto" w:fill="FFFFFF"/>
            <w:tcMar>
              <w:top w:w="150" w:type="dxa"/>
              <w:left w:w="150" w:type="dxa"/>
              <w:bottom w:w="150" w:type="dxa"/>
              <w:right w:w="0" w:type="dxa"/>
            </w:tcMar>
            <w:vAlign w:val="center"/>
            <w:hideMark/>
          </w:tcPr>
          <w:p w14:paraId="2EC01791"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63.02</w:t>
            </w:r>
          </w:p>
        </w:tc>
        <w:tc>
          <w:tcPr>
            <w:tcW w:w="0" w:type="auto"/>
            <w:shd w:val="clear" w:color="auto" w:fill="FFFFFF"/>
            <w:tcMar>
              <w:top w:w="150" w:type="dxa"/>
              <w:left w:w="150" w:type="dxa"/>
              <w:bottom w:w="150" w:type="dxa"/>
              <w:right w:w="0" w:type="dxa"/>
            </w:tcMar>
            <w:vAlign w:val="center"/>
            <w:hideMark/>
          </w:tcPr>
          <w:p w14:paraId="1A54D9DD"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57.50</w:t>
            </w:r>
          </w:p>
        </w:tc>
        <w:tc>
          <w:tcPr>
            <w:tcW w:w="0" w:type="auto"/>
            <w:shd w:val="clear" w:color="auto" w:fill="FFFFFF"/>
            <w:tcMar>
              <w:top w:w="150" w:type="dxa"/>
              <w:left w:w="150" w:type="dxa"/>
              <w:bottom w:w="150" w:type="dxa"/>
              <w:right w:w="0" w:type="dxa"/>
            </w:tcMar>
            <w:vAlign w:val="center"/>
            <w:hideMark/>
          </w:tcPr>
          <w:p w14:paraId="159A7E95"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426,922,600</w:t>
            </w:r>
          </w:p>
        </w:tc>
      </w:tr>
      <w:tr w:rsidR="00C93C24" w14:paraId="7CE50C9C" w14:textId="77777777" w:rsidTr="00B84344">
        <w:trPr>
          <w:trHeight w:val="398"/>
          <w:jc w:val="center"/>
        </w:trPr>
        <w:tc>
          <w:tcPr>
            <w:tcW w:w="0" w:type="auto"/>
            <w:shd w:val="clear" w:color="auto" w:fill="FFFFFF"/>
            <w:tcMar>
              <w:top w:w="150" w:type="dxa"/>
              <w:left w:w="0" w:type="dxa"/>
              <w:bottom w:w="150" w:type="dxa"/>
              <w:right w:w="150" w:type="dxa"/>
            </w:tcMar>
            <w:vAlign w:val="center"/>
            <w:hideMark/>
          </w:tcPr>
          <w:p w14:paraId="322925C0"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Feb 2022</w:t>
            </w:r>
          </w:p>
        </w:tc>
        <w:tc>
          <w:tcPr>
            <w:tcW w:w="0" w:type="auto"/>
            <w:shd w:val="clear" w:color="auto" w:fill="FFFFFF"/>
            <w:tcMar>
              <w:top w:w="150" w:type="dxa"/>
              <w:left w:w="150" w:type="dxa"/>
              <w:bottom w:w="150" w:type="dxa"/>
              <w:right w:w="0" w:type="dxa"/>
            </w:tcMar>
            <w:vAlign w:val="center"/>
            <w:hideMark/>
          </w:tcPr>
          <w:p w14:paraId="6F99FBAE"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60.91</w:t>
            </w:r>
          </w:p>
        </w:tc>
        <w:tc>
          <w:tcPr>
            <w:tcW w:w="0" w:type="auto"/>
            <w:shd w:val="clear" w:color="auto" w:fill="FFFFFF"/>
            <w:tcMar>
              <w:top w:w="150" w:type="dxa"/>
              <w:left w:w="150" w:type="dxa"/>
              <w:bottom w:w="150" w:type="dxa"/>
              <w:right w:w="0" w:type="dxa"/>
            </w:tcMar>
            <w:vAlign w:val="center"/>
            <w:hideMark/>
          </w:tcPr>
          <w:p w14:paraId="0159469D"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62.90</w:t>
            </w:r>
          </w:p>
        </w:tc>
        <w:tc>
          <w:tcPr>
            <w:tcW w:w="0" w:type="auto"/>
            <w:shd w:val="clear" w:color="auto" w:fill="FFFFFF"/>
            <w:tcMar>
              <w:top w:w="150" w:type="dxa"/>
              <w:left w:w="150" w:type="dxa"/>
              <w:bottom w:w="150" w:type="dxa"/>
              <w:right w:w="0" w:type="dxa"/>
            </w:tcMar>
            <w:vAlign w:val="center"/>
            <w:hideMark/>
          </w:tcPr>
          <w:p w14:paraId="58F6A703"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59.22</w:t>
            </w:r>
          </w:p>
        </w:tc>
        <w:tc>
          <w:tcPr>
            <w:tcW w:w="0" w:type="auto"/>
            <w:shd w:val="clear" w:color="auto" w:fill="FFFFFF"/>
            <w:tcMar>
              <w:top w:w="150" w:type="dxa"/>
              <w:left w:w="150" w:type="dxa"/>
              <w:bottom w:w="150" w:type="dxa"/>
              <w:right w:w="0" w:type="dxa"/>
            </w:tcMar>
            <w:vAlign w:val="center"/>
            <w:hideMark/>
          </w:tcPr>
          <w:p w14:paraId="0E5F6652"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396,000,700</w:t>
            </w:r>
          </w:p>
        </w:tc>
      </w:tr>
      <w:tr w:rsidR="00C93C24" w14:paraId="6B17CD07"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7A21BF0B"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lastRenderedPageBreak/>
              <w:t>01 Jan 2022</w:t>
            </w:r>
          </w:p>
        </w:tc>
        <w:tc>
          <w:tcPr>
            <w:tcW w:w="0" w:type="auto"/>
            <w:shd w:val="clear" w:color="auto" w:fill="FFFFFF"/>
            <w:tcMar>
              <w:top w:w="150" w:type="dxa"/>
              <w:left w:w="150" w:type="dxa"/>
              <w:bottom w:w="150" w:type="dxa"/>
              <w:right w:w="0" w:type="dxa"/>
            </w:tcMar>
            <w:vAlign w:val="center"/>
            <w:hideMark/>
          </w:tcPr>
          <w:p w14:paraId="7BAB0B4B"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58.82</w:t>
            </w:r>
          </w:p>
        </w:tc>
        <w:tc>
          <w:tcPr>
            <w:tcW w:w="0" w:type="auto"/>
            <w:shd w:val="clear" w:color="auto" w:fill="FFFFFF"/>
            <w:tcMar>
              <w:top w:w="150" w:type="dxa"/>
              <w:left w:w="150" w:type="dxa"/>
              <w:bottom w:w="150" w:type="dxa"/>
              <w:right w:w="0" w:type="dxa"/>
            </w:tcMar>
            <w:vAlign w:val="center"/>
            <w:hideMark/>
          </w:tcPr>
          <w:p w14:paraId="6BDD37A7"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61.45</w:t>
            </w:r>
          </w:p>
        </w:tc>
        <w:tc>
          <w:tcPr>
            <w:tcW w:w="0" w:type="auto"/>
            <w:shd w:val="clear" w:color="auto" w:fill="FFFFFF"/>
            <w:tcMar>
              <w:top w:w="150" w:type="dxa"/>
              <w:left w:w="150" w:type="dxa"/>
              <w:bottom w:w="150" w:type="dxa"/>
              <w:right w:w="0" w:type="dxa"/>
            </w:tcMar>
            <w:vAlign w:val="center"/>
            <w:hideMark/>
          </w:tcPr>
          <w:p w14:paraId="20ACE1CE"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58.38</w:t>
            </w:r>
          </w:p>
        </w:tc>
        <w:tc>
          <w:tcPr>
            <w:tcW w:w="0" w:type="auto"/>
            <w:shd w:val="clear" w:color="auto" w:fill="FFFFFF"/>
            <w:tcMar>
              <w:top w:w="150" w:type="dxa"/>
              <w:left w:w="150" w:type="dxa"/>
              <w:bottom w:w="150" w:type="dxa"/>
              <w:right w:w="0" w:type="dxa"/>
            </w:tcMar>
            <w:vAlign w:val="center"/>
            <w:hideMark/>
          </w:tcPr>
          <w:p w14:paraId="0C81D011"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407,891,700</w:t>
            </w:r>
          </w:p>
        </w:tc>
      </w:tr>
      <w:tr w:rsidR="00C93C24" w14:paraId="6FA999AE"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0B216FDF"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Dec 2021</w:t>
            </w:r>
          </w:p>
        </w:tc>
        <w:tc>
          <w:tcPr>
            <w:tcW w:w="0" w:type="auto"/>
            <w:shd w:val="clear" w:color="auto" w:fill="FFFFFF"/>
            <w:tcMar>
              <w:top w:w="150" w:type="dxa"/>
              <w:left w:w="150" w:type="dxa"/>
              <w:bottom w:w="150" w:type="dxa"/>
              <w:right w:w="0" w:type="dxa"/>
            </w:tcMar>
            <w:vAlign w:val="center"/>
            <w:hideMark/>
          </w:tcPr>
          <w:p w14:paraId="1CCD67E6"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52.98</w:t>
            </w:r>
          </w:p>
        </w:tc>
        <w:tc>
          <w:tcPr>
            <w:tcW w:w="0" w:type="auto"/>
            <w:shd w:val="clear" w:color="auto" w:fill="FFFFFF"/>
            <w:tcMar>
              <w:top w:w="150" w:type="dxa"/>
              <w:left w:w="150" w:type="dxa"/>
              <w:bottom w:w="150" w:type="dxa"/>
              <w:right w:w="0" w:type="dxa"/>
            </w:tcMar>
            <w:vAlign w:val="center"/>
            <w:hideMark/>
          </w:tcPr>
          <w:p w14:paraId="0F17AAA4"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59.35</w:t>
            </w:r>
          </w:p>
        </w:tc>
        <w:tc>
          <w:tcPr>
            <w:tcW w:w="0" w:type="auto"/>
            <w:shd w:val="clear" w:color="auto" w:fill="FFFFFF"/>
            <w:tcMar>
              <w:top w:w="150" w:type="dxa"/>
              <w:left w:w="150" w:type="dxa"/>
              <w:bottom w:w="150" w:type="dxa"/>
              <w:right w:w="0" w:type="dxa"/>
            </w:tcMar>
            <w:vAlign w:val="center"/>
            <w:hideMark/>
          </w:tcPr>
          <w:p w14:paraId="19F9FF04"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52.28</w:t>
            </w:r>
          </w:p>
        </w:tc>
        <w:tc>
          <w:tcPr>
            <w:tcW w:w="0" w:type="auto"/>
            <w:shd w:val="clear" w:color="auto" w:fill="FFFFFF"/>
            <w:tcMar>
              <w:top w:w="150" w:type="dxa"/>
              <w:left w:w="150" w:type="dxa"/>
              <w:bottom w:w="150" w:type="dxa"/>
              <w:right w:w="0" w:type="dxa"/>
            </w:tcMar>
            <w:vAlign w:val="center"/>
            <w:hideMark/>
          </w:tcPr>
          <w:p w14:paraId="13BA5DB5"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426,786,000</w:t>
            </w:r>
          </w:p>
        </w:tc>
      </w:tr>
      <w:tr w:rsidR="00C93C24" w14:paraId="5BB515DA" w14:textId="77777777" w:rsidTr="00B84344">
        <w:trPr>
          <w:trHeight w:val="398"/>
          <w:jc w:val="center"/>
        </w:trPr>
        <w:tc>
          <w:tcPr>
            <w:tcW w:w="0" w:type="auto"/>
            <w:shd w:val="clear" w:color="auto" w:fill="FFFFFF"/>
            <w:tcMar>
              <w:top w:w="150" w:type="dxa"/>
              <w:left w:w="0" w:type="dxa"/>
              <w:bottom w:w="150" w:type="dxa"/>
              <w:right w:w="150" w:type="dxa"/>
            </w:tcMar>
            <w:vAlign w:val="center"/>
            <w:hideMark/>
          </w:tcPr>
          <w:p w14:paraId="532BFD52"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Nov 2021</w:t>
            </w:r>
          </w:p>
        </w:tc>
        <w:tc>
          <w:tcPr>
            <w:tcW w:w="0" w:type="auto"/>
            <w:shd w:val="clear" w:color="auto" w:fill="FFFFFF"/>
            <w:tcMar>
              <w:top w:w="150" w:type="dxa"/>
              <w:left w:w="150" w:type="dxa"/>
              <w:bottom w:w="150" w:type="dxa"/>
              <w:right w:w="0" w:type="dxa"/>
            </w:tcMar>
            <w:vAlign w:val="center"/>
            <w:hideMark/>
          </w:tcPr>
          <w:p w14:paraId="59A208CE"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56.39</w:t>
            </w:r>
          </w:p>
        </w:tc>
        <w:tc>
          <w:tcPr>
            <w:tcW w:w="0" w:type="auto"/>
            <w:shd w:val="clear" w:color="auto" w:fill="FFFFFF"/>
            <w:tcMar>
              <w:top w:w="150" w:type="dxa"/>
              <w:left w:w="150" w:type="dxa"/>
              <w:bottom w:w="150" w:type="dxa"/>
              <w:right w:w="0" w:type="dxa"/>
            </w:tcMar>
            <w:vAlign w:val="center"/>
            <w:hideMark/>
          </w:tcPr>
          <w:p w14:paraId="3838B4C2"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57.16</w:t>
            </w:r>
          </w:p>
        </w:tc>
        <w:tc>
          <w:tcPr>
            <w:tcW w:w="0" w:type="auto"/>
            <w:shd w:val="clear" w:color="auto" w:fill="FFFFFF"/>
            <w:tcMar>
              <w:top w:w="150" w:type="dxa"/>
              <w:left w:w="150" w:type="dxa"/>
              <w:bottom w:w="150" w:type="dxa"/>
              <w:right w:w="0" w:type="dxa"/>
            </w:tcMar>
            <w:vAlign w:val="center"/>
            <w:hideMark/>
          </w:tcPr>
          <w:p w14:paraId="727B3BDB"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52.44</w:t>
            </w:r>
          </w:p>
        </w:tc>
        <w:tc>
          <w:tcPr>
            <w:tcW w:w="0" w:type="auto"/>
            <w:shd w:val="clear" w:color="auto" w:fill="FFFFFF"/>
            <w:tcMar>
              <w:top w:w="150" w:type="dxa"/>
              <w:left w:w="150" w:type="dxa"/>
              <w:bottom w:w="150" w:type="dxa"/>
              <w:right w:w="0" w:type="dxa"/>
            </w:tcMar>
            <w:vAlign w:val="center"/>
            <w:hideMark/>
          </w:tcPr>
          <w:p w14:paraId="63B96DC5"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286,683,400</w:t>
            </w:r>
          </w:p>
        </w:tc>
      </w:tr>
      <w:tr w:rsidR="00C93C24" w14:paraId="157DEE45" w14:textId="77777777" w:rsidTr="00B84344">
        <w:trPr>
          <w:trHeight w:val="387"/>
          <w:jc w:val="center"/>
        </w:trPr>
        <w:tc>
          <w:tcPr>
            <w:tcW w:w="0" w:type="auto"/>
            <w:shd w:val="clear" w:color="auto" w:fill="FFFFFF"/>
            <w:tcMar>
              <w:top w:w="150" w:type="dxa"/>
              <w:left w:w="0" w:type="dxa"/>
              <w:bottom w:w="150" w:type="dxa"/>
              <w:right w:w="150" w:type="dxa"/>
            </w:tcMar>
            <w:vAlign w:val="center"/>
            <w:hideMark/>
          </w:tcPr>
          <w:p w14:paraId="4D142CA1"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Oct 2021</w:t>
            </w:r>
          </w:p>
        </w:tc>
        <w:tc>
          <w:tcPr>
            <w:tcW w:w="0" w:type="auto"/>
            <w:shd w:val="clear" w:color="auto" w:fill="FFFFFF"/>
            <w:tcMar>
              <w:top w:w="150" w:type="dxa"/>
              <w:left w:w="150" w:type="dxa"/>
              <w:bottom w:w="150" w:type="dxa"/>
              <w:right w:w="0" w:type="dxa"/>
            </w:tcMar>
            <w:vAlign w:val="center"/>
            <w:hideMark/>
          </w:tcPr>
          <w:p w14:paraId="1A00ED90"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52.78</w:t>
            </w:r>
          </w:p>
        </w:tc>
        <w:tc>
          <w:tcPr>
            <w:tcW w:w="0" w:type="auto"/>
            <w:shd w:val="clear" w:color="auto" w:fill="FFFFFF"/>
            <w:tcMar>
              <w:top w:w="150" w:type="dxa"/>
              <w:left w:w="150" w:type="dxa"/>
              <w:bottom w:w="150" w:type="dxa"/>
              <w:right w:w="0" w:type="dxa"/>
            </w:tcMar>
            <w:vAlign w:val="center"/>
            <w:hideMark/>
          </w:tcPr>
          <w:p w14:paraId="30A67552"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56.47</w:t>
            </w:r>
          </w:p>
        </w:tc>
        <w:tc>
          <w:tcPr>
            <w:tcW w:w="0" w:type="auto"/>
            <w:shd w:val="clear" w:color="auto" w:fill="FFFFFF"/>
            <w:tcMar>
              <w:top w:w="150" w:type="dxa"/>
              <w:left w:w="150" w:type="dxa"/>
              <w:bottom w:w="150" w:type="dxa"/>
              <w:right w:w="0" w:type="dxa"/>
            </w:tcMar>
            <w:vAlign w:val="center"/>
            <w:hideMark/>
          </w:tcPr>
          <w:p w14:paraId="7CEF939E"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52.40</w:t>
            </w:r>
          </w:p>
        </w:tc>
        <w:tc>
          <w:tcPr>
            <w:tcW w:w="0" w:type="auto"/>
            <w:shd w:val="clear" w:color="auto" w:fill="FFFFFF"/>
            <w:tcMar>
              <w:top w:w="150" w:type="dxa"/>
              <w:left w:w="150" w:type="dxa"/>
              <w:bottom w:w="150" w:type="dxa"/>
              <w:right w:w="0" w:type="dxa"/>
            </w:tcMar>
            <w:vAlign w:val="center"/>
            <w:hideMark/>
          </w:tcPr>
          <w:p w14:paraId="4F83FC96"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331,812,000</w:t>
            </w:r>
          </w:p>
        </w:tc>
      </w:tr>
      <w:tr w:rsidR="00C93C24" w14:paraId="6662D3A5" w14:textId="77777777" w:rsidTr="00B84344">
        <w:trPr>
          <w:trHeight w:val="398"/>
          <w:jc w:val="center"/>
        </w:trPr>
        <w:tc>
          <w:tcPr>
            <w:tcW w:w="0" w:type="auto"/>
            <w:shd w:val="clear" w:color="auto" w:fill="FFFFFF"/>
            <w:tcMar>
              <w:top w:w="150" w:type="dxa"/>
              <w:left w:w="0" w:type="dxa"/>
              <w:bottom w:w="150" w:type="dxa"/>
              <w:right w:w="150" w:type="dxa"/>
            </w:tcMar>
            <w:vAlign w:val="center"/>
            <w:hideMark/>
          </w:tcPr>
          <w:p w14:paraId="4F5721BA"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01 Sept 2021</w:t>
            </w:r>
          </w:p>
        </w:tc>
        <w:tc>
          <w:tcPr>
            <w:tcW w:w="0" w:type="auto"/>
            <w:shd w:val="clear" w:color="auto" w:fill="FFFFFF"/>
            <w:tcMar>
              <w:top w:w="150" w:type="dxa"/>
              <w:left w:w="150" w:type="dxa"/>
              <w:bottom w:w="150" w:type="dxa"/>
              <w:right w:w="0" w:type="dxa"/>
            </w:tcMar>
            <w:vAlign w:val="center"/>
            <w:hideMark/>
          </w:tcPr>
          <w:p w14:paraId="5CB5AC4B"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56.38</w:t>
            </w:r>
          </w:p>
        </w:tc>
        <w:tc>
          <w:tcPr>
            <w:tcW w:w="0" w:type="auto"/>
            <w:shd w:val="clear" w:color="auto" w:fill="FFFFFF"/>
            <w:tcMar>
              <w:top w:w="150" w:type="dxa"/>
              <w:left w:w="150" w:type="dxa"/>
              <w:bottom w:w="150" w:type="dxa"/>
              <w:right w:w="0" w:type="dxa"/>
            </w:tcMar>
            <w:vAlign w:val="center"/>
            <w:hideMark/>
          </w:tcPr>
          <w:p w14:paraId="409F9D47"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57.03</w:t>
            </w:r>
          </w:p>
        </w:tc>
        <w:tc>
          <w:tcPr>
            <w:tcW w:w="0" w:type="auto"/>
            <w:shd w:val="clear" w:color="auto" w:fill="FFFFFF"/>
            <w:tcMar>
              <w:top w:w="150" w:type="dxa"/>
              <w:left w:w="150" w:type="dxa"/>
              <w:bottom w:w="150" w:type="dxa"/>
              <w:right w:w="0" w:type="dxa"/>
            </w:tcMar>
            <w:vAlign w:val="center"/>
            <w:hideMark/>
          </w:tcPr>
          <w:p w14:paraId="46617313"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52.43</w:t>
            </w:r>
          </w:p>
        </w:tc>
        <w:tc>
          <w:tcPr>
            <w:tcW w:w="0" w:type="auto"/>
            <w:shd w:val="clear" w:color="auto" w:fill="FFFFFF"/>
            <w:tcMar>
              <w:top w:w="150" w:type="dxa"/>
              <w:left w:w="150" w:type="dxa"/>
              <w:bottom w:w="150" w:type="dxa"/>
              <w:right w:w="0" w:type="dxa"/>
            </w:tcMar>
            <w:vAlign w:val="center"/>
            <w:hideMark/>
          </w:tcPr>
          <w:p w14:paraId="19FBA7D8" w14:textId="77777777" w:rsidR="00B84344" w:rsidRPr="00B84344" w:rsidRDefault="00000000" w:rsidP="00D80E76">
            <w:pPr>
              <w:spacing w:line="360" w:lineRule="auto"/>
              <w:jc w:val="both"/>
              <w:rPr>
                <w:rFonts w:ascii="Times New Roman" w:eastAsia="Times New Roman" w:hAnsi="Times New Roman" w:cs="Times New Roman"/>
                <w:color w:val="232A31"/>
                <w:sz w:val="24"/>
                <w:szCs w:val="24"/>
                <w:lang w:val="en-IN"/>
              </w:rPr>
            </w:pPr>
            <w:r w:rsidRPr="00B84344">
              <w:rPr>
                <w:rFonts w:ascii="Times New Roman" w:eastAsia="Times New Roman" w:hAnsi="Times New Roman" w:cs="Times New Roman"/>
                <w:color w:val="232A31"/>
                <w:sz w:val="24"/>
                <w:szCs w:val="24"/>
                <w:lang w:val="en-IN"/>
              </w:rPr>
              <w:t>334,494,700</w:t>
            </w:r>
          </w:p>
        </w:tc>
      </w:tr>
    </w:tbl>
    <w:p w14:paraId="0000001F" w14:textId="1BA12396" w:rsidR="000F068D" w:rsidRPr="00D80E76" w:rsidRDefault="00000000" w:rsidP="00D80E76">
      <w:pPr>
        <w:spacing w:line="360" w:lineRule="auto"/>
        <w:jc w:val="center"/>
        <w:rPr>
          <w:rFonts w:ascii="Times New Roman" w:eastAsia="Times New Roman" w:hAnsi="Times New Roman" w:cs="Times New Roman"/>
          <w:b/>
          <w:sz w:val="24"/>
          <w:szCs w:val="24"/>
        </w:rPr>
      </w:pPr>
      <w:r w:rsidRPr="00D80E76">
        <w:rPr>
          <w:rFonts w:ascii="Times New Roman" w:eastAsia="Times New Roman" w:hAnsi="Times New Roman" w:cs="Times New Roman"/>
          <w:b/>
          <w:sz w:val="24"/>
          <w:szCs w:val="24"/>
        </w:rPr>
        <w:t xml:space="preserve">Table 1: Share prices of Coca-Cola </w:t>
      </w:r>
      <w:r w:rsidR="00EE1165" w:rsidRPr="00D80E76">
        <w:rPr>
          <w:rFonts w:ascii="Times New Roman" w:eastAsia="Times New Roman" w:hAnsi="Times New Roman" w:cs="Times New Roman"/>
          <w:b/>
          <w:sz w:val="24"/>
          <w:szCs w:val="24"/>
        </w:rPr>
        <w:t>in the last 12 months</w:t>
      </w:r>
    </w:p>
    <w:p w14:paraId="0FDEFBC0" w14:textId="77A38A79" w:rsidR="00EE1165" w:rsidRPr="00D80E76" w:rsidRDefault="00000000" w:rsidP="00D80E76">
      <w:pPr>
        <w:spacing w:line="360" w:lineRule="auto"/>
        <w:jc w:val="center"/>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(Source:</w:t>
      </w:r>
      <w:r w:rsidR="005F1375" w:rsidRPr="00D80E76">
        <w:rPr>
          <w:rFonts w:ascii="Times New Roman" w:hAnsi="Times New Roman" w:cs="Times New Roman"/>
          <w:color w:val="000000"/>
          <w:sz w:val="24"/>
          <w:szCs w:val="24"/>
        </w:rPr>
        <w:t xml:space="preserve"> </w:t>
      </w:r>
      <w:proofErr w:type="spellStart"/>
      <w:r w:rsidR="005F1375" w:rsidRPr="00D80E76">
        <w:rPr>
          <w:rFonts w:ascii="Times New Roman" w:hAnsi="Times New Roman" w:cs="Times New Roman"/>
          <w:color w:val="000000"/>
          <w:sz w:val="24"/>
          <w:szCs w:val="24"/>
        </w:rPr>
        <w:t>Uk</w:t>
      </w:r>
      <w:proofErr w:type="spellEnd"/>
      <w:r w:rsidR="005F1375" w:rsidRPr="00D80E76">
        <w:rPr>
          <w:rFonts w:ascii="Times New Roman" w:hAnsi="Times New Roman" w:cs="Times New Roman"/>
          <w:color w:val="000000"/>
          <w:sz w:val="24"/>
          <w:szCs w:val="24"/>
        </w:rPr>
        <w:t>, 2022</w:t>
      </w:r>
      <w:r w:rsidRPr="00D80E76">
        <w:rPr>
          <w:rFonts w:ascii="Times New Roman" w:eastAsia="Times New Roman" w:hAnsi="Times New Roman" w:cs="Times New Roman"/>
          <w:bCs/>
          <w:sz w:val="24"/>
          <w:szCs w:val="24"/>
        </w:rPr>
        <w:t xml:space="preserve">) </w:t>
      </w:r>
    </w:p>
    <w:p w14:paraId="4572DEF1" w14:textId="0AC3C6F2" w:rsidR="00EE1165"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 xml:space="preserve">The table shows that the share prices are </w:t>
      </w:r>
      <w:proofErr w:type="gramStart"/>
      <w:r w:rsidRPr="00D80E76">
        <w:rPr>
          <w:rFonts w:ascii="Times New Roman" w:eastAsia="Times New Roman" w:hAnsi="Times New Roman" w:cs="Times New Roman"/>
          <w:bCs/>
          <w:sz w:val="24"/>
          <w:szCs w:val="24"/>
        </w:rPr>
        <w:t>fairly inconsistent</w:t>
      </w:r>
      <w:proofErr w:type="gramEnd"/>
      <w:r w:rsidRPr="00D80E76">
        <w:rPr>
          <w:rFonts w:ascii="Times New Roman" w:eastAsia="Times New Roman" w:hAnsi="Times New Roman" w:cs="Times New Roman"/>
          <w:bCs/>
          <w:sz w:val="24"/>
          <w:szCs w:val="24"/>
        </w:rPr>
        <w:t xml:space="preserve"> as the prices of the past months never reflected the prices of recent months. </w:t>
      </w:r>
    </w:p>
    <w:p w14:paraId="6145C71B" w14:textId="77777777" w:rsidR="00EE1165" w:rsidRPr="00D80E76" w:rsidRDefault="00000000" w:rsidP="00D80E76">
      <w:pPr>
        <w:pStyle w:val="Heading2"/>
        <w:spacing w:line="360" w:lineRule="auto"/>
        <w:rPr>
          <w:rFonts w:cs="Times New Roman"/>
        </w:rPr>
      </w:pPr>
      <w:bookmarkStart w:id="5" w:name="_Toc110606501"/>
      <w:r w:rsidRPr="00D80E76">
        <w:rPr>
          <w:rFonts w:cs="Times New Roman"/>
        </w:rPr>
        <w:t>Semi-Strong Form EMH:</w:t>
      </w:r>
      <w:bookmarkEnd w:id="5"/>
    </w:p>
    <w:p w14:paraId="13B3E432" w14:textId="0F4D3C66" w:rsidR="00EE1165"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 xml:space="preserve">This form states that the public information regarding </w:t>
      </w:r>
      <w:r w:rsidR="000B2A14" w:rsidRPr="00D80E76">
        <w:rPr>
          <w:rFonts w:ascii="Times New Roman" w:eastAsia="Times New Roman" w:hAnsi="Times New Roman" w:cs="Times New Roman"/>
          <w:bCs/>
          <w:sz w:val="24"/>
          <w:szCs w:val="24"/>
        </w:rPr>
        <w:t xml:space="preserve">the company’s decisions and strategies does reflect the price movements of the securities. Relevant information regarding the shares and dividends </w:t>
      </w:r>
      <w:r w:rsidR="004A182D" w:rsidRPr="00D80E76">
        <w:rPr>
          <w:rFonts w:ascii="Times New Roman" w:eastAsia="Times New Roman" w:hAnsi="Times New Roman" w:cs="Times New Roman"/>
          <w:bCs/>
          <w:sz w:val="24"/>
          <w:szCs w:val="24"/>
        </w:rPr>
        <w:t>impacts</w:t>
      </w:r>
      <w:r w:rsidR="000B2A14" w:rsidRPr="00D80E76">
        <w:rPr>
          <w:rFonts w:ascii="Times New Roman" w:eastAsia="Times New Roman" w:hAnsi="Times New Roman" w:cs="Times New Roman"/>
          <w:bCs/>
          <w:sz w:val="24"/>
          <w:szCs w:val="24"/>
        </w:rPr>
        <w:t xml:space="preserve"> the share prices and other financial metrics of the company. </w:t>
      </w:r>
    </w:p>
    <w:p w14:paraId="2DDC083B" w14:textId="4E6945B0" w:rsidR="000B2A14" w:rsidRPr="00D80E76" w:rsidRDefault="00000000" w:rsidP="00D80E76">
      <w:pPr>
        <w:pStyle w:val="Heading2"/>
        <w:spacing w:line="360" w:lineRule="auto"/>
        <w:rPr>
          <w:rFonts w:cs="Times New Roman"/>
          <w:bCs/>
        </w:rPr>
      </w:pPr>
      <w:bookmarkStart w:id="6" w:name="_Toc110606502"/>
      <w:r w:rsidRPr="00D80E76">
        <w:rPr>
          <w:rFonts w:cs="Times New Roman"/>
        </w:rPr>
        <w:t>Strong Form EMH:</w:t>
      </w:r>
      <w:bookmarkEnd w:id="6"/>
    </w:p>
    <w:p w14:paraId="37A35052" w14:textId="797153AB" w:rsidR="004A182D"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 xml:space="preserve">It states that both public and private information impact the stock prices of the MNCs. </w:t>
      </w:r>
      <w:r w:rsidR="002D2985" w:rsidRPr="00D80E76">
        <w:rPr>
          <w:rFonts w:ascii="Times New Roman" w:eastAsia="Times New Roman" w:hAnsi="Times New Roman" w:cs="Times New Roman"/>
          <w:bCs/>
          <w:sz w:val="24"/>
          <w:szCs w:val="24"/>
        </w:rPr>
        <w:t>Public information like dividend policy, share price information, interactive stock chart, historical information, and private information like finance decisions, structural changes, etc. are influential in determining the stock prices of the Coca-Cola Company (</w:t>
      </w:r>
      <w:r w:rsidR="005F1375" w:rsidRPr="00D80E76">
        <w:rPr>
          <w:rFonts w:ascii="Times New Roman" w:hAnsi="Times New Roman" w:cs="Times New Roman"/>
          <w:color w:val="000000"/>
          <w:sz w:val="24"/>
          <w:szCs w:val="24"/>
        </w:rPr>
        <w:t>The Coca-Cola Company, 2022</w:t>
      </w:r>
      <w:r w:rsidR="002D2985" w:rsidRPr="00D80E76">
        <w:rPr>
          <w:rFonts w:ascii="Times New Roman" w:eastAsia="Times New Roman" w:hAnsi="Times New Roman" w:cs="Times New Roman"/>
          <w:bCs/>
          <w:sz w:val="24"/>
          <w:szCs w:val="24"/>
        </w:rPr>
        <w:t xml:space="preserve">).  </w:t>
      </w:r>
      <w:r w:rsidRPr="00D80E76">
        <w:rPr>
          <w:rFonts w:ascii="Times New Roman" w:eastAsia="Times New Roman" w:hAnsi="Times New Roman" w:cs="Times New Roman"/>
          <w:bCs/>
          <w:sz w:val="24"/>
          <w:szCs w:val="24"/>
        </w:rPr>
        <w:t xml:space="preserve">  </w:t>
      </w:r>
    </w:p>
    <w:p w14:paraId="00000020" w14:textId="12F8F3B8" w:rsidR="000F068D" w:rsidRPr="00D80E76" w:rsidRDefault="00000000" w:rsidP="00D80E76">
      <w:pPr>
        <w:pStyle w:val="Heading1"/>
        <w:spacing w:line="360" w:lineRule="auto"/>
        <w:rPr>
          <w:rFonts w:cs="Times New Roman"/>
        </w:rPr>
      </w:pPr>
      <w:bookmarkStart w:id="7" w:name="_Toc110606503"/>
      <w:r w:rsidRPr="00D80E76">
        <w:rPr>
          <w:rFonts w:cs="Times New Roman"/>
        </w:rPr>
        <w:lastRenderedPageBreak/>
        <w:t>Coca-Cola’s project appraisal methods</w:t>
      </w:r>
      <w:bookmarkEnd w:id="7"/>
    </w:p>
    <w:p w14:paraId="73AA8E5E" w14:textId="2EB09F7C" w:rsidR="002D2985"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 xml:space="preserve">A company's project appraisal methods include the NPV or cost-benefit ratio. Here, the cash flow statement of the </w:t>
      </w:r>
      <w:r w:rsidR="001E12D8" w:rsidRPr="00D80E76">
        <w:rPr>
          <w:rFonts w:ascii="Times New Roman" w:eastAsia="Times New Roman" w:hAnsi="Times New Roman" w:cs="Times New Roman"/>
          <w:bCs/>
          <w:sz w:val="24"/>
          <w:szCs w:val="24"/>
        </w:rPr>
        <w:t>Coca-Cola</w:t>
      </w:r>
      <w:r w:rsidRPr="00D80E76">
        <w:rPr>
          <w:rFonts w:ascii="Times New Roman" w:eastAsia="Times New Roman" w:hAnsi="Times New Roman" w:cs="Times New Roman"/>
          <w:bCs/>
          <w:sz w:val="24"/>
          <w:szCs w:val="24"/>
        </w:rPr>
        <w:t xml:space="preserve"> company for the last 5 years has been presented which includes the financial activities only. </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21"/>
        <w:gridCol w:w="1595"/>
        <w:gridCol w:w="1596"/>
        <w:gridCol w:w="1598"/>
        <w:gridCol w:w="1596"/>
        <w:gridCol w:w="1596"/>
      </w:tblGrid>
      <w:tr w:rsidR="00C93C24" w14:paraId="7D42373C" w14:textId="77777777" w:rsidTr="00CF0119">
        <w:trPr>
          <w:trHeight w:val="510"/>
          <w:tblHeader/>
          <w:jc w:val="center"/>
        </w:trPr>
        <w:tc>
          <w:tcPr>
            <w:tcW w:w="0" w:type="auto"/>
            <w:shd w:val="clear" w:color="auto" w:fill="auto"/>
            <w:tcMar>
              <w:top w:w="105" w:type="dxa"/>
              <w:left w:w="0" w:type="dxa"/>
              <w:bottom w:w="105" w:type="dxa"/>
              <w:right w:w="120" w:type="dxa"/>
            </w:tcMar>
            <w:vAlign w:val="bottom"/>
            <w:hideMark/>
          </w:tcPr>
          <w:p w14:paraId="151BB9D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All values GBP Thousands.</w:t>
            </w:r>
          </w:p>
        </w:tc>
        <w:tc>
          <w:tcPr>
            <w:tcW w:w="0" w:type="auto"/>
            <w:shd w:val="clear" w:color="auto" w:fill="auto"/>
            <w:tcMar>
              <w:top w:w="105" w:type="dxa"/>
              <w:left w:w="0" w:type="dxa"/>
              <w:bottom w:w="105" w:type="dxa"/>
              <w:right w:w="120" w:type="dxa"/>
            </w:tcMar>
            <w:vAlign w:val="bottom"/>
            <w:hideMark/>
          </w:tcPr>
          <w:p w14:paraId="63B47DC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2021</w:t>
            </w:r>
          </w:p>
        </w:tc>
        <w:tc>
          <w:tcPr>
            <w:tcW w:w="0" w:type="auto"/>
            <w:shd w:val="clear" w:color="auto" w:fill="auto"/>
            <w:tcMar>
              <w:top w:w="105" w:type="dxa"/>
              <w:left w:w="0" w:type="dxa"/>
              <w:bottom w:w="105" w:type="dxa"/>
              <w:right w:w="120" w:type="dxa"/>
            </w:tcMar>
            <w:vAlign w:val="bottom"/>
            <w:hideMark/>
          </w:tcPr>
          <w:p w14:paraId="1E497ED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2020</w:t>
            </w:r>
          </w:p>
        </w:tc>
        <w:tc>
          <w:tcPr>
            <w:tcW w:w="0" w:type="auto"/>
            <w:shd w:val="clear" w:color="auto" w:fill="auto"/>
            <w:tcMar>
              <w:top w:w="105" w:type="dxa"/>
              <w:left w:w="0" w:type="dxa"/>
              <w:bottom w:w="105" w:type="dxa"/>
              <w:right w:w="120" w:type="dxa"/>
            </w:tcMar>
            <w:vAlign w:val="bottom"/>
            <w:hideMark/>
          </w:tcPr>
          <w:p w14:paraId="04934E7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2019</w:t>
            </w:r>
          </w:p>
        </w:tc>
        <w:tc>
          <w:tcPr>
            <w:tcW w:w="0" w:type="auto"/>
            <w:shd w:val="clear" w:color="auto" w:fill="auto"/>
            <w:tcMar>
              <w:top w:w="105" w:type="dxa"/>
              <w:left w:w="0" w:type="dxa"/>
              <w:bottom w:w="105" w:type="dxa"/>
              <w:right w:w="120" w:type="dxa"/>
            </w:tcMar>
            <w:vAlign w:val="bottom"/>
            <w:hideMark/>
          </w:tcPr>
          <w:p w14:paraId="22357DE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2018</w:t>
            </w:r>
          </w:p>
        </w:tc>
        <w:tc>
          <w:tcPr>
            <w:tcW w:w="0" w:type="auto"/>
            <w:shd w:val="clear" w:color="auto" w:fill="auto"/>
            <w:tcMar>
              <w:top w:w="105" w:type="dxa"/>
              <w:left w:w="0" w:type="dxa"/>
              <w:bottom w:w="105" w:type="dxa"/>
              <w:right w:w="120" w:type="dxa"/>
            </w:tcMar>
            <w:vAlign w:val="bottom"/>
            <w:hideMark/>
          </w:tcPr>
          <w:p w14:paraId="792BBE8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2017</w:t>
            </w:r>
          </w:p>
        </w:tc>
      </w:tr>
      <w:tr w:rsidR="00C93C24" w14:paraId="615808F1"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704DE29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Cash Dividends Paid - Total</w:t>
            </w:r>
          </w:p>
        </w:tc>
        <w:tc>
          <w:tcPr>
            <w:tcW w:w="1595" w:type="dxa"/>
            <w:shd w:val="clear" w:color="auto" w:fill="auto"/>
            <w:tcMar>
              <w:top w:w="105" w:type="dxa"/>
              <w:left w:w="0" w:type="dxa"/>
              <w:bottom w:w="105" w:type="dxa"/>
              <w:right w:w="120" w:type="dxa"/>
            </w:tcMar>
            <w:vAlign w:val="center"/>
            <w:hideMark/>
          </w:tcPr>
          <w:p w14:paraId="76FACD5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(200,763.4)</w:t>
            </w:r>
          </w:p>
        </w:tc>
        <w:tc>
          <w:tcPr>
            <w:tcW w:w="1596" w:type="dxa"/>
            <w:shd w:val="clear" w:color="auto" w:fill="auto"/>
            <w:tcMar>
              <w:top w:w="105" w:type="dxa"/>
              <w:left w:w="0" w:type="dxa"/>
              <w:bottom w:w="105" w:type="dxa"/>
              <w:right w:w="120" w:type="dxa"/>
            </w:tcMar>
            <w:vAlign w:val="center"/>
            <w:hideMark/>
          </w:tcPr>
          <w:p w14:paraId="0EA460A5"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(200,640.5)</w:t>
            </w:r>
          </w:p>
        </w:tc>
        <w:tc>
          <w:tcPr>
            <w:tcW w:w="1598" w:type="dxa"/>
            <w:shd w:val="clear" w:color="auto" w:fill="auto"/>
            <w:tcMar>
              <w:top w:w="105" w:type="dxa"/>
              <w:left w:w="0" w:type="dxa"/>
              <w:bottom w:w="105" w:type="dxa"/>
              <w:right w:w="120" w:type="dxa"/>
            </w:tcMar>
            <w:vAlign w:val="center"/>
            <w:hideMark/>
          </w:tcPr>
          <w:p w14:paraId="531C4BE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(818,640.0)</w:t>
            </w:r>
          </w:p>
        </w:tc>
        <w:tc>
          <w:tcPr>
            <w:tcW w:w="1596" w:type="dxa"/>
            <w:shd w:val="clear" w:color="auto" w:fill="auto"/>
            <w:tcMar>
              <w:top w:w="105" w:type="dxa"/>
              <w:left w:w="0" w:type="dxa"/>
              <w:bottom w:w="105" w:type="dxa"/>
              <w:right w:w="120" w:type="dxa"/>
            </w:tcMar>
            <w:vAlign w:val="center"/>
            <w:hideMark/>
          </w:tcPr>
          <w:p w14:paraId="7F99562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(175,891.3)</w:t>
            </w:r>
          </w:p>
        </w:tc>
        <w:tc>
          <w:tcPr>
            <w:tcW w:w="1596" w:type="dxa"/>
            <w:shd w:val="clear" w:color="auto" w:fill="auto"/>
            <w:tcMar>
              <w:top w:w="105" w:type="dxa"/>
              <w:left w:w="0" w:type="dxa"/>
              <w:bottom w:w="105" w:type="dxa"/>
              <w:right w:w="120" w:type="dxa"/>
            </w:tcMar>
            <w:vAlign w:val="center"/>
            <w:hideMark/>
          </w:tcPr>
          <w:p w14:paraId="388A0F1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(140,573.4)</w:t>
            </w:r>
          </w:p>
        </w:tc>
      </w:tr>
      <w:tr w:rsidR="00C93C24" w14:paraId="24A9F25F"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095BE4F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Common Dividends</w:t>
            </w:r>
          </w:p>
        </w:tc>
        <w:tc>
          <w:tcPr>
            <w:tcW w:w="1595" w:type="dxa"/>
            <w:shd w:val="clear" w:color="auto" w:fill="auto"/>
            <w:tcMar>
              <w:top w:w="105" w:type="dxa"/>
              <w:left w:w="0" w:type="dxa"/>
              <w:bottom w:w="105" w:type="dxa"/>
              <w:right w:w="120" w:type="dxa"/>
            </w:tcMar>
            <w:vAlign w:val="center"/>
            <w:hideMark/>
          </w:tcPr>
          <w:p w14:paraId="256A876F"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(200,763.4)</w:t>
            </w:r>
          </w:p>
        </w:tc>
        <w:tc>
          <w:tcPr>
            <w:tcW w:w="1596" w:type="dxa"/>
            <w:shd w:val="clear" w:color="auto" w:fill="auto"/>
            <w:tcMar>
              <w:top w:w="105" w:type="dxa"/>
              <w:left w:w="0" w:type="dxa"/>
              <w:bottom w:w="105" w:type="dxa"/>
              <w:right w:w="120" w:type="dxa"/>
            </w:tcMar>
            <w:vAlign w:val="center"/>
            <w:hideMark/>
          </w:tcPr>
          <w:p w14:paraId="02DA624D"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(200,640.5)</w:t>
            </w:r>
          </w:p>
        </w:tc>
        <w:tc>
          <w:tcPr>
            <w:tcW w:w="1598" w:type="dxa"/>
            <w:shd w:val="clear" w:color="auto" w:fill="auto"/>
            <w:tcMar>
              <w:top w:w="105" w:type="dxa"/>
              <w:left w:w="0" w:type="dxa"/>
              <w:bottom w:w="105" w:type="dxa"/>
              <w:right w:w="120" w:type="dxa"/>
            </w:tcMar>
            <w:vAlign w:val="center"/>
            <w:hideMark/>
          </w:tcPr>
          <w:p w14:paraId="0EF9E79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(818,640.0)</w:t>
            </w:r>
          </w:p>
        </w:tc>
        <w:tc>
          <w:tcPr>
            <w:tcW w:w="1596" w:type="dxa"/>
            <w:shd w:val="clear" w:color="auto" w:fill="auto"/>
            <w:tcMar>
              <w:top w:w="105" w:type="dxa"/>
              <w:left w:w="0" w:type="dxa"/>
              <w:bottom w:w="105" w:type="dxa"/>
              <w:right w:w="120" w:type="dxa"/>
            </w:tcMar>
            <w:vAlign w:val="center"/>
            <w:hideMark/>
          </w:tcPr>
          <w:p w14:paraId="24352CA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(175,891.3)</w:t>
            </w:r>
          </w:p>
        </w:tc>
        <w:tc>
          <w:tcPr>
            <w:tcW w:w="1596" w:type="dxa"/>
            <w:shd w:val="clear" w:color="auto" w:fill="auto"/>
            <w:tcMar>
              <w:top w:w="105" w:type="dxa"/>
              <w:left w:w="0" w:type="dxa"/>
              <w:bottom w:w="105" w:type="dxa"/>
              <w:right w:w="120" w:type="dxa"/>
            </w:tcMar>
            <w:vAlign w:val="center"/>
            <w:hideMark/>
          </w:tcPr>
          <w:p w14:paraId="26FEA2A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(140,573.4)</w:t>
            </w:r>
          </w:p>
        </w:tc>
      </w:tr>
      <w:tr w:rsidR="00C93C24" w14:paraId="6FA8BFEF"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26C3F0D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Change in Capital Stock</w:t>
            </w:r>
          </w:p>
        </w:tc>
        <w:tc>
          <w:tcPr>
            <w:tcW w:w="1595" w:type="dxa"/>
            <w:shd w:val="clear" w:color="auto" w:fill="auto"/>
            <w:tcMar>
              <w:top w:w="105" w:type="dxa"/>
              <w:left w:w="0" w:type="dxa"/>
              <w:bottom w:w="105" w:type="dxa"/>
              <w:right w:w="120" w:type="dxa"/>
            </w:tcMar>
            <w:vAlign w:val="center"/>
            <w:hideMark/>
          </w:tcPr>
          <w:p w14:paraId="45FB602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16,844.9</w:t>
            </w:r>
          </w:p>
        </w:tc>
        <w:tc>
          <w:tcPr>
            <w:tcW w:w="1596" w:type="dxa"/>
            <w:shd w:val="clear" w:color="auto" w:fill="auto"/>
            <w:tcMar>
              <w:top w:w="105" w:type="dxa"/>
              <w:left w:w="0" w:type="dxa"/>
              <w:bottom w:w="105" w:type="dxa"/>
              <w:right w:w="120" w:type="dxa"/>
            </w:tcMar>
            <w:vAlign w:val="center"/>
            <w:hideMark/>
          </w:tcPr>
          <w:p w14:paraId="57A41E7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6,756.2</w:t>
            </w:r>
          </w:p>
        </w:tc>
        <w:tc>
          <w:tcPr>
            <w:tcW w:w="1598" w:type="dxa"/>
            <w:shd w:val="clear" w:color="auto" w:fill="auto"/>
            <w:tcMar>
              <w:top w:w="105" w:type="dxa"/>
              <w:left w:w="0" w:type="dxa"/>
              <w:bottom w:w="105" w:type="dxa"/>
              <w:right w:w="120" w:type="dxa"/>
            </w:tcMar>
            <w:vAlign w:val="center"/>
            <w:hideMark/>
          </w:tcPr>
          <w:p w14:paraId="4E31AFD1"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(150,375.0)</w:t>
            </w:r>
          </w:p>
        </w:tc>
        <w:tc>
          <w:tcPr>
            <w:tcW w:w="1596" w:type="dxa"/>
            <w:shd w:val="clear" w:color="auto" w:fill="auto"/>
            <w:tcMar>
              <w:top w:w="105" w:type="dxa"/>
              <w:left w:w="0" w:type="dxa"/>
              <w:bottom w:w="105" w:type="dxa"/>
              <w:right w:w="120" w:type="dxa"/>
            </w:tcMar>
            <w:vAlign w:val="center"/>
            <w:hideMark/>
          </w:tcPr>
          <w:p w14:paraId="6332D70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(10,528.7)</w:t>
            </w:r>
          </w:p>
        </w:tc>
        <w:tc>
          <w:tcPr>
            <w:tcW w:w="1596" w:type="dxa"/>
            <w:shd w:val="clear" w:color="auto" w:fill="auto"/>
            <w:tcMar>
              <w:top w:w="105" w:type="dxa"/>
              <w:left w:w="0" w:type="dxa"/>
              <w:bottom w:w="105" w:type="dxa"/>
              <w:right w:w="120" w:type="dxa"/>
            </w:tcMar>
            <w:vAlign w:val="center"/>
            <w:hideMark/>
          </w:tcPr>
          <w:p w14:paraId="30708CF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62,185.1</w:t>
            </w:r>
          </w:p>
        </w:tc>
      </w:tr>
      <w:tr w:rsidR="00C93C24" w14:paraId="3738A9F2"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37D8324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Repurchase of Common &amp; Preferred Stk.</w:t>
            </w:r>
          </w:p>
        </w:tc>
        <w:tc>
          <w:tcPr>
            <w:tcW w:w="1595" w:type="dxa"/>
            <w:shd w:val="clear" w:color="auto" w:fill="auto"/>
            <w:tcMar>
              <w:top w:w="105" w:type="dxa"/>
              <w:left w:w="0" w:type="dxa"/>
              <w:bottom w:w="105" w:type="dxa"/>
              <w:right w:w="120" w:type="dxa"/>
            </w:tcMar>
            <w:vAlign w:val="center"/>
            <w:hideMark/>
          </w:tcPr>
          <w:p w14:paraId="7C0EA53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58E40DE2"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8" w:type="dxa"/>
            <w:shd w:val="clear" w:color="auto" w:fill="auto"/>
            <w:tcMar>
              <w:top w:w="105" w:type="dxa"/>
              <w:left w:w="0" w:type="dxa"/>
              <w:bottom w:w="105" w:type="dxa"/>
              <w:right w:w="120" w:type="dxa"/>
            </w:tcMar>
            <w:vAlign w:val="center"/>
            <w:hideMark/>
          </w:tcPr>
          <w:p w14:paraId="3FF5833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(169,149.9)</w:t>
            </w:r>
          </w:p>
        </w:tc>
        <w:tc>
          <w:tcPr>
            <w:tcW w:w="1596" w:type="dxa"/>
            <w:shd w:val="clear" w:color="auto" w:fill="auto"/>
            <w:tcMar>
              <w:top w:w="105" w:type="dxa"/>
              <w:left w:w="0" w:type="dxa"/>
              <w:bottom w:w="105" w:type="dxa"/>
              <w:right w:w="120" w:type="dxa"/>
            </w:tcMar>
            <w:vAlign w:val="center"/>
            <w:hideMark/>
          </w:tcPr>
          <w:p w14:paraId="48B7FFA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(24,773.4)</w:t>
            </w:r>
          </w:p>
        </w:tc>
        <w:tc>
          <w:tcPr>
            <w:tcW w:w="1596" w:type="dxa"/>
            <w:shd w:val="clear" w:color="auto" w:fill="auto"/>
            <w:tcMar>
              <w:top w:w="105" w:type="dxa"/>
              <w:left w:w="0" w:type="dxa"/>
              <w:bottom w:w="105" w:type="dxa"/>
              <w:right w:w="120" w:type="dxa"/>
            </w:tcMar>
            <w:vAlign w:val="center"/>
            <w:hideMark/>
          </w:tcPr>
          <w:p w14:paraId="55D8146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r>
      <w:tr w:rsidR="00C93C24" w14:paraId="76C19598"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13DC85C1"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Sale of Common &amp; Preferred Stock</w:t>
            </w:r>
          </w:p>
        </w:tc>
        <w:tc>
          <w:tcPr>
            <w:tcW w:w="1595" w:type="dxa"/>
            <w:shd w:val="clear" w:color="auto" w:fill="auto"/>
            <w:tcMar>
              <w:top w:w="105" w:type="dxa"/>
              <w:left w:w="0" w:type="dxa"/>
              <w:bottom w:w="105" w:type="dxa"/>
              <w:right w:w="120" w:type="dxa"/>
            </w:tcMar>
            <w:vAlign w:val="center"/>
            <w:hideMark/>
          </w:tcPr>
          <w:p w14:paraId="0E03F29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16,844.9</w:t>
            </w:r>
          </w:p>
        </w:tc>
        <w:tc>
          <w:tcPr>
            <w:tcW w:w="1596" w:type="dxa"/>
            <w:shd w:val="clear" w:color="auto" w:fill="auto"/>
            <w:tcMar>
              <w:top w:w="105" w:type="dxa"/>
              <w:left w:w="0" w:type="dxa"/>
              <w:bottom w:w="105" w:type="dxa"/>
              <w:right w:w="120" w:type="dxa"/>
            </w:tcMar>
            <w:vAlign w:val="center"/>
            <w:hideMark/>
          </w:tcPr>
          <w:p w14:paraId="487F3F0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6,756.2</w:t>
            </w:r>
          </w:p>
        </w:tc>
        <w:tc>
          <w:tcPr>
            <w:tcW w:w="1598" w:type="dxa"/>
            <w:shd w:val="clear" w:color="auto" w:fill="auto"/>
            <w:tcMar>
              <w:top w:w="105" w:type="dxa"/>
              <w:left w:w="0" w:type="dxa"/>
              <w:bottom w:w="105" w:type="dxa"/>
              <w:right w:w="120" w:type="dxa"/>
            </w:tcMar>
            <w:vAlign w:val="center"/>
            <w:hideMark/>
          </w:tcPr>
          <w:p w14:paraId="54A2197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18,774.9</w:t>
            </w:r>
          </w:p>
        </w:tc>
        <w:tc>
          <w:tcPr>
            <w:tcW w:w="1596" w:type="dxa"/>
            <w:shd w:val="clear" w:color="auto" w:fill="auto"/>
            <w:tcMar>
              <w:top w:w="105" w:type="dxa"/>
              <w:left w:w="0" w:type="dxa"/>
              <w:bottom w:w="105" w:type="dxa"/>
              <w:right w:w="120" w:type="dxa"/>
            </w:tcMar>
            <w:vAlign w:val="center"/>
            <w:hideMark/>
          </w:tcPr>
          <w:p w14:paraId="69B85C0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14,244.7</w:t>
            </w:r>
          </w:p>
        </w:tc>
        <w:tc>
          <w:tcPr>
            <w:tcW w:w="1596" w:type="dxa"/>
            <w:shd w:val="clear" w:color="auto" w:fill="auto"/>
            <w:tcMar>
              <w:top w:w="105" w:type="dxa"/>
              <w:left w:w="0" w:type="dxa"/>
              <w:bottom w:w="105" w:type="dxa"/>
              <w:right w:w="120" w:type="dxa"/>
            </w:tcMar>
            <w:vAlign w:val="center"/>
            <w:hideMark/>
          </w:tcPr>
          <w:p w14:paraId="60AF31F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62,185.1</w:t>
            </w:r>
          </w:p>
        </w:tc>
      </w:tr>
      <w:tr w:rsidR="00C93C24" w14:paraId="645ABBFD" w14:textId="77777777" w:rsidTr="00CF0119">
        <w:trPr>
          <w:trHeight w:val="567"/>
          <w:jc w:val="center"/>
        </w:trPr>
        <w:tc>
          <w:tcPr>
            <w:tcW w:w="2221" w:type="dxa"/>
            <w:shd w:val="clear" w:color="auto" w:fill="auto"/>
            <w:tcMar>
              <w:top w:w="105" w:type="dxa"/>
              <w:left w:w="600" w:type="dxa"/>
              <w:bottom w:w="105" w:type="dxa"/>
              <w:right w:w="120" w:type="dxa"/>
            </w:tcMar>
            <w:vAlign w:val="center"/>
            <w:hideMark/>
          </w:tcPr>
          <w:p w14:paraId="7B94E4AC"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Proceeds from Stock Options</w:t>
            </w:r>
          </w:p>
        </w:tc>
        <w:tc>
          <w:tcPr>
            <w:tcW w:w="1595" w:type="dxa"/>
            <w:shd w:val="clear" w:color="auto" w:fill="auto"/>
            <w:tcMar>
              <w:top w:w="105" w:type="dxa"/>
              <w:left w:w="0" w:type="dxa"/>
              <w:bottom w:w="105" w:type="dxa"/>
              <w:right w:w="120" w:type="dxa"/>
            </w:tcMar>
            <w:vAlign w:val="center"/>
            <w:hideMark/>
          </w:tcPr>
          <w:p w14:paraId="1A158F7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482CF715"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8" w:type="dxa"/>
            <w:shd w:val="clear" w:color="auto" w:fill="auto"/>
            <w:tcMar>
              <w:top w:w="105" w:type="dxa"/>
              <w:left w:w="0" w:type="dxa"/>
              <w:bottom w:w="105" w:type="dxa"/>
              <w:right w:w="120" w:type="dxa"/>
            </w:tcMar>
            <w:vAlign w:val="center"/>
            <w:hideMark/>
          </w:tcPr>
          <w:p w14:paraId="000FC55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78122C8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707.8</w:t>
            </w:r>
          </w:p>
        </w:tc>
        <w:tc>
          <w:tcPr>
            <w:tcW w:w="1596" w:type="dxa"/>
            <w:shd w:val="clear" w:color="auto" w:fill="auto"/>
            <w:tcMar>
              <w:top w:w="105" w:type="dxa"/>
              <w:left w:w="0" w:type="dxa"/>
              <w:bottom w:w="105" w:type="dxa"/>
              <w:right w:w="120" w:type="dxa"/>
            </w:tcMar>
            <w:vAlign w:val="center"/>
            <w:hideMark/>
          </w:tcPr>
          <w:p w14:paraId="6C42873D"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r>
      <w:tr w:rsidR="00C93C24" w14:paraId="286F4A5B" w14:textId="77777777" w:rsidTr="00CF0119">
        <w:trPr>
          <w:trHeight w:val="567"/>
          <w:jc w:val="center"/>
        </w:trPr>
        <w:tc>
          <w:tcPr>
            <w:tcW w:w="2221" w:type="dxa"/>
            <w:shd w:val="clear" w:color="auto" w:fill="auto"/>
            <w:tcMar>
              <w:top w:w="105" w:type="dxa"/>
              <w:left w:w="600" w:type="dxa"/>
              <w:bottom w:w="105" w:type="dxa"/>
              <w:right w:w="120" w:type="dxa"/>
            </w:tcMar>
            <w:vAlign w:val="center"/>
            <w:hideMark/>
          </w:tcPr>
          <w:p w14:paraId="07EAC6C2"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Other Proceeds from Sale of Stock</w:t>
            </w:r>
          </w:p>
        </w:tc>
        <w:tc>
          <w:tcPr>
            <w:tcW w:w="1595" w:type="dxa"/>
            <w:shd w:val="clear" w:color="auto" w:fill="auto"/>
            <w:tcMar>
              <w:top w:w="105" w:type="dxa"/>
              <w:left w:w="0" w:type="dxa"/>
              <w:bottom w:w="105" w:type="dxa"/>
              <w:right w:w="120" w:type="dxa"/>
            </w:tcMar>
            <w:vAlign w:val="center"/>
            <w:hideMark/>
          </w:tcPr>
          <w:p w14:paraId="54D7BEE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16,844.9</w:t>
            </w:r>
          </w:p>
        </w:tc>
        <w:tc>
          <w:tcPr>
            <w:tcW w:w="1596" w:type="dxa"/>
            <w:shd w:val="clear" w:color="auto" w:fill="auto"/>
            <w:tcMar>
              <w:top w:w="105" w:type="dxa"/>
              <w:left w:w="0" w:type="dxa"/>
              <w:bottom w:w="105" w:type="dxa"/>
              <w:right w:w="120" w:type="dxa"/>
            </w:tcMar>
            <w:vAlign w:val="center"/>
            <w:hideMark/>
          </w:tcPr>
          <w:p w14:paraId="73C3166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6,756.2</w:t>
            </w:r>
          </w:p>
        </w:tc>
        <w:tc>
          <w:tcPr>
            <w:tcW w:w="1598" w:type="dxa"/>
            <w:shd w:val="clear" w:color="auto" w:fill="auto"/>
            <w:tcMar>
              <w:top w:w="105" w:type="dxa"/>
              <w:left w:w="0" w:type="dxa"/>
              <w:bottom w:w="105" w:type="dxa"/>
              <w:right w:w="120" w:type="dxa"/>
            </w:tcMar>
            <w:vAlign w:val="center"/>
            <w:hideMark/>
          </w:tcPr>
          <w:p w14:paraId="1E405F7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18,774.9</w:t>
            </w:r>
          </w:p>
        </w:tc>
        <w:tc>
          <w:tcPr>
            <w:tcW w:w="1596" w:type="dxa"/>
            <w:shd w:val="clear" w:color="auto" w:fill="auto"/>
            <w:tcMar>
              <w:top w:w="105" w:type="dxa"/>
              <w:left w:w="0" w:type="dxa"/>
              <w:bottom w:w="105" w:type="dxa"/>
              <w:right w:w="120" w:type="dxa"/>
            </w:tcMar>
            <w:vAlign w:val="center"/>
            <w:hideMark/>
          </w:tcPr>
          <w:p w14:paraId="269C1D0C"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13,536.9</w:t>
            </w:r>
          </w:p>
        </w:tc>
        <w:tc>
          <w:tcPr>
            <w:tcW w:w="1596" w:type="dxa"/>
            <w:shd w:val="clear" w:color="auto" w:fill="auto"/>
            <w:tcMar>
              <w:top w:w="105" w:type="dxa"/>
              <w:left w:w="0" w:type="dxa"/>
              <w:bottom w:w="105" w:type="dxa"/>
              <w:right w:w="120" w:type="dxa"/>
            </w:tcMar>
            <w:vAlign w:val="center"/>
            <w:hideMark/>
          </w:tcPr>
          <w:p w14:paraId="4E1318A5"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62,185.1</w:t>
            </w:r>
          </w:p>
        </w:tc>
      </w:tr>
      <w:tr w:rsidR="00C93C24" w14:paraId="287D1FE9"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50843D7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lastRenderedPageBreak/>
              <w:t>Issuance/Reduction of Debt, Net</w:t>
            </w:r>
          </w:p>
        </w:tc>
        <w:tc>
          <w:tcPr>
            <w:tcW w:w="1595" w:type="dxa"/>
            <w:shd w:val="clear" w:color="auto" w:fill="auto"/>
            <w:tcMar>
              <w:top w:w="105" w:type="dxa"/>
              <w:left w:w="0" w:type="dxa"/>
              <w:bottom w:w="105" w:type="dxa"/>
              <w:right w:w="120" w:type="dxa"/>
            </w:tcMar>
            <w:vAlign w:val="center"/>
            <w:hideMark/>
          </w:tcPr>
          <w:p w14:paraId="7C3768E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(3,867.5)</w:t>
            </w:r>
          </w:p>
        </w:tc>
        <w:tc>
          <w:tcPr>
            <w:tcW w:w="1596" w:type="dxa"/>
            <w:shd w:val="clear" w:color="auto" w:fill="auto"/>
            <w:tcMar>
              <w:top w:w="105" w:type="dxa"/>
              <w:left w:w="0" w:type="dxa"/>
              <w:bottom w:w="105" w:type="dxa"/>
              <w:right w:w="120" w:type="dxa"/>
            </w:tcMar>
            <w:vAlign w:val="center"/>
            <w:hideMark/>
          </w:tcPr>
          <w:p w14:paraId="74C0623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(394,703.0)</w:t>
            </w:r>
          </w:p>
        </w:tc>
        <w:tc>
          <w:tcPr>
            <w:tcW w:w="1598" w:type="dxa"/>
            <w:shd w:val="clear" w:color="auto" w:fill="auto"/>
            <w:tcMar>
              <w:top w:w="105" w:type="dxa"/>
              <w:left w:w="0" w:type="dxa"/>
              <w:bottom w:w="105" w:type="dxa"/>
              <w:right w:w="120" w:type="dxa"/>
            </w:tcMar>
            <w:vAlign w:val="center"/>
            <w:hideMark/>
          </w:tcPr>
          <w:p w14:paraId="13850BBD"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1,287,750.0</w:t>
            </w:r>
          </w:p>
        </w:tc>
        <w:tc>
          <w:tcPr>
            <w:tcW w:w="1596" w:type="dxa"/>
            <w:shd w:val="clear" w:color="auto" w:fill="auto"/>
            <w:tcMar>
              <w:top w:w="105" w:type="dxa"/>
              <w:left w:w="0" w:type="dxa"/>
              <w:bottom w:w="105" w:type="dxa"/>
              <w:right w:w="120" w:type="dxa"/>
            </w:tcMar>
            <w:vAlign w:val="center"/>
            <w:hideMark/>
          </w:tcPr>
          <w:p w14:paraId="721FFBD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(22,030.7)</w:t>
            </w:r>
          </w:p>
        </w:tc>
        <w:tc>
          <w:tcPr>
            <w:tcW w:w="1596" w:type="dxa"/>
            <w:shd w:val="clear" w:color="auto" w:fill="auto"/>
            <w:tcMar>
              <w:top w:w="105" w:type="dxa"/>
              <w:left w:w="0" w:type="dxa"/>
              <w:bottom w:w="105" w:type="dxa"/>
              <w:right w:w="120" w:type="dxa"/>
            </w:tcMar>
            <w:vAlign w:val="center"/>
            <w:hideMark/>
          </w:tcPr>
          <w:p w14:paraId="500D716C"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(7,707.5)</w:t>
            </w:r>
          </w:p>
        </w:tc>
      </w:tr>
      <w:tr w:rsidR="00C93C24" w14:paraId="56E181E9"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633DE7F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Change in Long-Term Debt</w:t>
            </w:r>
          </w:p>
        </w:tc>
        <w:tc>
          <w:tcPr>
            <w:tcW w:w="1595" w:type="dxa"/>
            <w:shd w:val="clear" w:color="auto" w:fill="auto"/>
            <w:tcMar>
              <w:top w:w="105" w:type="dxa"/>
              <w:left w:w="0" w:type="dxa"/>
              <w:bottom w:w="105" w:type="dxa"/>
              <w:right w:w="120" w:type="dxa"/>
            </w:tcMar>
            <w:vAlign w:val="center"/>
            <w:hideMark/>
          </w:tcPr>
          <w:p w14:paraId="58F7C82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34C6D54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8" w:type="dxa"/>
            <w:shd w:val="clear" w:color="auto" w:fill="auto"/>
            <w:tcMar>
              <w:top w:w="105" w:type="dxa"/>
              <w:left w:w="0" w:type="dxa"/>
              <w:bottom w:w="105" w:type="dxa"/>
              <w:right w:w="120" w:type="dxa"/>
            </w:tcMar>
            <w:vAlign w:val="center"/>
            <w:hideMark/>
          </w:tcPr>
          <w:p w14:paraId="4AF05BA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01F9209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(6,812.7)</w:t>
            </w:r>
          </w:p>
        </w:tc>
        <w:tc>
          <w:tcPr>
            <w:tcW w:w="1596" w:type="dxa"/>
            <w:shd w:val="clear" w:color="auto" w:fill="auto"/>
            <w:tcMar>
              <w:top w:w="105" w:type="dxa"/>
              <w:left w:w="0" w:type="dxa"/>
              <w:bottom w:w="105" w:type="dxa"/>
              <w:right w:w="120" w:type="dxa"/>
            </w:tcMar>
            <w:vAlign w:val="center"/>
            <w:hideMark/>
          </w:tcPr>
          <w:p w14:paraId="4D63EB31"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(7,707.5)</w:t>
            </w:r>
          </w:p>
        </w:tc>
      </w:tr>
      <w:tr w:rsidR="00C93C24" w14:paraId="594951C8" w14:textId="77777777" w:rsidTr="00CF0119">
        <w:trPr>
          <w:trHeight w:val="567"/>
          <w:jc w:val="center"/>
        </w:trPr>
        <w:tc>
          <w:tcPr>
            <w:tcW w:w="2221" w:type="dxa"/>
            <w:shd w:val="clear" w:color="auto" w:fill="auto"/>
            <w:tcMar>
              <w:top w:w="105" w:type="dxa"/>
              <w:left w:w="600" w:type="dxa"/>
              <w:bottom w:w="105" w:type="dxa"/>
              <w:right w:w="120" w:type="dxa"/>
            </w:tcMar>
            <w:vAlign w:val="center"/>
            <w:hideMark/>
          </w:tcPr>
          <w:p w14:paraId="2441AA5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Issuance of Long-Term Debt</w:t>
            </w:r>
          </w:p>
        </w:tc>
        <w:tc>
          <w:tcPr>
            <w:tcW w:w="1595" w:type="dxa"/>
            <w:shd w:val="clear" w:color="auto" w:fill="auto"/>
            <w:tcMar>
              <w:top w:w="105" w:type="dxa"/>
              <w:left w:w="0" w:type="dxa"/>
              <w:bottom w:w="105" w:type="dxa"/>
              <w:right w:w="120" w:type="dxa"/>
            </w:tcMar>
            <w:vAlign w:val="center"/>
            <w:hideMark/>
          </w:tcPr>
          <w:p w14:paraId="0630147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7D8DB25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8" w:type="dxa"/>
            <w:shd w:val="clear" w:color="auto" w:fill="auto"/>
            <w:tcMar>
              <w:top w:w="105" w:type="dxa"/>
              <w:left w:w="0" w:type="dxa"/>
              <w:bottom w:w="105" w:type="dxa"/>
              <w:right w:w="120" w:type="dxa"/>
            </w:tcMar>
            <w:vAlign w:val="center"/>
            <w:hideMark/>
          </w:tcPr>
          <w:p w14:paraId="3FFF3AF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3D854EA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3E261B81"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71,994.6</w:t>
            </w:r>
          </w:p>
        </w:tc>
      </w:tr>
      <w:tr w:rsidR="00C93C24" w14:paraId="3673F688" w14:textId="77777777" w:rsidTr="00CF0119">
        <w:trPr>
          <w:trHeight w:val="567"/>
          <w:jc w:val="center"/>
        </w:trPr>
        <w:tc>
          <w:tcPr>
            <w:tcW w:w="2221" w:type="dxa"/>
            <w:shd w:val="clear" w:color="auto" w:fill="auto"/>
            <w:tcMar>
              <w:top w:w="105" w:type="dxa"/>
              <w:left w:w="600" w:type="dxa"/>
              <w:bottom w:w="105" w:type="dxa"/>
              <w:right w:w="120" w:type="dxa"/>
            </w:tcMar>
            <w:vAlign w:val="center"/>
            <w:hideMark/>
          </w:tcPr>
          <w:p w14:paraId="6CD3528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Reduction in Long-Term Debt</w:t>
            </w:r>
          </w:p>
        </w:tc>
        <w:tc>
          <w:tcPr>
            <w:tcW w:w="1595" w:type="dxa"/>
            <w:shd w:val="clear" w:color="auto" w:fill="auto"/>
            <w:tcMar>
              <w:top w:w="105" w:type="dxa"/>
              <w:left w:w="0" w:type="dxa"/>
              <w:bottom w:w="105" w:type="dxa"/>
              <w:right w:w="120" w:type="dxa"/>
            </w:tcMar>
            <w:vAlign w:val="center"/>
            <w:hideMark/>
          </w:tcPr>
          <w:p w14:paraId="0211DBF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02303AD2"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8" w:type="dxa"/>
            <w:shd w:val="clear" w:color="auto" w:fill="auto"/>
            <w:tcMar>
              <w:top w:w="105" w:type="dxa"/>
              <w:left w:w="0" w:type="dxa"/>
              <w:bottom w:w="105" w:type="dxa"/>
              <w:right w:w="120" w:type="dxa"/>
            </w:tcMar>
            <w:vAlign w:val="center"/>
            <w:hideMark/>
          </w:tcPr>
          <w:p w14:paraId="0F4D449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224D051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(6,812.7)</w:t>
            </w:r>
          </w:p>
        </w:tc>
        <w:tc>
          <w:tcPr>
            <w:tcW w:w="1596" w:type="dxa"/>
            <w:shd w:val="clear" w:color="auto" w:fill="auto"/>
            <w:tcMar>
              <w:top w:w="105" w:type="dxa"/>
              <w:left w:w="0" w:type="dxa"/>
              <w:bottom w:w="105" w:type="dxa"/>
              <w:right w:w="120" w:type="dxa"/>
            </w:tcMar>
            <w:vAlign w:val="center"/>
            <w:hideMark/>
          </w:tcPr>
          <w:p w14:paraId="7FC9AE1F"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(79,702.0)</w:t>
            </w:r>
          </w:p>
        </w:tc>
      </w:tr>
      <w:tr w:rsidR="00C93C24" w14:paraId="10E54792"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19C57EF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Other Funds</w:t>
            </w:r>
          </w:p>
        </w:tc>
        <w:tc>
          <w:tcPr>
            <w:tcW w:w="1595" w:type="dxa"/>
            <w:shd w:val="clear" w:color="auto" w:fill="auto"/>
            <w:tcMar>
              <w:top w:w="105" w:type="dxa"/>
              <w:left w:w="0" w:type="dxa"/>
              <w:bottom w:w="105" w:type="dxa"/>
              <w:right w:w="120" w:type="dxa"/>
            </w:tcMar>
            <w:vAlign w:val="center"/>
            <w:hideMark/>
          </w:tcPr>
          <w:p w14:paraId="48A3E4F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4,039.3</w:t>
            </w:r>
          </w:p>
        </w:tc>
        <w:tc>
          <w:tcPr>
            <w:tcW w:w="1596" w:type="dxa"/>
            <w:shd w:val="clear" w:color="auto" w:fill="auto"/>
            <w:tcMar>
              <w:top w:w="105" w:type="dxa"/>
              <w:left w:w="0" w:type="dxa"/>
              <w:bottom w:w="105" w:type="dxa"/>
              <w:right w:w="120" w:type="dxa"/>
            </w:tcMar>
            <w:vAlign w:val="center"/>
            <w:hideMark/>
          </w:tcPr>
          <w:p w14:paraId="529332B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(1,155.7)</w:t>
            </w:r>
          </w:p>
        </w:tc>
        <w:tc>
          <w:tcPr>
            <w:tcW w:w="1598" w:type="dxa"/>
            <w:shd w:val="clear" w:color="auto" w:fill="auto"/>
            <w:tcMar>
              <w:top w:w="105" w:type="dxa"/>
              <w:left w:w="0" w:type="dxa"/>
              <w:bottom w:w="105" w:type="dxa"/>
              <w:right w:w="120" w:type="dxa"/>
            </w:tcMar>
            <w:vAlign w:val="center"/>
            <w:hideMark/>
          </w:tcPr>
          <w:p w14:paraId="740D7AA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(7,808.3)</w:t>
            </w:r>
          </w:p>
        </w:tc>
        <w:tc>
          <w:tcPr>
            <w:tcW w:w="1596" w:type="dxa"/>
            <w:shd w:val="clear" w:color="auto" w:fill="auto"/>
            <w:tcMar>
              <w:top w:w="105" w:type="dxa"/>
              <w:left w:w="0" w:type="dxa"/>
              <w:bottom w:w="105" w:type="dxa"/>
              <w:right w:w="120" w:type="dxa"/>
            </w:tcMar>
            <w:vAlign w:val="center"/>
            <w:hideMark/>
          </w:tcPr>
          <w:p w14:paraId="4427799D"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1,061.7</w:t>
            </w:r>
          </w:p>
        </w:tc>
        <w:tc>
          <w:tcPr>
            <w:tcW w:w="1596" w:type="dxa"/>
            <w:shd w:val="clear" w:color="auto" w:fill="auto"/>
            <w:tcMar>
              <w:top w:w="105" w:type="dxa"/>
              <w:left w:w="0" w:type="dxa"/>
              <w:bottom w:w="105" w:type="dxa"/>
              <w:right w:w="120" w:type="dxa"/>
            </w:tcMar>
            <w:vAlign w:val="center"/>
            <w:hideMark/>
          </w:tcPr>
          <w:p w14:paraId="39715C2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(2,890.3)</w:t>
            </w:r>
          </w:p>
        </w:tc>
      </w:tr>
      <w:tr w:rsidR="00C93C24" w14:paraId="38120071"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46F757B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Other Uses</w:t>
            </w:r>
          </w:p>
        </w:tc>
        <w:tc>
          <w:tcPr>
            <w:tcW w:w="1595" w:type="dxa"/>
            <w:shd w:val="clear" w:color="auto" w:fill="auto"/>
            <w:tcMar>
              <w:top w:w="105" w:type="dxa"/>
              <w:left w:w="0" w:type="dxa"/>
              <w:bottom w:w="105" w:type="dxa"/>
              <w:right w:w="120" w:type="dxa"/>
            </w:tcMar>
            <w:vAlign w:val="center"/>
            <w:hideMark/>
          </w:tcPr>
          <w:p w14:paraId="19ED2A1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(171.9)</w:t>
            </w:r>
          </w:p>
        </w:tc>
        <w:tc>
          <w:tcPr>
            <w:tcW w:w="1596" w:type="dxa"/>
            <w:shd w:val="clear" w:color="auto" w:fill="auto"/>
            <w:tcMar>
              <w:top w:w="105" w:type="dxa"/>
              <w:left w:w="0" w:type="dxa"/>
              <w:bottom w:w="105" w:type="dxa"/>
              <w:right w:w="120" w:type="dxa"/>
            </w:tcMar>
            <w:vAlign w:val="center"/>
            <w:hideMark/>
          </w:tcPr>
          <w:p w14:paraId="3A73FAE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(1,155.7)</w:t>
            </w:r>
          </w:p>
        </w:tc>
        <w:tc>
          <w:tcPr>
            <w:tcW w:w="1598" w:type="dxa"/>
            <w:shd w:val="clear" w:color="auto" w:fill="auto"/>
            <w:tcMar>
              <w:top w:w="105" w:type="dxa"/>
              <w:left w:w="0" w:type="dxa"/>
              <w:bottom w:w="105" w:type="dxa"/>
              <w:right w:w="120" w:type="dxa"/>
            </w:tcMar>
            <w:vAlign w:val="center"/>
            <w:hideMark/>
          </w:tcPr>
          <w:p w14:paraId="0E6CA41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(7,808.3)</w:t>
            </w:r>
          </w:p>
        </w:tc>
        <w:tc>
          <w:tcPr>
            <w:tcW w:w="1596" w:type="dxa"/>
            <w:shd w:val="clear" w:color="auto" w:fill="auto"/>
            <w:tcMar>
              <w:top w:w="105" w:type="dxa"/>
              <w:left w:w="0" w:type="dxa"/>
              <w:bottom w:w="105" w:type="dxa"/>
              <w:right w:w="120" w:type="dxa"/>
            </w:tcMar>
            <w:vAlign w:val="center"/>
            <w:hideMark/>
          </w:tcPr>
          <w:p w14:paraId="78DFE71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(177.0)</w:t>
            </w:r>
          </w:p>
        </w:tc>
        <w:tc>
          <w:tcPr>
            <w:tcW w:w="1596" w:type="dxa"/>
            <w:shd w:val="clear" w:color="auto" w:fill="auto"/>
            <w:tcMar>
              <w:top w:w="105" w:type="dxa"/>
              <w:left w:w="0" w:type="dxa"/>
              <w:bottom w:w="105" w:type="dxa"/>
              <w:right w:w="120" w:type="dxa"/>
            </w:tcMar>
            <w:vAlign w:val="center"/>
            <w:hideMark/>
          </w:tcPr>
          <w:p w14:paraId="40B123F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(2,890.3)</w:t>
            </w:r>
          </w:p>
        </w:tc>
      </w:tr>
      <w:tr w:rsidR="00C93C24" w14:paraId="43643EC8"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25A7BD3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Other Sources</w:t>
            </w:r>
          </w:p>
        </w:tc>
        <w:tc>
          <w:tcPr>
            <w:tcW w:w="1595" w:type="dxa"/>
            <w:shd w:val="clear" w:color="auto" w:fill="auto"/>
            <w:tcMar>
              <w:top w:w="105" w:type="dxa"/>
              <w:left w:w="0" w:type="dxa"/>
              <w:bottom w:w="105" w:type="dxa"/>
              <w:right w:w="120" w:type="dxa"/>
            </w:tcMar>
            <w:vAlign w:val="center"/>
            <w:hideMark/>
          </w:tcPr>
          <w:p w14:paraId="2F1238AD"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4,211.2</w:t>
            </w:r>
          </w:p>
        </w:tc>
        <w:tc>
          <w:tcPr>
            <w:tcW w:w="1596" w:type="dxa"/>
            <w:shd w:val="clear" w:color="auto" w:fill="auto"/>
            <w:tcMar>
              <w:top w:w="105" w:type="dxa"/>
              <w:left w:w="0" w:type="dxa"/>
              <w:bottom w:w="105" w:type="dxa"/>
              <w:right w:w="120" w:type="dxa"/>
            </w:tcMar>
            <w:vAlign w:val="center"/>
            <w:hideMark/>
          </w:tcPr>
          <w:p w14:paraId="691514F2"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8" w:type="dxa"/>
            <w:shd w:val="clear" w:color="auto" w:fill="auto"/>
            <w:tcMar>
              <w:top w:w="105" w:type="dxa"/>
              <w:left w:w="0" w:type="dxa"/>
              <w:bottom w:w="105" w:type="dxa"/>
              <w:right w:w="120" w:type="dxa"/>
            </w:tcMar>
            <w:vAlign w:val="center"/>
            <w:hideMark/>
          </w:tcPr>
          <w:p w14:paraId="68D1686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449FCF4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1,238.7</w:t>
            </w:r>
          </w:p>
        </w:tc>
        <w:tc>
          <w:tcPr>
            <w:tcW w:w="1596" w:type="dxa"/>
            <w:shd w:val="clear" w:color="auto" w:fill="auto"/>
            <w:tcMar>
              <w:top w:w="105" w:type="dxa"/>
              <w:left w:w="0" w:type="dxa"/>
              <w:bottom w:w="105" w:type="dxa"/>
              <w:right w:w="120" w:type="dxa"/>
            </w:tcMar>
            <w:vAlign w:val="center"/>
            <w:hideMark/>
          </w:tcPr>
          <w:p w14:paraId="41DF9AA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r>
      <w:tr w:rsidR="00C93C24" w14:paraId="21190A28"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77C9694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Net Financing Cash Flow</w:t>
            </w:r>
          </w:p>
        </w:tc>
        <w:tc>
          <w:tcPr>
            <w:tcW w:w="1595" w:type="dxa"/>
            <w:shd w:val="clear" w:color="auto" w:fill="auto"/>
            <w:tcMar>
              <w:top w:w="105" w:type="dxa"/>
              <w:left w:w="0" w:type="dxa"/>
              <w:bottom w:w="105" w:type="dxa"/>
              <w:right w:w="120" w:type="dxa"/>
            </w:tcMar>
            <w:vAlign w:val="center"/>
            <w:hideMark/>
          </w:tcPr>
          <w:p w14:paraId="04D8B4D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(237,976.9)</w:t>
            </w:r>
          </w:p>
        </w:tc>
        <w:tc>
          <w:tcPr>
            <w:tcW w:w="1596" w:type="dxa"/>
            <w:shd w:val="clear" w:color="auto" w:fill="auto"/>
            <w:tcMar>
              <w:top w:w="105" w:type="dxa"/>
              <w:left w:w="0" w:type="dxa"/>
              <w:bottom w:w="105" w:type="dxa"/>
              <w:right w:w="120" w:type="dxa"/>
            </w:tcMar>
            <w:vAlign w:val="center"/>
            <w:hideMark/>
          </w:tcPr>
          <w:p w14:paraId="089E734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(641,925.0)</w:t>
            </w:r>
          </w:p>
        </w:tc>
        <w:tc>
          <w:tcPr>
            <w:tcW w:w="1598" w:type="dxa"/>
            <w:shd w:val="clear" w:color="auto" w:fill="auto"/>
            <w:tcMar>
              <w:top w:w="105" w:type="dxa"/>
              <w:left w:w="0" w:type="dxa"/>
              <w:bottom w:w="105" w:type="dxa"/>
              <w:right w:w="120" w:type="dxa"/>
            </w:tcMar>
            <w:vAlign w:val="center"/>
            <w:hideMark/>
          </w:tcPr>
          <w:p w14:paraId="41B81B3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271,008.3</w:t>
            </w:r>
          </w:p>
        </w:tc>
        <w:tc>
          <w:tcPr>
            <w:tcW w:w="1596" w:type="dxa"/>
            <w:shd w:val="clear" w:color="auto" w:fill="auto"/>
            <w:tcMar>
              <w:top w:w="105" w:type="dxa"/>
              <w:left w:w="0" w:type="dxa"/>
              <w:bottom w:w="105" w:type="dxa"/>
              <w:right w:w="120" w:type="dxa"/>
            </w:tcMar>
            <w:vAlign w:val="center"/>
            <w:hideMark/>
          </w:tcPr>
          <w:p w14:paraId="4EF9EDD1"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(207,388.9)</w:t>
            </w:r>
          </w:p>
        </w:tc>
        <w:tc>
          <w:tcPr>
            <w:tcW w:w="1596" w:type="dxa"/>
            <w:shd w:val="clear" w:color="auto" w:fill="auto"/>
            <w:tcMar>
              <w:top w:w="105" w:type="dxa"/>
              <w:left w:w="0" w:type="dxa"/>
              <w:bottom w:w="105" w:type="dxa"/>
              <w:right w:w="120" w:type="dxa"/>
            </w:tcMar>
            <w:vAlign w:val="center"/>
            <w:hideMark/>
          </w:tcPr>
          <w:p w14:paraId="6525520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(88,986.0)</w:t>
            </w:r>
          </w:p>
        </w:tc>
      </w:tr>
      <w:tr w:rsidR="00C93C24" w14:paraId="19963CE5"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58A7532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Net Financing Cash Flow Growth</w:t>
            </w:r>
          </w:p>
        </w:tc>
        <w:tc>
          <w:tcPr>
            <w:tcW w:w="1595" w:type="dxa"/>
            <w:shd w:val="clear" w:color="auto" w:fill="auto"/>
            <w:tcMar>
              <w:top w:w="105" w:type="dxa"/>
              <w:left w:w="0" w:type="dxa"/>
              <w:bottom w:w="105" w:type="dxa"/>
              <w:right w:w="120" w:type="dxa"/>
            </w:tcMar>
            <w:vAlign w:val="center"/>
            <w:hideMark/>
          </w:tcPr>
          <w:p w14:paraId="262F03D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62.93%</w:t>
            </w:r>
          </w:p>
        </w:tc>
        <w:tc>
          <w:tcPr>
            <w:tcW w:w="1596" w:type="dxa"/>
            <w:shd w:val="clear" w:color="auto" w:fill="auto"/>
            <w:tcMar>
              <w:top w:w="105" w:type="dxa"/>
              <w:left w:w="0" w:type="dxa"/>
              <w:bottom w:w="105" w:type="dxa"/>
              <w:right w:w="120" w:type="dxa"/>
            </w:tcMar>
            <w:vAlign w:val="center"/>
            <w:hideMark/>
          </w:tcPr>
          <w:p w14:paraId="74B26FA5"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-336.87%</w:t>
            </w:r>
          </w:p>
        </w:tc>
        <w:tc>
          <w:tcPr>
            <w:tcW w:w="1598" w:type="dxa"/>
            <w:shd w:val="clear" w:color="auto" w:fill="auto"/>
            <w:tcMar>
              <w:top w:w="105" w:type="dxa"/>
              <w:left w:w="0" w:type="dxa"/>
              <w:bottom w:w="105" w:type="dxa"/>
              <w:right w:w="120" w:type="dxa"/>
            </w:tcMar>
            <w:vAlign w:val="center"/>
            <w:hideMark/>
          </w:tcPr>
          <w:p w14:paraId="7C71FD6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230.68%</w:t>
            </w:r>
          </w:p>
        </w:tc>
        <w:tc>
          <w:tcPr>
            <w:tcW w:w="1596" w:type="dxa"/>
            <w:shd w:val="clear" w:color="auto" w:fill="auto"/>
            <w:tcMar>
              <w:top w:w="105" w:type="dxa"/>
              <w:left w:w="0" w:type="dxa"/>
              <w:bottom w:w="105" w:type="dxa"/>
              <w:right w:w="120" w:type="dxa"/>
            </w:tcMar>
            <w:vAlign w:val="center"/>
            <w:hideMark/>
          </w:tcPr>
          <w:p w14:paraId="3C13715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-133.06%</w:t>
            </w:r>
          </w:p>
        </w:tc>
        <w:tc>
          <w:tcPr>
            <w:tcW w:w="1596" w:type="dxa"/>
            <w:shd w:val="clear" w:color="auto" w:fill="auto"/>
            <w:tcMar>
              <w:top w:w="105" w:type="dxa"/>
              <w:left w:w="0" w:type="dxa"/>
              <w:bottom w:w="105" w:type="dxa"/>
              <w:right w:w="120" w:type="dxa"/>
            </w:tcMar>
            <w:vAlign w:val="center"/>
            <w:hideMark/>
          </w:tcPr>
          <w:p w14:paraId="50F032D5"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r>
      <w:tr w:rsidR="00C93C24" w14:paraId="7ED2B34C"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33AAD2E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Net Financing Cash Flow / Sales</w:t>
            </w:r>
          </w:p>
        </w:tc>
        <w:tc>
          <w:tcPr>
            <w:tcW w:w="1595" w:type="dxa"/>
            <w:shd w:val="clear" w:color="auto" w:fill="auto"/>
            <w:tcMar>
              <w:top w:w="105" w:type="dxa"/>
              <w:left w:w="0" w:type="dxa"/>
              <w:bottom w:w="105" w:type="dxa"/>
              <w:right w:w="120" w:type="dxa"/>
            </w:tcMar>
            <w:vAlign w:val="center"/>
            <w:hideMark/>
          </w:tcPr>
          <w:p w14:paraId="3B6A3DE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-3.86%</w:t>
            </w:r>
          </w:p>
        </w:tc>
        <w:tc>
          <w:tcPr>
            <w:tcW w:w="1596" w:type="dxa"/>
            <w:shd w:val="clear" w:color="auto" w:fill="auto"/>
            <w:tcMar>
              <w:top w:w="105" w:type="dxa"/>
              <w:left w:w="0" w:type="dxa"/>
              <w:bottom w:w="105" w:type="dxa"/>
              <w:right w:w="120" w:type="dxa"/>
            </w:tcMar>
            <w:vAlign w:val="center"/>
            <w:hideMark/>
          </w:tcPr>
          <w:p w14:paraId="75D60AD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-11.78%</w:t>
            </w:r>
          </w:p>
        </w:tc>
        <w:tc>
          <w:tcPr>
            <w:tcW w:w="1598" w:type="dxa"/>
            <w:shd w:val="clear" w:color="auto" w:fill="auto"/>
            <w:tcMar>
              <w:top w:w="105" w:type="dxa"/>
              <w:left w:w="0" w:type="dxa"/>
              <w:bottom w:w="105" w:type="dxa"/>
              <w:right w:w="120" w:type="dxa"/>
            </w:tcMar>
            <w:vAlign w:val="center"/>
            <w:hideMark/>
          </w:tcPr>
          <w:p w14:paraId="2F6B4D0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4.40%</w:t>
            </w:r>
          </w:p>
        </w:tc>
        <w:tc>
          <w:tcPr>
            <w:tcW w:w="1596" w:type="dxa"/>
            <w:shd w:val="clear" w:color="auto" w:fill="auto"/>
            <w:tcMar>
              <w:top w:w="105" w:type="dxa"/>
              <w:left w:w="0" w:type="dxa"/>
              <w:bottom w:w="105" w:type="dxa"/>
              <w:right w:w="120" w:type="dxa"/>
            </w:tcMar>
            <w:vAlign w:val="center"/>
            <w:hideMark/>
          </w:tcPr>
          <w:p w14:paraId="4276B486"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-3.52%</w:t>
            </w:r>
          </w:p>
        </w:tc>
        <w:tc>
          <w:tcPr>
            <w:tcW w:w="1596" w:type="dxa"/>
            <w:shd w:val="clear" w:color="auto" w:fill="auto"/>
            <w:tcMar>
              <w:top w:w="105" w:type="dxa"/>
              <w:left w:w="0" w:type="dxa"/>
              <w:bottom w:w="105" w:type="dxa"/>
              <w:right w:w="120" w:type="dxa"/>
            </w:tcMar>
            <w:vAlign w:val="center"/>
            <w:hideMark/>
          </w:tcPr>
          <w:p w14:paraId="5EF84E3F"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-1.56%</w:t>
            </w:r>
          </w:p>
        </w:tc>
      </w:tr>
      <w:tr w:rsidR="00C93C24" w14:paraId="51E9DFC8"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74355DEC"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lastRenderedPageBreak/>
              <w:t>Exchange Rate Effect</w:t>
            </w:r>
          </w:p>
        </w:tc>
        <w:tc>
          <w:tcPr>
            <w:tcW w:w="1595" w:type="dxa"/>
            <w:shd w:val="clear" w:color="auto" w:fill="auto"/>
            <w:tcMar>
              <w:top w:w="105" w:type="dxa"/>
              <w:left w:w="0" w:type="dxa"/>
              <w:bottom w:w="105" w:type="dxa"/>
              <w:right w:w="120" w:type="dxa"/>
            </w:tcMar>
            <w:vAlign w:val="center"/>
            <w:hideMark/>
          </w:tcPr>
          <w:p w14:paraId="3E61158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5,414.4</w:t>
            </w:r>
          </w:p>
        </w:tc>
        <w:tc>
          <w:tcPr>
            <w:tcW w:w="1596" w:type="dxa"/>
            <w:shd w:val="clear" w:color="auto" w:fill="auto"/>
            <w:tcMar>
              <w:top w:w="105" w:type="dxa"/>
              <w:left w:w="0" w:type="dxa"/>
              <w:bottom w:w="105" w:type="dxa"/>
              <w:right w:w="120" w:type="dxa"/>
            </w:tcMar>
            <w:vAlign w:val="center"/>
            <w:hideMark/>
          </w:tcPr>
          <w:p w14:paraId="2D84B4F0"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(18,668.4)</w:t>
            </w:r>
          </w:p>
        </w:tc>
        <w:tc>
          <w:tcPr>
            <w:tcW w:w="1598" w:type="dxa"/>
            <w:shd w:val="clear" w:color="auto" w:fill="auto"/>
            <w:tcMar>
              <w:top w:w="105" w:type="dxa"/>
              <w:left w:w="0" w:type="dxa"/>
              <w:bottom w:w="105" w:type="dxa"/>
              <w:right w:w="120" w:type="dxa"/>
            </w:tcMar>
            <w:vAlign w:val="center"/>
            <w:hideMark/>
          </w:tcPr>
          <w:p w14:paraId="571E388C"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5,088.5</w:t>
            </w:r>
          </w:p>
        </w:tc>
        <w:tc>
          <w:tcPr>
            <w:tcW w:w="1596" w:type="dxa"/>
            <w:shd w:val="clear" w:color="auto" w:fill="auto"/>
            <w:tcMar>
              <w:top w:w="105" w:type="dxa"/>
              <w:left w:w="0" w:type="dxa"/>
              <w:bottom w:w="105" w:type="dxa"/>
              <w:right w:w="120" w:type="dxa"/>
            </w:tcMar>
            <w:vAlign w:val="center"/>
            <w:hideMark/>
          </w:tcPr>
          <w:p w14:paraId="3D6C392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(4,335.3)</w:t>
            </w:r>
          </w:p>
        </w:tc>
        <w:tc>
          <w:tcPr>
            <w:tcW w:w="1596" w:type="dxa"/>
            <w:shd w:val="clear" w:color="auto" w:fill="auto"/>
            <w:tcMar>
              <w:top w:w="105" w:type="dxa"/>
              <w:left w:w="0" w:type="dxa"/>
              <w:bottom w:w="105" w:type="dxa"/>
              <w:right w:w="120" w:type="dxa"/>
            </w:tcMar>
            <w:vAlign w:val="center"/>
            <w:hideMark/>
          </w:tcPr>
          <w:p w14:paraId="7BD8CB3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(21,107.9)</w:t>
            </w:r>
          </w:p>
        </w:tc>
      </w:tr>
      <w:tr w:rsidR="00C93C24" w14:paraId="344DCE51"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143AD38D"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Net Change in Cash</w:t>
            </w:r>
          </w:p>
        </w:tc>
        <w:tc>
          <w:tcPr>
            <w:tcW w:w="1595" w:type="dxa"/>
            <w:shd w:val="clear" w:color="auto" w:fill="auto"/>
            <w:tcMar>
              <w:top w:w="105" w:type="dxa"/>
              <w:left w:w="0" w:type="dxa"/>
              <w:bottom w:w="105" w:type="dxa"/>
              <w:right w:w="120" w:type="dxa"/>
            </w:tcMar>
            <w:vAlign w:val="center"/>
            <w:hideMark/>
          </w:tcPr>
          <w:p w14:paraId="2FD27E2C"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(372,134.3)</w:t>
            </w:r>
          </w:p>
        </w:tc>
        <w:tc>
          <w:tcPr>
            <w:tcW w:w="1596" w:type="dxa"/>
            <w:shd w:val="clear" w:color="auto" w:fill="auto"/>
            <w:tcMar>
              <w:top w:w="105" w:type="dxa"/>
              <w:left w:w="0" w:type="dxa"/>
              <w:bottom w:w="105" w:type="dxa"/>
              <w:right w:w="120" w:type="dxa"/>
            </w:tcMar>
            <w:vAlign w:val="center"/>
            <w:hideMark/>
          </w:tcPr>
          <w:p w14:paraId="393F2F6F"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349,187.3</w:t>
            </w:r>
          </w:p>
        </w:tc>
        <w:tc>
          <w:tcPr>
            <w:tcW w:w="1598" w:type="dxa"/>
            <w:shd w:val="clear" w:color="auto" w:fill="auto"/>
            <w:tcMar>
              <w:top w:w="105" w:type="dxa"/>
              <w:left w:w="0" w:type="dxa"/>
              <w:bottom w:w="105" w:type="dxa"/>
              <w:right w:w="120" w:type="dxa"/>
            </w:tcMar>
            <w:vAlign w:val="center"/>
            <w:hideMark/>
          </w:tcPr>
          <w:p w14:paraId="480B79CF"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97,120.8</w:t>
            </w:r>
          </w:p>
        </w:tc>
        <w:tc>
          <w:tcPr>
            <w:tcW w:w="1596" w:type="dxa"/>
            <w:shd w:val="clear" w:color="auto" w:fill="auto"/>
            <w:tcMar>
              <w:top w:w="105" w:type="dxa"/>
              <w:left w:w="0" w:type="dxa"/>
              <w:bottom w:w="105" w:type="dxa"/>
              <w:right w:w="120" w:type="dxa"/>
            </w:tcMar>
            <w:vAlign w:val="center"/>
            <w:hideMark/>
          </w:tcPr>
          <w:p w14:paraId="7B4CD4C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(9,909.4)</w:t>
            </w:r>
          </w:p>
        </w:tc>
        <w:tc>
          <w:tcPr>
            <w:tcW w:w="1596" w:type="dxa"/>
            <w:shd w:val="clear" w:color="auto" w:fill="auto"/>
            <w:tcMar>
              <w:top w:w="105" w:type="dxa"/>
              <w:left w:w="0" w:type="dxa"/>
              <w:bottom w:w="105" w:type="dxa"/>
              <w:right w:w="120" w:type="dxa"/>
            </w:tcMar>
            <w:vAlign w:val="center"/>
            <w:hideMark/>
          </w:tcPr>
          <w:p w14:paraId="4D8C1403"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131,639.7</w:t>
            </w:r>
          </w:p>
        </w:tc>
      </w:tr>
      <w:tr w:rsidR="00C93C24" w14:paraId="7B53C3D9" w14:textId="77777777" w:rsidTr="00CF0119">
        <w:trPr>
          <w:trHeight w:val="567"/>
          <w:jc w:val="center"/>
        </w:trPr>
        <w:tc>
          <w:tcPr>
            <w:tcW w:w="2221" w:type="dxa"/>
            <w:shd w:val="clear" w:color="auto" w:fill="auto"/>
            <w:tcMar>
              <w:top w:w="105" w:type="dxa"/>
              <w:left w:w="0" w:type="dxa"/>
              <w:bottom w:w="105" w:type="dxa"/>
              <w:right w:w="120" w:type="dxa"/>
            </w:tcMar>
            <w:vAlign w:val="center"/>
            <w:hideMark/>
          </w:tcPr>
          <w:p w14:paraId="27F0CED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Free Cash Flow</w:t>
            </w:r>
          </w:p>
        </w:tc>
        <w:tc>
          <w:tcPr>
            <w:tcW w:w="1595" w:type="dxa"/>
            <w:shd w:val="clear" w:color="auto" w:fill="auto"/>
            <w:tcMar>
              <w:top w:w="105" w:type="dxa"/>
              <w:left w:w="0" w:type="dxa"/>
              <w:bottom w:w="105" w:type="dxa"/>
              <w:right w:w="120" w:type="dxa"/>
            </w:tcMar>
            <w:vAlign w:val="center"/>
            <w:hideMark/>
          </w:tcPr>
          <w:p w14:paraId="5C3C1101"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506,979.3</w:t>
            </w:r>
          </w:p>
        </w:tc>
        <w:tc>
          <w:tcPr>
            <w:tcW w:w="1596" w:type="dxa"/>
            <w:shd w:val="clear" w:color="auto" w:fill="auto"/>
            <w:tcMar>
              <w:top w:w="105" w:type="dxa"/>
              <w:left w:w="0" w:type="dxa"/>
              <w:bottom w:w="105" w:type="dxa"/>
              <w:right w:w="120" w:type="dxa"/>
            </w:tcMar>
            <w:vAlign w:val="center"/>
            <w:hideMark/>
          </w:tcPr>
          <w:p w14:paraId="076539B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424,749.7</w:t>
            </w:r>
          </w:p>
        </w:tc>
        <w:tc>
          <w:tcPr>
            <w:tcW w:w="1598" w:type="dxa"/>
            <w:shd w:val="clear" w:color="auto" w:fill="auto"/>
            <w:tcMar>
              <w:top w:w="105" w:type="dxa"/>
              <w:left w:w="0" w:type="dxa"/>
              <w:bottom w:w="105" w:type="dxa"/>
              <w:right w:w="120" w:type="dxa"/>
            </w:tcMar>
            <w:vAlign w:val="center"/>
            <w:hideMark/>
          </w:tcPr>
          <w:p w14:paraId="5163FFF7"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339,615.8</w:t>
            </w:r>
          </w:p>
        </w:tc>
        <w:tc>
          <w:tcPr>
            <w:tcW w:w="1596" w:type="dxa"/>
            <w:shd w:val="clear" w:color="auto" w:fill="auto"/>
            <w:tcMar>
              <w:top w:w="105" w:type="dxa"/>
              <w:left w:w="0" w:type="dxa"/>
              <w:bottom w:w="105" w:type="dxa"/>
              <w:right w:w="120" w:type="dxa"/>
            </w:tcMar>
            <w:vAlign w:val="center"/>
            <w:hideMark/>
          </w:tcPr>
          <w:p w14:paraId="045F8272"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289,141.3</w:t>
            </w:r>
          </w:p>
        </w:tc>
        <w:tc>
          <w:tcPr>
            <w:tcW w:w="1596" w:type="dxa"/>
            <w:shd w:val="clear" w:color="auto" w:fill="auto"/>
            <w:tcMar>
              <w:top w:w="105" w:type="dxa"/>
              <w:left w:w="0" w:type="dxa"/>
              <w:bottom w:w="105" w:type="dxa"/>
              <w:right w:w="120" w:type="dxa"/>
            </w:tcMar>
            <w:vAlign w:val="center"/>
            <w:hideMark/>
          </w:tcPr>
          <w:p w14:paraId="5F1C0F7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335,536.8</w:t>
            </w:r>
          </w:p>
        </w:tc>
      </w:tr>
      <w:tr w:rsidR="00C93C24" w14:paraId="6C63A599"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578D4DDF"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Free Cash Flow Growth</w:t>
            </w:r>
          </w:p>
        </w:tc>
        <w:tc>
          <w:tcPr>
            <w:tcW w:w="1595" w:type="dxa"/>
            <w:shd w:val="clear" w:color="auto" w:fill="auto"/>
            <w:tcMar>
              <w:top w:w="105" w:type="dxa"/>
              <w:left w:w="0" w:type="dxa"/>
              <w:bottom w:w="105" w:type="dxa"/>
              <w:right w:w="120" w:type="dxa"/>
            </w:tcMar>
            <w:vAlign w:val="center"/>
            <w:hideMark/>
          </w:tcPr>
          <w:p w14:paraId="62F14F8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19.36%</w:t>
            </w:r>
          </w:p>
        </w:tc>
        <w:tc>
          <w:tcPr>
            <w:tcW w:w="1596" w:type="dxa"/>
            <w:shd w:val="clear" w:color="auto" w:fill="auto"/>
            <w:tcMar>
              <w:top w:w="105" w:type="dxa"/>
              <w:left w:w="0" w:type="dxa"/>
              <w:bottom w:w="105" w:type="dxa"/>
              <w:right w:w="120" w:type="dxa"/>
            </w:tcMar>
            <w:vAlign w:val="center"/>
            <w:hideMark/>
          </w:tcPr>
          <w:p w14:paraId="5E850758"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25.07%</w:t>
            </w:r>
          </w:p>
        </w:tc>
        <w:tc>
          <w:tcPr>
            <w:tcW w:w="1598" w:type="dxa"/>
            <w:shd w:val="clear" w:color="auto" w:fill="auto"/>
            <w:tcMar>
              <w:top w:w="105" w:type="dxa"/>
              <w:left w:w="0" w:type="dxa"/>
              <w:bottom w:w="105" w:type="dxa"/>
              <w:right w:w="120" w:type="dxa"/>
            </w:tcMar>
            <w:vAlign w:val="center"/>
            <w:hideMark/>
          </w:tcPr>
          <w:p w14:paraId="3077AD3C"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17.46%</w:t>
            </w:r>
          </w:p>
        </w:tc>
        <w:tc>
          <w:tcPr>
            <w:tcW w:w="1596" w:type="dxa"/>
            <w:shd w:val="clear" w:color="auto" w:fill="auto"/>
            <w:tcMar>
              <w:top w:w="105" w:type="dxa"/>
              <w:left w:w="0" w:type="dxa"/>
              <w:bottom w:w="105" w:type="dxa"/>
              <w:right w:w="120" w:type="dxa"/>
            </w:tcMar>
            <w:vAlign w:val="center"/>
            <w:hideMark/>
          </w:tcPr>
          <w:p w14:paraId="7A3DB0B5"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-13.83%</w:t>
            </w:r>
          </w:p>
        </w:tc>
        <w:tc>
          <w:tcPr>
            <w:tcW w:w="1596" w:type="dxa"/>
            <w:shd w:val="clear" w:color="auto" w:fill="auto"/>
            <w:tcMar>
              <w:top w:w="105" w:type="dxa"/>
              <w:left w:w="0" w:type="dxa"/>
              <w:bottom w:w="105" w:type="dxa"/>
              <w:right w:w="120" w:type="dxa"/>
            </w:tcMar>
            <w:vAlign w:val="center"/>
            <w:hideMark/>
          </w:tcPr>
          <w:p w14:paraId="2BB10EC2"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r>
      <w:tr w:rsidR="00C93C24" w14:paraId="7C48181F" w14:textId="77777777" w:rsidTr="00CF0119">
        <w:trPr>
          <w:trHeight w:val="567"/>
          <w:jc w:val="center"/>
        </w:trPr>
        <w:tc>
          <w:tcPr>
            <w:tcW w:w="2221" w:type="dxa"/>
            <w:shd w:val="clear" w:color="auto" w:fill="auto"/>
            <w:tcMar>
              <w:top w:w="105" w:type="dxa"/>
              <w:left w:w="300" w:type="dxa"/>
              <w:bottom w:w="105" w:type="dxa"/>
              <w:right w:w="120" w:type="dxa"/>
            </w:tcMar>
            <w:vAlign w:val="center"/>
            <w:hideMark/>
          </w:tcPr>
          <w:p w14:paraId="45D4DCE9"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Free Cash Flow Yield</w:t>
            </w:r>
          </w:p>
        </w:tc>
        <w:tc>
          <w:tcPr>
            <w:tcW w:w="1595" w:type="dxa"/>
            <w:shd w:val="clear" w:color="auto" w:fill="auto"/>
            <w:tcMar>
              <w:top w:w="105" w:type="dxa"/>
              <w:left w:w="0" w:type="dxa"/>
              <w:bottom w:w="105" w:type="dxa"/>
              <w:right w:w="120" w:type="dxa"/>
            </w:tcMar>
            <w:vAlign w:val="center"/>
            <w:hideMark/>
          </w:tcPr>
          <w:p w14:paraId="122BBA14"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3.27%</w:t>
            </w:r>
          </w:p>
        </w:tc>
        <w:tc>
          <w:tcPr>
            <w:tcW w:w="1596" w:type="dxa"/>
            <w:shd w:val="clear" w:color="auto" w:fill="auto"/>
            <w:tcMar>
              <w:top w:w="105" w:type="dxa"/>
              <w:left w:w="0" w:type="dxa"/>
              <w:bottom w:w="105" w:type="dxa"/>
              <w:right w:w="120" w:type="dxa"/>
            </w:tcMar>
            <w:vAlign w:val="center"/>
            <w:hideMark/>
          </w:tcPr>
          <w:p w14:paraId="328E462B"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8" w:type="dxa"/>
            <w:shd w:val="clear" w:color="auto" w:fill="auto"/>
            <w:tcMar>
              <w:top w:w="105" w:type="dxa"/>
              <w:left w:w="0" w:type="dxa"/>
              <w:bottom w:w="105" w:type="dxa"/>
              <w:right w:w="120" w:type="dxa"/>
            </w:tcMar>
            <w:vAlign w:val="center"/>
            <w:hideMark/>
          </w:tcPr>
          <w:p w14:paraId="17269C3E"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3F44A7F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c>
          <w:tcPr>
            <w:tcW w:w="1596" w:type="dxa"/>
            <w:shd w:val="clear" w:color="auto" w:fill="auto"/>
            <w:tcMar>
              <w:top w:w="105" w:type="dxa"/>
              <w:left w:w="0" w:type="dxa"/>
              <w:bottom w:w="105" w:type="dxa"/>
              <w:right w:w="120" w:type="dxa"/>
            </w:tcMar>
            <w:vAlign w:val="center"/>
            <w:hideMark/>
          </w:tcPr>
          <w:p w14:paraId="47ECF72A" w14:textId="77777777" w:rsidR="00CF0119" w:rsidRPr="00CF0119" w:rsidRDefault="00000000" w:rsidP="00D80E76">
            <w:pPr>
              <w:spacing w:line="360" w:lineRule="auto"/>
              <w:jc w:val="both"/>
              <w:rPr>
                <w:rFonts w:ascii="Times New Roman" w:eastAsia="Times New Roman" w:hAnsi="Times New Roman" w:cs="Times New Roman"/>
                <w:color w:val="000000" w:themeColor="text1"/>
                <w:sz w:val="24"/>
                <w:szCs w:val="24"/>
                <w:lang w:val="en-IN"/>
              </w:rPr>
            </w:pPr>
            <w:r w:rsidRPr="00CF0119">
              <w:rPr>
                <w:rFonts w:ascii="Times New Roman" w:eastAsia="Times New Roman" w:hAnsi="Times New Roman" w:cs="Times New Roman"/>
                <w:color w:val="000000" w:themeColor="text1"/>
                <w:sz w:val="24"/>
                <w:szCs w:val="24"/>
                <w:lang w:val="en-IN"/>
              </w:rPr>
              <w:t>-</w:t>
            </w:r>
          </w:p>
        </w:tc>
      </w:tr>
    </w:tbl>
    <w:p w14:paraId="298D64A9" w14:textId="16EC3B14" w:rsidR="00CF0119" w:rsidRPr="00D80E76" w:rsidRDefault="00000000" w:rsidP="00D80E76">
      <w:pPr>
        <w:spacing w:line="360" w:lineRule="auto"/>
        <w:jc w:val="center"/>
        <w:rPr>
          <w:rFonts w:ascii="Times New Roman" w:eastAsia="Times New Roman" w:hAnsi="Times New Roman" w:cs="Times New Roman"/>
          <w:b/>
          <w:sz w:val="24"/>
          <w:szCs w:val="24"/>
        </w:rPr>
      </w:pPr>
      <w:r w:rsidRPr="00D80E76">
        <w:rPr>
          <w:rFonts w:ascii="Times New Roman" w:eastAsia="Times New Roman" w:hAnsi="Times New Roman" w:cs="Times New Roman"/>
          <w:b/>
          <w:sz w:val="24"/>
          <w:szCs w:val="24"/>
        </w:rPr>
        <w:t>Table 2: Cash Flow of 5 years from 2017-21</w:t>
      </w:r>
    </w:p>
    <w:p w14:paraId="7FA33A3D" w14:textId="2A9BCAA8" w:rsidR="003652B4" w:rsidRPr="00D80E76" w:rsidRDefault="00000000" w:rsidP="00D80E76">
      <w:pPr>
        <w:spacing w:line="360" w:lineRule="auto"/>
        <w:jc w:val="center"/>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(Source:</w:t>
      </w:r>
      <w:r w:rsidR="005F1375" w:rsidRPr="00D80E76">
        <w:rPr>
          <w:rFonts w:ascii="Times New Roman" w:eastAsia="Times New Roman" w:hAnsi="Times New Roman" w:cs="Times New Roman"/>
          <w:bCs/>
          <w:sz w:val="24"/>
          <w:szCs w:val="24"/>
        </w:rPr>
        <w:t xml:space="preserve"> WSJ, 2022</w:t>
      </w:r>
      <w:r w:rsidRPr="00D80E76">
        <w:rPr>
          <w:rFonts w:ascii="Times New Roman" w:eastAsia="Times New Roman" w:hAnsi="Times New Roman" w:cs="Times New Roman"/>
          <w:bCs/>
          <w:sz w:val="24"/>
          <w:szCs w:val="24"/>
        </w:rPr>
        <w:t>)</w:t>
      </w:r>
    </w:p>
    <w:p w14:paraId="1A93653A" w14:textId="606BD423" w:rsidR="00CF0119"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 xml:space="preserve">From here, NPV can be evaluated and will represent the present cash flow value at the rate of return which is required to compare the initial investment of the Coca-Cola company.  </w:t>
      </w:r>
    </w:p>
    <w:p w14:paraId="00000021" w14:textId="2DFF4BB9" w:rsidR="000F068D" w:rsidRPr="00D80E76" w:rsidRDefault="00000000" w:rsidP="00D80E76">
      <w:pPr>
        <w:pStyle w:val="Heading1"/>
        <w:spacing w:line="360" w:lineRule="auto"/>
        <w:rPr>
          <w:rFonts w:cs="Times New Roman"/>
        </w:rPr>
      </w:pPr>
      <w:bookmarkStart w:id="8" w:name="_Toc110606504"/>
      <w:r w:rsidRPr="00D80E76">
        <w:rPr>
          <w:rFonts w:cs="Times New Roman"/>
        </w:rPr>
        <w:t>Challenges faced by the MNCs at present</w:t>
      </w:r>
      <w:bookmarkEnd w:id="8"/>
    </w:p>
    <w:p w14:paraId="291E0A15" w14:textId="6B1F67FB" w:rsidR="00673C34" w:rsidRPr="00D80E76" w:rsidRDefault="00000000" w:rsidP="00D80E76">
      <w:pPr>
        <w:numPr>
          <w:ilvl w:val="0"/>
          <w:numId w:val="2"/>
        </w:num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b/>
          <w:sz w:val="24"/>
          <w:szCs w:val="24"/>
        </w:rPr>
        <w:t>Political constraints:</w:t>
      </w:r>
      <w:r w:rsidRPr="00D80E76">
        <w:rPr>
          <w:rFonts w:ascii="Times New Roman" w:eastAsia="Times New Roman" w:hAnsi="Times New Roman" w:cs="Times New Roman"/>
          <w:sz w:val="24"/>
          <w:szCs w:val="24"/>
        </w:rPr>
        <w:t xml:space="preserve"> MNCs often face issues regarding political instability. This can arise due to not having a reliable government. As a result, the cost of business increases alongside higher risks. Corruption and fragile legal framework also are barriers to foreign direct investments (</w:t>
      </w:r>
      <w:r w:rsidRPr="00D80E76">
        <w:rPr>
          <w:rFonts w:ascii="Times New Roman" w:hAnsi="Times New Roman" w:cs="Times New Roman"/>
          <w:color w:val="000000" w:themeColor="text1"/>
          <w:sz w:val="24"/>
          <w:szCs w:val="24"/>
          <w:shd w:val="clear" w:color="auto" w:fill="FFFFFF"/>
        </w:rPr>
        <w:t>McLaney, 2005)</w:t>
      </w:r>
      <w:r w:rsidRPr="00D80E76">
        <w:rPr>
          <w:rFonts w:ascii="Times New Roman" w:eastAsia="Times New Roman" w:hAnsi="Times New Roman" w:cs="Times New Roman"/>
          <w:sz w:val="24"/>
          <w:szCs w:val="24"/>
        </w:rPr>
        <w:t>.</w:t>
      </w:r>
    </w:p>
    <w:p w14:paraId="2EE4F834" w14:textId="12AB4EC2" w:rsidR="00673C34" w:rsidRPr="00D80E76" w:rsidRDefault="00000000" w:rsidP="00D80E76">
      <w:pPr>
        <w:numPr>
          <w:ilvl w:val="0"/>
          <w:numId w:val="2"/>
        </w:num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b/>
          <w:sz w:val="24"/>
          <w:szCs w:val="24"/>
        </w:rPr>
        <w:t xml:space="preserve">Existence of imperfect markets: </w:t>
      </w:r>
      <w:r w:rsidRPr="00D80E76">
        <w:rPr>
          <w:rFonts w:ascii="Times New Roman" w:eastAsia="Times New Roman" w:hAnsi="Times New Roman" w:cs="Times New Roman"/>
          <w:sz w:val="24"/>
          <w:szCs w:val="24"/>
        </w:rPr>
        <w:t>Every financial market may not be perfect in terms of local customs, demography, rules, laws, etc. This imperfect information about the markets decreases the ability of a manager to predict the business surroundings (</w:t>
      </w:r>
      <w:r w:rsidRPr="00D80E76">
        <w:rPr>
          <w:rFonts w:ascii="Times New Roman" w:hAnsi="Times New Roman" w:cs="Times New Roman"/>
          <w:color w:val="000000" w:themeColor="text1"/>
          <w:sz w:val="24"/>
          <w:szCs w:val="24"/>
          <w:shd w:val="clear" w:color="auto" w:fill="FFFFFF"/>
        </w:rPr>
        <w:t>Neale and McElroy, 2004)</w:t>
      </w:r>
      <w:r w:rsidRPr="00D80E76">
        <w:rPr>
          <w:rFonts w:ascii="Times New Roman" w:eastAsia="Times New Roman" w:hAnsi="Times New Roman" w:cs="Times New Roman"/>
          <w:sz w:val="24"/>
          <w:szCs w:val="24"/>
        </w:rPr>
        <w:t>.</w:t>
      </w:r>
    </w:p>
    <w:p w14:paraId="06F9BB61" w14:textId="424F4661" w:rsidR="00673C34" w:rsidRPr="00D80E76" w:rsidRDefault="00000000" w:rsidP="00D80E76">
      <w:pPr>
        <w:numPr>
          <w:ilvl w:val="0"/>
          <w:numId w:val="2"/>
        </w:numPr>
        <w:spacing w:line="360" w:lineRule="auto"/>
        <w:jc w:val="both"/>
        <w:rPr>
          <w:rFonts w:ascii="Times New Roman" w:eastAsia="Times New Roman" w:hAnsi="Times New Roman" w:cs="Times New Roman"/>
          <w:sz w:val="24"/>
          <w:szCs w:val="24"/>
        </w:rPr>
      </w:pPr>
      <w:r w:rsidRPr="00D80E76">
        <w:rPr>
          <w:rFonts w:ascii="Times New Roman" w:eastAsia="Times New Roman" w:hAnsi="Times New Roman" w:cs="Times New Roman"/>
          <w:b/>
          <w:sz w:val="24"/>
          <w:szCs w:val="24"/>
        </w:rPr>
        <w:t xml:space="preserve">Competition regarding taxes: </w:t>
      </w:r>
      <w:r w:rsidRPr="00D80E76">
        <w:rPr>
          <w:rFonts w:ascii="Times New Roman" w:eastAsia="Times New Roman" w:hAnsi="Times New Roman" w:cs="Times New Roman"/>
          <w:sz w:val="24"/>
          <w:szCs w:val="24"/>
        </w:rPr>
        <w:t xml:space="preserve">Unstable tax structure can hurt an MNC in terms of its economic activities. Incentives must be offered by the countries and states to the MNC to </w:t>
      </w:r>
      <w:r w:rsidRPr="00D80E76">
        <w:rPr>
          <w:rFonts w:ascii="Times New Roman" w:eastAsia="Times New Roman" w:hAnsi="Times New Roman" w:cs="Times New Roman"/>
          <w:sz w:val="24"/>
          <w:szCs w:val="24"/>
        </w:rPr>
        <w:lastRenderedPageBreak/>
        <w:t>compete with other nations or regions. The burden of tax is also an indicator of the existence of an MNC.</w:t>
      </w:r>
    </w:p>
    <w:p w14:paraId="04B13E5F" w14:textId="5B0AAF39" w:rsidR="00C5322D"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Coca-Cola is said to have created plastic pollution in 6 different countries of the world because of using plastic bottles as containers. This has prevented the company from operating in those countries any further (</w:t>
      </w:r>
      <w:r w:rsidR="005F1375" w:rsidRPr="00D80E76">
        <w:rPr>
          <w:rFonts w:ascii="Times New Roman" w:hAnsi="Times New Roman" w:cs="Times New Roman"/>
          <w:color w:val="000000"/>
          <w:sz w:val="24"/>
          <w:szCs w:val="24"/>
        </w:rPr>
        <w:t>The Guardian, 2022</w:t>
      </w:r>
      <w:r w:rsidRPr="00D80E76">
        <w:rPr>
          <w:rFonts w:ascii="Times New Roman" w:eastAsia="Times New Roman" w:hAnsi="Times New Roman" w:cs="Times New Roman"/>
          <w:bCs/>
          <w:sz w:val="24"/>
          <w:szCs w:val="24"/>
        </w:rPr>
        <w:t>).</w:t>
      </w:r>
    </w:p>
    <w:p w14:paraId="70336CAA" w14:textId="1A714281" w:rsidR="00C5322D"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The company's sales have been hit badly by the pandemic outbreak. Many people in most counties avoided cold drinks to stay away from getting affected. Therefore, sales have dropped in the last two years (</w:t>
      </w:r>
      <w:r w:rsidR="005F1375" w:rsidRPr="00D80E76">
        <w:rPr>
          <w:rFonts w:ascii="Times New Roman" w:eastAsia="Times New Roman" w:hAnsi="Times New Roman" w:cs="Times New Roman"/>
          <w:bCs/>
          <w:sz w:val="24"/>
          <w:szCs w:val="24"/>
        </w:rPr>
        <w:t>Reuters, 2022)</w:t>
      </w:r>
      <w:r w:rsidRPr="00D80E76">
        <w:rPr>
          <w:rFonts w:ascii="Times New Roman" w:eastAsia="Times New Roman" w:hAnsi="Times New Roman" w:cs="Times New Roman"/>
          <w:bCs/>
          <w:sz w:val="24"/>
          <w:szCs w:val="24"/>
        </w:rPr>
        <w:t xml:space="preserve">. </w:t>
      </w:r>
    </w:p>
    <w:p w14:paraId="3608B44D" w14:textId="3A094006" w:rsidR="00673C34"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The company is also said to be facing an inflation challenge as the prices of raw materials are fuel prices have increased significantly, not only in the UK but also all over the world (</w:t>
      </w:r>
      <w:r w:rsidR="005F1375" w:rsidRPr="00D80E76">
        <w:rPr>
          <w:rFonts w:ascii="Times New Roman" w:eastAsia="Times New Roman" w:hAnsi="Times New Roman" w:cs="Times New Roman"/>
          <w:bCs/>
          <w:sz w:val="24"/>
          <w:szCs w:val="24"/>
        </w:rPr>
        <w:t>Ft, 2022</w:t>
      </w:r>
      <w:r w:rsidRPr="00D80E76">
        <w:rPr>
          <w:rFonts w:ascii="Times New Roman" w:eastAsia="Times New Roman" w:hAnsi="Times New Roman" w:cs="Times New Roman"/>
          <w:bCs/>
          <w:sz w:val="24"/>
          <w:szCs w:val="24"/>
        </w:rPr>
        <w:t xml:space="preserve">).  </w:t>
      </w:r>
    </w:p>
    <w:p w14:paraId="00000022" w14:textId="5C38869A" w:rsidR="000F068D" w:rsidRPr="00D80E76" w:rsidRDefault="00000000" w:rsidP="00D80E76">
      <w:pPr>
        <w:pStyle w:val="Heading1"/>
        <w:spacing w:line="360" w:lineRule="auto"/>
        <w:rPr>
          <w:rFonts w:cs="Times New Roman"/>
        </w:rPr>
      </w:pPr>
      <w:bookmarkStart w:id="9" w:name="_Toc110606505"/>
      <w:r w:rsidRPr="00D80E76">
        <w:rPr>
          <w:rFonts w:cs="Times New Roman"/>
        </w:rPr>
        <w:t>Conclusion</w:t>
      </w:r>
      <w:bookmarkEnd w:id="9"/>
      <w:r w:rsidRPr="00D80E76">
        <w:rPr>
          <w:rFonts w:cs="Times New Roman"/>
        </w:rPr>
        <w:t xml:space="preserve"> </w:t>
      </w:r>
    </w:p>
    <w:p w14:paraId="7F90B4F5" w14:textId="6B7F9E50" w:rsidR="005F7672" w:rsidRPr="00D80E76" w:rsidRDefault="00000000" w:rsidP="00D80E76">
      <w:pPr>
        <w:spacing w:line="360" w:lineRule="auto"/>
        <w:jc w:val="both"/>
        <w:rPr>
          <w:rFonts w:ascii="Times New Roman" w:eastAsia="Times New Roman" w:hAnsi="Times New Roman" w:cs="Times New Roman"/>
          <w:bCs/>
          <w:sz w:val="24"/>
          <w:szCs w:val="24"/>
        </w:rPr>
      </w:pPr>
      <w:r w:rsidRPr="00D80E76">
        <w:rPr>
          <w:rFonts w:ascii="Times New Roman" w:eastAsia="Times New Roman" w:hAnsi="Times New Roman" w:cs="Times New Roman"/>
          <w:bCs/>
          <w:sz w:val="24"/>
          <w:szCs w:val="24"/>
        </w:rPr>
        <w:t xml:space="preserve">Coca-Cola's IFM has contributed a lot to risk management internationally. The leadership group has fared well in these situations. The Dividend policy says that it is </w:t>
      </w:r>
      <w:r w:rsidR="00A54DF9" w:rsidRPr="00D80E76">
        <w:rPr>
          <w:rFonts w:ascii="Times New Roman" w:eastAsia="Times New Roman" w:hAnsi="Times New Roman" w:cs="Times New Roman"/>
          <w:bCs/>
          <w:sz w:val="24"/>
          <w:szCs w:val="24"/>
        </w:rPr>
        <w:t xml:space="preserve">quite encouraging for the investors and stakeholders to invest in the Coca-Cola company. Both earnings per share and dividend payments have increased so it is a good indication for them. EMH of the company depicts the factors that reflect the price trends of the Coca-Cola company. The company's cash flow statement evaluated a good value of NPV which says that the company has some good liquidity available as well to meet short-term debts and other financial challenges. But the recent issues have impacted Coca-Cola a lot as its profit has fallen during pandemic periods. But the company will expect to improve these scenes as the </w:t>
      </w:r>
      <w:r w:rsidR="00631131" w:rsidRPr="00D80E76">
        <w:rPr>
          <w:rFonts w:ascii="Times New Roman" w:eastAsia="Times New Roman" w:hAnsi="Times New Roman" w:cs="Times New Roman"/>
          <w:bCs/>
          <w:sz w:val="24"/>
          <w:szCs w:val="24"/>
        </w:rPr>
        <w:t xml:space="preserve">peak of the pandemic is over. </w:t>
      </w:r>
      <w:r w:rsidR="00A54DF9" w:rsidRPr="00D80E76">
        <w:rPr>
          <w:rFonts w:ascii="Times New Roman" w:eastAsia="Times New Roman" w:hAnsi="Times New Roman" w:cs="Times New Roman"/>
          <w:bCs/>
          <w:sz w:val="24"/>
          <w:szCs w:val="24"/>
        </w:rPr>
        <w:t xml:space="preserve">  </w:t>
      </w:r>
    </w:p>
    <w:p w14:paraId="00000023" w14:textId="2D8D499B" w:rsidR="000F068D" w:rsidRPr="00D80E76" w:rsidRDefault="00000000" w:rsidP="00D80E76">
      <w:pPr>
        <w:pStyle w:val="Heading1"/>
        <w:rPr>
          <w:rFonts w:eastAsia="Times New Roman"/>
          <w:szCs w:val="24"/>
        </w:rPr>
      </w:pPr>
      <w:r w:rsidRPr="00D80E76">
        <w:rPr>
          <w:rFonts w:eastAsia="Times New Roman"/>
          <w:szCs w:val="24"/>
        </w:rPr>
        <w:br w:type="page"/>
      </w:r>
      <w:bookmarkStart w:id="10" w:name="_Toc110606506"/>
      <w:r w:rsidRPr="00D80E76">
        <w:lastRenderedPageBreak/>
        <w:t>Reference list</w:t>
      </w:r>
      <w:bookmarkEnd w:id="10"/>
    </w:p>
    <w:p w14:paraId="66EA1864" w14:textId="77777777" w:rsidR="005F1375" w:rsidRPr="00D80E76" w:rsidRDefault="00000000" w:rsidP="00D80E76">
      <w:pPr>
        <w:spacing w:line="360" w:lineRule="auto"/>
        <w:jc w:val="both"/>
        <w:rPr>
          <w:rFonts w:ascii="Times New Roman" w:hAnsi="Times New Roman" w:cs="Times New Roman"/>
          <w:color w:val="000000" w:themeColor="text1"/>
          <w:sz w:val="24"/>
          <w:szCs w:val="24"/>
          <w:shd w:val="clear" w:color="auto" w:fill="FFFFFF"/>
        </w:rPr>
      </w:pPr>
      <w:r w:rsidRPr="00D80E76">
        <w:rPr>
          <w:rFonts w:ascii="Times New Roman" w:hAnsi="Times New Roman" w:cs="Times New Roman"/>
          <w:color w:val="000000" w:themeColor="text1"/>
          <w:sz w:val="24"/>
          <w:szCs w:val="24"/>
          <w:shd w:val="clear" w:color="auto" w:fill="FFFFFF"/>
        </w:rPr>
        <w:t>Arnold, G., 2013. Corporate financial management (pp. 849-902). Harlow: Pearson.</w:t>
      </w:r>
    </w:p>
    <w:p w14:paraId="3DB69882" w14:textId="77777777" w:rsidR="005F1375" w:rsidRPr="00D80E76" w:rsidRDefault="00000000" w:rsidP="00D80E76">
      <w:pPr>
        <w:spacing w:after="180" w:line="360" w:lineRule="auto"/>
        <w:jc w:val="both"/>
        <w:rPr>
          <w:rFonts w:ascii="Times New Roman" w:hAnsi="Times New Roman" w:cs="Times New Roman"/>
          <w:color w:val="000000" w:themeColor="text1"/>
          <w:sz w:val="24"/>
          <w:szCs w:val="24"/>
          <w:shd w:val="clear" w:color="auto" w:fill="FFFFFF"/>
        </w:rPr>
      </w:pPr>
      <w:proofErr w:type="spellStart"/>
      <w:r w:rsidRPr="00D80E76">
        <w:rPr>
          <w:rFonts w:ascii="Times New Roman" w:hAnsi="Times New Roman" w:cs="Times New Roman"/>
          <w:color w:val="000000" w:themeColor="text1"/>
          <w:sz w:val="24"/>
          <w:szCs w:val="24"/>
          <w:shd w:val="clear" w:color="auto" w:fill="FFFFFF"/>
        </w:rPr>
        <w:t>Atrill</w:t>
      </w:r>
      <w:proofErr w:type="spellEnd"/>
      <w:r w:rsidRPr="00D80E76">
        <w:rPr>
          <w:rFonts w:ascii="Times New Roman" w:hAnsi="Times New Roman" w:cs="Times New Roman"/>
          <w:color w:val="000000" w:themeColor="text1"/>
          <w:sz w:val="24"/>
          <w:szCs w:val="24"/>
          <w:shd w:val="clear" w:color="auto" w:fill="FFFFFF"/>
        </w:rPr>
        <w:t>, P., 2017. Financial management for decision makers. Pearson Education Limited.</w:t>
      </w:r>
    </w:p>
    <w:p w14:paraId="21058773" w14:textId="77777777" w:rsidR="005F1375" w:rsidRPr="00D80E76" w:rsidRDefault="00000000" w:rsidP="00D80E76">
      <w:pPr>
        <w:spacing w:line="360" w:lineRule="auto"/>
        <w:jc w:val="both"/>
        <w:rPr>
          <w:rFonts w:ascii="Times New Roman" w:eastAsia="Times New Roman" w:hAnsi="Times New Roman" w:cs="Times New Roman"/>
          <w:color w:val="000000" w:themeColor="text1"/>
          <w:sz w:val="24"/>
          <w:szCs w:val="24"/>
          <w:highlight w:val="white"/>
        </w:rPr>
      </w:pPr>
      <w:r w:rsidRPr="00D80E76">
        <w:rPr>
          <w:rFonts w:ascii="Times New Roman" w:eastAsia="Times New Roman" w:hAnsi="Times New Roman" w:cs="Times New Roman"/>
          <w:color w:val="000000" w:themeColor="text1"/>
          <w:sz w:val="24"/>
          <w:szCs w:val="24"/>
          <w:highlight w:val="white"/>
        </w:rPr>
        <w:t xml:space="preserve">Bekaert, G. and </w:t>
      </w:r>
      <w:proofErr w:type="spellStart"/>
      <w:r w:rsidRPr="00D80E76">
        <w:rPr>
          <w:rFonts w:ascii="Times New Roman" w:eastAsia="Times New Roman" w:hAnsi="Times New Roman" w:cs="Times New Roman"/>
          <w:color w:val="000000" w:themeColor="text1"/>
          <w:sz w:val="24"/>
          <w:szCs w:val="24"/>
          <w:highlight w:val="white"/>
        </w:rPr>
        <w:t>Hodrick</w:t>
      </w:r>
      <w:proofErr w:type="spellEnd"/>
      <w:r w:rsidRPr="00D80E76">
        <w:rPr>
          <w:rFonts w:ascii="Times New Roman" w:eastAsia="Times New Roman" w:hAnsi="Times New Roman" w:cs="Times New Roman"/>
          <w:color w:val="000000" w:themeColor="text1"/>
          <w:sz w:val="24"/>
          <w:szCs w:val="24"/>
          <w:highlight w:val="white"/>
        </w:rPr>
        <w:t>, R., 2017. International financial management. Cambridge University Press.</w:t>
      </w:r>
    </w:p>
    <w:p w14:paraId="6C2A008B" w14:textId="77777777" w:rsidR="005F1375" w:rsidRPr="00D80E76" w:rsidRDefault="00000000" w:rsidP="00D80E76">
      <w:pPr>
        <w:pStyle w:val="NormalWeb"/>
        <w:spacing w:before="0" w:beforeAutospacing="0" w:after="180" w:afterAutospacing="0" w:line="360" w:lineRule="auto"/>
        <w:jc w:val="both"/>
        <w:rPr>
          <w:color w:val="000000"/>
        </w:rPr>
      </w:pPr>
      <w:proofErr w:type="spellStart"/>
      <w:r w:rsidRPr="00D80E76">
        <w:rPr>
          <w:color w:val="000000"/>
        </w:rPr>
        <w:t>Ccep</w:t>
      </w:r>
      <w:proofErr w:type="spellEnd"/>
      <w:r w:rsidRPr="00D80E76">
        <w:rPr>
          <w:color w:val="000000"/>
        </w:rPr>
        <w:t>. 2022. [online] Available at: &lt;https://www.ccep.jobs/manufacturing&gt; [Accessed 5 August 2022].</w:t>
      </w:r>
    </w:p>
    <w:p w14:paraId="2263D66D" w14:textId="77777777" w:rsidR="005F1375" w:rsidRPr="00D80E76" w:rsidRDefault="00000000" w:rsidP="00D80E76">
      <w:pPr>
        <w:pStyle w:val="NormalWeb"/>
        <w:spacing w:before="0" w:beforeAutospacing="0" w:after="180" w:afterAutospacing="0" w:line="360" w:lineRule="auto"/>
        <w:jc w:val="both"/>
        <w:rPr>
          <w:color w:val="000000"/>
        </w:rPr>
      </w:pPr>
      <w:r w:rsidRPr="00D80E76">
        <w:rPr>
          <w:color w:val="000000"/>
        </w:rPr>
        <w:t>Finance.yahoo.com. 2022. Yahoo is part of the Yahoo family of brands. [online] Available at: &lt;https://finance.yahoo.com/news/coca-cola-company-nyse-ko-125413475.html&gt; [Accessed 5 August 2022].</w:t>
      </w:r>
    </w:p>
    <w:p w14:paraId="6B25C5DF" w14:textId="77777777" w:rsidR="005F1375" w:rsidRPr="00D80E76" w:rsidRDefault="00000000" w:rsidP="00D80E76">
      <w:pPr>
        <w:pStyle w:val="NormalWeb"/>
        <w:spacing w:before="0" w:beforeAutospacing="0" w:after="180" w:afterAutospacing="0" w:line="360" w:lineRule="auto"/>
        <w:jc w:val="both"/>
        <w:rPr>
          <w:color w:val="000000"/>
        </w:rPr>
      </w:pPr>
      <w:r w:rsidRPr="00D80E76">
        <w:rPr>
          <w:color w:val="000000"/>
        </w:rPr>
        <w:t>Ft.com. 2022. The world's largest consumer goods groups reveal soaring price rises. [online] Available at: &lt;https://www.ft.com/content/02b58107-a328-458e-97b2-061fa87e5df2&gt; [Accessed 5 August 2022].</w:t>
      </w:r>
    </w:p>
    <w:p w14:paraId="2324F7A5" w14:textId="77777777" w:rsidR="005F1375" w:rsidRPr="00D80E76" w:rsidRDefault="00000000" w:rsidP="00D80E76">
      <w:pPr>
        <w:spacing w:line="360" w:lineRule="auto"/>
        <w:jc w:val="both"/>
        <w:rPr>
          <w:rFonts w:ascii="Times New Roman" w:hAnsi="Times New Roman" w:cs="Times New Roman"/>
          <w:color w:val="000000" w:themeColor="text1"/>
          <w:sz w:val="24"/>
          <w:szCs w:val="24"/>
          <w:shd w:val="clear" w:color="auto" w:fill="FFFFFF"/>
        </w:rPr>
      </w:pPr>
      <w:r w:rsidRPr="00D80E76">
        <w:rPr>
          <w:rFonts w:ascii="Times New Roman" w:hAnsi="Times New Roman" w:cs="Times New Roman"/>
          <w:color w:val="000000" w:themeColor="text1"/>
          <w:sz w:val="24"/>
          <w:szCs w:val="24"/>
          <w:shd w:val="clear" w:color="auto" w:fill="FFFFFF"/>
        </w:rPr>
        <w:t>McLaney, E., 2005. Business finance: theory and practice. Pearson education.</w:t>
      </w:r>
    </w:p>
    <w:p w14:paraId="5C3D43B1" w14:textId="77777777" w:rsidR="005F1375" w:rsidRPr="00D80E76" w:rsidRDefault="00000000" w:rsidP="00D80E76">
      <w:pPr>
        <w:spacing w:line="360" w:lineRule="auto"/>
        <w:jc w:val="both"/>
        <w:rPr>
          <w:rFonts w:ascii="Times New Roman" w:hAnsi="Times New Roman" w:cs="Times New Roman"/>
          <w:color w:val="000000" w:themeColor="text1"/>
          <w:sz w:val="24"/>
          <w:szCs w:val="24"/>
          <w:shd w:val="clear" w:color="auto" w:fill="FFFFFF"/>
        </w:rPr>
      </w:pPr>
      <w:r w:rsidRPr="00D80E76">
        <w:rPr>
          <w:rFonts w:ascii="Times New Roman" w:hAnsi="Times New Roman" w:cs="Times New Roman"/>
          <w:color w:val="000000" w:themeColor="text1"/>
          <w:sz w:val="24"/>
          <w:szCs w:val="24"/>
          <w:shd w:val="clear" w:color="auto" w:fill="FFFFFF"/>
        </w:rPr>
        <w:t>Neale, B. and McElroy, T., 2004. Business finance: a value-based approach. Pearson Education.</w:t>
      </w:r>
    </w:p>
    <w:p w14:paraId="355AB378" w14:textId="77777777" w:rsidR="005F1375" w:rsidRPr="00D80E76" w:rsidRDefault="00000000" w:rsidP="00D80E76">
      <w:pPr>
        <w:spacing w:after="180" w:line="360" w:lineRule="auto"/>
        <w:jc w:val="both"/>
        <w:rPr>
          <w:rFonts w:ascii="Times New Roman" w:hAnsi="Times New Roman" w:cs="Times New Roman"/>
          <w:color w:val="000000" w:themeColor="text1"/>
          <w:sz w:val="24"/>
          <w:szCs w:val="24"/>
          <w:shd w:val="clear" w:color="auto" w:fill="FFFFFF"/>
        </w:rPr>
      </w:pPr>
      <w:r w:rsidRPr="00D80E76">
        <w:rPr>
          <w:rFonts w:ascii="Times New Roman" w:hAnsi="Times New Roman" w:cs="Times New Roman"/>
          <w:color w:val="000000" w:themeColor="text1"/>
          <w:sz w:val="24"/>
          <w:szCs w:val="24"/>
          <w:shd w:val="clear" w:color="auto" w:fill="FFFFFF"/>
        </w:rPr>
        <w:t>Pike, R. and Neale, B., 2006. Corporate finance and investment: decisions &amp; strategies. Pearson Education.</w:t>
      </w:r>
    </w:p>
    <w:p w14:paraId="73A3D816" w14:textId="77777777" w:rsidR="005F1375" w:rsidRPr="00D80E76" w:rsidRDefault="00000000" w:rsidP="00D80E76">
      <w:pPr>
        <w:pStyle w:val="NormalWeb"/>
        <w:spacing w:before="0" w:beforeAutospacing="0" w:after="180" w:afterAutospacing="0" w:line="360" w:lineRule="auto"/>
        <w:jc w:val="both"/>
        <w:rPr>
          <w:color w:val="000000"/>
        </w:rPr>
      </w:pPr>
      <w:r w:rsidRPr="00D80E76">
        <w:rPr>
          <w:color w:val="000000"/>
        </w:rPr>
        <w:t>Reuters. 2022. [online] Available at: &lt;https://www.reuters.com/article/coca-cola-results-idUSL3N2ES2M4&gt; [Accessed 5 August 2022].</w:t>
      </w:r>
    </w:p>
    <w:p w14:paraId="6FA5A77F" w14:textId="77777777" w:rsidR="005F1375" w:rsidRPr="00D80E76" w:rsidRDefault="00000000" w:rsidP="00D80E76">
      <w:pPr>
        <w:pStyle w:val="NormalWeb"/>
        <w:spacing w:before="0" w:beforeAutospacing="0" w:after="180" w:afterAutospacing="0" w:line="360" w:lineRule="auto"/>
        <w:jc w:val="both"/>
        <w:rPr>
          <w:color w:val="000000"/>
        </w:rPr>
      </w:pPr>
      <w:r w:rsidRPr="00D80E76">
        <w:rPr>
          <w:color w:val="000000"/>
        </w:rPr>
        <w:t>The Coca-Cola Company. 2022. Stock Information. [online] Available at: &lt;https://investors.coca-colacompany.com/stock-information&gt; [Accessed 5 August 2022].</w:t>
      </w:r>
    </w:p>
    <w:p w14:paraId="4117955E" w14:textId="77777777" w:rsidR="005F1375" w:rsidRPr="00D80E76" w:rsidRDefault="00000000" w:rsidP="00D80E76">
      <w:pPr>
        <w:pStyle w:val="NormalWeb"/>
        <w:spacing w:before="0" w:beforeAutospacing="0" w:after="180" w:afterAutospacing="0" w:line="360" w:lineRule="auto"/>
        <w:jc w:val="both"/>
        <w:rPr>
          <w:color w:val="000000"/>
        </w:rPr>
      </w:pPr>
      <w:r w:rsidRPr="00D80E76">
        <w:rPr>
          <w:color w:val="000000"/>
        </w:rPr>
        <w:t>The Guardian. 2022. The report reveals the 'massive plastic pollution footprint' of drinks firms. [online] Available at: &lt;https://www.theguardian.com/environment/2020/mar/31/report-reveals-massive-plastic-pollution-footprint-of-drinks-firms&gt; [Accessed 5 August 2022].</w:t>
      </w:r>
    </w:p>
    <w:p w14:paraId="40CA1615" w14:textId="77777777" w:rsidR="005F1375" w:rsidRPr="00D80E76" w:rsidRDefault="00000000" w:rsidP="00D80E76">
      <w:pPr>
        <w:pStyle w:val="NormalWeb"/>
        <w:spacing w:before="0" w:beforeAutospacing="0" w:after="180" w:afterAutospacing="0" w:line="360" w:lineRule="auto"/>
        <w:jc w:val="both"/>
        <w:rPr>
          <w:color w:val="000000"/>
        </w:rPr>
      </w:pPr>
      <w:r w:rsidRPr="00D80E76">
        <w:rPr>
          <w:color w:val="000000"/>
        </w:rPr>
        <w:t>Uk.finance.yahoo.com. 2022. Yahoo is part of the Yahoo family of brands. [online] Available at: &lt;https://uk.finance.yahoo.com/quote/KO/history?period1=1628118533&amp;period2=1659654533&amp;i</w:t>
      </w:r>
      <w:r w:rsidRPr="00D80E76">
        <w:rPr>
          <w:color w:val="000000"/>
        </w:rPr>
        <w:lastRenderedPageBreak/>
        <w:t>nterval=1mo&amp;filter=history&amp;frequency=1mo&amp;includeAdjustedClose=true&gt; [Accessed 5 August 2022].</w:t>
      </w:r>
    </w:p>
    <w:p w14:paraId="23BE02CA" w14:textId="77777777" w:rsidR="005F1375" w:rsidRPr="00D80E76" w:rsidRDefault="00000000" w:rsidP="00D80E76">
      <w:pPr>
        <w:pStyle w:val="NormalWeb"/>
        <w:spacing w:before="0" w:beforeAutospacing="0" w:after="180" w:afterAutospacing="0" w:line="360" w:lineRule="auto"/>
        <w:jc w:val="both"/>
        <w:rPr>
          <w:color w:val="000000"/>
        </w:rPr>
      </w:pPr>
      <w:r w:rsidRPr="00D80E76">
        <w:rPr>
          <w:color w:val="000000"/>
        </w:rPr>
        <w:t>Wsj.com. 2022. [online] Available at: &lt;https://www.wsj.com/market-data/quotes/UK/CCH/financials/annual/cash-flow&gt; [Accessed 5 August 2022].</w:t>
      </w:r>
    </w:p>
    <w:p w14:paraId="2085641A" w14:textId="77777777" w:rsidR="008C2FC8" w:rsidRPr="00D80E76" w:rsidRDefault="008C2FC8" w:rsidP="00D80E76">
      <w:pPr>
        <w:spacing w:after="180" w:line="360" w:lineRule="auto"/>
        <w:jc w:val="both"/>
        <w:rPr>
          <w:rFonts w:ascii="Times New Roman" w:hAnsi="Times New Roman" w:cs="Times New Roman"/>
          <w:color w:val="000000" w:themeColor="text1"/>
          <w:sz w:val="24"/>
          <w:szCs w:val="24"/>
          <w:shd w:val="clear" w:color="auto" w:fill="FFFFFF"/>
        </w:rPr>
      </w:pPr>
    </w:p>
    <w:p w14:paraId="00000024" w14:textId="77777777" w:rsidR="000F068D" w:rsidRPr="00D80E76" w:rsidRDefault="000F068D" w:rsidP="00D80E76">
      <w:pPr>
        <w:spacing w:line="360" w:lineRule="auto"/>
        <w:jc w:val="both"/>
        <w:rPr>
          <w:rFonts w:ascii="Times New Roman" w:eastAsia="Times New Roman" w:hAnsi="Times New Roman" w:cs="Times New Roman"/>
          <w:b/>
          <w:sz w:val="24"/>
          <w:szCs w:val="24"/>
        </w:rPr>
      </w:pPr>
    </w:p>
    <w:sectPr w:rsidR="000F068D" w:rsidRPr="00D80E76" w:rsidSect="00D80E76">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1E41D" w14:textId="77777777" w:rsidR="00026662" w:rsidRDefault="00026662">
      <w:pPr>
        <w:spacing w:line="240" w:lineRule="auto"/>
      </w:pPr>
      <w:r>
        <w:separator/>
      </w:r>
    </w:p>
  </w:endnote>
  <w:endnote w:type="continuationSeparator" w:id="0">
    <w:p w14:paraId="6FE30C72" w14:textId="77777777" w:rsidR="00026662" w:rsidRDefault="00026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31302"/>
      <w:docPartObj>
        <w:docPartGallery w:val="Page Numbers (Bottom of Page)"/>
        <w:docPartUnique/>
      </w:docPartObj>
    </w:sdtPr>
    <w:sdtEndPr>
      <w:rPr>
        <w:noProof/>
      </w:rPr>
    </w:sdtEndPr>
    <w:sdtContent>
      <w:p w14:paraId="4B508B6A" w14:textId="1B969AEA" w:rsidR="00D80E7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1C4C4D" w14:textId="77777777" w:rsidR="00D80E76" w:rsidRDefault="00D80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42F4A" w14:textId="77777777" w:rsidR="00026662" w:rsidRDefault="00026662">
      <w:pPr>
        <w:spacing w:line="240" w:lineRule="auto"/>
      </w:pPr>
      <w:r>
        <w:separator/>
      </w:r>
    </w:p>
  </w:footnote>
  <w:footnote w:type="continuationSeparator" w:id="0">
    <w:p w14:paraId="594414C7" w14:textId="77777777" w:rsidR="00026662" w:rsidRDefault="000266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908"/>
    <w:multiLevelType w:val="multilevel"/>
    <w:tmpl w:val="683078B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235D6765"/>
    <w:multiLevelType w:val="multilevel"/>
    <w:tmpl w:val="AB0463D6"/>
    <w:lvl w:ilvl="0">
      <w:start w:val="1"/>
      <w:numFmt w:val="decimal"/>
      <w:lvlText w:val="%1."/>
      <w:lvlJc w:val="left"/>
      <w:pPr>
        <w:ind w:left="360" w:hanging="360"/>
      </w:pPr>
      <w:rPr>
        <w:rFonts w:ascii="Arial" w:eastAsia="Arial" w:hAnsi="Arial" w:cs="Arial"/>
        <w:b/>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16cid:durableId="2062822993">
    <w:abstractNumId w:val="0"/>
  </w:num>
  <w:num w:numId="2" w16cid:durableId="1318806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68D"/>
    <w:rsid w:val="00026662"/>
    <w:rsid w:val="000B2A14"/>
    <w:rsid w:val="000F068D"/>
    <w:rsid w:val="00103F95"/>
    <w:rsid w:val="001E12D8"/>
    <w:rsid w:val="002D2985"/>
    <w:rsid w:val="003652B4"/>
    <w:rsid w:val="00366895"/>
    <w:rsid w:val="004A182D"/>
    <w:rsid w:val="005F1375"/>
    <w:rsid w:val="005F7672"/>
    <w:rsid w:val="00631131"/>
    <w:rsid w:val="00673C34"/>
    <w:rsid w:val="00730C58"/>
    <w:rsid w:val="007D35D0"/>
    <w:rsid w:val="008C2FC8"/>
    <w:rsid w:val="00A54DF9"/>
    <w:rsid w:val="00B84344"/>
    <w:rsid w:val="00C5322D"/>
    <w:rsid w:val="00C93C24"/>
    <w:rsid w:val="00CF0119"/>
    <w:rsid w:val="00D80E76"/>
    <w:rsid w:val="00E36F25"/>
    <w:rsid w:val="00EC23B4"/>
    <w:rsid w:val="00EE1165"/>
    <w:rsid w:val="00FD06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51AD4"/>
  <w15:docId w15:val="{E8A07300-DADC-4AD5-B725-ED703BD36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 w:eastAsia="en-I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C58"/>
  </w:style>
  <w:style w:type="paragraph" w:styleId="Heading1">
    <w:name w:val="heading 1"/>
    <w:basedOn w:val="Normal"/>
    <w:next w:val="Normal"/>
    <w:link w:val="Heading1Char"/>
    <w:uiPriority w:val="9"/>
    <w:qFormat/>
    <w:rsid w:val="00730C58"/>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30C5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30C58"/>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730C5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30C58"/>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730C58"/>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730C58"/>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730C58"/>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730C58"/>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0C58"/>
    <w:pPr>
      <w:spacing w:after="0" w:line="240" w:lineRule="auto"/>
      <w:contextualSpacing/>
    </w:pPr>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730C58"/>
    <w:pPr>
      <w:numPr>
        <w:ilvl w:val="1"/>
      </w:numPr>
      <w:spacing w:line="240" w:lineRule="auto"/>
    </w:pPr>
    <w:rPr>
      <w:rFonts w:asciiTheme="majorHAnsi" w:eastAsiaTheme="majorEastAsia" w:hAnsiTheme="majorHAnsi" w:cstheme="majorBidi"/>
      <w:sz w:val="24"/>
      <w:szCs w:val="24"/>
    </w:rPr>
  </w:style>
  <w:style w:type="character" w:styleId="Strong">
    <w:name w:val="Strong"/>
    <w:basedOn w:val="DefaultParagraphFont"/>
    <w:uiPriority w:val="22"/>
    <w:qFormat/>
    <w:rsid w:val="00730C58"/>
    <w:rPr>
      <w:b/>
      <w:bCs/>
    </w:rPr>
  </w:style>
  <w:style w:type="character" w:styleId="Hyperlink">
    <w:name w:val="Hyperlink"/>
    <w:basedOn w:val="DefaultParagraphFont"/>
    <w:uiPriority w:val="99"/>
    <w:unhideWhenUsed/>
    <w:rsid w:val="00EE1165"/>
    <w:rPr>
      <w:color w:val="0000FF" w:themeColor="hyperlink"/>
      <w:u w:val="single"/>
    </w:rPr>
  </w:style>
  <w:style w:type="character" w:customStyle="1" w:styleId="UnresolvedMention1">
    <w:name w:val="Unresolved Mention1"/>
    <w:basedOn w:val="DefaultParagraphFont"/>
    <w:uiPriority w:val="99"/>
    <w:semiHidden/>
    <w:unhideWhenUsed/>
    <w:rsid w:val="00EE1165"/>
    <w:rPr>
      <w:color w:val="605E5C"/>
      <w:shd w:val="clear" w:color="auto" w:fill="E1DFDD"/>
    </w:rPr>
  </w:style>
  <w:style w:type="paragraph" w:styleId="NormalWeb">
    <w:name w:val="Normal (Web)"/>
    <w:basedOn w:val="Normal"/>
    <w:uiPriority w:val="99"/>
    <w:semiHidden/>
    <w:unhideWhenUsed/>
    <w:rsid w:val="008C2FC8"/>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D80E76"/>
    <w:pPr>
      <w:tabs>
        <w:tab w:val="center" w:pos="4513"/>
        <w:tab w:val="right" w:pos="9026"/>
      </w:tabs>
      <w:spacing w:line="240" w:lineRule="auto"/>
    </w:pPr>
  </w:style>
  <w:style w:type="character" w:customStyle="1" w:styleId="HeaderChar">
    <w:name w:val="Header Char"/>
    <w:basedOn w:val="DefaultParagraphFont"/>
    <w:link w:val="Header"/>
    <w:uiPriority w:val="99"/>
    <w:rsid w:val="00D80E76"/>
  </w:style>
  <w:style w:type="paragraph" w:styleId="Footer">
    <w:name w:val="footer"/>
    <w:basedOn w:val="Normal"/>
    <w:link w:val="FooterChar"/>
    <w:uiPriority w:val="99"/>
    <w:unhideWhenUsed/>
    <w:rsid w:val="00D80E76"/>
    <w:pPr>
      <w:tabs>
        <w:tab w:val="center" w:pos="4513"/>
        <w:tab w:val="right" w:pos="9026"/>
      </w:tabs>
      <w:spacing w:line="240" w:lineRule="auto"/>
    </w:pPr>
  </w:style>
  <w:style w:type="character" w:customStyle="1" w:styleId="FooterChar">
    <w:name w:val="Footer Char"/>
    <w:basedOn w:val="DefaultParagraphFont"/>
    <w:link w:val="Footer"/>
    <w:uiPriority w:val="99"/>
    <w:rsid w:val="00D80E76"/>
  </w:style>
  <w:style w:type="paragraph" w:styleId="TOCHeading">
    <w:name w:val="TOC Heading"/>
    <w:basedOn w:val="Heading1"/>
    <w:next w:val="Normal"/>
    <w:uiPriority w:val="39"/>
    <w:unhideWhenUsed/>
    <w:qFormat/>
    <w:rsid w:val="00730C58"/>
    <w:pPr>
      <w:outlineLvl w:val="9"/>
    </w:pPr>
  </w:style>
  <w:style w:type="paragraph" w:styleId="TOC1">
    <w:name w:val="toc 1"/>
    <w:basedOn w:val="Normal"/>
    <w:next w:val="Normal"/>
    <w:autoRedefine/>
    <w:uiPriority w:val="39"/>
    <w:unhideWhenUsed/>
    <w:rsid w:val="00D80E76"/>
    <w:pPr>
      <w:spacing w:after="100"/>
    </w:pPr>
  </w:style>
  <w:style w:type="paragraph" w:styleId="TOC2">
    <w:name w:val="toc 2"/>
    <w:basedOn w:val="Normal"/>
    <w:next w:val="Normal"/>
    <w:autoRedefine/>
    <w:uiPriority w:val="39"/>
    <w:unhideWhenUsed/>
    <w:rsid w:val="00D80E76"/>
    <w:pPr>
      <w:spacing w:after="100"/>
      <w:ind w:left="220"/>
    </w:pPr>
  </w:style>
  <w:style w:type="character" w:customStyle="1" w:styleId="Heading1Char">
    <w:name w:val="Heading 1 Char"/>
    <w:basedOn w:val="DefaultParagraphFont"/>
    <w:link w:val="Heading1"/>
    <w:uiPriority w:val="9"/>
    <w:rsid w:val="00730C5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30C5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30C58"/>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730C5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30C58"/>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730C58"/>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730C58"/>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730C58"/>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730C58"/>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730C58"/>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730C58"/>
    <w:rPr>
      <w:rFonts w:asciiTheme="majorHAnsi" w:eastAsiaTheme="majorEastAsia" w:hAnsiTheme="majorHAnsi" w:cstheme="majorBidi"/>
      <w:color w:val="4F81BD" w:themeColor="accent1"/>
      <w:spacing w:val="-10"/>
      <w:sz w:val="56"/>
      <w:szCs w:val="56"/>
    </w:rPr>
  </w:style>
  <w:style w:type="character" w:customStyle="1" w:styleId="SubtitleChar">
    <w:name w:val="Subtitle Char"/>
    <w:basedOn w:val="DefaultParagraphFont"/>
    <w:link w:val="Subtitle"/>
    <w:uiPriority w:val="11"/>
    <w:rsid w:val="00730C58"/>
    <w:rPr>
      <w:rFonts w:asciiTheme="majorHAnsi" w:eastAsiaTheme="majorEastAsia" w:hAnsiTheme="majorHAnsi" w:cstheme="majorBidi"/>
      <w:sz w:val="24"/>
      <w:szCs w:val="24"/>
    </w:rPr>
  </w:style>
  <w:style w:type="character" w:styleId="Emphasis">
    <w:name w:val="Emphasis"/>
    <w:basedOn w:val="DefaultParagraphFont"/>
    <w:uiPriority w:val="20"/>
    <w:qFormat/>
    <w:rsid w:val="00730C58"/>
    <w:rPr>
      <w:i/>
      <w:iCs/>
    </w:rPr>
  </w:style>
  <w:style w:type="paragraph" w:styleId="NoSpacing">
    <w:name w:val="No Spacing"/>
    <w:uiPriority w:val="1"/>
    <w:qFormat/>
    <w:rsid w:val="00730C58"/>
    <w:pPr>
      <w:spacing w:after="0" w:line="240" w:lineRule="auto"/>
    </w:pPr>
  </w:style>
  <w:style w:type="paragraph" w:styleId="Quote">
    <w:name w:val="Quote"/>
    <w:basedOn w:val="Normal"/>
    <w:next w:val="Normal"/>
    <w:link w:val="QuoteChar"/>
    <w:uiPriority w:val="29"/>
    <w:qFormat/>
    <w:rsid w:val="00730C5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30C58"/>
    <w:rPr>
      <w:i/>
      <w:iCs/>
      <w:color w:val="404040" w:themeColor="text1" w:themeTint="BF"/>
    </w:rPr>
  </w:style>
  <w:style w:type="paragraph" w:styleId="IntenseQuote">
    <w:name w:val="Intense Quote"/>
    <w:basedOn w:val="Normal"/>
    <w:next w:val="Normal"/>
    <w:link w:val="IntenseQuoteChar"/>
    <w:uiPriority w:val="30"/>
    <w:qFormat/>
    <w:rsid w:val="00730C58"/>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730C58"/>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730C58"/>
    <w:rPr>
      <w:i/>
      <w:iCs/>
      <w:color w:val="404040" w:themeColor="text1" w:themeTint="BF"/>
    </w:rPr>
  </w:style>
  <w:style w:type="character" w:styleId="IntenseEmphasis">
    <w:name w:val="Intense Emphasis"/>
    <w:basedOn w:val="DefaultParagraphFont"/>
    <w:uiPriority w:val="21"/>
    <w:qFormat/>
    <w:rsid w:val="00730C58"/>
    <w:rPr>
      <w:b/>
      <w:bCs/>
      <w:i/>
      <w:iCs/>
    </w:rPr>
  </w:style>
  <w:style w:type="character" w:styleId="SubtleReference">
    <w:name w:val="Subtle Reference"/>
    <w:basedOn w:val="DefaultParagraphFont"/>
    <w:uiPriority w:val="31"/>
    <w:qFormat/>
    <w:rsid w:val="00730C5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30C58"/>
    <w:rPr>
      <w:b/>
      <w:bCs/>
      <w:smallCaps/>
      <w:spacing w:val="5"/>
      <w:u w:val="single"/>
    </w:rPr>
  </w:style>
  <w:style w:type="character" w:styleId="BookTitle">
    <w:name w:val="Book Title"/>
    <w:basedOn w:val="DefaultParagraphFont"/>
    <w:uiPriority w:val="33"/>
    <w:qFormat/>
    <w:rsid w:val="00730C58"/>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2CA4D-9A59-48C1-9A8D-93724639C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Cașu</dc:creator>
  <cp:lastModifiedBy>Marin Cașu</cp:lastModifiedBy>
  <cp:revision>3</cp:revision>
  <dcterms:created xsi:type="dcterms:W3CDTF">2022-08-05T19:39:00Z</dcterms:created>
  <dcterms:modified xsi:type="dcterms:W3CDTF">2022-08-05T19:50:00Z</dcterms:modified>
</cp:coreProperties>
</file>