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8F7C5" w14:textId="77777777" w:rsidR="001B2175" w:rsidRDefault="008F1595" w:rsidP="007E33E2">
      <w:pPr>
        <w:spacing w:after="233" w:line="360" w:lineRule="auto"/>
        <w:ind w:left="1496"/>
      </w:pPr>
      <w:r>
        <w:rPr>
          <w:noProof/>
        </w:rPr>
        <w:drawing>
          <wp:inline distT="0" distB="0" distL="0" distR="0" wp14:anchorId="31507530" wp14:editId="76AC6FCD">
            <wp:extent cx="7485888" cy="3605784"/>
            <wp:effectExtent l="0" t="0" r="0" b="0"/>
            <wp:docPr id="4216" name="Picture 4216"/>
            <wp:cNvGraphicFramePr/>
            <a:graphic xmlns:a="http://schemas.openxmlformats.org/drawingml/2006/main">
              <a:graphicData uri="http://schemas.openxmlformats.org/drawingml/2006/picture">
                <pic:pic xmlns:pic="http://schemas.openxmlformats.org/drawingml/2006/picture">
                  <pic:nvPicPr>
                    <pic:cNvPr id="4216" name="Picture 4216"/>
                    <pic:cNvPicPr/>
                  </pic:nvPicPr>
                  <pic:blipFill>
                    <a:blip r:embed="rId7"/>
                    <a:stretch>
                      <a:fillRect/>
                    </a:stretch>
                  </pic:blipFill>
                  <pic:spPr>
                    <a:xfrm>
                      <a:off x="0" y="0"/>
                      <a:ext cx="7485888" cy="3605784"/>
                    </a:xfrm>
                    <a:prstGeom prst="rect">
                      <a:avLst/>
                    </a:prstGeom>
                  </pic:spPr>
                </pic:pic>
              </a:graphicData>
            </a:graphic>
          </wp:inline>
        </w:drawing>
      </w:r>
    </w:p>
    <w:p w14:paraId="2115F326" w14:textId="77777777" w:rsidR="001B2175" w:rsidRDefault="008F1595" w:rsidP="007E33E2">
      <w:pPr>
        <w:spacing w:after="0" w:line="360" w:lineRule="auto"/>
        <w:ind w:left="3355" w:hanging="10"/>
      </w:pPr>
      <w:r>
        <w:rPr>
          <w:rFonts w:ascii="Arial" w:eastAsia="Arial" w:hAnsi="Arial" w:cs="Arial"/>
          <w:sz w:val="92"/>
        </w:rPr>
        <w:lastRenderedPageBreak/>
        <w:t>The first 1000 days What Are the First 1000 Days?</w:t>
      </w:r>
    </w:p>
    <w:p w14:paraId="0E383B5C" w14:textId="660A87A6" w:rsidR="001B2175" w:rsidRDefault="008F1595" w:rsidP="007E33E2">
      <w:pPr>
        <w:spacing w:after="247" w:line="360" w:lineRule="auto"/>
        <w:ind w:left="828" w:right="562"/>
      </w:pPr>
      <w:r>
        <w:rPr>
          <w:noProof/>
        </w:rPr>
        <w:lastRenderedPageBreak/>
        <w:drawing>
          <wp:anchor distT="0" distB="0" distL="114300" distR="114300" simplePos="0" relativeHeight="251658240" behindDoc="0" locked="0" layoutInCell="1" allowOverlap="0" wp14:anchorId="504A029C" wp14:editId="4252ED2B">
            <wp:simplePos x="0" y="0"/>
            <wp:positionH relativeFrom="column">
              <wp:posOffset>5092636</wp:posOffset>
            </wp:positionH>
            <wp:positionV relativeFrom="paragraph">
              <wp:posOffset>-37212</wp:posOffset>
            </wp:positionV>
            <wp:extent cx="3930040" cy="3834765"/>
            <wp:effectExtent l="0" t="0" r="0" b="0"/>
            <wp:wrapSquare wrapText="bothSides"/>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8"/>
                    <a:stretch>
                      <a:fillRect/>
                    </a:stretch>
                  </pic:blipFill>
                  <pic:spPr>
                    <a:xfrm>
                      <a:off x="0" y="0"/>
                      <a:ext cx="3930040" cy="3834765"/>
                    </a:xfrm>
                    <a:prstGeom prst="rect">
                      <a:avLst/>
                    </a:prstGeom>
                  </pic:spPr>
                </pic:pic>
              </a:graphicData>
            </a:graphic>
          </wp:anchor>
        </w:drawing>
      </w:r>
    </w:p>
    <w:p w14:paraId="3337435D" w14:textId="77777777" w:rsidR="0014004F" w:rsidRDefault="0014004F" w:rsidP="007E33E2">
      <w:pPr>
        <w:spacing w:after="247" w:line="360" w:lineRule="auto"/>
        <w:ind w:left="828" w:right="562"/>
      </w:pPr>
    </w:p>
    <w:p w14:paraId="6EC6DDD4" w14:textId="77777777" w:rsidR="0014004F" w:rsidRDefault="0014004F" w:rsidP="007E33E2">
      <w:pPr>
        <w:spacing w:after="247" w:line="360" w:lineRule="auto"/>
        <w:ind w:left="828" w:right="562"/>
      </w:pPr>
    </w:p>
    <w:p w14:paraId="4A5CB4B3" w14:textId="77777777" w:rsidR="0014004F" w:rsidRDefault="0014004F" w:rsidP="007E33E2">
      <w:pPr>
        <w:spacing w:after="247" w:line="360" w:lineRule="auto"/>
        <w:ind w:left="828" w:right="562"/>
      </w:pPr>
    </w:p>
    <w:p w14:paraId="7B3A4CEA" w14:textId="77777777" w:rsidR="0014004F" w:rsidRDefault="0014004F" w:rsidP="007E33E2">
      <w:pPr>
        <w:spacing w:after="247" w:line="360" w:lineRule="auto"/>
        <w:ind w:left="828" w:right="562"/>
      </w:pPr>
    </w:p>
    <w:p w14:paraId="19E20599" w14:textId="77777777" w:rsidR="0014004F" w:rsidRDefault="0014004F" w:rsidP="007E33E2">
      <w:pPr>
        <w:spacing w:after="247" w:line="360" w:lineRule="auto"/>
        <w:ind w:left="828" w:right="562"/>
      </w:pPr>
    </w:p>
    <w:p w14:paraId="2DDC464D" w14:textId="77777777" w:rsidR="0014004F" w:rsidRDefault="0014004F" w:rsidP="007E33E2">
      <w:pPr>
        <w:spacing w:after="247" w:line="360" w:lineRule="auto"/>
        <w:ind w:left="828" w:right="562"/>
      </w:pPr>
    </w:p>
    <w:p w14:paraId="6B979E89" w14:textId="77777777" w:rsidR="0014004F" w:rsidRDefault="0014004F" w:rsidP="007E33E2">
      <w:pPr>
        <w:spacing w:after="247" w:line="360" w:lineRule="auto"/>
        <w:ind w:left="828" w:right="562"/>
      </w:pPr>
    </w:p>
    <w:p w14:paraId="3B4684C6" w14:textId="77777777" w:rsidR="0014004F" w:rsidRDefault="0014004F" w:rsidP="007E33E2">
      <w:pPr>
        <w:spacing w:after="247" w:line="360" w:lineRule="auto"/>
        <w:ind w:left="828" w:right="562"/>
      </w:pPr>
    </w:p>
    <w:p w14:paraId="5FDBA459" w14:textId="77777777" w:rsidR="0014004F" w:rsidRDefault="0014004F" w:rsidP="007E33E2">
      <w:pPr>
        <w:spacing w:after="247" w:line="360" w:lineRule="auto"/>
        <w:ind w:left="828" w:right="562"/>
      </w:pPr>
    </w:p>
    <w:p w14:paraId="20BFA0D2" w14:textId="77777777" w:rsidR="0014004F" w:rsidRDefault="0014004F" w:rsidP="007E33E2">
      <w:pPr>
        <w:spacing w:after="247" w:line="360" w:lineRule="auto"/>
        <w:ind w:left="828" w:right="562"/>
      </w:pPr>
    </w:p>
    <w:p w14:paraId="3E10858C" w14:textId="77777777" w:rsidR="0014004F" w:rsidRDefault="0014004F" w:rsidP="007E33E2">
      <w:pPr>
        <w:pStyle w:val="p1"/>
        <w:spacing w:line="360" w:lineRule="auto"/>
      </w:pPr>
      <w:r>
        <w:rPr>
          <w:rStyle w:val="s1"/>
        </w:rPr>
        <w:t xml:space="preserve">The term </w:t>
      </w:r>
      <w:r>
        <w:rPr>
          <w:rStyle w:val="s2"/>
        </w:rPr>
        <w:t>“first 1000 days”</w:t>
      </w:r>
      <w:r>
        <w:rPr>
          <w:rStyle w:val="s1"/>
        </w:rPr>
        <w:t xml:space="preserve"> refers to the period from conception to a child’s second birthday. This stage is widely recognised as one of the most critical phases in human development, as it lays the foundation for a child’s future health, learning, and wellbeing. During this time, the brain develops at an extraordinary rate, forming millions of neural connections every second. These early connections are shaped by a combination of genetic factors and environmental influences, meaning that both nature and nurture play a vital role.</w:t>
      </w:r>
    </w:p>
    <w:p w14:paraId="1AE02E8B" w14:textId="77777777" w:rsidR="0014004F" w:rsidRDefault="0014004F" w:rsidP="007E33E2">
      <w:pPr>
        <w:pStyle w:val="p2"/>
        <w:spacing w:line="360" w:lineRule="auto"/>
      </w:pPr>
    </w:p>
    <w:p w14:paraId="25664671" w14:textId="77777777" w:rsidR="0014004F" w:rsidRDefault="0014004F" w:rsidP="007E33E2">
      <w:pPr>
        <w:pStyle w:val="p1"/>
        <w:spacing w:line="360" w:lineRule="auto"/>
      </w:pPr>
      <w:r>
        <w:rPr>
          <w:rStyle w:val="s1"/>
        </w:rPr>
        <w:t>From pregnancy onwards, a child’s development is influenced by the care and experiences they receive. Factors such as maternal health, nutrition, and emotional wellbeing can have a direct impact on the baby’s development before birth. After birth, consistent care, responsive interactions, and a safe environment become essential in supporting physical growth and cognitive development. Positive early experiences, such as being spoken to, comforted, and engaged in play, help to strengthen brain development and build secure attachments.</w:t>
      </w:r>
    </w:p>
    <w:p w14:paraId="185D4DAE" w14:textId="77777777" w:rsidR="0014004F" w:rsidRDefault="0014004F" w:rsidP="007E33E2">
      <w:pPr>
        <w:spacing w:after="247" w:line="360" w:lineRule="auto"/>
        <w:ind w:left="828" w:right="562"/>
      </w:pPr>
    </w:p>
    <w:p w14:paraId="59FF629B" w14:textId="6237403D" w:rsidR="00A706D9" w:rsidRDefault="00A706D9" w:rsidP="007E33E2">
      <w:pPr>
        <w:pStyle w:val="p1"/>
        <w:spacing w:line="360" w:lineRule="auto"/>
      </w:pPr>
      <w:r>
        <w:rPr>
          <w:rStyle w:val="s1"/>
        </w:rPr>
        <w:t>The importance of the first 1000 days lies in its long</w:t>
      </w:r>
      <w:r w:rsidR="007E33E2">
        <w:rPr>
          <w:rStyle w:val="s1"/>
        </w:rPr>
        <w:t xml:space="preserve"> </w:t>
      </w:r>
      <w:r>
        <w:rPr>
          <w:rStyle w:val="s1"/>
        </w:rPr>
        <w:t>term impact. Research shows that early experiences can shape a child’s ability to learn, form relationships, and manage emotions throughout their life. When children receive nurturing, responsive care, they are more likely to develop confidence, resilience, and strong social skills. In contrast, negative experiences such as neglect, poor nutrition, or exposure to stress can disrupt development and increase the risk of difficulties later in life, including emotional, behavioural, and health problems.</w:t>
      </w:r>
    </w:p>
    <w:p w14:paraId="3576C2FB" w14:textId="77777777" w:rsidR="00A706D9" w:rsidRDefault="00A706D9" w:rsidP="007E33E2">
      <w:pPr>
        <w:pStyle w:val="p2"/>
        <w:spacing w:line="360" w:lineRule="auto"/>
      </w:pPr>
    </w:p>
    <w:p w14:paraId="2822D587" w14:textId="77777777" w:rsidR="00A706D9" w:rsidRDefault="00A706D9" w:rsidP="007E33E2">
      <w:pPr>
        <w:pStyle w:val="p1"/>
        <w:spacing w:line="360" w:lineRule="auto"/>
      </w:pPr>
      <w:r>
        <w:rPr>
          <w:rStyle w:val="s1"/>
        </w:rPr>
        <w:t>This period is also significant because it provides an opportunity for early intervention. Supporting families, promoting positive parenting, and ensuring access to quality early years care can greatly improve outcomes for children. Early years practitioners play a key role in this process by creating nurturing environments and working in partnership with families to meet each child’s individual needs.</w:t>
      </w:r>
    </w:p>
    <w:p w14:paraId="7FBD6AB5" w14:textId="77777777" w:rsidR="00A706D9" w:rsidRDefault="00A706D9" w:rsidP="007E33E2">
      <w:pPr>
        <w:pStyle w:val="p1"/>
        <w:spacing w:line="360" w:lineRule="auto"/>
      </w:pPr>
      <w:r>
        <w:rPr>
          <w:rStyle w:val="s1"/>
        </w:rPr>
        <w:t>Overall, the first 1000 days are a unique window of opportunity where the right support and care can have a lifelong positive impact. Understanding its importance helps practitioners and caregivers provide the best possible start for every child, ensuring they have the foundations needed to thrive.</w:t>
      </w:r>
    </w:p>
    <w:p w14:paraId="33E24538" w14:textId="77777777" w:rsidR="00E51B6B" w:rsidRDefault="00E51B6B" w:rsidP="007E33E2">
      <w:pPr>
        <w:spacing w:after="247" w:line="360" w:lineRule="auto"/>
        <w:ind w:left="828" w:right="562"/>
      </w:pPr>
    </w:p>
    <w:p w14:paraId="1E49E229" w14:textId="77777777" w:rsidR="001B2175" w:rsidRDefault="008F1595" w:rsidP="007E33E2">
      <w:pPr>
        <w:spacing w:after="8" w:line="360" w:lineRule="auto"/>
        <w:ind w:left="1857" w:right="565" w:hanging="10"/>
      </w:pPr>
      <w:r>
        <w:rPr>
          <w:noProof/>
        </w:rPr>
        <w:lastRenderedPageBreak/>
        <w:drawing>
          <wp:anchor distT="0" distB="0" distL="114300" distR="114300" simplePos="0" relativeHeight="251659264" behindDoc="0" locked="0" layoutInCell="1" allowOverlap="0" wp14:anchorId="026163F1" wp14:editId="6D43B571">
            <wp:simplePos x="0" y="0"/>
            <wp:positionH relativeFrom="column">
              <wp:posOffset>5091507</wp:posOffset>
            </wp:positionH>
            <wp:positionV relativeFrom="paragraph">
              <wp:posOffset>-1741548</wp:posOffset>
            </wp:positionV>
            <wp:extent cx="3931921" cy="4733545"/>
            <wp:effectExtent l="0" t="0" r="0" b="0"/>
            <wp:wrapSquare wrapText="bothSides"/>
            <wp:docPr id="4217" name="Picture 4217"/>
            <wp:cNvGraphicFramePr/>
            <a:graphic xmlns:a="http://schemas.openxmlformats.org/drawingml/2006/main">
              <a:graphicData uri="http://schemas.openxmlformats.org/drawingml/2006/picture">
                <pic:pic xmlns:pic="http://schemas.openxmlformats.org/drawingml/2006/picture">
                  <pic:nvPicPr>
                    <pic:cNvPr id="4217" name="Picture 4217"/>
                    <pic:cNvPicPr/>
                  </pic:nvPicPr>
                  <pic:blipFill>
                    <a:blip r:embed="rId9"/>
                    <a:stretch>
                      <a:fillRect/>
                    </a:stretch>
                  </pic:blipFill>
                  <pic:spPr>
                    <a:xfrm>
                      <a:off x="0" y="0"/>
                      <a:ext cx="3931921" cy="4733545"/>
                    </a:xfrm>
                    <a:prstGeom prst="rect">
                      <a:avLst/>
                    </a:prstGeom>
                  </pic:spPr>
                </pic:pic>
              </a:graphicData>
            </a:graphic>
          </wp:anchor>
        </w:drawing>
      </w:r>
      <w:r>
        <w:rPr>
          <w:rFonts w:ascii="Arial" w:eastAsia="Arial" w:hAnsi="Arial" w:cs="Arial"/>
          <w:sz w:val="69"/>
        </w:rPr>
        <w:t xml:space="preserve">Care giving :  </w:t>
      </w:r>
    </w:p>
    <w:p w14:paraId="1375F90B" w14:textId="77777777" w:rsidR="001B2175" w:rsidRDefault="008F1595" w:rsidP="007E33E2">
      <w:pPr>
        <w:spacing w:after="0" w:line="360" w:lineRule="auto"/>
        <w:ind w:right="565"/>
        <w:jc w:val="center"/>
      </w:pPr>
      <w:r>
        <w:rPr>
          <w:rFonts w:ascii="Arial" w:eastAsia="Arial" w:hAnsi="Arial" w:cs="Arial"/>
          <w:sz w:val="45"/>
        </w:rPr>
        <w:t xml:space="preserve">Exceptional Care </w:t>
      </w:r>
    </w:p>
    <w:p w14:paraId="2FDFCCAD" w14:textId="77777777" w:rsidR="001B2175" w:rsidRDefault="008F1595" w:rsidP="007E33E2">
      <w:pPr>
        <w:spacing w:after="4" w:line="360" w:lineRule="auto"/>
        <w:ind w:left="1422" w:right="565"/>
      </w:pPr>
      <w:r>
        <w:rPr>
          <w:rFonts w:ascii="Arial" w:eastAsia="Arial" w:hAnsi="Arial" w:cs="Arial"/>
          <w:sz w:val="45"/>
        </w:rPr>
        <w:t xml:space="preserve">Enabling Environments • </w:t>
      </w:r>
    </w:p>
    <w:p w14:paraId="37BBCCBC" w14:textId="77777777" w:rsidR="001B2175" w:rsidRDefault="008F1595" w:rsidP="007E33E2">
      <w:pPr>
        <w:spacing w:after="4" w:line="360" w:lineRule="auto"/>
        <w:ind w:left="2952" w:right="565" w:hanging="1420"/>
      </w:pPr>
      <w:r>
        <w:rPr>
          <w:rFonts w:ascii="Arial" w:eastAsia="Arial" w:hAnsi="Arial" w:cs="Arial"/>
          <w:sz w:val="45"/>
        </w:rPr>
        <w:t>Inclusive Practice •</w:t>
      </w:r>
      <w:r>
        <w:rPr>
          <w:rFonts w:ascii="Arial" w:eastAsia="Arial" w:hAnsi="Arial" w:cs="Arial"/>
          <w:sz w:val="45"/>
        </w:rPr>
        <w:t xml:space="preserve"> Key Theorists</w:t>
      </w:r>
    </w:p>
    <w:p w14:paraId="3AAA1181" w14:textId="3BFF1C01" w:rsidR="001B2175" w:rsidRDefault="008F1595" w:rsidP="007E33E2">
      <w:pPr>
        <w:spacing w:after="0" w:line="360" w:lineRule="auto"/>
        <w:ind w:right="1754"/>
        <w:jc w:val="right"/>
        <w:rPr>
          <w:rFonts w:ascii="Arial" w:eastAsia="Arial" w:hAnsi="Arial" w:cs="Arial"/>
          <w:sz w:val="92"/>
        </w:rPr>
      </w:pPr>
      <w:r>
        <w:rPr>
          <w:rFonts w:ascii="Arial" w:eastAsia="Arial" w:hAnsi="Arial" w:cs="Arial"/>
          <w:sz w:val="92"/>
        </w:rPr>
        <w:t>What Is Exceptional Care</w:t>
      </w:r>
      <w:r w:rsidR="00456747">
        <w:rPr>
          <w:rFonts w:ascii="Arial" w:eastAsia="Arial" w:hAnsi="Arial" w:cs="Arial"/>
          <w:sz w:val="92"/>
        </w:rPr>
        <w:t>?</w:t>
      </w:r>
    </w:p>
    <w:p w14:paraId="2C14C513" w14:textId="7137FC1D" w:rsidR="00456747" w:rsidRDefault="00456747" w:rsidP="007E33E2">
      <w:pPr>
        <w:pStyle w:val="p1"/>
        <w:spacing w:line="360" w:lineRule="auto"/>
      </w:pPr>
      <w:r>
        <w:rPr>
          <w:rStyle w:val="s1"/>
        </w:rPr>
        <w:t>Exceptional caregiving in the first 1000 days refers to the consistent provision of nurturing, responsive, and high</w:t>
      </w:r>
      <w:r w:rsidR="004245BB">
        <w:rPr>
          <w:rStyle w:val="s1"/>
        </w:rPr>
        <w:t xml:space="preserve"> </w:t>
      </w:r>
      <w:r>
        <w:rPr>
          <w:rStyle w:val="s1"/>
        </w:rPr>
        <w:t>quality care that supports a child’s overall development. It goes beyond meeting basic physical needs, such as feeding and hygiene, and focuses on building strong emotional connections and supporting each child as an individual. At the centre of exceptional care is the idea that babies and young children learn best through secure, trusting relationships with their caregivers.</w:t>
      </w:r>
    </w:p>
    <w:p w14:paraId="2C235A15" w14:textId="77777777" w:rsidR="00456747" w:rsidRDefault="00456747" w:rsidP="007E33E2">
      <w:pPr>
        <w:pStyle w:val="p1"/>
        <w:spacing w:line="360" w:lineRule="auto"/>
      </w:pPr>
      <w:r>
        <w:rPr>
          <w:rStyle w:val="s1"/>
        </w:rPr>
        <w:t>Responsive caregiving is a key element of this. This means recognising and responding appropriately to a child’s cues, such as crying, facial expressions, or body language. For example, when a caregiver comforts a crying baby or engages in eye contact and conversation, they are supporting emotional security and brain development. These repeated positive interactions help to form secure attachments, which are essential for a child’s confidence, wellbeing, and ability to form relationships later in life.</w:t>
      </w:r>
    </w:p>
    <w:p w14:paraId="35F965E8" w14:textId="77777777" w:rsidR="00456747" w:rsidRDefault="00456747" w:rsidP="007E33E2">
      <w:pPr>
        <w:pStyle w:val="p1"/>
        <w:spacing w:line="360" w:lineRule="auto"/>
      </w:pPr>
      <w:r>
        <w:rPr>
          <w:rStyle w:val="s1"/>
        </w:rPr>
        <w:t>Exceptional care also involves creating an enabling environment that encourages exploration and learning. This includes providing safe, stimulating spaces where children can play, move, and discover at their own pace. Activities should be developmentally appropriate and tailored to individual interests and needs. In addition, inclusive practice ensures that all children feel valued and supported, regardless of their background, abilities, or circumstances. This may involve adapting activities, celebrating diversity, and ensuring equal opportunities for all children to participate and thrive.</w:t>
      </w:r>
    </w:p>
    <w:p w14:paraId="543D1A0A" w14:textId="604D7AAD" w:rsidR="002537B2" w:rsidRDefault="002537B2" w:rsidP="007E33E2">
      <w:pPr>
        <w:pStyle w:val="p1"/>
        <w:spacing w:line="360" w:lineRule="auto"/>
      </w:pPr>
      <w:r>
        <w:rPr>
          <w:rStyle w:val="s1"/>
        </w:rPr>
        <w:t>The importance of exceptional caregiving during the first 1000 days cannot be overstated, as it has a direct and lasting impact on a child’s development. High</w:t>
      </w:r>
      <w:r w:rsidR="006A0388">
        <w:rPr>
          <w:rStyle w:val="s1"/>
        </w:rPr>
        <w:t xml:space="preserve"> </w:t>
      </w:r>
      <w:r>
        <w:rPr>
          <w:rStyle w:val="s1"/>
        </w:rPr>
        <w:t>quality care supports the development of the brain, particularly in areas related to language, emotional regulation, and social skills. When children experience warm, consistent, and responsive care, they are more likely to feel safe and secure, which allows them to explore their environment and engage in learning.</w:t>
      </w:r>
    </w:p>
    <w:p w14:paraId="39B0705C" w14:textId="77777777" w:rsidR="002537B2" w:rsidRDefault="002537B2" w:rsidP="007E33E2">
      <w:pPr>
        <w:pStyle w:val="p1"/>
        <w:spacing w:line="360" w:lineRule="auto"/>
      </w:pPr>
      <w:r>
        <w:rPr>
          <w:rStyle w:val="s1"/>
        </w:rPr>
        <w:t>Theoretical perspectives help to explain why caregiving is so important. Bowlby’s attachment theory highlights the significance of secure relationships, suggesting that children who form strong attachments with caregivers are more likely to develop positive emotional and social outcomes. Similarly, Bronfenbrenner’s ecological systems theory emphasises the role of the environment, recognising that a child’s development is influenced by their interactions with caregivers, family, and wider social contexts. Pikler’s approach also supports the idea of respectful caregiving, encouraging practitioners to allow children independence while providing attentive and sensitive support.</w:t>
      </w:r>
    </w:p>
    <w:p w14:paraId="036DC2B3" w14:textId="77777777" w:rsidR="002537B2" w:rsidRDefault="002537B2" w:rsidP="007E33E2">
      <w:pPr>
        <w:pStyle w:val="p1"/>
        <w:spacing w:line="360" w:lineRule="auto"/>
      </w:pPr>
      <w:r>
        <w:rPr>
          <w:rStyle w:val="s1"/>
        </w:rPr>
        <w:t>Without exceptional care, children may experience developmental delays or difficulties in forming relationships and managing emotions. Inconsistent or unresponsive caregiving can lead to insecurity and stress, which may negatively affect brain development. Therefore, providing high-quality, nurturing care in the early years is essential in promoting positive outcomes and giving children the best possible start in life.</w:t>
      </w:r>
    </w:p>
    <w:p w14:paraId="59B0E9F4" w14:textId="298422A0" w:rsidR="001B2175" w:rsidRDefault="001B2175" w:rsidP="007E33E2">
      <w:pPr>
        <w:spacing w:after="0" w:line="360" w:lineRule="auto"/>
      </w:pPr>
    </w:p>
    <w:p w14:paraId="730C0B95" w14:textId="77777777" w:rsidR="001B2175" w:rsidRDefault="008F1595" w:rsidP="007E33E2">
      <w:pPr>
        <w:spacing w:after="0" w:line="360" w:lineRule="auto"/>
        <w:ind w:left="1496"/>
      </w:pPr>
      <w:r>
        <w:rPr>
          <w:noProof/>
        </w:rPr>
        <w:lastRenderedPageBreak/>
        <w:drawing>
          <wp:inline distT="0" distB="0" distL="0" distR="0" wp14:anchorId="5994A64A" wp14:editId="36BC476A">
            <wp:extent cx="7485888" cy="3605784"/>
            <wp:effectExtent l="0" t="0" r="0" b="0"/>
            <wp:docPr id="4218" name="Picture 4218"/>
            <wp:cNvGraphicFramePr/>
            <a:graphic xmlns:a="http://schemas.openxmlformats.org/drawingml/2006/main">
              <a:graphicData uri="http://schemas.openxmlformats.org/drawingml/2006/picture">
                <pic:pic xmlns:pic="http://schemas.openxmlformats.org/drawingml/2006/picture">
                  <pic:nvPicPr>
                    <pic:cNvPr id="4218" name="Picture 4218"/>
                    <pic:cNvPicPr/>
                  </pic:nvPicPr>
                  <pic:blipFill>
                    <a:blip r:embed="rId10"/>
                    <a:stretch>
                      <a:fillRect/>
                    </a:stretch>
                  </pic:blipFill>
                  <pic:spPr>
                    <a:xfrm>
                      <a:off x="0" y="0"/>
                      <a:ext cx="7485888" cy="3605784"/>
                    </a:xfrm>
                    <a:prstGeom prst="rect">
                      <a:avLst/>
                    </a:prstGeom>
                  </pic:spPr>
                </pic:pic>
              </a:graphicData>
            </a:graphic>
          </wp:inline>
        </w:drawing>
      </w:r>
    </w:p>
    <w:p w14:paraId="30253A15" w14:textId="77777777" w:rsidR="001B2175" w:rsidRDefault="008F1595" w:rsidP="007E33E2">
      <w:pPr>
        <w:spacing w:after="8" w:line="360" w:lineRule="auto"/>
        <w:ind w:left="1857" w:right="565" w:hanging="10"/>
      </w:pPr>
      <w:r>
        <w:rPr>
          <w:noProof/>
        </w:rPr>
        <w:drawing>
          <wp:anchor distT="0" distB="0" distL="114300" distR="114300" simplePos="0" relativeHeight="251660288" behindDoc="0" locked="0" layoutInCell="1" allowOverlap="0" wp14:anchorId="700C81E0" wp14:editId="2ADF5C72">
            <wp:simplePos x="0" y="0"/>
            <wp:positionH relativeFrom="column">
              <wp:posOffset>5091507</wp:posOffset>
            </wp:positionH>
            <wp:positionV relativeFrom="paragraph">
              <wp:posOffset>-1207196</wp:posOffset>
            </wp:positionV>
            <wp:extent cx="3931921" cy="4733545"/>
            <wp:effectExtent l="0" t="0" r="0" b="0"/>
            <wp:wrapSquare wrapText="bothSides"/>
            <wp:docPr id="4222" name="Picture 4222"/>
            <wp:cNvGraphicFramePr/>
            <a:graphic xmlns:a="http://schemas.openxmlformats.org/drawingml/2006/main">
              <a:graphicData uri="http://schemas.openxmlformats.org/drawingml/2006/picture">
                <pic:pic xmlns:pic="http://schemas.openxmlformats.org/drawingml/2006/picture">
                  <pic:nvPicPr>
                    <pic:cNvPr id="4222" name="Picture 4222"/>
                    <pic:cNvPicPr/>
                  </pic:nvPicPr>
                  <pic:blipFill>
                    <a:blip r:embed="rId11"/>
                    <a:stretch>
                      <a:fillRect/>
                    </a:stretch>
                  </pic:blipFill>
                  <pic:spPr>
                    <a:xfrm>
                      <a:off x="0" y="0"/>
                      <a:ext cx="3931921" cy="4733545"/>
                    </a:xfrm>
                    <a:prstGeom prst="rect">
                      <a:avLst/>
                    </a:prstGeom>
                  </pic:spPr>
                </pic:pic>
              </a:graphicData>
            </a:graphic>
          </wp:anchor>
        </w:drawing>
      </w:r>
      <w:r>
        <w:rPr>
          <w:rFonts w:ascii="Arial" w:eastAsia="Arial" w:hAnsi="Arial" w:cs="Arial"/>
          <w:sz w:val="69"/>
        </w:rPr>
        <w:t xml:space="preserve">Professional partnerships </w:t>
      </w:r>
      <w:r>
        <w:br w:type="page"/>
      </w:r>
    </w:p>
    <w:p w14:paraId="1F320123" w14:textId="77777777" w:rsidR="001B2175" w:rsidRDefault="008F1595" w:rsidP="007E33E2">
      <w:pPr>
        <w:spacing w:after="0" w:line="360" w:lineRule="auto"/>
        <w:ind w:left="687" w:hanging="10"/>
      </w:pPr>
      <w:r>
        <w:rPr>
          <w:rFonts w:ascii="Arial" w:eastAsia="Arial" w:hAnsi="Arial" w:cs="Arial"/>
          <w:sz w:val="92"/>
        </w:rPr>
        <w:t>Why the First 1000 Days Matter</w:t>
      </w:r>
    </w:p>
    <w:p w14:paraId="69767EDB" w14:textId="77777777" w:rsidR="00C52213" w:rsidRDefault="00C52213" w:rsidP="007E33E2">
      <w:pPr>
        <w:pStyle w:val="p1"/>
        <w:spacing w:line="360" w:lineRule="auto"/>
      </w:pPr>
      <w:r>
        <w:rPr>
          <w:rStyle w:val="s1"/>
        </w:rPr>
        <w:t>In the first 1000 days, early years practitioners play a crucial role in supporting both children and their families. Their responsibilities extend beyond education and care, as they are key figures in promoting children’s overall development, wellbeing, and safety. Practitioners are often among the first professionals to observe a child’s development closely, placing them in a strong position to identify any additional needs or concerns at an early stage.</w:t>
      </w:r>
    </w:p>
    <w:p w14:paraId="1131D90B" w14:textId="77777777" w:rsidR="00C52213" w:rsidRDefault="00C52213" w:rsidP="007E33E2">
      <w:pPr>
        <w:pStyle w:val="p1"/>
        <w:spacing w:line="360" w:lineRule="auto"/>
      </w:pPr>
      <w:r>
        <w:rPr>
          <w:rStyle w:val="s1"/>
        </w:rPr>
        <w:t>One of the primary roles of the practitioner is to build secure, trusting relationships with children. Through consistent, responsive interactions, practitioners help children feel safe and valued, which supports emotional security and confidence. In addition, practitioners observe and assess children’s development, using this knowledge to plan activities that promote learning and meet individual needs.</w:t>
      </w:r>
    </w:p>
    <w:p w14:paraId="461752CB" w14:textId="77777777" w:rsidR="00C52213" w:rsidRDefault="00C52213" w:rsidP="007E33E2">
      <w:pPr>
        <w:pStyle w:val="p1"/>
        <w:spacing w:line="360" w:lineRule="auto"/>
      </w:pPr>
      <w:r>
        <w:rPr>
          <w:rStyle w:val="s1"/>
        </w:rPr>
        <w:t>Equally important is the practitioner’s role in supporting families. Parents and caregivers are a child’s first educators, and practitioners work alongside them to ensure continuity of care. This may involve sharing information about a child’s progress, offering guidance on development, and providing reassurance or support when needed. Practitioners must demonstrate professionalism, empathy, and strong communication skills to build positive relationships with families from diverse backgrounds.</w:t>
      </w:r>
    </w:p>
    <w:p w14:paraId="78AE0287" w14:textId="283A3496" w:rsidR="001B2175" w:rsidRDefault="001B2175" w:rsidP="007E33E2">
      <w:pPr>
        <w:spacing w:after="0" w:line="360" w:lineRule="auto"/>
      </w:pPr>
    </w:p>
    <w:p w14:paraId="46A3E835" w14:textId="77777777" w:rsidR="001B2175" w:rsidRDefault="008F1595" w:rsidP="007E33E2">
      <w:pPr>
        <w:spacing w:after="11" w:line="360" w:lineRule="auto"/>
        <w:ind w:left="415" w:right="253"/>
        <w:jc w:val="center"/>
      </w:pPr>
      <w:r>
        <w:rPr>
          <w:rFonts w:ascii="Arial" w:eastAsia="Arial" w:hAnsi="Arial" w:cs="Arial"/>
          <w:sz w:val="58"/>
        </w:rPr>
        <w:t>Why is it important to work in partnership during this period?</w:t>
      </w:r>
    </w:p>
    <w:p w14:paraId="19101A24" w14:textId="5C82B23E" w:rsidR="001B2175" w:rsidRDefault="008F1595" w:rsidP="007E33E2">
      <w:pPr>
        <w:spacing w:after="175" w:line="360" w:lineRule="auto"/>
        <w:ind w:left="828" w:right="562"/>
      </w:pPr>
      <w:r>
        <w:rPr>
          <w:noProof/>
        </w:rPr>
        <w:drawing>
          <wp:anchor distT="0" distB="0" distL="114300" distR="114300" simplePos="0" relativeHeight="251661312" behindDoc="0" locked="0" layoutInCell="1" allowOverlap="0" wp14:anchorId="55EA54CF" wp14:editId="19C46969">
            <wp:simplePos x="0" y="0"/>
            <wp:positionH relativeFrom="column">
              <wp:posOffset>5093124</wp:posOffset>
            </wp:positionH>
            <wp:positionV relativeFrom="paragraph">
              <wp:posOffset>-32489</wp:posOffset>
            </wp:positionV>
            <wp:extent cx="3931921" cy="3840480"/>
            <wp:effectExtent l="0" t="0" r="0" b="0"/>
            <wp:wrapSquare wrapText="bothSides"/>
            <wp:docPr id="4223" name="Picture 4223"/>
            <wp:cNvGraphicFramePr/>
            <a:graphic xmlns:a="http://schemas.openxmlformats.org/drawingml/2006/main">
              <a:graphicData uri="http://schemas.openxmlformats.org/drawingml/2006/picture">
                <pic:pic xmlns:pic="http://schemas.openxmlformats.org/drawingml/2006/picture">
                  <pic:nvPicPr>
                    <pic:cNvPr id="4223" name="Picture 4223"/>
                    <pic:cNvPicPr/>
                  </pic:nvPicPr>
                  <pic:blipFill>
                    <a:blip r:embed="rId12"/>
                    <a:stretch>
                      <a:fillRect/>
                    </a:stretch>
                  </pic:blipFill>
                  <pic:spPr>
                    <a:xfrm>
                      <a:off x="0" y="0"/>
                      <a:ext cx="3931921" cy="3840480"/>
                    </a:xfrm>
                    <a:prstGeom prst="rect">
                      <a:avLst/>
                    </a:prstGeom>
                  </pic:spPr>
                </pic:pic>
              </a:graphicData>
            </a:graphic>
          </wp:anchor>
        </w:drawing>
      </w:r>
      <w:r>
        <w:rPr>
          <w:rFonts w:ascii="Arial" w:eastAsia="Arial" w:hAnsi="Arial" w:cs="Arial"/>
          <w:sz w:val="15"/>
        </w:rPr>
        <w:t xml:space="preserve"> </w:t>
      </w:r>
    </w:p>
    <w:p w14:paraId="2D00AF5E" w14:textId="77777777" w:rsidR="002D75F0" w:rsidRDefault="002D75F0" w:rsidP="007E33E2">
      <w:pPr>
        <w:pStyle w:val="Heading1"/>
        <w:spacing w:line="360" w:lineRule="auto"/>
      </w:pPr>
    </w:p>
    <w:p w14:paraId="59660A46" w14:textId="77777777" w:rsidR="002D75F0" w:rsidRDefault="002D75F0" w:rsidP="007E33E2">
      <w:pPr>
        <w:pStyle w:val="Heading1"/>
        <w:spacing w:line="360" w:lineRule="auto"/>
      </w:pPr>
    </w:p>
    <w:p w14:paraId="66FE5219" w14:textId="77777777" w:rsidR="002D75F0" w:rsidRDefault="002D75F0" w:rsidP="007E33E2">
      <w:pPr>
        <w:spacing w:line="360" w:lineRule="auto"/>
      </w:pPr>
    </w:p>
    <w:p w14:paraId="36D73433" w14:textId="77777777" w:rsidR="002D75F0" w:rsidRDefault="002D75F0" w:rsidP="007E33E2">
      <w:pPr>
        <w:spacing w:line="360" w:lineRule="auto"/>
      </w:pPr>
    </w:p>
    <w:p w14:paraId="34FEEB77" w14:textId="77777777" w:rsidR="002D75F0" w:rsidRDefault="002D75F0" w:rsidP="007E33E2">
      <w:pPr>
        <w:spacing w:line="360" w:lineRule="auto"/>
      </w:pPr>
    </w:p>
    <w:p w14:paraId="2567B626" w14:textId="77777777" w:rsidR="002D75F0" w:rsidRDefault="002D75F0" w:rsidP="007E33E2">
      <w:pPr>
        <w:spacing w:line="360" w:lineRule="auto"/>
      </w:pPr>
    </w:p>
    <w:p w14:paraId="66A9E627" w14:textId="77777777" w:rsidR="002D75F0" w:rsidRDefault="002D75F0" w:rsidP="007E33E2">
      <w:pPr>
        <w:spacing w:line="360" w:lineRule="auto"/>
      </w:pPr>
    </w:p>
    <w:p w14:paraId="5E1DBFE0" w14:textId="77777777" w:rsidR="002D75F0" w:rsidRDefault="002D75F0" w:rsidP="007E33E2">
      <w:pPr>
        <w:spacing w:line="360" w:lineRule="auto"/>
      </w:pPr>
    </w:p>
    <w:p w14:paraId="2570F0DF" w14:textId="77777777" w:rsidR="006D67EA" w:rsidRDefault="006D67EA" w:rsidP="007E33E2">
      <w:pPr>
        <w:pStyle w:val="p1"/>
        <w:spacing w:line="360" w:lineRule="auto"/>
      </w:pPr>
      <w:r>
        <w:rPr>
          <w:rStyle w:val="s1"/>
        </w:rPr>
        <w:t>Effective partnership working is essential in the first 1000 days, as it ensures that children receive consistent and holistic support across all areas of their development. Partnerships typically involve collaboration between practitioners, parents or carers, and other professionals such as health visitors, midwives, speech and language therapists, and social workers.</w:t>
      </w:r>
    </w:p>
    <w:p w14:paraId="2E9A9042" w14:textId="77777777" w:rsidR="006D67EA" w:rsidRDefault="006D67EA" w:rsidP="007E33E2">
      <w:pPr>
        <w:pStyle w:val="p1"/>
        <w:spacing w:line="360" w:lineRule="auto"/>
      </w:pPr>
      <w:r>
        <w:rPr>
          <w:rStyle w:val="s1"/>
        </w:rPr>
        <w:t>Strong partnerships are built on trust, respect, and open communication. When practitioners and families work together, they can share valuable information about the child’s needs, routines, and preferences. This helps to create consistency between home and early years settings, which is particularly important for young children who rely on familiarity and routine to feel secure.</w:t>
      </w:r>
    </w:p>
    <w:p w14:paraId="74DA6B99" w14:textId="77777777" w:rsidR="006D67EA" w:rsidRDefault="006D67EA" w:rsidP="007E33E2">
      <w:pPr>
        <w:pStyle w:val="p1"/>
        <w:spacing w:line="360" w:lineRule="auto"/>
      </w:pPr>
      <w:r>
        <w:rPr>
          <w:rStyle w:val="s1"/>
        </w:rPr>
        <w:t>Partnership working also enables early identification and intervention. For example, if a practitioner notices a delay in a child’s speech development, they can communicate this with the family and work with external professionals to provide appropriate support. Early intervention can significantly improve outcomes for children, preventing small concerns from developing into more serious difficulties.</w:t>
      </w:r>
    </w:p>
    <w:p w14:paraId="1EB8713D" w14:textId="77777777" w:rsidR="006D67EA" w:rsidRDefault="006D67EA" w:rsidP="007E33E2">
      <w:pPr>
        <w:pStyle w:val="p1"/>
        <w:spacing w:line="360" w:lineRule="auto"/>
      </w:pPr>
      <w:r>
        <w:rPr>
          <w:rStyle w:val="s1"/>
        </w:rPr>
        <w:t>Furthermore, effective partnership working promotes inclusivity and ensures that all families feel respected and involved in their child’s development. Practitioners must be aware of cultural differences, family structures, and individual circumstances, adapting their approach to meet the needs of each family. By working collaboratively, professionals and families can create a supportive network that enhances the child’s development and wellbeing.</w:t>
      </w:r>
    </w:p>
    <w:p w14:paraId="3DC4757F" w14:textId="77777777" w:rsidR="002D75F0" w:rsidRPr="002D75F0" w:rsidRDefault="002D75F0" w:rsidP="007E33E2">
      <w:pPr>
        <w:spacing w:line="360" w:lineRule="auto"/>
      </w:pPr>
    </w:p>
    <w:p w14:paraId="0FFD1765" w14:textId="0E547701" w:rsidR="001B2175" w:rsidRDefault="008F1595">
      <w:pPr>
        <w:pStyle w:val="Heading1"/>
      </w:pPr>
      <w:r>
        <w:t>Maternal Factors and Support Strategies</w:t>
      </w:r>
    </w:p>
    <w:p w14:paraId="7B773BCE" w14:textId="77777777" w:rsidR="001B2175" w:rsidRDefault="008F1595">
      <w:pPr>
        <w:numPr>
          <w:ilvl w:val="0"/>
          <w:numId w:val="2"/>
        </w:numPr>
        <w:spacing w:after="273" w:line="268" w:lineRule="auto"/>
        <w:ind w:right="140" w:hanging="243"/>
      </w:pPr>
      <w:r>
        <w:rPr>
          <w:rFonts w:ascii="Arial" w:eastAsia="Arial" w:hAnsi="Arial" w:cs="Arial"/>
          <w:sz w:val="23"/>
        </w:rPr>
        <w:t xml:space="preserve">Postnatal depression or anxiety – Support through mental health services, counselling, and peer support groups. </w:t>
      </w:r>
    </w:p>
    <w:p w14:paraId="283E3DEE" w14:textId="77777777" w:rsidR="001B2175" w:rsidRDefault="008F1595">
      <w:pPr>
        <w:numPr>
          <w:ilvl w:val="0"/>
          <w:numId w:val="2"/>
        </w:numPr>
        <w:spacing w:after="273" w:line="268" w:lineRule="auto"/>
        <w:ind w:right="140" w:hanging="243"/>
      </w:pPr>
      <w:r>
        <w:rPr>
          <w:rFonts w:ascii="Arial" w:eastAsia="Arial" w:hAnsi="Arial" w:cs="Arial"/>
          <w:sz w:val="23"/>
        </w:rPr>
        <w:t xml:space="preserve">Poor maternal nutrition – Guidance on healthy eating, vitamin supplementation, and referral to dietitians. </w:t>
      </w:r>
    </w:p>
    <w:p w14:paraId="76DAA31B" w14:textId="77777777" w:rsidR="001B2175" w:rsidRDefault="008F1595">
      <w:pPr>
        <w:numPr>
          <w:ilvl w:val="0"/>
          <w:numId w:val="2"/>
        </w:numPr>
        <w:spacing w:after="273" w:line="268" w:lineRule="auto"/>
        <w:ind w:right="140" w:hanging="243"/>
      </w:pPr>
      <w:r>
        <w:rPr>
          <w:rFonts w:ascii="Arial" w:eastAsia="Arial" w:hAnsi="Arial" w:cs="Arial"/>
          <w:sz w:val="23"/>
        </w:rPr>
        <w:t xml:space="preserve">Substance use (alcohol, tobacco, drugs) – Access to addiction support programs and prenatal care monitoring. </w:t>
      </w:r>
    </w:p>
    <w:p w14:paraId="3CB0463C" w14:textId="77777777" w:rsidR="001B2175" w:rsidRDefault="008F1595">
      <w:pPr>
        <w:numPr>
          <w:ilvl w:val="0"/>
          <w:numId w:val="2"/>
        </w:numPr>
        <w:spacing w:after="273" w:line="268" w:lineRule="auto"/>
        <w:ind w:right="140" w:hanging="243"/>
      </w:pPr>
      <w:r>
        <w:rPr>
          <w:rFonts w:ascii="Arial" w:eastAsia="Arial" w:hAnsi="Arial" w:cs="Arial"/>
          <w:sz w:val="23"/>
        </w:rPr>
        <w:t xml:space="preserve">Chronic health conditions – Coordinated care with healthcare providers and regular check ups. </w:t>
      </w:r>
    </w:p>
    <w:p w14:paraId="51833633" w14:textId="77777777" w:rsidR="001B2175" w:rsidRDefault="008F1595">
      <w:pPr>
        <w:numPr>
          <w:ilvl w:val="0"/>
          <w:numId w:val="2"/>
        </w:numPr>
        <w:spacing w:after="273" w:line="268" w:lineRule="auto"/>
        <w:ind w:right="140" w:hanging="243"/>
      </w:pPr>
      <w:r>
        <w:rPr>
          <w:rFonts w:ascii="Arial" w:eastAsia="Arial" w:hAnsi="Arial" w:cs="Arial"/>
          <w:sz w:val="23"/>
        </w:rPr>
        <w:t xml:space="preserve">Stress from socioeconomic factors – Connect families to financial advice, housing support, and community resources. </w:t>
      </w:r>
    </w:p>
    <w:p w14:paraId="31C32A87" w14:textId="77777777" w:rsidR="001B2175" w:rsidRDefault="008F1595">
      <w:pPr>
        <w:numPr>
          <w:ilvl w:val="0"/>
          <w:numId w:val="2"/>
        </w:numPr>
        <w:spacing w:after="273" w:line="268" w:lineRule="auto"/>
        <w:ind w:right="140" w:hanging="243"/>
      </w:pPr>
      <w:r>
        <w:rPr>
          <w:rFonts w:ascii="Arial" w:eastAsia="Arial" w:hAnsi="Arial" w:cs="Arial"/>
          <w:sz w:val="23"/>
        </w:rPr>
        <w:t xml:space="preserve">Limited parenting knowledge – Parenting classes, workshops, and educational resources. </w:t>
      </w:r>
    </w:p>
    <w:p w14:paraId="27435B61" w14:textId="77777777" w:rsidR="001B2175" w:rsidRDefault="008F1595">
      <w:pPr>
        <w:numPr>
          <w:ilvl w:val="0"/>
          <w:numId w:val="2"/>
        </w:numPr>
        <w:spacing w:after="273" w:line="268" w:lineRule="auto"/>
        <w:ind w:right="140" w:hanging="243"/>
      </w:pPr>
      <w:r>
        <w:rPr>
          <w:rFonts w:ascii="Arial" w:eastAsia="Arial" w:hAnsi="Arial" w:cs="Arial"/>
          <w:sz w:val="23"/>
        </w:rPr>
        <w:t xml:space="preserve">Social isolation – Encourage engagement with parent groups and community networks. </w:t>
      </w:r>
    </w:p>
    <w:p w14:paraId="5E156603" w14:textId="77777777" w:rsidR="001B2175" w:rsidRDefault="008F1595">
      <w:pPr>
        <w:numPr>
          <w:ilvl w:val="0"/>
          <w:numId w:val="2"/>
        </w:numPr>
        <w:spacing w:after="273" w:line="268" w:lineRule="auto"/>
        <w:ind w:right="140" w:hanging="243"/>
      </w:pPr>
      <w:r>
        <w:rPr>
          <w:rFonts w:ascii="Arial" w:eastAsia="Arial" w:hAnsi="Arial" w:cs="Arial"/>
          <w:sz w:val="23"/>
        </w:rPr>
        <w:t xml:space="preserve">Physical recovery post birth – Support with postnatal care, physiotherapy, and healthcare follow-ups. </w:t>
      </w:r>
    </w:p>
    <w:p w14:paraId="75F76FC2" w14:textId="77777777" w:rsidR="001B2175" w:rsidRDefault="008F1595">
      <w:pPr>
        <w:numPr>
          <w:ilvl w:val="0"/>
          <w:numId w:val="2"/>
        </w:numPr>
        <w:spacing w:after="273" w:line="268" w:lineRule="auto"/>
        <w:ind w:right="140" w:hanging="243"/>
      </w:pPr>
      <w:r>
        <w:rPr>
          <w:rFonts w:ascii="Arial" w:eastAsia="Arial" w:hAnsi="Arial" w:cs="Arial"/>
          <w:sz w:val="23"/>
        </w:rPr>
        <w:t xml:space="preserve">Unplanned pregnancy or lack of family support – Offer counselling, social work support, and family planning advice. </w:t>
      </w:r>
    </w:p>
    <w:p w14:paraId="30874A2E" w14:textId="77777777" w:rsidR="001B2175" w:rsidRDefault="008F1595">
      <w:pPr>
        <w:numPr>
          <w:ilvl w:val="0"/>
          <w:numId w:val="2"/>
        </w:numPr>
        <w:spacing w:after="273" w:line="268" w:lineRule="auto"/>
        <w:ind w:right="140" w:hanging="243"/>
      </w:pPr>
      <w:r>
        <w:rPr>
          <w:rFonts w:ascii="Arial" w:eastAsia="Arial" w:hAnsi="Arial" w:cs="Arial"/>
          <w:sz w:val="23"/>
        </w:rPr>
        <w:t xml:space="preserve">Maternal mental stimulation and bonding – Guidance on responsive caregiving, play, and early attachment activities. </w:t>
      </w:r>
    </w:p>
    <w:p w14:paraId="5135A558" w14:textId="77777777" w:rsidR="001B2175" w:rsidRDefault="008F1595">
      <w:pPr>
        <w:spacing w:after="143"/>
        <w:ind w:left="1003" w:hanging="10"/>
      </w:pPr>
      <w:r>
        <w:rPr>
          <w:rFonts w:ascii="Arial" w:eastAsia="Arial" w:hAnsi="Arial" w:cs="Arial"/>
          <w:sz w:val="29"/>
        </w:rPr>
        <w:t>•</w:t>
      </w:r>
    </w:p>
    <w:p w14:paraId="12150A9F" w14:textId="77777777" w:rsidR="001B2175" w:rsidRDefault="008F1595">
      <w:pPr>
        <w:spacing w:after="732"/>
        <w:ind w:left="1496"/>
      </w:pPr>
      <w:r>
        <w:rPr>
          <w:noProof/>
        </w:rPr>
        <w:drawing>
          <wp:inline distT="0" distB="0" distL="0" distR="0" wp14:anchorId="1F0C9D50" wp14:editId="41FBDA6F">
            <wp:extent cx="7485888" cy="3605784"/>
            <wp:effectExtent l="0" t="0" r="0" b="0"/>
            <wp:docPr id="4224" name="Picture 4224"/>
            <wp:cNvGraphicFramePr/>
            <a:graphic xmlns:a="http://schemas.openxmlformats.org/drawingml/2006/main">
              <a:graphicData uri="http://schemas.openxmlformats.org/drawingml/2006/picture">
                <pic:pic xmlns:pic="http://schemas.openxmlformats.org/drawingml/2006/picture">
                  <pic:nvPicPr>
                    <pic:cNvPr id="4224" name="Picture 4224"/>
                    <pic:cNvPicPr/>
                  </pic:nvPicPr>
                  <pic:blipFill>
                    <a:blip r:embed="rId13"/>
                    <a:stretch>
                      <a:fillRect/>
                    </a:stretch>
                  </pic:blipFill>
                  <pic:spPr>
                    <a:xfrm>
                      <a:off x="0" y="0"/>
                      <a:ext cx="7485888" cy="3605784"/>
                    </a:xfrm>
                    <a:prstGeom prst="rect">
                      <a:avLst/>
                    </a:prstGeom>
                  </pic:spPr>
                </pic:pic>
              </a:graphicData>
            </a:graphic>
          </wp:inline>
        </w:drawing>
      </w:r>
    </w:p>
    <w:p w14:paraId="4C452D95" w14:textId="5F104AC0" w:rsidR="001B2175" w:rsidRDefault="008F1595">
      <w:pPr>
        <w:spacing w:after="0"/>
      </w:pPr>
      <w:r>
        <w:rPr>
          <w:rFonts w:ascii="Arial" w:eastAsia="Arial" w:hAnsi="Arial" w:cs="Arial"/>
          <w:sz w:val="51"/>
        </w:rPr>
        <w:t xml:space="preserve">Activities that my mummy </w:t>
      </w:r>
      <w:r w:rsidR="00D05093">
        <w:rPr>
          <w:rFonts w:ascii="Arial" w:eastAsia="Arial" w:hAnsi="Arial" w:cs="Arial"/>
          <w:sz w:val="51"/>
        </w:rPr>
        <w:t>teacher</w:t>
      </w:r>
      <w:r>
        <w:rPr>
          <w:rFonts w:ascii="Arial" w:eastAsia="Arial" w:hAnsi="Arial" w:cs="Arial"/>
          <w:sz w:val="51"/>
        </w:rPr>
        <w:t xml:space="preserve"> provide meaningful learning</w:t>
      </w:r>
    </w:p>
    <w:p w14:paraId="14F29356" w14:textId="77777777" w:rsidR="001B2175" w:rsidRDefault="008F1595">
      <w:pPr>
        <w:pStyle w:val="Heading2"/>
      </w:pPr>
      <w:r>
        <w:t xml:space="preserve">Activities to support a child in the first 1000 days </w:t>
      </w:r>
    </w:p>
    <w:p w14:paraId="390AF46D" w14:textId="77777777" w:rsidR="001B2175" w:rsidRDefault="008F1595">
      <w:pPr>
        <w:numPr>
          <w:ilvl w:val="0"/>
          <w:numId w:val="3"/>
        </w:numPr>
        <w:spacing w:after="203" w:line="278" w:lineRule="auto"/>
        <w:ind w:right="349" w:hanging="243"/>
      </w:pPr>
      <w:r>
        <w:rPr>
          <w:rFonts w:ascii="Arial" w:eastAsia="Arial" w:hAnsi="Arial" w:cs="Arial"/>
          <w:sz w:val="16"/>
        </w:rPr>
        <w:t xml:space="preserve">Tummy time / supervised floor play — Lay baby on their tummy when awake (with supervision) to strengthen neck, shoulder and core muscles and support motor development and later movement skills.   </w:t>
      </w:r>
    </w:p>
    <w:p w14:paraId="744FDD8D" w14:textId="77777777" w:rsidR="001B2175" w:rsidRDefault="008F1595">
      <w:pPr>
        <w:numPr>
          <w:ilvl w:val="0"/>
          <w:numId w:val="3"/>
        </w:numPr>
        <w:spacing w:after="203" w:line="278" w:lineRule="auto"/>
        <w:ind w:right="349" w:hanging="243"/>
      </w:pPr>
      <w:r>
        <w:rPr>
          <w:rFonts w:ascii="Arial" w:eastAsia="Arial" w:hAnsi="Arial" w:cs="Arial"/>
          <w:sz w:val="16"/>
        </w:rPr>
        <w:t xml:space="preserve">Sensory play with safe household objects or natural materials — Offer soft fabrics, clean containers, textured items, safe household objects (e.g. wooden spoons, empty boxes), and let baby touch, grasp and explore different textures, shapes and sounds.   </w:t>
      </w:r>
    </w:p>
    <w:p w14:paraId="36F34FE7" w14:textId="77777777" w:rsidR="001B2175" w:rsidRDefault="008F1595">
      <w:pPr>
        <w:numPr>
          <w:ilvl w:val="0"/>
          <w:numId w:val="3"/>
        </w:numPr>
        <w:spacing w:after="203" w:line="278" w:lineRule="auto"/>
        <w:ind w:right="349" w:hanging="243"/>
      </w:pPr>
      <w:r>
        <w:rPr>
          <w:rFonts w:ascii="Arial" w:eastAsia="Arial" w:hAnsi="Arial" w:cs="Arial"/>
          <w:sz w:val="16"/>
        </w:rPr>
        <w:t xml:space="preserve">Reading, singing or talking regularly — Share picture books, nursery rhymes or simple songs to support language development, early communication skills, bonding, and listening to sounds and rhythm.   </w:t>
      </w:r>
    </w:p>
    <w:p w14:paraId="2F4D1721" w14:textId="77777777" w:rsidR="001B2175" w:rsidRDefault="008F1595">
      <w:pPr>
        <w:numPr>
          <w:ilvl w:val="0"/>
          <w:numId w:val="3"/>
        </w:numPr>
        <w:spacing w:after="203" w:line="278" w:lineRule="auto"/>
        <w:ind w:right="349" w:hanging="243"/>
      </w:pPr>
      <w:r>
        <w:rPr>
          <w:rFonts w:ascii="Arial" w:eastAsia="Arial" w:hAnsi="Arial" w:cs="Arial"/>
          <w:sz w:val="16"/>
        </w:rPr>
        <w:t xml:space="preserve">Interactive playtime led by child (serve and return) — Let the child lead play sometimes; respond to their cues, mimic them, describe what they do and actively engage — this promotes emotional bonding, communication, and responsive caregiving.   </w:t>
      </w:r>
    </w:p>
    <w:p w14:paraId="3B7D0808" w14:textId="77777777" w:rsidR="001B2175" w:rsidRDefault="008F1595">
      <w:pPr>
        <w:numPr>
          <w:ilvl w:val="0"/>
          <w:numId w:val="3"/>
        </w:numPr>
        <w:spacing w:after="203" w:line="278" w:lineRule="auto"/>
        <w:ind w:right="349" w:hanging="243"/>
      </w:pPr>
      <w:r>
        <w:rPr>
          <w:rFonts w:ascii="Arial" w:eastAsia="Arial" w:hAnsi="Arial" w:cs="Arial"/>
          <w:sz w:val="16"/>
        </w:rPr>
        <w:t xml:space="preserve">Safe exploratory movement as soon as possible — When baby begins to roll, crawl or pull to stand, encourage free movement, crawling, exploring safe spaces — this helps build gross motor skills, balance and spatial awareness.   </w:t>
      </w:r>
    </w:p>
    <w:p w14:paraId="46A9F9D7" w14:textId="77777777" w:rsidR="001B2175" w:rsidRDefault="008F1595">
      <w:pPr>
        <w:numPr>
          <w:ilvl w:val="0"/>
          <w:numId w:val="3"/>
        </w:numPr>
        <w:spacing w:after="203" w:line="278" w:lineRule="auto"/>
        <w:ind w:right="349" w:hanging="243"/>
      </w:pPr>
      <w:r>
        <w:rPr>
          <w:rFonts w:ascii="Arial" w:eastAsia="Arial" w:hAnsi="Arial" w:cs="Arial"/>
          <w:sz w:val="16"/>
        </w:rPr>
        <w:t xml:space="preserve">Sensory rich messy or water play (when age appropriate) — For toddlers, simple water play or sensory bins, messy play with safe materials, open-ended manipulation — promotes exploration, sensory development, creativity and fine motor skills.   </w:t>
      </w:r>
    </w:p>
    <w:p w14:paraId="01E28C45" w14:textId="77777777" w:rsidR="001B2175" w:rsidRDefault="008F1595">
      <w:pPr>
        <w:numPr>
          <w:ilvl w:val="0"/>
          <w:numId w:val="3"/>
        </w:numPr>
        <w:spacing w:after="203" w:line="278" w:lineRule="auto"/>
        <w:ind w:right="349" w:hanging="243"/>
      </w:pPr>
      <w:r>
        <w:rPr>
          <w:rFonts w:ascii="Arial" w:eastAsia="Arial" w:hAnsi="Arial" w:cs="Arial"/>
          <w:sz w:val="16"/>
        </w:rPr>
        <w:t xml:space="preserve">Music, movement, dancing and rhythm games — Simple songs, clapping, bouncing, dancing help babies and toddlers with physical coordination, rhythm, body awareness and social/ emotional bonding.   </w:t>
      </w:r>
    </w:p>
    <w:p w14:paraId="6B2BDA67" w14:textId="77777777" w:rsidR="001B2175" w:rsidRDefault="008F1595">
      <w:pPr>
        <w:numPr>
          <w:ilvl w:val="0"/>
          <w:numId w:val="3"/>
        </w:numPr>
        <w:spacing w:after="203" w:line="278" w:lineRule="auto"/>
        <w:ind w:right="349" w:hanging="243"/>
      </w:pPr>
      <w:r>
        <w:rPr>
          <w:rFonts w:ascii="Arial" w:eastAsia="Arial" w:hAnsi="Arial" w:cs="Arial"/>
          <w:sz w:val="16"/>
        </w:rPr>
        <w:t xml:space="preserve">“Treasure basket” / heuristic play baskets — Fill a basket with everyday safe objects of different textures, materials, shapes (e.g. wooden spoon, fabric scrap, soft toy) so babies can explore, feel and experiment — fostering curiosity, sensory and cognitive exploration.   </w:t>
      </w:r>
    </w:p>
    <w:p w14:paraId="0C668920" w14:textId="77777777" w:rsidR="001B2175" w:rsidRDefault="008F1595">
      <w:pPr>
        <w:numPr>
          <w:ilvl w:val="0"/>
          <w:numId w:val="3"/>
        </w:numPr>
        <w:spacing w:after="203" w:line="278" w:lineRule="auto"/>
        <w:ind w:right="349" w:hanging="243"/>
      </w:pPr>
      <w:r>
        <w:rPr>
          <w:rFonts w:ascii="Arial" w:eastAsia="Arial" w:hAnsi="Arial" w:cs="Arial"/>
          <w:sz w:val="16"/>
        </w:rPr>
        <w:t xml:space="preserve">Everyday routines as learning opportunities (bathing, feeding, cuddling) — Use daily routines (bath time, feeding, cuddling) as times for interaction, talking, touch, singing or storytelling — great for bonding, emotional security, language exposure and sensory experience.   </w:t>
      </w:r>
    </w:p>
    <w:p w14:paraId="54A743A6" w14:textId="77777777" w:rsidR="001B2175" w:rsidRDefault="008F1595">
      <w:pPr>
        <w:numPr>
          <w:ilvl w:val="0"/>
          <w:numId w:val="3"/>
        </w:numPr>
        <w:spacing w:after="203" w:line="278" w:lineRule="auto"/>
        <w:ind w:right="349" w:hanging="243"/>
      </w:pPr>
      <w:r>
        <w:rPr>
          <w:rFonts w:ascii="Arial" w:eastAsia="Arial" w:hAnsi="Arial" w:cs="Arial"/>
          <w:sz w:val="16"/>
        </w:rPr>
        <w:t xml:space="preserve">Allow time for independent or self‑directed play (safe &amp; supervised) — Give toddlers some safe, free space and time to explore on their own or with minimal adult direction — helps build autonomy, self confidence, problem solving and creativity.   </w:t>
      </w:r>
    </w:p>
    <w:p w14:paraId="2FDB2BE5" w14:textId="77777777" w:rsidR="001B2175" w:rsidRDefault="008F1595">
      <w:pPr>
        <w:spacing w:after="0"/>
        <w:ind w:left="1008"/>
      </w:pPr>
      <w:r>
        <w:rPr>
          <w:rFonts w:ascii="Arial" w:eastAsia="Arial" w:hAnsi="Arial" w:cs="Arial"/>
          <w:sz w:val="20"/>
        </w:rPr>
        <w:t>•</w:t>
      </w:r>
    </w:p>
    <w:p w14:paraId="062FBBF3" w14:textId="77777777" w:rsidR="001B2175" w:rsidRDefault="008F1595">
      <w:pPr>
        <w:spacing w:after="94"/>
        <w:ind w:left="621"/>
      </w:pPr>
      <w:r>
        <w:rPr>
          <w:rFonts w:ascii="Arial" w:eastAsia="Arial" w:hAnsi="Arial" w:cs="Arial"/>
          <w:sz w:val="79"/>
        </w:rPr>
        <w:t>Reggio Emilia Approach – What is it?</w:t>
      </w:r>
    </w:p>
    <w:p w14:paraId="7049FEE4" w14:textId="77777777" w:rsidR="001B2175" w:rsidRDefault="008F1595">
      <w:pPr>
        <w:numPr>
          <w:ilvl w:val="0"/>
          <w:numId w:val="3"/>
        </w:numPr>
        <w:spacing w:after="273" w:line="268" w:lineRule="auto"/>
        <w:ind w:right="349" w:hanging="243"/>
      </w:pPr>
      <w:r>
        <w:rPr>
          <w:rFonts w:ascii="Arial" w:eastAsia="Arial" w:hAnsi="Arial" w:cs="Arial"/>
          <w:sz w:val="23"/>
        </w:rPr>
        <w:t xml:space="preserve">Reggio Emilia Approach – What is it? </w:t>
      </w:r>
    </w:p>
    <w:p w14:paraId="61C451B5" w14:textId="77777777" w:rsidR="001B2175" w:rsidRDefault="008F1595">
      <w:pPr>
        <w:numPr>
          <w:ilvl w:val="0"/>
          <w:numId w:val="3"/>
        </w:numPr>
        <w:spacing w:after="273" w:line="268" w:lineRule="auto"/>
        <w:ind w:right="349" w:hanging="243"/>
      </w:pPr>
      <w:r>
        <w:rPr>
          <w:rFonts w:ascii="Arial" w:eastAsia="Arial" w:hAnsi="Arial" w:cs="Arial"/>
          <w:sz w:val="23"/>
        </w:rPr>
        <w:t xml:space="preserve">Child centred approach from Italy emphasising children as capable, competent learners. </w:t>
      </w:r>
    </w:p>
    <w:p w14:paraId="437F87B6" w14:textId="77777777" w:rsidR="001B2175" w:rsidRDefault="008F1595">
      <w:pPr>
        <w:numPr>
          <w:ilvl w:val="0"/>
          <w:numId w:val="3"/>
        </w:numPr>
        <w:spacing w:after="273" w:line="268" w:lineRule="auto"/>
        <w:ind w:right="349" w:hanging="243"/>
      </w:pPr>
      <w:r>
        <w:rPr>
          <w:rFonts w:ascii="Arial" w:eastAsia="Arial" w:hAnsi="Arial" w:cs="Arial"/>
          <w:sz w:val="23"/>
        </w:rPr>
        <w:t xml:space="preserve">Focuses on exploration, creativity, and “the hundred languages of children” (different ways children express themselves). </w:t>
      </w:r>
    </w:p>
    <w:p w14:paraId="0E862DBB" w14:textId="77777777" w:rsidR="001B2175" w:rsidRDefault="008F1595">
      <w:pPr>
        <w:numPr>
          <w:ilvl w:val="0"/>
          <w:numId w:val="3"/>
        </w:numPr>
        <w:spacing w:after="273" w:line="268" w:lineRule="auto"/>
        <w:ind w:right="349" w:hanging="243"/>
      </w:pPr>
      <w:r>
        <w:rPr>
          <w:rFonts w:ascii="Arial" w:eastAsia="Arial" w:hAnsi="Arial" w:cs="Arial"/>
          <w:sz w:val="23"/>
        </w:rPr>
        <w:t xml:space="preserve">Educators act as co learners and observers, documenting children’s progress. </w:t>
      </w:r>
    </w:p>
    <w:p w14:paraId="4C9525E4" w14:textId="77777777" w:rsidR="001B2175" w:rsidRDefault="008F1595">
      <w:pPr>
        <w:numPr>
          <w:ilvl w:val="0"/>
          <w:numId w:val="3"/>
        </w:numPr>
        <w:spacing w:after="273" w:line="268" w:lineRule="auto"/>
        <w:ind w:right="349" w:hanging="243"/>
      </w:pPr>
      <w:r>
        <w:rPr>
          <w:rFonts w:ascii="Arial" w:eastAsia="Arial" w:hAnsi="Arial" w:cs="Arial"/>
          <w:sz w:val="23"/>
        </w:rPr>
        <w:t xml:space="preserve">Learning is project based, emergent, and driven by children’s interests. </w:t>
      </w:r>
    </w:p>
    <w:p w14:paraId="10DB7632" w14:textId="77777777" w:rsidR="001B2175" w:rsidRDefault="008F1595">
      <w:pPr>
        <w:numPr>
          <w:ilvl w:val="0"/>
          <w:numId w:val="3"/>
        </w:numPr>
        <w:spacing w:after="273" w:line="268" w:lineRule="auto"/>
        <w:ind w:right="349" w:hanging="243"/>
      </w:pPr>
      <w:r>
        <w:rPr>
          <w:rFonts w:ascii="Arial" w:eastAsia="Arial" w:hAnsi="Arial" w:cs="Arial"/>
          <w:sz w:val="23"/>
        </w:rPr>
        <w:t xml:space="preserve">Supporting Child Development in the First 1000 Days </w:t>
      </w:r>
    </w:p>
    <w:p w14:paraId="4E5211E3" w14:textId="77777777" w:rsidR="001B2175" w:rsidRDefault="008F1595">
      <w:pPr>
        <w:numPr>
          <w:ilvl w:val="0"/>
          <w:numId w:val="3"/>
        </w:numPr>
        <w:spacing w:after="273" w:line="268" w:lineRule="auto"/>
        <w:ind w:right="349" w:hanging="243"/>
      </w:pPr>
      <w:r>
        <w:rPr>
          <w:rFonts w:ascii="Arial" w:eastAsia="Arial" w:hAnsi="Arial" w:cs="Arial"/>
          <w:sz w:val="23"/>
        </w:rPr>
        <w:t xml:space="preserve">Encourages early communication and language through responsive interaction and storytelling. </w:t>
      </w:r>
    </w:p>
    <w:p w14:paraId="3D85145F" w14:textId="77777777" w:rsidR="001B2175" w:rsidRDefault="008F1595">
      <w:pPr>
        <w:numPr>
          <w:ilvl w:val="0"/>
          <w:numId w:val="3"/>
        </w:numPr>
        <w:spacing w:after="273" w:line="268" w:lineRule="auto"/>
        <w:ind w:right="349" w:hanging="243"/>
      </w:pPr>
      <w:r>
        <w:rPr>
          <w:rFonts w:ascii="Arial" w:eastAsia="Arial" w:hAnsi="Arial" w:cs="Arial"/>
          <w:sz w:val="23"/>
        </w:rPr>
        <w:t xml:space="preserve">Supports cognitive development via sensory exploration and problem-solving activities. </w:t>
      </w:r>
    </w:p>
    <w:p w14:paraId="356B515C" w14:textId="77777777" w:rsidR="001B2175" w:rsidRDefault="008F1595">
      <w:pPr>
        <w:numPr>
          <w:ilvl w:val="0"/>
          <w:numId w:val="3"/>
        </w:numPr>
        <w:spacing w:after="273" w:line="268" w:lineRule="auto"/>
        <w:ind w:right="349" w:hanging="243"/>
      </w:pPr>
      <w:r>
        <w:rPr>
          <w:rFonts w:ascii="Arial" w:eastAsia="Arial" w:hAnsi="Arial" w:cs="Arial"/>
          <w:sz w:val="23"/>
        </w:rPr>
        <w:t xml:space="preserve">Fosters emotional development by valuing children’s ideas, promoting confidence, and secure attachments. </w:t>
      </w:r>
    </w:p>
    <w:p w14:paraId="711D0FE2" w14:textId="77777777" w:rsidR="001B2175" w:rsidRDefault="008F1595">
      <w:pPr>
        <w:numPr>
          <w:ilvl w:val="0"/>
          <w:numId w:val="3"/>
        </w:numPr>
        <w:spacing w:after="273" w:line="268" w:lineRule="auto"/>
        <w:ind w:right="349" w:hanging="243"/>
      </w:pPr>
      <w:r>
        <w:rPr>
          <w:rFonts w:ascii="Arial" w:eastAsia="Arial" w:hAnsi="Arial" w:cs="Arial"/>
          <w:sz w:val="23"/>
        </w:rPr>
        <w:t xml:space="preserve">Stimulates curiosity and creativity through open ended materials, such as loose parts, natural objects, and art. </w:t>
      </w:r>
    </w:p>
    <w:p w14:paraId="02F74CAA" w14:textId="77777777" w:rsidR="001B2175" w:rsidRDefault="008F1595">
      <w:pPr>
        <w:spacing w:after="143"/>
        <w:ind w:left="1003" w:hanging="10"/>
      </w:pPr>
      <w:r>
        <w:rPr>
          <w:rFonts w:ascii="Arial" w:eastAsia="Arial" w:hAnsi="Arial" w:cs="Arial"/>
          <w:sz w:val="29"/>
        </w:rPr>
        <w:t>•</w:t>
      </w:r>
    </w:p>
    <w:p w14:paraId="6444B719" w14:textId="77777777" w:rsidR="001B2175" w:rsidRDefault="008F1595">
      <w:pPr>
        <w:pStyle w:val="Heading1"/>
        <w:spacing w:after="0"/>
        <w:ind w:left="0"/>
        <w:jc w:val="center"/>
      </w:pPr>
      <w:r>
        <w:rPr>
          <w:sz w:val="92"/>
        </w:rPr>
        <w:t xml:space="preserve">References </w:t>
      </w:r>
    </w:p>
    <w:p w14:paraId="3B3133C5" w14:textId="77777777" w:rsidR="001B2175" w:rsidRDefault="008F1595">
      <w:pPr>
        <w:numPr>
          <w:ilvl w:val="0"/>
          <w:numId w:val="4"/>
        </w:numPr>
        <w:spacing w:after="310" w:line="268" w:lineRule="auto"/>
        <w:ind w:right="140" w:hanging="243"/>
      </w:pPr>
      <w:r>
        <w:rPr>
          <w:rFonts w:ascii="Arial" w:eastAsia="Arial" w:hAnsi="Arial" w:cs="Arial"/>
          <w:sz w:val="23"/>
        </w:rPr>
        <w:t xml:space="preserve">Department for Education &amp; Department of Health and Social Care (2025) Getting it right from the start: how early years practitioners work with babies and toddlers. GOV.UK.  </w:t>
      </w:r>
    </w:p>
    <w:p w14:paraId="699BD672" w14:textId="77777777" w:rsidR="001B2175" w:rsidRDefault="008F1595">
      <w:pPr>
        <w:numPr>
          <w:ilvl w:val="0"/>
          <w:numId w:val="4"/>
        </w:numPr>
        <w:spacing w:after="273" w:line="268" w:lineRule="auto"/>
        <w:ind w:right="140" w:hanging="243"/>
      </w:pPr>
      <w:r>
        <w:rPr>
          <w:rFonts w:ascii="Arial" w:eastAsia="Arial" w:hAnsi="Arial" w:cs="Arial"/>
          <w:sz w:val="23"/>
        </w:rPr>
        <w:t xml:space="preserve">Department of Health and Social Care (2019) Government response to the First 1000 Days of Life report. GOV.UK.  </w:t>
      </w:r>
    </w:p>
    <w:p w14:paraId="1A7EB101" w14:textId="77777777" w:rsidR="001B2175" w:rsidRDefault="008F1595">
      <w:pPr>
        <w:numPr>
          <w:ilvl w:val="0"/>
          <w:numId w:val="4"/>
        </w:numPr>
        <w:spacing w:after="273" w:line="268" w:lineRule="auto"/>
        <w:ind w:right="140" w:hanging="243"/>
      </w:pPr>
      <w:r>
        <w:rPr>
          <w:rFonts w:ascii="Arial" w:eastAsia="Arial" w:hAnsi="Arial" w:cs="Arial"/>
          <w:sz w:val="23"/>
        </w:rPr>
        <w:t xml:space="preserve">Public Health England (2016) Health matters: giving every child the best start in life. GOV.UK.  </w:t>
      </w:r>
    </w:p>
    <w:p w14:paraId="095921D3" w14:textId="77777777" w:rsidR="001B2175" w:rsidRDefault="008F1595">
      <w:pPr>
        <w:numPr>
          <w:ilvl w:val="0"/>
          <w:numId w:val="4"/>
        </w:numPr>
        <w:spacing w:after="0" w:line="268" w:lineRule="auto"/>
        <w:ind w:right="140" w:hanging="243"/>
      </w:pPr>
      <w:r>
        <w:rPr>
          <w:rFonts w:ascii="Arial" w:eastAsia="Arial" w:hAnsi="Arial" w:cs="Arial"/>
          <w:sz w:val="23"/>
        </w:rPr>
        <w:t xml:space="preserve">Baby Friendly Initiative / UNICEF UK (n.d.) The Early Years Healthy Development Review Report – A Vision for the 1,001 Critical </w:t>
      </w:r>
    </w:p>
    <w:p w14:paraId="3B734071" w14:textId="77777777" w:rsidR="001B2175" w:rsidRDefault="008F1595">
      <w:pPr>
        <w:spacing w:after="308" w:line="268" w:lineRule="auto"/>
        <w:ind w:left="849" w:right="140" w:hanging="10"/>
      </w:pPr>
      <w:r>
        <w:rPr>
          <w:rFonts w:ascii="Arial" w:eastAsia="Arial" w:hAnsi="Arial" w:cs="Arial"/>
          <w:sz w:val="23"/>
        </w:rPr>
        <w:t xml:space="preserve">Days.  </w:t>
      </w:r>
    </w:p>
    <w:p w14:paraId="4F7C1002" w14:textId="77777777" w:rsidR="001B2175" w:rsidRDefault="008F1595">
      <w:pPr>
        <w:numPr>
          <w:ilvl w:val="0"/>
          <w:numId w:val="4"/>
        </w:numPr>
        <w:spacing w:after="273" w:line="268" w:lineRule="auto"/>
        <w:ind w:right="140" w:hanging="243"/>
      </w:pPr>
      <w:r>
        <w:rPr>
          <w:rFonts w:ascii="Arial" w:eastAsia="Arial" w:hAnsi="Arial" w:cs="Arial"/>
          <w:sz w:val="23"/>
        </w:rPr>
        <w:t xml:space="preserve">Home‑Start UK (n.d.) The First 1001 Days.*  </w:t>
      </w:r>
    </w:p>
    <w:p w14:paraId="657EF836" w14:textId="77777777" w:rsidR="001B2175" w:rsidRDefault="008F1595">
      <w:pPr>
        <w:numPr>
          <w:ilvl w:val="0"/>
          <w:numId w:val="4"/>
        </w:numPr>
        <w:spacing w:after="273" w:line="268" w:lineRule="auto"/>
        <w:ind w:right="140" w:hanging="243"/>
      </w:pPr>
      <w:r>
        <w:rPr>
          <w:rFonts w:ascii="Arial" w:eastAsia="Arial" w:hAnsi="Arial" w:cs="Arial"/>
          <w:sz w:val="23"/>
        </w:rPr>
        <w:t xml:space="preserve">Local Government Association (2025) Rising needs in the early years: Research into supporting children in the early years. LGA.  </w:t>
      </w:r>
    </w:p>
    <w:p w14:paraId="53052780" w14:textId="77777777" w:rsidR="001B2175" w:rsidRDefault="008F1595">
      <w:pPr>
        <w:numPr>
          <w:ilvl w:val="0"/>
          <w:numId w:val="4"/>
        </w:numPr>
        <w:spacing w:after="273" w:line="268" w:lineRule="auto"/>
        <w:ind w:right="140" w:hanging="243"/>
      </w:pPr>
      <w:r>
        <w:rPr>
          <w:rFonts w:ascii="Arial" w:eastAsia="Arial" w:hAnsi="Arial" w:cs="Arial"/>
          <w:sz w:val="23"/>
        </w:rPr>
        <w:t xml:space="preserve">Family Corner (n.d.) Why the first 1001 days are so important.* FamilyCorner.co.uk.  </w:t>
      </w:r>
    </w:p>
    <w:p w14:paraId="07C94B52" w14:textId="77777777" w:rsidR="001B2175" w:rsidRDefault="008F1595">
      <w:pPr>
        <w:numPr>
          <w:ilvl w:val="0"/>
          <w:numId w:val="4"/>
        </w:numPr>
        <w:spacing w:after="273" w:line="268" w:lineRule="auto"/>
        <w:ind w:right="140" w:hanging="243"/>
      </w:pPr>
      <w:r>
        <w:rPr>
          <w:rFonts w:ascii="Arial" w:eastAsia="Arial" w:hAnsi="Arial" w:cs="Arial"/>
          <w:sz w:val="23"/>
        </w:rPr>
        <w:t xml:space="preserve">Oxford Health NHS Foundation Trust (n.d.) Play and development – Health Visiting Service.* OxfordHealth.nhs.uk.  </w:t>
      </w:r>
    </w:p>
    <w:p w14:paraId="505B38E4" w14:textId="77777777" w:rsidR="001B2175" w:rsidRDefault="008F1595">
      <w:pPr>
        <w:numPr>
          <w:ilvl w:val="0"/>
          <w:numId w:val="4"/>
        </w:numPr>
        <w:spacing w:after="273" w:line="268" w:lineRule="auto"/>
        <w:ind w:right="140" w:hanging="243"/>
      </w:pPr>
      <w:r>
        <w:rPr>
          <w:rFonts w:ascii="Arial" w:eastAsia="Arial" w:hAnsi="Arial" w:cs="Arial"/>
          <w:sz w:val="23"/>
        </w:rPr>
        <w:t xml:space="preserve">NHS (n.d.) Early learning and development. Start for Life.  </w:t>
      </w:r>
    </w:p>
    <w:p w14:paraId="56A27432" w14:textId="77777777" w:rsidR="001B2175" w:rsidRDefault="008F1595">
      <w:pPr>
        <w:numPr>
          <w:ilvl w:val="0"/>
          <w:numId w:val="4"/>
        </w:numPr>
        <w:spacing w:after="273" w:line="268" w:lineRule="auto"/>
        <w:ind w:right="140" w:hanging="243"/>
      </w:pPr>
      <w:r>
        <w:rPr>
          <w:rFonts w:ascii="Arial" w:eastAsia="Arial" w:hAnsi="Arial" w:cs="Arial"/>
          <w:sz w:val="23"/>
        </w:rPr>
        <w:t xml:space="preserve">The British Academy (2020) ‘Play and socialising are vital to early childhood development’, The British Academy News. </w:t>
      </w:r>
    </w:p>
    <w:sectPr w:rsidR="001B2175">
      <w:headerReference w:type="even" r:id="rId14"/>
      <w:headerReference w:type="default" r:id="rId15"/>
      <w:footerReference w:type="even" r:id="rId16"/>
      <w:footerReference w:type="default" r:id="rId17"/>
      <w:headerReference w:type="first" r:id="rId18"/>
      <w:footerReference w:type="first" r:id="rId19"/>
      <w:pgSz w:w="15840" w:h="12240" w:orient="landscape"/>
      <w:pgMar w:top="1616" w:right="535" w:bottom="2821" w:left="535" w:header="1343" w:footer="2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FCA88" w14:textId="77777777" w:rsidR="008F1595" w:rsidRDefault="008F1595">
      <w:pPr>
        <w:spacing w:after="0" w:line="240" w:lineRule="auto"/>
      </w:pPr>
      <w:r>
        <w:separator/>
      </w:r>
    </w:p>
  </w:endnote>
  <w:endnote w:type="continuationSeparator" w:id="0">
    <w:p w14:paraId="502EF576" w14:textId="77777777" w:rsidR="008F1595" w:rsidRDefault="008F1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9A991" w14:textId="77777777" w:rsidR="001B2175" w:rsidRDefault="008F1595">
    <w:pPr>
      <w:tabs>
        <w:tab w:val="center" w:pos="7385"/>
        <w:tab w:val="right" w:pos="14771"/>
      </w:tabs>
      <w:spacing w:after="0"/>
      <w:ind w:right="-455"/>
    </w:pPr>
    <w:r>
      <w:rPr>
        <w:noProof/>
      </w:rPr>
      <mc:AlternateContent>
        <mc:Choice Requires="wpg">
          <w:drawing>
            <wp:anchor distT="0" distB="0" distL="114300" distR="114300" simplePos="0" relativeHeight="251661312" behindDoc="0" locked="0" layoutInCell="1" allowOverlap="1" wp14:anchorId="546FDE8A" wp14:editId="62B935EA">
              <wp:simplePos x="0" y="0"/>
              <wp:positionH relativeFrom="page">
                <wp:posOffset>0</wp:posOffset>
              </wp:positionH>
              <wp:positionV relativeFrom="page">
                <wp:posOffset>6513513</wp:posOffset>
              </wp:positionV>
              <wp:extent cx="10058400" cy="3175"/>
              <wp:effectExtent l="0" t="0" r="0" b="0"/>
              <wp:wrapSquare wrapText="bothSides"/>
              <wp:docPr id="4272" name="Group 4272"/>
              <wp:cNvGraphicFramePr/>
              <a:graphic xmlns:a="http://schemas.openxmlformats.org/drawingml/2006/main">
                <a:graphicData uri="http://schemas.microsoft.com/office/word/2010/wordprocessingGroup">
                  <wpg:wgp>
                    <wpg:cNvGrpSpPr/>
                    <wpg:grpSpPr>
                      <a:xfrm>
                        <a:off x="0" y="0"/>
                        <a:ext cx="10058400" cy="3175"/>
                        <a:chOff x="0" y="0"/>
                        <a:chExt cx="10058400" cy="3175"/>
                      </a:xfrm>
                    </wpg:grpSpPr>
                    <wps:wsp>
                      <wps:cNvPr id="4273" name="Shape 4273"/>
                      <wps:cNvSpPr/>
                      <wps:spPr>
                        <a:xfrm>
                          <a:off x="0" y="0"/>
                          <a:ext cx="10058400" cy="0"/>
                        </a:xfrm>
                        <a:custGeom>
                          <a:avLst/>
                          <a:gdLst/>
                          <a:ahLst/>
                          <a:cxnLst/>
                          <a:rect l="0" t="0" r="0" b="0"/>
                          <a:pathLst>
                            <a:path w="10058400">
                              <a:moveTo>
                                <a:pt x="10058400" y="0"/>
                              </a:moveTo>
                              <a:lnTo>
                                <a:pt x="0" y="0"/>
                              </a:lnTo>
                            </a:path>
                          </a:pathLst>
                        </a:custGeom>
                        <a:ln w="3175"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72" style="width:792pt;height:0.25pt;position:absolute;mso-position-horizontal-relative:page;mso-position-horizontal:absolute;margin-left:0pt;mso-position-vertical-relative:page;margin-top:512.875pt;" coordsize="100584,31">
              <v:shape id="Shape 4273" style="position:absolute;width:100584;height:0;left:0;top:0;" coordsize="10058400,0" path="m10058400,0l0,0">
                <v:stroke weight="0.25pt" endcap="flat" joinstyle="miter" miterlimit="4" on="true" color="#000000"/>
                <v:fill on="false" color="#000000" opacity="0"/>
              </v:shape>
              <w10:wrap type="square"/>
            </v:group>
          </w:pict>
        </mc:Fallback>
      </mc:AlternateContent>
    </w:r>
    <w: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t>Presentation 2 - 9 December 2025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D042A" w14:textId="77777777" w:rsidR="001B2175" w:rsidRDefault="008F1595">
    <w:pPr>
      <w:tabs>
        <w:tab w:val="center" w:pos="7385"/>
        <w:tab w:val="right" w:pos="14771"/>
      </w:tabs>
      <w:spacing w:after="0"/>
      <w:ind w:right="-455"/>
    </w:pPr>
    <w:r>
      <w:rPr>
        <w:noProof/>
      </w:rPr>
      <mc:AlternateContent>
        <mc:Choice Requires="wpg">
          <w:drawing>
            <wp:anchor distT="0" distB="0" distL="114300" distR="114300" simplePos="0" relativeHeight="251662336" behindDoc="0" locked="0" layoutInCell="1" allowOverlap="1" wp14:anchorId="76562D6B" wp14:editId="631952C9">
              <wp:simplePos x="0" y="0"/>
              <wp:positionH relativeFrom="page">
                <wp:posOffset>0</wp:posOffset>
              </wp:positionH>
              <wp:positionV relativeFrom="page">
                <wp:posOffset>6513513</wp:posOffset>
              </wp:positionV>
              <wp:extent cx="10058400" cy="3175"/>
              <wp:effectExtent l="0" t="0" r="0" b="0"/>
              <wp:wrapSquare wrapText="bothSides"/>
              <wp:docPr id="4256" name="Group 4256"/>
              <wp:cNvGraphicFramePr/>
              <a:graphic xmlns:a="http://schemas.openxmlformats.org/drawingml/2006/main">
                <a:graphicData uri="http://schemas.microsoft.com/office/word/2010/wordprocessingGroup">
                  <wpg:wgp>
                    <wpg:cNvGrpSpPr/>
                    <wpg:grpSpPr>
                      <a:xfrm>
                        <a:off x="0" y="0"/>
                        <a:ext cx="10058400" cy="3175"/>
                        <a:chOff x="0" y="0"/>
                        <a:chExt cx="10058400" cy="3175"/>
                      </a:xfrm>
                    </wpg:grpSpPr>
                    <wps:wsp>
                      <wps:cNvPr id="4257" name="Shape 4257"/>
                      <wps:cNvSpPr/>
                      <wps:spPr>
                        <a:xfrm>
                          <a:off x="0" y="0"/>
                          <a:ext cx="10058400" cy="0"/>
                        </a:xfrm>
                        <a:custGeom>
                          <a:avLst/>
                          <a:gdLst/>
                          <a:ahLst/>
                          <a:cxnLst/>
                          <a:rect l="0" t="0" r="0" b="0"/>
                          <a:pathLst>
                            <a:path w="10058400">
                              <a:moveTo>
                                <a:pt x="10058400" y="0"/>
                              </a:moveTo>
                              <a:lnTo>
                                <a:pt x="0" y="0"/>
                              </a:lnTo>
                            </a:path>
                          </a:pathLst>
                        </a:custGeom>
                        <a:ln w="3175"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56" style="width:792pt;height:0.25pt;position:absolute;mso-position-horizontal-relative:page;mso-position-horizontal:absolute;margin-left:0pt;mso-position-vertical-relative:page;margin-top:512.875pt;" coordsize="100584,31">
              <v:shape id="Shape 4257" style="position:absolute;width:100584;height:0;left:0;top:0;" coordsize="10058400,0" path="m10058400,0l0,0">
                <v:stroke weight="0.25pt" endcap="flat" joinstyle="miter" miterlimit="4" on="true" color="#000000"/>
                <v:fill on="false" color="#000000" opacity="0"/>
              </v:shape>
              <w10:wrap type="square"/>
            </v:group>
          </w:pict>
        </mc:Fallback>
      </mc:AlternateContent>
    </w:r>
    <w: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t>Presentation 2 - 9 December 2025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9B0F0" w14:textId="77777777" w:rsidR="001B2175" w:rsidRDefault="008F1595">
    <w:pPr>
      <w:tabs>
        <w:tab w:val="center" w:pos="7385"/>
        <w:tab w:val="right" w:pos="14771"/>
      </w:tabs>
      <w:spacing w:after="0"/>
      <w:ind w:right="-455"/>
    </w:pPr>
    <w:r>
      <w:rPr>
        <w:noProof/>
      </w:rPr>
      <mc:AlternateContent>
        <mc:Choice Requires="wpg">
          <w:drawing>
            <wp:anchor distT="0" distB="0" distL="114300" distR="114300" simplePos="0" relativeHeight="251663360" behindDoc="0" locked="0" layoutInCell="1" allowOverlap="1" wp14:anchorId="216A7E80" wp14:editId="0D83B624">
              <wp:simplePos x="0" y="0"/>
              <wp:positionH relativeFrom="page">
                <wp:posOffset>0</wp:posOffset>
              </wp:positionH>
              <wp:positionV relativeFrom="page">
                <wp:posOffset>6513513</wp:posOffset>
              </wp:positionV>
              <wp:extent cx="10058400" cy="3175"/>
              <wp:effectExtent l="0" t="0" r="0" b="0"/>
              <wp:wrapSquare wrapText="bothSides"/>
              <wp:docPr id="4240" name="Group 4240"/>
              <wp:cNvGraphicFramePr/>
              <a:graphic xmlns:a="http://schemas.openxmlformats.org/drawingml/2006/main">
                <a:graphicData uri="http://schemas.microsoft.com/office/word/2010/wordprocessingGroup">
                  <wpg:wgp>
                    <wpg:cNvGrpSpPr/>
                    <wpg:grpSpPr>
                      <a:xfrm>
                        <a:off x="0" y="0"/>
                        <a:ext cx="10058400" cy="3175"/>
                        <a:chOff x="0" y="0"/>
                        <a:chExt cx="10058400" cy="3175"/>
                      </a:xfrm>
                    </wpg:grpSpPr>
                    <wps:wsp>
                      <wps:cNvPr id="4241" name="Shape 4241"/>
                      <wps:cNvSpPr/>
                      <wps:spPr>
                        <a:xfrm>
                          <a:off x="0" y="0"/>
                          <a:ext cx="10058400" cy="0"/>
                        </a:xfrm>
                        <a:custGeom>
                          <a:avLst/>
                          <a:gdLst/>
                          <a:ahLst/>
                          <a:cxnLst/>
                          <a:rect l="0" t="0" r="0" b="0"/>
                          <a:pathLst>
                            <a:path w="10058400">
                              <a:moveTo>
                                <a:pt x="10058400" y="0"/>
                              </a:moveTo>
                              <a:lnTo>
                                <a:pt x="0" y="0"/>
                              </a:lnTo>
                            </a:path>
                          </a:pathLst>
                        </a:custGeom>
                        <a:ln w="3175"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40" style="width:792pt;height:0.25pt;position:absolute;mso-position-horizontal-relative:page;mso-position-horizontal:absolute;margin-left:0pt;mso-position-vertical-relative:page;margin-top:512.875pt;" coordsize="100584,31">
              <v:shape id="Shape 4241" style="position:absolute;width:100584;height:0;left:0;top:0;" coordsize="10058400,0" path="m10058400,0l0,0">
                <v:stroke weight="0.25pt" endcap="flat" joinstyle="miter" miterlimit="4" on="true" color="#000000"/>
                <v:fill on="false" color="#000000" opacity="0"/>
              </v:shape>
              <w10:wrap type="square"/>
            </v:group>
          </w:pict>
        </mc:Fallback>
      </mc:AlternateContent>
    </w:r>
    <w: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t>Presentation 2 - 9 December 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9B23A" w14:textId="77777777" w:rsidR="008F1595" w:rsidRDefault="008F1595">
      <w:pPr>
        <w:spacing w:after="0" w:line="240" w:lineRule="auto"/>
      </w:pPr>
      <w:r>
        <w:separator/>
      </w:r>
    </w:p>
  </w:footnote>
  <w:footnote w:type="continuationSeparator" w:id="0">
    <w:p w14:paraId="0A8EA15B" w14:textId="77777777" w:rsidR="008F1595" w:rsidRDefault="008F15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E0422" w14:textId="77777777" w:rsidR="001B2175" w:rsidRDefault="008F1595">
    <w:pPr>
      <w:spacing w:after="0"/>
      <w:ind w:left="-535" w:right="15305"/>
    </w:pPr>
    <w:r>
      <w:rPr>
        <w:noProof/>
      </w:rPr>
      <mc:AlternateContent>
        <mc:Choice Requires="wpg">
          <w:drawing>
            <wp:anchor distT="0" distB="0" distL="114300" distR="114300" simplePos="0" relativeHeight="251658240" behindDoc="0" locked="0" layoutInCell="1" allowOverlap="1" wp14:anchorId="21E17024" wp14:editId="6097DD4F">
              <wp:simplePos x="0" y="0"/>
              <wp:positionH relativeFrom="page">
                <wp:posOffset>0</wp:posOffset>
              </wp:positionH>
              <wp:positionV relativeFrom="page">
                <wp:posOffset>852488</wp:posOffset>
              </wp:positionV>
              <wp:extent cx="10058400" cy="3175"/>
              <wp:effectExtent l="0" t="0" r="0" b="0"/>
              <wp:wrapSquare wrapText="bothSides"/>
              <wp:docPr id="4262" name="Group 4262"/>
              <wp:cNvGraphicFramePr/>
              <a:graphic xmlns:a="http://schemas.openxmlformats.org/drawingml/2006/main">
                <a:graphicData uri="http://schemas.microsoft.com/office/word/2010/wordprocessingGroup">
                  <wpg:wgp>
                    <wpg:cNvGrpSpPr/>
                    <wpg:grpSpPr>
                      <a:xfrm>
                        <a:off x="0" y="0"/>
                        <a:ext cx="10058400" cy="3175"/>
                        <a:chOff x="0" y="0"/>
                        <a:chExt cx="10058400" cy="3175"/>
                      </a:xfrm>
                    </wpg:grpSpPr>
                    <wps:wsp>
                      <wps:cNvPr id="4263" name="Shape 4263"/>
                      <wps:cNvSpPr/>
                      <wps:spPr>
                        <a:xfrm>
                          <a:off x="0" y="0"/>
                          <a:ext cx="10058400" cy="0"/>
                        </a:xfrm>
                        <a:custGeom>
                          <a:avLst/>
                          <a:gdLst/>
                          <a:ahLst/>
                          <a:cxnLst/>
                          <a:rect l="0" t="0" r="0" b="0"/>
                          <a:pathLst>
                            <a:path w="10058400">
                              <a:moveTo>
                                <a:pt x="10058400" y="0"/>
                              </a:moveTo>
                              <a:lnTo>
                                <a:pt x="0" y="0"/>
                              </a:lnTo>
                            </a:path>
                          </a:pathLst>
                        </a:custGeom>
                        <a:ln w="3175"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62" style="width:792pt;height:0.25pt;position:absolute;mso-position-horizontal-relative:page;mso-position-horizontal:absolute;margin-left:0pt;mso-position-vertical-relative:page;margin-top:67.125pt;" coordsize="100584,31">
              <v:shape id="Shape 4263" style="position:absolute;width:100584;height:0;left:0;top:0;" coordsize="10058400,0" path="m10058400,0l0,0">
                <v:stroke weight="0.25pt" endcap="flat" joinstyle="miter" miterlimit="4" on="true" color="#000000"/>
                <v:fill on="false" color="#000000" opacity="0"/>
              </v:shape>
              <w10:wrap type="squar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21EA3" w14:textId="77777777" w:rsidR="001B2175" w:rsidRDefault="008F1595">
    <w:pPr>
      <w:spacing w:after="0"/>
      <w:ind w:left="-535" w:right="15305"/>
    </w:pPr>
    <w:r>
      <w:rPr>
        <w:noProof/>
      </w:rPr>
      <mc:AlternateContent>
        <mc:Choice Requires="wpg">
          <w:drawing>
            <wp:anchor distT="0" distB="0" distL="114300" distR="114300" simplePos="0" relativeHeight="251659264" behindDoc="0" locked="0" layoutInCell="1" allowOverlap="1" wp14:anchorId="3D11FD6F" wp14:editId="76346E14">
              <wp:simplePos x="0" y="0"/>
              <wp:positionH relativeFrom="page">
                <wp:posOffset>0</wp:posOffset>
              </wp:positionH>
              <wp:positionV relativeFrom="page">
                <wp:posOffset>852488</wp:posOffset>
              </wp:positionV>
              <wp:extent cx="10058400" cy="3175"/>
              <wp:effectExtent l="0" t="0" r="0" b="0"/>
              <wp:wrapSquare wrapText="bothSides"/>
              <wp:docPr id="4246" name="Group 4246"/>
              <wp:cNvGraphicFramePr/>
              <a:graphic xmlns:a="http://schemas.openxmlformats.org/drawingml/2006/main">
                <a:graphicData uri="http://schemas.microsoft.com/office/word/2010/wordprocessingGroup">
                  <wpg:wgp>
                    <wpg:cNvGrpSpPr/>
                    <wpg:grpSpPr>
                      <a:xfrm>
                        <a:off x="0" y="0"/>
                        <a:ext cx="10058400" cy="3175"/>
                        <a:chOff x="0" y="0"/>
                        <a:chExt cx="10058400" cy="3175"/>
                      </a:xfrm>
                    </wpg:grpSpPr>
                    <wps:wsp>
                      <wps:cNvPr id="4247" name="Shape 4247"/>
                      <wps:cNvSpPr/>
                      <wps:spPr>
                        <a:xfrm>
                          <a:off x="0" y="0"/>
                          <a:ext cx="10058400" cy="0"/>
                        </a:xfrm>
                        <a:custGeom>
                          <a:avLst/>
                          <a:gdLst/>
                          <a:ahLst/>
                          <a:cxnLst/>
                          <a:rect l="0" t="0" r="0" b="0"/>
                          <a:pathLst>
                            <a:path w="10058400">
                              <a:moveTo>
                                <a:pt x="10058400" y="0"/>
                              </a:moveTo>
                              <a:lnTo>
                                <a:pt x="0" y="0"/>
                              </a:lnTo>
                            </a:path>
                          </a:pathLst>
                        </a:custGeom>
                        <a:ln w="3175"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46" style="width:792pt;height:0.25pt;position:absolute;mso-position-horizontal-relative:page;mso-position-horizontal:absolute;margin-left:0pt;mso-position-vertical-relative:page;margin-top:67.125pt;" coordsize="100584,31">
              <v:shape id="Shape 4247" style="position:absolute;width:100584;height:0;left:0;top:0;" coordsize="10058400,0" path="m10058400,0l0,0">
                <v:stroke weight="0.25pt" endcap="flat" joinstyle="miter" miterlimit="4" on="true" color="#000000"/>
                <v:fill on="false" color="#000000" opacity="0"/>
              </v:shape>
              <w10:wrap type="squar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75873B" w14:textId="77777777" w:rsidR="001B2175" w:rsidRDefault="008F1595">
    <w:pPr>
      <w:spacing w:after="0"/>
      <w:ind w:left="-535" w:right="15305"/>
    </w:pPr>
    <w:r>
      <w:rPr>
        <w:noProof/>
      </w:rPr>
      <mc:AlternateContent>
        <mc:Choice Requires="wpg">
          <w:drawing>
            <wp:anchor distT="0" distB="0" distL="114300" distR="114300" simplePos="0" relativeHeight="251660288" behindDoc="0" locked="0" layoutInCell="1" allowOverlap="1" wp14:anchorId="5D89DF08" wp14:editId="0D3E12F8">
              <wp:simplePos x="0" y="0"/>
              <wp:positionH relativeFrom="page">
                <wp:posOffset>0</wp:posOffset>
              </wp:positionH>
              <wp:positionV relativeFrom="page">
                <wp:posOffset>852488</wp:posOffset>
              </wp:positionV>
              <wp:extent cx="10058400" cy="3175"/>
              <wp:effectExtent l="0" t="0" r="0" b="0"/>
              <wp:wrapSquare wrapText="bothSides"/>
              <wp:docPr id="4230" name="Group 4230"/>
              <wp:cNvGraphicFramePr/>
              <a:graphic xmlns:a="http://schemas.openxmlformats.org/drawingml/2006/main">
                <a:graphicData uri="http://schemas.microsoft.com/office/word/2010/wordprocessingGroup">
                  <wpg:wgp>
                    <wpg:cNvGrpSpPr/>
                    <wpg:grpSpPr>
                      <a:xfrm>
                        <a:off x="0" y="0"/>
                        <a:ext cx="10058400" cy="3175"/>
                        <a:chOff x="0" y="0"/>
                        <a:chExt cx="10058400" cy="3175"/>
                      </a:xfrm>
                    </wpg:grpSpPr>
                    <wps:wsp>
                      <wps:cNvPr id="4231" name="Shape 4231"/>
                      <wps:cNvSpPr/>
                      <wps:spPr>
                        <a:xfrm>
                          <a:off x="0" y="0"/>
                          <a:ext cx="10058400" cy="0"/>
                        </a:xfrm>
                        <a:custGeom>
                          <a:avLst/>
                          <a:gdLst/>
                          <a:ahLst/>
                          <a:cxnLst/>
                          <a:rect l="0" t="0" r="0" b="0"/>
                          <a:pathLst>
                            <a:path w="10058400">
                              <a:moveTo>
                                <a:pt x="10058400" y="0"/>
                              </a:moveTo>
                              <a:lnTo>
                                <a:pt x="0" y="0"/>
                              </a:lnTo>
                            </a:path>
                          </a:pathLst>
                        </a:custGeom>
                        <a:ln w="3175"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30" style="width:792pt;height:0.25pt;position:absolute;mso-position-horizontal-relative:page;mso-position-horizontal:absolute;margin-left:0pt;mso-position-vertical-relative:page;margin-top:67.125pt;" coordsize="100584,31">
              <v:shape id="Shape 4231" style="position:absolute;width:100584;height:0;left:0;top:0;" coordsize="10058400,0" path="m10058400,0l0,0">
                <v:stroke weight="0.25pt" endcap="flat" joinstyle="miter" miterlimit="4" on="true" color="#000000"/>
                <v:fill on="false" color="#000000" opacity="0"/>
              </v:shape>
              <w10:wrap type="squar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BA7FDE"/>
    <w:multiLevelType w:val="hybridMultilevel"/>
    <w:tmpl w:val="FFFFFFFF"/>
    <w:lvl w:ilvl="0" w:tplc="58CABBDE">
      <w:start w:val="1"/>
      <w:numFmt w:val="bullet"/>
      <w:lvlText w:val="•"/>
      <w:lvlJc w:val="left"/>
      <w:pPr>
        <w:ind w:left="824"/>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1" w:tplc="BD0609C8">
      <w:start w:val="1"/>
      <w:numFmt w:val="bullet"/>
      <w:lvlText w:val="o"/>
      <w:lvlJc w:val="left"/>
      <w:pPr>
        <w:ind w:left="108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2" w:tplc="B21C59DE">
      <w:start w:val="1"/>
      <w:numFmt w:val="bullet"/>
      <w:lvlText w:val="▪"/>
      <w:lvlJc w:val="left"/>
      <w:pPr>
        <w:ind w:left="180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3" w:tplc="061EFF48">
      <w:start w:val="1"/>
      <w:numFmt w:val="bullet"/>
      <w:lvlText w:val="•"/>
      <w:lvlJc w:val="left"/>
      <w:pPr>
        <w:ind w:left="252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4" w:tplc="0EAC534A">
      <w:start w:val="1"/>
      <w:numFmt w:val="bullet"/>
      <w:lvlText w:val="o"/>
      <w:lvlJc w:val="left"/>
      <w:pPr>
        <w:ind w:left="324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5" w:tplc="B9F6C2DC">
      <w:start w:val="1"/>
      <w:numFmt w:val="bullet"/>
      <w:lvlText w:val="▪"/>
      <w:lvlJc w:val="left"/>
      <w:pPr>
        <w:ind w:left="396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6" w:tplc="F45046B6">
      <w:start w:val="1"/>
      <w:numFmt w:val="bullet"/>
      <w:lvlText w:val="•"/>
      <w:lvlJc w:val="left"/>
      <w:pPr>
        <w:ind w:left="468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7" w:tplc="07B2B5CA">
      <w:start w:val="1"/>
      <w:numFmt w:val="bullet"/>
      <w:lvlText w:val="o"/>
      <w:lvlJc w:val="left"/>
      <w:pPr>
        <w:ind w:left="540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8" w:tplc="8DFA1BEA">
      <w:start w:val="1"/>
      <w:numFmt w:val="bullet"/>
      <w:lvlText w:val="▪"/>
      <w:lvlJc w:val="left"/>
      <w:pPr>
        <w:ind w:left="612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abstractNum>
  <w:abstractNum w:abstractNumId="1" w15:restartNumberingAfterBreak="0">
    <w:nsid w:val="59585581"/>
    <w:multiLevelType w:val="hybridMultilevel"/>
    <w:tmpl w:val="FFFFFFFF"/>
    <w:lvl w:ilvl="0" w:tplc="03DEA170">
      <w:start w:val="1"/>
      <w:numFmt w:val="bullet"/>
      <w:lvlText w:val="•"/>
      <w:lvlJc w:val="left"/>
      <w:pPr>
        <w:ind w:left="82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818C170">
      <w:start w:val="1"/>
      <w:numFmt w:val="bullet"/>
      <w:lvlText w:val="o"/>
      <w:lvlJc w:val="left"/>
      <w:pPr>
        <w:ind w:left="11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79FC2926">
      <w:start w:val="1"/>
      <w:numFmt w:val="bullet"/>
      <w:lvlText w:val="▪"/>
      <w:lvlJc w:val="left"/>
      <w:pPr>
        <w:ind w:left="18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0DD4F91C">
      <w:start w:val="1"/>
      <w:numFmt w:val="bullet"/>
      <w:lvlText w:val="•"/>
      <w:lvlJc w:val="left"/>
      <w:pPr>
        <w:ind w:left="25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CFA76EE">
      <w:start w:val="1"/>
      <w:numFmt w:val="bullet"/>
      <w:lvlText w:val="o"/>
      <w:lvlJc w:val="left"/>
      <w:pPr>
        <w:ind w:left="32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F85EF6D4">
      <w:start w:val="1"/>
      <w:numFmt w:val="bullet"/>
      <w:lvlText w:val="▪"/>
      <w:lvlJc w:val="left"/>
      <w:pPr>
        <w:ind w:left="39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348F45E">
      <w:start w:val="1"/>
      <w:numFmt w:val="bullet"/>
      <w:lvlText w:val="•"/>
      <w:lvlJc w:val="left"/>
      <w:pPr>
        <w:ind w:left="47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5A283CE">
      <w:start w:val="1"/>
      <w:numFmt w:val="bullet"/>
      <w:lvlText w:val="o"/>
      <w:lvlJc w:val="left"/>
      <w:pPr>
        <w:ind w:left="54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0D664946">
      <w:start w:val="1"/>
      <w:numFmt w:val="bullet"/>
      <w:lvlText w:val="▪"/>
      <w:lvlJc w:val="left"/>
      <w:pPr>
        <w:ind w:left="61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97B7B1A"/>
    <w:multiLevelType w:val="hybridMultilevel"/>
    <w:tmpl w:val="FFFFFFFF"/>
    <w:lvl w:ilvl="0" w:tplc="E17AAE74">
      <w:start w:val="1"/>
      <w:numFmt w:val="bullet"/>
      <w:lvlText w:val="•"/>
      <w:lvlJc w:val="left"/>
      <w:pPr>
        <w:ind w:left="828"/>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1" w:tplc="20D04A96">
      <w:start w:val="1"/>
      <w:numFmt w:val="bullet"/>
      <w:lvlText w:val="o"/>
      <w:lvlJc w:val="left"/>
      <w:pPr>
        <w:ind w:left="108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2" w:tplc="ECF4D098">
      <w:start w:val="1"/>
      <w:numFmt w:val="bullet"/>
      <w:lvlText w:val="▪"/>
      <w:lvlJc w:val="left"/>
      <w:pPr>
        <w:ind w:left="180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3" w:tplc="DA02FF30">
      <w:start w:val="1"/>
      <w:numFmt w:val="bullet"/>
      <w:lvlText w:val="•"/>
      <w:lvlJc w:val="left"/>
      <w:pPr>
        <w:ind w:left="252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4" w:tplc="6FCE9C96">
      <w:start w:val="1"/>
      <w:numFmt w:val="bullet"/>
      <w:lvlText w:val="o"/>
      <w:lvlJc w:val="left"/>
      <w:pPr>
        <w:ind w:left="324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5" w:tplc="D59A1714">
      <w:start w:val="1"/>
      <w:numFmt w:val="bullet"/>
      <w:lvlText w:val="▪"/>
      <w:lvlJc w:val="left"/>
      <w:pPr>
        <w:ind w:left="396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6" w:tplc="D2CEE96C">
      <w:start w:val="1"/>
      <w:numFmt w:val="bullet"/>
      <w:lvlText w:val="•"/>
      <w:lvlJc w:val="left"/>
      <w:pPr>
        <w:ind w:left="468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7" w:tplc="9AD0B326">
      <w:start w:val="1"/>
      <w:numFmt w:val="bullet"/>
      <w:lvlText w:val="o"/>
      <w:lvlJc w:val="left"/>
      <w:pPr>
        <w:ind w:left="540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lvl w:ilvl="8" w:tplc="6C3CCA52">
      <w:start w:val="1"/>
      <w:numFmt w:val="bullet"/>
      <w:lvlText w:val="▪"/>
      <w:lvlJc w:val="left"/>
      <w:pPr>
        <w:ind w:left="6120"/>
      </w:pPr>
      <w:rPr>
        <w:rFonts w:ascii="Arial" w:eastAsia="Arial" w:hAnsi="Arial" w:cs="Arial"/>
        <w:b w:val="0"/>
        <w:i w:val="0"/>
        <w:strike w:val="0"/>
        <w:dstrike w:val="0"/>
        <w:color w:val="000000"/>
        <w:sz w:val="27"/>
        <w:szCs w:val="27"/>
        <w:u w:val="none" w:color="000000"/>
        <w:bdr w:val="none" w:sz="0" w:space="0" w:color="auto"/>
        <w:shd w:val="clear" w:color="auto" w:fill="auto"/>
        <w:vertAlign w:val="baseline"/>
      </w:rPr>
    </w:lvl>
  </w:abstractNum>
  <w:abstractNum w:abstractNumId="3" w15:restartNumberingAfterBreak="0">
    <w:nsid w:val="75313AFD"/>
    <w:multiLevelType w:val="hybridMultilevel"/>
    <w:tmpl w:val="FFFFFFFF"/>
    <w:lvl w:ilvl="0" w:tplc="72C422E2">
      <w:start w:val="1"/>
      <w:numFmt w:val="bullet"/>
      <w:lvlText w:val="•"/>
      <w:lvlJc w:val="left"/>
      <w:pPr>
        <w:ind w:left="824"/>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1" w:tplc="886AF108">
      <w:start w:val="1"/>
      <w:numFmt w:val="bullet"/>
      <w:lvlText w:val="o"/>
      <w:lvlJc w:val="left"/>
      <w:pPr>
        <w:ind w:left="108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2" w:tplc="4BE4EB5A">
      <w:start w:val="1"/>
      <w:numFmt w:val="bullet"/>
      <w:lvlText w:val="▪"/>
      <w:lvlJc w:val="left"/>
      <w:pPr>
        <w:ind w:left="180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3" w:tplc="88B2A53C">
      <w:start w:val="1"/>
      <w:numFmt w:val="bullet"/>
      <w:lvlText w:val="•"/>
      <w:lvlJc w:val="left"/>
      <w:pPr>
        <w:ind w:left="252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4" w:tplc="8716E3A4">
      <w:start w:val="1"/>
      <w:numFmt w:val="bullet"/>
      <w:lvlText w:val="o"/>
      <w:lvlJc w:val="left"/>
      <w:pPr>
        <w:ind w:left="324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5" w:tplc="C586528E">
      <w:start w:val="1"/>
      <w:numFmt w:val="bullet"/>
      <w:lvlText w:val="▪"/>
      <w:lvlJc w:val="left"/>
      <w:pPr>
        <w:ind w:left="396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6" w:tplc="A6EE9AFE">
      <w:start w:val="1"/>
      <w:numFmt w:val="bullet"/>
      <w:lvlText w:val="•"/>
      <w:lvlJc w:val="left"/>
      <w:pPr>
        <w:ind w:left="468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7" w:tplc="A6D24C1E">
      <w:start w:val="1"/>
      <w:numFmt w:val="bullet"/>
      <w:lvlText w:val="o"/>
      <w:lvlJc w:val="left"/>
      <w:pPr>
        <w:ind w:left="540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lvl w:ilvl="8" w:tplc="A170B6F2">
      <w:start w:val="1"/>
      <w:numFmt w:val="bullet"/>
      <w:lvlText w:val="▪"/>
      <w:lvlJc w:val="left"/>
      <w:pPr>
        <w:ind w:left="6120"/>
      </w:pPr>
      <w:rPr>
        <w:rFonts w:ascii="Arial" w:eastAsia="Arial" w:hAnsi="Arial" w:cs="Arial"/>
        <w:b w:val="0"/>
        <w:i w:val="0"/>
        <w:strike w:val="0"/>
        <w:dstrike w:val="0"/>
        <w:color w:val="000000"/>
        <w:sz w:val="29"/>
        <w:szCs w:val="29"/>
        <w:u w:val="none" w:color="000000"/>
        <w:bdr w:val="none" w:sz="0" w:space="0" w:color="auto"/>
        <w:shd w:val="clear" w:color="auto" w:fill="auto"/>
        <w:vertAlign w:val="baseline"/>
      </w:rPr>
    </w:lvl>
  </w:abstractNum>
  <w:num w:numId="1" w16cid:durableId="1717049830">
    <w:abstractNumId w:val="2"/>
  </w:num>
  <w:num w:numId="2" w16cid:durableId="1294360088">
    <w:abstractNumId w:val="0"/>
  </w:num>
  <w:num w:numId="3" w16cid:durableId="1725761736">
    <w:abstractNumId w:val="1"/>
  </w:num>
  <w:num w:numId="4" w16cid:durableId="5465259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175"/>
    <w:rsid w:val="0014004F"/>
    <w:rsid w:val="001B2175"/>
    <w:rsid w:val="002537B2"/>
    <w:rsid w:val="002D75F0"/>
    <w:rsid w:val="004245BB"/>
    <w:rsid w:val="00456747"/>
    <w:rsid w:val="005128AF"/>
    <w:rsid w:val="005B67E4"/>
    <w:rsid w:val="006A0388"/>
    <w:rsid w:val="006D67EA"/>
    <w:rsid w:val="007E33E2"/>
    <w:rsid w:val="008F1595"/>
    <w:rsid w:val="00976682"/>
    <w:rsid w:val="00A706D9"/>
    <w:rsid w:val="00C52213"/>
    <w:rsid w:val="00D05093"/>
    <w:rsid w:val="00E51B6B"/>
    <w:rsid w:val="00F35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B92F80"/>
  <w15:docId w15:val="{58E5D671-B026-D14A-8906-20634D810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10" w:line="259" w:lineRule="auto"/>
      <w:ind w:left="597"/>
      <w:outlineLvl w:val="0"/>
    </w:pPr>
    <w:rPr>
      <w:rFonts w:ascii="Arial" w:eastAsia="Arial" w:hAnsi="Arial" w:cs="Arial"/>
      <w:color w:val="000000"/>
      <w:sz w:val="72"/>
    </w:rPr>
  </w:style>
  <w:style w:type="paragraph" w:styleId="Heading2">
    <w:name w:val="heading 2"/>
    <w:next w:val="Normal"/>
    <w:link w:val="Heading2Char"/>
    <w:uiPriority w:val="9"/>
    <w:unhideWhenUsed/>
    <w:qFormat/>
    <w:pPr>
      <w:keepNext/>
      <w:keepLines/>
      <w:spacing w:after="332" w:line="259" w:lineRule="auto"/>
      <w:ind w:left="637"/>
      <w:outlineLvl w:val="1"/>
    </w:pPr>
    <w:rPr>
      <w:rFonts w:ascii="Arial" w:eastAsia="Arial" w:hAnsi="Arial" w:cs="Arial"/>
      <w:color w:val="000000"/>
      <w:sz w:val="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color w:val="000000"/>
      <w:sz w:val="60"/>
    </w:rPr>
  </w:style>
  <w:style w:type="character" w:customStyle="1" w:styleId="Heading1Char">
    <w:name w:val="Heading 1 Char"/>
    <w:link w:val="Heading1"/>
    <w:rPr>
      <w:rFonts w:ascii="Arial" w:eastAsia="Arial" w:hAnsi="Arial" w:cs="Arial"/>
      <w:color w:val="000000"/>
      <w:sz w:val="72"/>
    </w:rPr>
  </w:style>
  <w:style w:type="paragraph" w:customStyle="1" w:styleId="p1">
    <w:name w:val="p1"/>
    <w:basedOn w:val="Normal"/>
    <w:rsid w:val="0014004F"/>
    <w:pPr>
      <w:spacing w:before="100" w:beforeAutospacing="1" w:after="100" w:afterAutospacing="1" w:line="240" w:lineRule="auto"/>
    </w:pPr>
    <w:rPr>
      <w:rFonts w:ascii="Times New Roman" w:eastAsiaTheme="minorEastAsia" w:hAnsi="Times New Roman" w:cs="Times New Roman"/>
      <w:color w:val="auto"/>
      <w:kern w:val="0"/>
      <w:sz w:val="24"/>
      <w14:ligatures w14:val="none"/>
    </w:rPr>
  </w:style>
  <w:style w:type="character" w:customStyle="1" w:styleId="s1">
    <w:name w:val="s1"/>
    <w:basedOn w:val="DefaultParagraphFont"/>
    <w:rsid w:val="0014004F"/>
  </w:style>
  <w:style w:type="character" w:customStyle="1" w:styleId="s2">
    <w:name w:val="s2"/>
    <w:basedOn w:val="DefaultParagraphFont"/>
    <w:rsid w:val="0014004F"/>
  </w:style>
  <w:style w:type="paragraph" w:customStyle="1" w:styleId="p2">
    <w:name w:val="p2"/>
    <w:basedOn w:val="Normal"/>
    <w:rsid w:val="0014004F"/>
    <w:pPr>
      <w:spacing w:before="100" w:beforeAutospacing="1" w:after="100" w:afterAutospacing="1" w:line="240" w:lineRule="auto"/>
    </w:pPr>
    <w:rPr>
      <w:rFonts w:ascii="Times New Roman" w:eastAsiaTheme="minorEastAsia" w:hAnsi="Times New Roman" w:cs="Times New Roman"/>
      <w:color w:val="auto"/>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2149</Words>
  <Characters>12251</Characters>
  <Application>Microsoft Office Word</Application>
  <DocSecurity>0</DocSecurity>
  <Lines>102</Lines>
  <Paragraphs>28</Paragraphs>
  <ScaleCrop>false</ScaleCrop>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Presentation 2</dc:title>
  <dc:subject/>
  <dc:creator/>
  <cp:keywords/>
  <cp:lastModifiedBy>Microsoft Office User</cp:lastModifiedBy>
  <cp:revision>2</cp:revision>
  <dcterms:created xsi:type="dcterms:W3CDTF">2026-03-26T12:07:00Z</dcterms:created>
  <dcterms:modified xsi:type="dcterms:W3CDTF">2026-03-26T12:07:00Z</dcterms:modified>
</cp:coreProperties>
</file>