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13.png" ContentType="image/png"/>
  <Override PartName="/word/media/image4.png" ContentType="image/png"/>
  <Override PartName="/word/media/image9.png" ContentType="image/png"/>
  <Override PartName="/word/media/image18.png" ContentType="image/png"/>
  <Override PartName="/word/media/image12.png" ContentType="image/png"/>
  <Override PartName="/word/media/image3.png" ContentType="image/png"/>
  <Override PartName="/word/media/image19.png" ContentType="image/png"/>
  <Override PartName="/word/media/image14.png" ContentType="image/png"/>
  <Override PartName="/word/media/image5.png" ContentType="image/png"/>
  <Override PartName="/word/media/image15.png" ContentType="image/png"/>
  <Override PartName="/word/media/image6.png" ContentType="image/png"/>
  <Override PartName="/word/media/image10.png" ContentType="image/png"/>
  <Override PartName="/word/media/image1.png" ContentType="image/png"/>
  <Override PartName="/word/media/image16.png" ContentType="image/png"/>
  <Override PartName="/word/media/image7.png" ContentType="image/png"/>
  <Override PartName="/word/media/image2.png" ContentType="image/png"/>
  <Override PartName="/word/media/image11.png" ContentType="image/png"/>
  <Override PartName="/word/media/image17.png" ContentType="image/png"/>
  <Override PartName="/word/media/image8.png" ContentType="image/png"/>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settings.xml" ContentType="application/vnd.openxmlformats-officedocument.wordprocessingml.settings+xml"/>
  <Override PartName="/word/fontTable.xml" ContentType="application/vnd.openxmlformats-officedocument.wordprocessingml.fontTable+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rPr/>
      </w:pPr>
      <w:r>
        <w:rPr/>
      </w:r>
    </w:p>
    <w:p>
      <w:pPr>
        <w:pStyle w:val="Normal"/>
        <w:jc w:val="center"/>
        <w:rPr/>
      </w:pPr>
      <w:r>
        <w:rPr/>
        <w:drawing>
          <wp:inline distT="0" distB="0" distL="0" distR="0">
            <wp:extent cx="1828800" cy="866140"/>
            <wp:effectExtent l="0" t="0" r="0" b="0"/>
            <wp:docPr id="1"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
                    <pic:cNvPicPr>
                      <a:picLocks noChangeAspect="1" noChangeArrowheads="1"/>
                    </pic:cNvPicPr>
                  </pic:nvPicPr>
                  <pic:blipFill>
                    <a:blip r:embed="rId2"/>
                    <a:stretch>
                      <a:fillRect/>
                    </a:stretch>
                  </pic:blipFill>
                  <pic:spPr bwMode="auto">
                    <a:xfrm>
                      <a:off x="0" y="0"/>
                      <a:ext cx="1828800" cy="866140"/>
                    </a:xfrm>
                    <a:prstGeom prst="rect">
                      <a:avLst/>
                    </a:prstGeom>
                  </pic:spPr>
                </pic:pic>
              </a:graphicData>
            </a:graphic>
          </wp:inline>
        </w:drawing>
      </w:r>
    </w:p>
    <w:p>
      <w:pPr>
        <w:pStyle w:val="Normal"/>
        <w:rPr/>
      </w:pPr>
      <w:r>
        <w:rPr/>
      </w:r>
    </w:p>
    <w:p>
      <w:pPr>
        <w:pStyle w:val="Normal"/>
        <w:jc w:val="center"/>
        <w:rPr/>
      </w:pPr>
      <w:r>
        <w:rPr>
          <w:b/>
          <w:color w:val="1F3864"/>
          <w:sz w:val="34"/>
        </w:rPr>
        <w:t>UNIVERSITY OF WALES TRINITY SAINT DAVID</w:t>
      </w:r>
    </w:p>
    <w:p>
      <w:pPr>
        <w:pStyle w:val="Normal"/>
        <w:pBdr>
          <w:bottom w:val="single" w:sz="18" w:space="4" w:color="1F3864"/>
        </w:pBdr>
        <w:jc w:val="center"/>
        <w:rPr/>
      </w:pPr>
      <w:r>
        <w:rPr>
          <w:i/>
          <w:color w:val="404040"/>
          <w:sz w:val="24"/>
        </w:rPr>
        <w:t>London Campus</w:t>
      </w:r>
    </w:p>
    <w:p>
      <w:pPr>
        <w:pStyle w:val="Normal"/>
        <w:rPr/>
      </w:pPr>
      <w:r>
        <w:rPr/>
      </w:r>
    </w:p>
    <w:p>
      <w:pPr>
        <w:pStyle w:val="Normal"/>
        <w:rPr/>
      </w:pPr>
      <w:r>
        <w:rPr/>
      </w:r>
    </w:p>
    <w:p>
      <w:pPr>
        <w:pStyle w:val="Normal"/>
        <w:jc w:val="center"/>
        <w:rPr/>
      </w:pPr>
      <w:r>
        <w:rPr>
          <w:color w:val="404040"/>
          <w:sz w:val="26"/>
        </w:rPr>
        <w:t>BSc Applied Computing</w:t>
      </w:r>
    </w:p>
    <w:p>
      <w:pPr>
        <w:pStyle w:val="Normal"/>
        <w:jc w:val="center"/>
        <w:rPr/>
      </w:pPr>
      <w:r>
        <w:rPr>
          <w:color w:val="404040"/>
          <w:sz w:val="26"/>
        </w:rPr>
        <w:t>Network Operating Systems and Services  —  ACCA5023</w:t>
      </w:r>
    </w:p>
    <w:p>
      <w:pPr>
        <w:pStyle w:val="Normal"/>
        <w:rPr/>
      </w:pPr>
      <w:r>
        <w:rPr/>
      </w:r>
    </w:p>
    <w:p>
      <w:pPr>
        <w:pStyle w:val="Normal"/>
        <w:jc w:val="center"/>
        <w:rPr/>
      </w:pPr>
      <w:r>
        <w:rPr>
          <w:b/>
          <w:color w:val="1F3864"/>
          <w:sz w:val="52"/>
        </w:rPr>
        <w:t>Coursework 2 Submission</w:t>
      </w:r>
    </w:p>
    <w:p>
      <w:pPr>
        <w:pStyle w:val="Normal"/>
        <w:jc w:val="center"/>
        <w:rPr/>
      </w:pPr>
      <w:r>
        <w:rPr>
          <w:i/>
          <w:color w:val="404040"/>
          <w:sz w:val="26"/>
        </w:rPr>
        <w:t>Configure and Manage the Virtualised Enterprise Network</w:t>
      </w:r>
    </w:p>
    <w:p>
      <w:pPr>
        <w:pStyle w:val="Normal"/>
        <w:rPr/>
      </w:pPr>
      <w:r>
        <w:rPr/>
      </w:r>
    </w:p>
    <w:p>
      <w:pPr>
        <w:pStyle w:val="Normal"/>
        <w:rPr/>
      </w:pPr>
      <w:r>
        <w:rPr/>
      </w:r>
    </w:p>
    <w:p>
      <w:pPr>
        <w:pStyle w:val="Normal"/>
        <w:rPr/>
      </w:pPr>
      <w:r>
        <w:rPr/>
      </w:r>
    </w:p>
    <w:tbl>
      <w:tblPr>
        <w:tblW w:w="9026" w:type="dxa"/>
        <w:jc w:val="center"/>
        <w:tblInd w:w="0" w:type="dxa"/>
        <w:tblLayout w:type="fixed"/>
        <w:tblCellMar>
          <w:top w:w="0" w:type="dxa"/>
          <w:left w:w="108" w:type="dxa"/>
          <w:bottom w:w="0" w:type="dxa"/>
          <w:right w:w="108" w:type="dxa"/>
        </w:tblCellMar>
        <w:tblLook w:val="04a0" w:noHBand="0" w:noVBand="1" w:firstColumn="1" w:lastRow="0" w:lastColumn="0" w:firstRow="1"/>
      </w:tblPr>
      <w:tblGrid>
        <w:gridCol w:w="4513"/>
        <w:gridCol w:w="4512"/>
      </w:tblGrid>
      <w:tr>
        <w:trPr/>
        <w:tc>
          <w:tcPr>
            <w:tcW w:w="9025" w:type="dxa"/>
            <w:gridSpan w:val="2"/>
            <w:tcBorders>
              <w:top w:val="single" w:sz="4" w:space="0" w:color="B9C2D4"/>
              <w:left w:val="single" w:sz="4" w:space="0" w:color="B9C2D4"/>
              <w:bottom w:val="single" w:sz="4" w:space="0" w:color="B9C2D4"/>
              <w:right w:val="single" w:sz="4" w:space="0" w:color="B9C2D4"/>
            </w:tcBorders>
            <w:shd w:color="auto" w:fill="1F3864" w:val="clear"/>
          </w:tcPr>
          <w:p>
            <w:pPr>
              <w:pStyle w:val="Normal"/>
              <w:jc w:val="center"/>
              <w:rPr/>
            </w:pPr>
            <w:r>
              <w:rPr>
                <w:b/>
                <w:color w:val="FFFFFF"/>
                <w:sz w:val="22"/>
              </w:rPr>
              <w:t>SUBMISSION DETAILS</w:t>
            </w:r>
          </w:p>
        </w:tc>
      </w:tr>
      <w:tr>
        <w:trPr/>
        <w:tc>
          <w:tcPr>
            <w:tcW w:w="4513" w:type="dxa"/>
            <w:tcBorders>
              <w:top w:val="single" w:sz="4" w:space="0" w:color="B9C2D4"/>
              <w:left w:val="single" w:sz="4" w:space="0" w:color="B9C2D4"/>
              <w:bottom w:val="single" w:sz="4" w:space="0" w:color="B9C2D4"/>
              <w:right w:val="single" w:sz="4" w:space="0" w:color="B9C2D4"/>
            </w:tcBorders>
            <w:shd w:color="auto" w:fill="E7EAF2" w:val="clear"/>
          </w:tcPr>
          <w:p>
            <w:pPr>
              <w:pStyle w:val="Normal"/>
              <w:rPr/>
            </w:pPr>
            <w:r>
              <w:rPr>
                <w:b/>
                <w:color w:val="1F3864"/>
                <w:sz w:val="21"/>
              </w:rPr>
              <w:t>Student name:</w:t>
            </w:r>
          </w:p>
        </w:tc>
        <w:tc>
          <w:tcPr>
            <w:tcW w:w="4512" w:type="dxa"/>
            <w:tcBorders>
              <w:top w:val="single" w:sz="4" w:space="0" w:color="B9C2D4"/>
              <w:left w:val="single" w:sz="4" w:space="0" w:color="B9C2D4"/>
              <w:bottom w:val="single" w:sz="4" w:space="0" w:color="B9C2D4"/>
              <w:right w:val="single" w:sz="4" w:space="0" w:color="B9C2D4"/>
            </w:tcBorders>
          </w:tcPr>
          <w:p>
            <w:pPr>
              <w:pStyle w:val="Normal"/>
              <w:rPr/>
            </w:pPr>
            <w:r>
              <w:rPr>
                <w:sz w:val="21"/>
              </w:rPr>
              <w:t>Yevhen Lytko</w:t>
            </w:r>
          </w:p>
        </w:tc>
      </w:tr>
      <w:tr>
        <w:trPr/>
        <w:tc>
          <w:tcPr>
            <w:tcW w:w="4513" w:type="dxa"/>
            <w:tcBorders>
              <w:top w:val="single" w:sz="4" w:space="0" w:color="B9C2D4"/>
              <w:left w:val="single" w:sz="4" w:space="0" w:color="B9C2D4"/>
              <w:bottom w:val="single" w:sz="4" w:space="0" w:color="B9C2D4"/>
              <w:right w:val="single" w:sz="4" w:space="0" w:color="B9C2D4"/>
            </w:tcBorders>
            <w:shd w:color="auto" w:fill="E7EAF2" w:val="clear"/>
          </w:tcPr>
          <w:p>
            <w:pPr>
              <w:pStyle w:val="Normal"/>
              <w:rPr/>
            </w:pPr>
            <w:r>
              <w:rPr>
                <w:b/>
                <w:color w:val="1F3864"/>
                <w:sz w:val="21"/>
              </w:rPr>
              <w:t>Student ID:</w:t>
            </w:r>
          </w:p>
        </w:tc>
        <w:tc>
          <w:tcPr>
            <w:tcW w:w="4512" w:type="dxa"/>
            <w:tcBorders>
              <w:top w:val="single" w:sz="4" w:space="0" w:color="B9C2D4"/>
              <w:left w:val="single" w:sz="4" w:space="0" w:color="B9C2D4"/>
              <w:bottom w:val="single" w:sz="4" w:space="0" w:color="B9C2D4"/>
              <w:right w:val="single" w:sz="4" w:space="0" w:color="B9C2D4"/>
            </w:tcBorders>
          </w:tcPr>
          <w:p>
            <w:pPr>
              <w:pStyle w:val="Normal"/>
              <w:rPr/>
            </w:pPr>
            <w:r>
              <w:rPr>
                <w:sz w:val="21"/>
              </w:rPr>
              <w:t>2424747</w:t>
            </w:r>
          </w:p>
        </w:tc>
      </w:tr>
      <w:tr>
        <w:trPr/>
        <w:tc>
          <w:tcPr>
            <w:tcW w:w="4513" w:type="dxa"/>
            <w:tcBorders>
              <w:top w:val="single" w:sz="4" w:space="0" w:color="B9C2D4"/>
              <w:left w:val="single" w:sz="4" w:space="0" w:color="B9C2D4"/>
              <w:bottom w:val="single" w:sz="4" w:space="0" w:color="B9C2D4"/>
              <w:right w:val="single" w:sz="4" w:space="0" w:color="B9C2D4"/>
            </w:tcBorders>
            <w:shd w:color="auto" w:fill="E7EAF2" w:val="clear"/>
          </w:tcPr>
          <w:p>
            <w:pPr>
              <w:pStyle w:val="Normal"/>
              <w:rPr/>
            </w:pPr>
            <w:r>
              <w:rPr>
                <w:b/>
                <w:color w:val="1F3864"/>
                <w:sz w:val="21"/>
              </w:rPr>
              <w:t>Programme:</w:t>
            </w:r>
          </w:p>
        </w:tc>
        <w:tc>
          <w:tcPr>
            <w:tcW w:w="4512" w:type="dxa"/>
            <w:tcBorders>
              <w:top w:val="single" w:sz="4" w:space="0" w:color="B9C2D4"/>
              <w:left w:val="single" w:sz="4" w:space="0" w:color="B9C2D4"/>
              <w:bottom w:val="single" w:sz="4" w:space="0" w:color="B9C2D4"/>
              <w:right w:val="single" w:sz="4" w:space="0" w:color="B9C2D4"/>
            </w:tcBorders>
          </w:tcPr>
          <w:p>
            <w:pPr>
              <w:pStyle w:val="Normal"/>
              <w:rPr/>
            </w:pPr>
            <w:r>
              <w:rPr>
                <w:sz w:val="21"/>
              </w:rPr>
              <w:t>BSc Applied Computing</w:t>
            </w:r>
          </w:p>
        </w:tc>
      </w:tr>
      <w:tr>
        <w:trPr/>
        <w:tc>
          <w:tcPr>
            <w:tcW w:w="4513" w:type="dxa"/>
            <w:tcBorders>
              <w:top w:val="single" w:sz="4" w:space="0" w:color="B9C2D4"/>
              <w:left w:val="single" w:sz="4" w:space="0" w:color="B9C2D4"/>
              <w:bottom w:val="single" w:sz="4" w:space="0" w:color="B9C2D4"/>
              <w:right w:val="single" w:sz="4" w:space="0" w:color="B9C2D4"/>
            </w:tcBorders>
            <w:shd w:color="auto" w:fill="E7EAF2" w:val="clear"/>
          </w:tcPr>
          <w:p>
            <w:pPr>
              <w:pStyle w:val="Normal"/>
              <w:rPr/>
            </w:pPr>
            <w:r>
              <w:rPr>
                <w:b/>
                <w:color w:val="1F3864"/>
                <w:sz w:val="21"/>
              </w:rPr>
              <w:t>Module:</w:t>
            </w:r>
          </w:p>
        </w:tc>
        <w:tc>
          <w:tcPr>
            <w:tcW w:w="4512" w:type="dxa"/>
            <w:tcBorders>
              <w:top w:val="single" w:sz="4" w:space="0" w:color="B9C2D4"/>
              <w:left w:val="single" w:sz="4" w:space="0" w:color="B9C2D4"/>
              <w:bottom w:val="single" w:sz="4" w:space="0" w:color="B9C2D4"/>
              <w:right w:val="single" w:sz="4" w:space="0" w:color="B9C2D4"/>
            </w:tcBorders>
          </w:tcPr>
          <w:p>
            <w:pPr>
              <w:pStyle w:val="Normal"/>
              <w:rPr/>
            </w:pPr>
            <w:r>
              <w:rPr>
                <w:sz w:val="21"/>
              </w:rPr>
              <w:t>Network Operating Systems and Services (ACCA5023)</w:t>
            </w:r>
          </w:p>
        </w:tc>
      </w:tr>
      <w:tr>
        <w:trPr/>
        <w:tc>
          <w:tcPr>
            <w:tcW w:w="4513" w:type="dxa"/>
            <w:tcBorders>
              <w:top w:val="single" w:sz="4" w:space="0" w:color="B9C2D4"/>
              <w:left w:val="single" w:sz="4" w:space="0" w:color="B9C2D4"/>
              <w:bottom w:val="single" w:sz="4" w:space="0" w:color="B9C2D4"/>
              <w:right w:val="single" w:sz="4" w:space="0" w:color="B9C2D4"/>
            </w:tcBorders>
            <w:shd w:color="auto" w:fill="E7EAF2" w:val="clear"/>
          </w:tcPr>
          <w:p>
            <w:pPr>
              <w:pStyle w:val="Normal"/>
              <w:rPr/>
            </w:pPr>
            <w:r>
              <w:rPr>
                <w:b/>
                <w:color w:val="1F3864"/>
                <w:sz w:val="21"/>
              </w:rPr>
              <w:t>Lecturer:</w:t>
            </w:r>
          </w:p>
        </w:tc>
        <w:tc>
          <w:tcPr>
            <w:tcW w:w="4512" w:type="dxa"/>
            <w:tcBorders>
              <w:top w:val="single" w:sz="4" w:space="0" w:color="B9C2D4"/>
              <w:left w:val="single" w:sz="4" w:space="0" w:color="B9C2D4"/>
              <w:bottom w:val="single" w:sz="4" w:space="0" w:color="B9C2D4"/>
              <w:right w:val="single" w:sz="4" w:space="0" w:color="B9C2D4"/>
            </w:tcBorders>
          </w:tcPr>
          <w:p>
            <w:pPr>
              <w:pStyle w:val="Normal"/>
              <w:rPr/>
            </w:pPr>
            <w:r>
              <w:rPr>
                <w:sz w:val="21"/>
              </w:rPr>
              <w:t>Md Sadeque Imam Shaikh</w:t>
            </w:r>
          </w:p>
        </w:tc>
      </w:tr>
      <w:tr>
        <w:trPr/>
        <w:tc>
          <w:tcPr>
            <w:tcW w:w="4513" w:type="dxa"/>
            <w:tcBorders>
              <w:top w:val="single" w:sz="4" w:space="0" w:color="B9C2D4"/>
              <w:left w:val="single" w:sz="4" w:space="0" w:color="B9C2D4"/>
              <w:bottom w:val="single" w:sz="4" w:space="0" w:color="B9C2D4"/>
              <w:right w:val="single" w:sz="4" w:space="0" w:color="B9C2D4"/>
            </w:tcBorders>
            <w:shd w:color="auto" w:fill="E7EAF2" w:val="clear"/>
          </w:tcPr>
          <w:p>
            <w:pPr>
              <w:pStyle w:val="Normal"/>
              <w:rPr/>
            </w:pPr>
            <w:r>
              <w:rPr>
                <w:b/>
                <w:color w:val="1F3864"/>
                <w:sz w:val="21"/>
              </w:rPr>
              <w:t>Date:</w:t>
            </w:r>
          </w:p>
        </w:tc>
        <w:tc>
          <w:tcPr>
            <w:tcW w:w="4512" w:type="dxa"/>
            <w:tcBorders>
              <w:top w:val="single" w:sz="4" w:space="0" w:color="B9C2D4"/>
              <w:left w:val="single" w:sz="4" w:space="0" w:color="B9C2D4"/>
              <w:bottom w:val="single" w:sz="4" w:space="0" w:color="B9C2D4"/>
              <w:right w:val="single" w:sz="4" w:space="0" w:color="B9C2D4"/>
            </w:tcBorders>
          </w:tcPr>
          <w:p>
            <w:pPr>
              <w:pStyle w:val="Normal"/>
              <w:rPr/>
            </w:pPr>
            <w:r>
              <w:rPr>
                <w:sz w:val="21"/>
              </w:rPr>
              <w:t>21 August 2026</w:t>
            </w:r>
          </w:p>
        </w:tc>
      </w:tr>
    </w:tbl>
    <w:p>
      <w:pPr>
        <w:pStyle w:val="Normal"/>
        <w:rPr/>
      </w:pPr>
      <w:r>
        <w:rPr/>
      </w:r>
    </w:p>
    <w:p>
      <w:pPr>
        <w:pStyle w:val="Normal"/>
        <w:jc w:val="center"/>
        <w:rPr/>
      </w:pPr>
      <w:r>
        <w:rPr>
          <w:i/>
          <w:color w:val="404040"/>
          <w:sz w:val="18"/>
        </w:rPr>
        <w:t>Submitted in partial fulfilment of the requirements of the BSc Applied Computing programme</w:t>
      </w:r>
    </w:p>
    <w:p>
      <w:pPr>
        <w:pStyle w:val="Normal"/>
        <w:rPr/>
      </w:pPr>
      <w:r>
        <w:rPr/>
      </w:r>
      <w:r>
        <w:br w:type="page"/>
      </w:r>
    </w:p>
    <w:p>
      <w:pPr>
        <w:pStyle w:val="Normal"/>
        <w:pBdr>
          <w:bottom w:val="single" w:sz="18" w:space="4" w:color="1F3864"/>
        </w:pBdr>
        <w:spacing w:before="0" w:after="0"/>
        <w:rPr/>
      </w:pPr>
      <w:r>
        <w:rPr>
          <w:b/>
          <w:color w:val="1F3864"/>
          <w:sz w:val="36"/>
        </w:rPr>
        <w:t>Table of Contents</w:t>
      </w:r>
    </w:p>
    <w:p>
      <w:pPr>
        <w:pStyle w:val="Normal"/>
        <w:rPr/>
      </w:pPr>
      <w:r>
        <w:rPr/>
      </w:r>
    </w:p>
    <w:sdt>
      <w:sdtPr>
        <w:docPartObj>
          <w:docPartGallery w:val="Table of Contents"/>
          <w:docPartUnique w:val="true"/>
        </w:docPartObj>
      </w:sdtPr>
      <w:sdtContent>
        <w:p>
          <w:pPr>
            <w:pStyle w:val="TOC1"/>
            <w:tabs>
              <w:tab w:val="clear" w:pos="9026"/>
              <w:tab w:val="right" w:pos="9025" w:leader="dot"/>
            </w:tabs>
            <w:rPr/>
          </w:pPr>
          <w:r>
            <w:fldChar w:fldCharType="begin"/>
          </w:r>
          <w:r>
            <w:rPr>
              <w:rStyle w:val="IndexLink"/>
            </w:rPr>
            <w:instrText xml:space="preserve"> TOC \t "Heading 1,1,Heading 2,2" \h</w:instrText>
          </w:r>
          <w:r>
            <w:rPr>
              <w:rStyle w:val="IndexLink"/>
            </w:rPr>
            <w:fldChar w:fldCharType="separate"/>
          </w:r>
          <w:hyperlink w:anchor="__RefHeading___Toc2180_2189350986">
            <w:r>
              <w:rPr>
                <w:rStyle w:val="IndexLink"/>
              </w:rPr>
              <w:t>1. Routing</w:t>
              <w:tab/>
              <w:t>3</w:t>
            </w:r>
          </w:hyperlink>
        </w:p>
        <w:p>
          <w:pPr>
            <w:pStyle w:val="TOC2"/>
            <w:tabs>
              <w:tab w:val="clear" w:pos="8743"/>
              <w:tab w:val="right" w:pos="9025" w:leader="dot"/>
            </w:tabs>
            <w:rPr/>
          </w:pPr>
          <w:hyperlink w:anchor="__RefHeading___Toc2200_2189350986">
            <w:r>
              <w:rPr>
                <w:rStyle w:val="IndexLink"/>
              </w:rPr>
              <w:t>1.1 Routing in Birmingham Network</w:t>
              <w:tab/>
              <w:t>3</w:t>
            </w:r>
          </w:hyperlink>
        </w:p>
        <w:p>
          <w:pPr>
            <w:pStyle w:val="TOC2"/>
            <w:tabs>
              <w:tab w:val="clear" w:pos="8743"/>
              <w:tab w:val="right" w:pos="9025" w:leader="dot"/>
            </w:tabs>
            <w:rPr/>
          </w:pPr>
          <w:hyperlink w:anchor="__RefHeading___Toc2228_2189350986">
            <w:r>
              <w:rPr>
                <w:rStyle w:val="IndexLink"/>
              </w:rPr>
              <w:t>1.2 Routing in London Network</w:t>
              <w:tab/>
              <w:t>4</w:t>
            </w:r>
          </w:hyperlink>
        </w:p>
        <w:p>
          <w:pPr>
            <w:pStyle w:val="TOC1"/>
            <w:tabs>
              <w:tab w:val="clear" w:pos="9026"/>
              <w:tab w:val="right" w:pos="9025" w:leader="dot"/>
            </w:tabs>
            <w:rPr/>
          </w:pPr>
          <w:hyperlink w:anchor="__RefHeading___Toc2198_2189350986">
            <w:r>
              <w:rPr>
                <w:rStyle w:val="IndexLink"/>
              </w:rPr>
              <w:t>2. Domain Server (Birmingham)</w:t>
              <w:tab/>
              <w:t>4</w:t>
            </w:r>
          </w:hyperlink>
        </w:p>
        <w:p>
          <w:pPr>
            <w:pStyle w:val="TOC2"/>
            <w:tabs>
              <w:tab w:val="clear" w:pos="8743"/>
              <w:tab w:val="right" w:pos="9025" w:leader="dot"/>
            </w:tabs>
            <w:rPr/>
          </w:pPr>
          <w:hyperlink w:anchor="__RefHeading___Toc2226_2189350986">
            <w:r>
              <w:rPr>
                <w:rStyle w:val="IndexLink"/>
              </w:rPr>
              <w:t>2.1 Forest Creation</w:t>
              <w:tab/>
              <w:t>4</w:t>
            </w:r>
          </w:hyperlink>
        </w:p>
        <w:p>
          <w:pPr>
            <w:pStyle w:val="TOC2"/>
            <w:tabs>
              <w:tab w:val="clear" w:pos="8743"/>
              <w:tab w:val="right" w:pos="9025" w:leader="dot"/>
            </w:tabs>
            <w:rPr/>
          </w:pPr>
          <w:hyperlink w:anchor="__RefHeading___Toc2224_2189350986">
            <w:r>
              <w:rPr>
                <w:rStyle w:val="IndexLink"/>
              </w:rPr>
              <w:t>2.2 A Records</w:t>
              <w:tab/>
              <w:t>5</w:t>
            </w:r>
          </w:hyperlink>
        </w:p>
        <w:p>
          <w:pPr>
            <w:pStyle w:val="TOC2"/>
            <w:tabs>
              <w:tab w:val="clear" w:pos="8743"/>
              <w:tab w:val="right" w:pos="9025" w:leader="dot"/>
            </w:tabs>
            <w:rPr/>
          </w:pPr>
          <w:hyperlink w:anchor="__RefHeading___Toc2222_2189350986">
            <w:r>
              <w:rPr>
                <w:rStyle w:val="IndexLink"/>
              </w:rPr>
              <w:t>2.3 Reverse Lookup Zone and PTR Records</w:t>
              <w:tab/>
              <w:t>6</w:t>
            </w:r>
          </w:hyperlink>
        </w:p>
        <w:p>
          <w:pPr>
            <w:pStyle w:val="TOC1"/>
            <w:tabs>
              <w:tab w:val="clear" w:pos="9026"/>
              <w:tab w:val="right" w:pos="9025" w:leader="dot"/>
            </w:tabs>
            <w:rPr/>
          </w:pPr>
          <w:hyperlink w:anchor="__RefHeading___Toc2196_2189350986">
            <w:r>
              <w:rPr>
                <w:rStyle w:val="IndexLink"/>
              </w:rPr>
              <w:t>3. Encrypted Connection between Birmingham and London</w:t>
              <w:tab/>
              <w:t>7</w:t>
            </w:r>
          </w:hyperlink>
        </w:p>
        <w:p>
          <w:pPr>
            <w:pStyle w:val="TOC2"/>
            <w:tabs>
              <w:tab w:val="clear" w:pos="8743"/>
              <w:tab w:val="right" w:pos="9025" w:leader="dot"/>
            </w:tabs>
            <w:rPr/>
          </w:pPr>
          <w:hyperlink w:anchor="__RefHeading___Toc2220_2189350986">
            <w:r>
              <w:rPr>
                <w:rStyle w:val="IndexLink"/>
              </w:rPr>
              <w:t>3.1 Site-to-Site VPN</w:t>
              <w:tab/>
              <w:t>7</w:t>
            </w:r>
          </w:hyperlink>
        </w:p>
        <w:p>
          <w:pPr>
            <w:pStyle w:val="TOC1"/>
            <w:tabs>
              <w:tab w:val="clear" w:pos="9026"/>
              <w:tab w:val="right" w:pos="9025" w:leader="dot"/>
            </w:tabs>
            <w:rPr/>
          </w:pPr>
          <w:hyperlink w:anchor="__RefHeading___Toc2194_2189350986">
            <w:r>
              <w:rPr>
                <w:rStyle w:val="IndexLink"/>
              </w:rPr>
              <w:t>4. Users</w:t>
              <w:tab/>
              <w:t>7</w:t>
            </w:r>
          </w:hyperlink>
        </w:p>
        <w:p>
          <w:pPr>
            <w:pStyle w:val="TOC2"/>
            <w:tabs>
              <w:tab w:val="clear" w:pos="8743"/>
              <w:tab w:val="right" w:pos="9025" w:leader="dot"/>
            </w:tabs>
            <w:rPr/>
          </w:pPr>
          <w:hyperlink w:anchor="__RefHeading___Toc2218_2189350986">
            <w:r>
              <w:rPr>
                <w:rStyle w:val="IndexLink"/>
              </w:rPr>
              <w:t>4.1 Bulk User Creation</w:t>
              <w:tab/>
              <w:t>8</w:t>
            </w:r>
          </w:hyperlink>
        </w:p>
        <w:p>
          <w:pPr>
            <w:pStyle w:val="TOC1"/>
            <w:tabs>
              <w:tab w:val="clear" w:pos="9026"/>
              <w:tab w:val="right" w:pos="9025" w:leader="dot"/>
            </w:tabs>
            <w:rPr/>
          </w:pPr>
          <w:hyperlink w:anchor="__RefHeading___Toc2192_2189350986">
            <w:r>
              <w:rPr>
                <w:rStyle w:val="IndexLink"/>
              </w:rPr>
              <w:t>5. Domain Membership</w:t>
              <w:tab/>
              <w:t>8</w:t>
            </w:r>
          </w:hyperlink>
        </w:p>
        <w:p>
          <w:pPr>
            <w:pStyle w:val="TOC2"/>
            <w:tabs>
              <w:tab w:val="clear" w:pos="8743"/>
              <w:tab w:val="right" w:pos="9025" w:leader="dot"/>
            </w:tabs>
            <w:rPr/>
          </w:pPr>
          <w:hyperlink w:anchor="__RefHeading___Toc2216_2189350986">
            <w:r>
              <w:rPr>
                <w:rStyle w:val="IndexLink"/>
              </w:rPr>
              <w:t>5.1 Joining L-CD, ClientS1, ClientL1 to the domain</w:t>
              <w:tab/>
              <w:t>8</w:t>
            </w:r>
          </w:hyperlink>
        </w:p>
        <w:p>
          <w:pPr>
            <w:pStyle w:val="TOC1"/>
            <w:tabs>
              <w:tab w:val="clear" w:pos="9026"/>
              <w:tab w:val="right" w:pos="9025" w:leader="dot"/>
            </w:tabs>
            <w:rPr/>
          </w:pPr>
          <w:hyperlink w:anchor="__RefHeading___Toc2190_2189350986">
            <w:r>
              <w:rPr>
                <w:rStyle w:val="IndexLink"/>
              </w:rPr>
              <w:t>6. DHCP Server</w:t>
              <w:tab/>
              <w:t>9</w:t>
            </w:r>
          </w:hyperlink>
        </w:p>
        <w:p>
          <w:pPr>
            <w:pStyle w:val="TOC2"/>
            <w:tabs>
              <w:tab w:val="clear" w:pos="8743"/>
              <w:tab w:val="right" w:pos="9025" w:leader="dot"/>
            </w:tabs>
            <w:rPr/>
          </w:pPr>
          <w:hyperlink w:anchor="__RefHeading___Toc2214_2189350986">
            <w:r>
              <w:rPr>
                <w:rStyle w:val="IndexLink"/>
              </w:rPr>
              <w:t>6.1 B-DC as DHCP Server</w:t>
              <w:tab/>
              <w:t>9</w:t>
            </w:r>
          </w:hyperlink>
        </w:p>
        <w:p>
          <w:pPr>
            <w:pStyle w:val="TOC2"/>
            <w:tabs>
              <w:tab w:val="clear" w:pos="8743"/>
              <w:tab w:val="right" w:pos="9025" w:leader="dot"/>
            </w:tabs>
            <w:rPr/>
          </w:pPr>
          <w:hyperlink w:anchor="__RefHeading___Toc2212_2189350986">
            <w:r>
              <w:rPr>
                <w:rStyle w:val="IndexLink"/>
              </w:rPr>
              <w:t>6.2 L-CD as DHCP Relay</w:t>
              <w:tab/>
              <w:t>9</w:t>
            </w:r>
          </w:hyperlink>
        </w:p>
        <w:p>
          <w:pPr>
            <w:pStyle w:val="TOC2"/>
            <w:tabs>
              <w:tab w:val="clear" w:pos="8743"/>
              <w:tab w:val="right" w:pos="9025" w:leader="dot"/>
            </w:tabs>
            <w:rPr/>
          </w:pPr>
          <w:hyperlink w:anchor="__RefHeading___Toc2210_2189350986">
            <w:r>
              <w:rPr>
                <w:rStyle w:val="IndexLink"/>
              </w:rPr>
              <w:t>6.3 Client IP Assignment</w:t>
              <w:tab/>
              <w:t>9</w:t>
            </w:r>
          </w:hyperlink>
        </w:p>
        <w:p>
          <w:pPr>
            <w:pStyle w:val="TOC1"/>
            <w:tabs>
              <w:tab w:val="clear" w:pos="9026"/>
              <w:tab w:val="right" w:pos="9025" w:leader="dot"/>
            </w:tabs>
            <w:rPr/>
          </w:pPr>
          <w:hyperlink w:anchor="__RefHeading___Toc2188_2189350986">
            <w:r>
              <w:rPr>
                <w:rStyle w:val="IndexLink"/>
              </w:rPr>
              <w:t>7. Test and Troubleshoot</w:t>
              <w:tab/>
              <w:t>9</w:t>
            </w:r>
          </w:hyperlink>
        </w:p>
        <w:p>
          <w:pPr>
            <w:pStyle w:val="TOC2"/>
            <w:tabs>
              <w:tab w:val="clear" w:pos="8743"/>
              <w:tab w:val="right" w:pos="9025" w:leader="dot"/>
            </w:tabs>
            <w:rPr/>
          </w:pPr>
          <w:hyperlink w:anchor="__RefHeading___Toc2208_2189350986">
            <w:r>
              <w:rPr>
                <w:rStyle w:val="IndexLink"/>
              </w:rPr>
              <w:t>7.1 Connectivity Testing</w:t>
              <w:tab/>
              <w:t>10</w:t>
            </w:r>
          </w:hyperlink>
        </w:p>
        <w:p>
          <w:pPr>
            <w:pStyle w:val="TOC1"/>
            <w:tabs>
              <w:tab w:val="clear" w:pos="9026"/>
              <w:tab w:val="right" w:pos="9025" w:leader="dot"/>
            </w:tabs>
            <w:rPr/>
          </w:pPr>
          <w:hyperlink w:anchor="__RefHeading___Toc2186_2189350986">
            <w:r>
              <w:rPr>
                <w:rStyle w:val="IndexLink"/>
              </w:rPr>
              <w:t>8. Disk Drive</w:t>
              <w:tab/>
              <w:t>10</w:t>
            </w:r>
          </w:hyperlink>
        </w:p>
        <w:p>
          <w:pPr>
            <w:pStyle w:val="TOC2"/>
            <w:tabs>
              <w:tab w:val="clear" w:pos="8743"/>
              <w:tab w:val="right" w:pos="9025" w:leader="dot"/>
            </w:tabs>
            <w:rPr/>
          </w:pPr>
          <w:hyperlink w:anchor="__RefHeading___Toc2206_2189350986">
            <w:r>
              <w:rPr>
                <w:rStyle w:val="IndexLink"/>
              </w:rPr>
              <w:t>8.1 Mount, Share and Permission</w:t>
              <w:tab/>
              <w:t>10</w:t>
            </w:r>
          </w:hyperlink>
        </w:p>
        <w:p>
          <w:pPr>
            <w:pStyle w:val="TOC1"/>
            <w:tabs>
              <w:tab w:val="clear" w:pos="9026"/>
              <w:tab w:val="right" w:pos="9025" w:leader="dot"/>
            </w:tabs>
            <w:rPr/>
          </w:pPr>
          <w:hyperlink w:anchor="__RefHeading___Toc2184_2189350986">
            <w:r>
              <w:rPr>
                <w:rStyle w:val="IndexLink"/>
              </w:rPr>
              <w:t>9. IIS Server</w:t>
              <w:tab/>
              <w:t>11</w:t>
            </w:r>
          </w:hyperlink>
        </w:p>
        <w:p>
          <w:pPr>
            <w:pStyle w:val="TOC2"/>
            <w:tabs>
              <w:tab w:val="clear" w:pos="8743"/>
              <w:tab w:val="right" w:pos="9025" w:leader="dot"/>
            </w:tabs>
            <w:rPr/>
          </w:pPr>
          <w:hyperlink w:anchor="__RefHeading___Toc2204_2189350986">
            <w:r>
              <w:rPr>
                <w:rStyle w:val="IndexLink"/>
              </w:rPr>
              <w:t>9.1 Website and Authentication</w:t>
              <w:tab/>
              <w:t>11</w:t>
            </w:r>
          </w:hyperlink>
        </w:p>
        <w:p>
          <w:pPr>
            <w:pStyle w:val="TOC1"/>
            <w:tabs>
              <w:tab w:val="clear" w:pos="9026"/>
              <w:tab w:val="right" w:pos="9025" w:leader="dot"/>
            </w:tabs>
            <w:rPr/>
          </w:pPr>
          <w:hyperlink w:anchor="__RefHeading___Toc2182_2189350986">
            <w:r>
              <w:rPr>
                <w:rStyle w:val="IndexLink"/>
              </w:rPr>
              <w:t>10. Remote Desktop Services</w:t>
              <w:tab/>
              <w:t>13</w:t>
            </w:r>
          </w:hyperlink>
        </w:p>
        <w:p>
          <w:pPr>
            <w:pStyle w:val="TOC2"/>
            <w:tabs>
              <w:tab w:val="clear" w:pos="8743"/>
              <w:tab w:val="right" w:pos="9025" w:leader="dot"/>
            </w:tabs>
            <w:rPr/>
          </w:pPr>
          <w:hyperlink w:anchor="__RefHeading___Toc2202_2189350986">
            <w:r>
              <w:rPr>
                <w:rStyle w:val="IndexLink"/>
              </w:rPr>
              <w:t>10.1 Remote Access Configuration</w:t>
              <w:tab/>
              <w:t>13</w:t>
            </w:r>
          </w:hyperlink>
        </w:p>
        <w:p>
          <w:pPr>
            <w:pStyle w:val="TOC1"/>
            <w:tabs>
              <w:tab w:val="clear" w:pos="9026"/>
              <w:tab w:val="right" w:pos="9025" w:leader="dot"/>
            </w:tabs>
            <w:rPr/>
          </w:pPr>
          <w:hyperlink w:anchor="__RefHeading___Toc465_3677640412">
            <w:r>
              <w:rPr>
                <w:rStyle w:val="IndexLink"/>
              </w:rPr>
              <w:t>References</w:t>
              <w:tab/>
              <w:t>14</w:t>
            </w:r>
          </w:hyperlink>
          <w:r>
            <w:rPr>
              <w:rStyle w:val="IndexLink"/>
            </w:rPr>
            <w:fldChar w:fldCharType="end"/>
          </w:r>
        </w:p>
      </w:sdtContent>
    </w:sdt>
    <w:p>
      <w:pPr>
        <w:pStyle w:val="Normal"/>
        <w:rPr/>
      </w:pPr>
      <w:r>
        <w:rPr/>
      </w:r>
    </w:p>
    <w:p>
      <w:pPr>
        <w:pStyle w:val="Normal"/>
        <w:rPr/>
      </w:pPr>
      <w:r>
        <w:rPr/>
      </w:r>
      <w:r>
        <w:br w:type="page"/>
      </w:r>
    </w:p>
    <w:p>
      <w:pPr>
        <w:pStyle w:val="Normal"/>
        <w:spacing w:before="0" w:after="300"/>
        <w:rPr/>
      </w:pPr>
      <w:r>
        <w:rPr>
          <w:b/>
          <w:bCs/>
          <w:sz w:val="32"/>
          <w:szCs w:val="32"/>
        </w:rPr>
        <w:t>NOSSLONDON2026 — Coursework 2 Submission</w:t>
      </w:r>
    </w:p>
    <w:p>
      <w:pPr>
        <w:pStyle w:val="Heading1"/>
        <w:spacing w:before="300" w:after="150"/>
        <w:rPr/>
      </w:pPr>
      <w:bookmarkStart w:id="0" w:name="__RefHeading___Toc2180_2189350986"/>
      <w:bookmarkEnd w:id="0"/>
      <w:r>
        <w:rPr/>
        <w:t>1. Routing</w:t>
      </w:r>
    </w:p>
    <w:p>
      <w:pPr>
        <w:pStyle w:val="Normal"/>
        <w:spacing w:before="0" w:after="150"/>
        <w:rPr/>
      </w:pPr>
      <w:r>
        <w:rPr>
          <w:b/>
          <w:bCs/>
        </w:rPr>
        <w:t xml:space="preserve">Status: </w:t>
      </w:r>
      <w:r>
        <w:rPr/>
        <w:t>Completed and tested</w:t>
      </w:r>
    </w:p>
    <w:p>
      <w:pPr>
        <w:pStyle w:val="Heading2"/>
        <w:spacing w:before="250" w:after="120"/>
        <w:rPr/>
      </w:pPr>
      <w:bookmarkStart w:id="1" w:name="__RefHeading___Toc2200_2189350986"/>
      <w:bookmarkEnd w:id="1"/>
      <w:r>
        <w:rPr/>
        <w:t>1.1 Routing in Birmingham Network</w:t>
      </w:r>
    </w:p>
    <w:p>
      <w:pPr>
        <w:pStyle w:val="Normal"/>
        <w:spacing w:before="0" w:after="120"/>
        <w:rPr/>
      </w:pPr>
      <w:r>
        <w:rPr/>
        <w:t>Install Routing and Remote Access Service (RRAS) on B-DC</w:t>
      </w:r>
    </w:p>
    <w:p>
      <w:pPr>
        <w:pStyle w:val="Normal"/>
        <w:spacing w:before="0" w:after="120"/>
        <w:rPr/>
      </w:pPr>
      <w:r>
        <w:rPr/>
        <w:t>Modify firewall rules to allow ICMP traffic</w:t>
      </w:r>
    </w:p>
    <w:p>
      <w:pPr>
        <w:pStyle w:val="Normal"/>
        <w:spacing w:before="0" w:after="150"/>
        <w:rPr/>
      </w:pPr>
      <w:r>
        <w:rPr/>
        <w:t>For this task, I installed the Routing and Remote Access Service (RRAS) role on B-DC through Server Manager, using Add Roles and Features and selecting Remote Access with the Routing role service. Once the role had finished installing, I opened Routing and Remote Access and enabled LAN routing so the server could forward traffic between its interfaces. Because ICMP traffic (used for ping) is blocked by Windows Firewall by default, I also had to add a custom inbound rule called "Allow ICMP" to permit ICMPv4 Echo Request packets through. I verified this had worked correctly by running netsh advfirewall firewall show rule name=all and filtering the output for ICMP-related entries, which confirmed the rule was present, enabled, and set to allow ICMPv4 traffic [1], [2].</w:t>
      </w:r>
    </w:p>
    <w:p>
      <w:pPr>
        <w:pStyle w:val="Normal"/>
        <w:spacing w:before="60" w:after="60"/>
        <w:rPr/>
      </w:pPr>
      <w:r>
        <w:rPr>
          <w:i/>
          <w:iCs/>
          <w:color w:val="555555"/>
          <w:sz w:val="20"/>
          <w:szCs w:val="20"/>
        </w:rPr>
        <w:t>RRAS console showing server with green (running) status</w:t>
      </w:r>
    </w:p>
    <w:p>
      <w:pPr>
        <w:pStyle w:val="Normal"/>
        <w:spacing w:before="100" w:after="200"/>
        <w:rPr/>
      </w:pPr>
      <w:r>
        <w:rPr/>
        <w:drawing>
          <wp:inline distT="0" distB="0" distL="0" distR="0">
            <wp:extent cx="1838325" cy="1524000"/>
            <wp:effectExtent l="0" t="0" r="0" b="0"/>
            <wp:docPr id="2"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descr=""/>
                    <pic:cNvPicPr>
                      <a:picLocks noChangeAspect="1" noChangeArrowheads="1"/>
                    </pic:cNvPicPr>
                  </pic:nvPicPr>
                  <pic:blipFill>
                    <a:blip r:embed="rId3"/>
                    <a:stretch>
                      <a:fillRect/>
                    </a:stretch>
                  </pic:blipFill>
                  <pic:spPr bwMode="auto">
                    <a:xfrm>
                      <a:off x="0" y="0"/>
                      <a:ext cx="1838325" cy="1524000"/>
                    </a:xfrm>
                    <a:prstGeom prst="rect">
                      <a:avLst/>
                    </a:prstGeom>
                  </pic:spPr>
                </pic:pic>
              </a:graphicData>
            </a:graphic>
          </wp:inline>
        </w:drawing>
      </w:r>
    </w:p>
    <w:p>
      <w:pPr>
        <w:pStyle w:val="Normal"/>
        <w:spacing w:before="60" w:after="60"/>
        <w:rPr/>
      </w:pPr>
      <w:r>
        <w:rPr>
          <w:i/>
          <w:iCs/>
          <w:color w:val="555555"/>
          <w:sz w:val="20"/>
          <w:szCs w:val="20"/>
        </w:rPr>
        <w:t>netsh firewall command output confirming ICMP rule added</w:t>
      </w:r>
    </w:p>
    <w:p>
      <w:pPr>
        <w:pStyle w:val="Normal"/>
        <w:spacing w:before="100" w:after="200"/>
        <w:rPr/>
      </w:pPr>
      <w:r>
        <w:rPr/>
        <w:drawing>
          <wp:inline distT="0" distB="0" distL="0" distR="0">
            <wp:extent cx="4762500" cy="3305175"/>
            <wp:effectExtent l="0" t="0" r="0" b="0"/>
            <wp:docPr id="3"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descr=""/>
                    <pic:cNvPicPr>
                      <a:picLocks noChangeAspect="1" noChangeArrowheads="1"/>
                    </pic:cNvPicPr>
                  </pic:nvPicPr>
                  <pic:blipFill>
                    <a:blip r:embed="rId4"/>
                    <a:stretch>
                      <a:fillRect/>
                    </a:stretch>
                  </pic:blipFill>
                  <pic:spPr bwMode="auto">
                    <a:xfrm>
                      <a:off x="0" y="0"/>
                      <a:ext cx="4762500" cy="3305175"/>
                    </a:xfrm>
                    <a:prstGeom prst="rect">
                      <a:avLst/>
                    </a:prstGeom>
                  </pic:spPr>
                </pic:pic>
              </a:graphicData>
            </a:graphic>
          </wp:inline>
        </w:drawing>
      </w:r>
    </w:p>
    <w:p>
      <w:pPr>
        <w:pStyle w:val="Heading2"/>
        <w:spacing w:before="250" w:after="120"/>
        <w:rPr/>
      </w:pPr>
      <w:bookmarkStart w:id="2" w:name="__RefHeading___Toc2228_2189350986"/>
      <w:bookmarkEnd w:id="2"/>
      <w:r>
        <w:rPr/>
        <w:t>1.2 Routing in London Network</w:t>
      </w:r>
    </w:p>
    <w:p>
      <w:pPr>
        <w:pStyle w:val="Normal"/>
        <w:spacing w:before="0" w:after="120"/>
        <w:rPr/>
      </w:pPr>
      <w:r>
        <w:rPr/>
        <w:t>Configure persistent IP forwarding and routing on L-CD</w:t>
      </w:r>
    </w:p>
    <w:p>
      <w:pPr>
        <w:pStyle w:val="Normal"/>
        <w:spacing w:before="0" w:after="150"/>
        <w:rPr/>
      </w:pPr>
      <w:r>
        <w:rPr/>
        <w:t>On the London side, L-CD is a Debian server acting as the router between the London LAN and the WAN link back to Birmingham. By default, Debian doesn't forward packets between interfaces, so I had to explicitly enable IP forwarding. I first tested this temporarily using echo 1 &gt; /proc/sys/net/ipv4/ip_forward, then made the change permanent by editing /etc/sysctl.conf and uncommenting the line net.ipv4.ip_forward=1, applying it with sysctl -p so it would survive a reboot. I then checked the routing table with ip route to confirm a route existed to the Birmingham network (172.16.1.0/24) via the WAN gateway address 10.0.0.1, which showed up correctly. To prove the routing was actually working end-to-end and not just configured on paper, I ran a ping across the WAN link from Birmingham to the London-facing interface (10.0.0.2), which returned successful replies with low latency, confirming the link and routing configuration were functioning [3].</w:t>
      </w:r>
    </w:p>
    <w:p>
      <w:pPr>
        <w:pStyle w:val="Normal"/>
        <w:spacing w:before="60" w:after="60"/>
        <w:rPr/>
      </w:pPr>
      <w:r>
        <w:rPr>
          <w:i/>
          <w:iCs/>
          <w:color w:val="555555"/>
          <w:sz w:val="20"/>
          <w:szCs w:val="20"/>
        </w:rPr>
        <w:t>L-CD — sysctl -p and cat /proc/sys/net/ipv4/ip_forward showing "1"</w:t>
      </w:r>
    </w:p>
    <w:p>
      <w:pPr>
        <w:pStyle w:val="Normal"/>
        <w:spacing w:before="100" w:after="200"/>
        <w:rPr/>
      </w:pPr>
      <w:r>
        <w:rPr/>
        <w:drawing>
          <wp:inline distT="0" distB="0" distL="0" distR="0">
            <wp:extent cx="4029075" cy="1419225"/>
            <wp:effectExtent l="0" t="0" r="0" b="0"/>
            <wp:docPr id="4"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 descr=""/>
                    <pic:cNvPicPr>
                      <a:picLocks noChangeAspect="1" noChangeArrowheads="1"/>
                    </pic:cNvPicPr>
                  </pic:nvPicPr>
                  <pic:blipFill>
                    <a:blip r:embed="rId5"/>
                    <a:stretch>
                      <a:fillRect/>
                    </a:stretch>
                  </pic:blipFill>
                  <pic:spPr bwMode="auto">
                    <a:xfrm>
                      <a:off x="0" y="0"/>
                      <a:ext cx="4029075" cy="1419225"/>
                    </a:xfrm>
                    <a:prstGeom prst="rect">
                      <a:avLst/>
                    </a:prstGeom>
                  </pic:spPr>
                </pic:pic>
              </a:graphicData>
            </a:graphic>
          </wp:inline>
        </w:drawing>
      </w:r>
    </w:p>
    <w:p>
      <w:pPr>
        <w:pStyle w:val="Normal"/>
        <w:spacing w:before="60" w:after="60"/>
        <w:rPr/>
      </w:pPr>
      <w:r>
        <w:rPr>
          <w:i/>
          <w:iCs/>
          <w:color w:val="555555"/>
          <w:sz w:val="20"/>
          <w:szCs w:val="20"/>
        </w:rPr>
        <w:t>L-CD — ip route output showing route to 172.16.1.0/24 via 10.0.0.1</w:t>
      </w:r>
    </w:p>
    <w:p>
      <w:pPr>
        <w:pStyle w:val="Normal"/>
        <w:spacing w:before="100" w:after="200"/>
        <w:rPr/>
      </w:pPr>
      <w:r>
        <w:rPr/>
        <w:drawing>
          <wp:inline distT="0" distB="0" distL="0" distR="0">
            <wp:extent cx="4286250" cy="723900"/>
            <wp:effectExtent l="0" t="0" r="0" b="0"/>
            <wp:docPr id="5"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 descr=""/>
                    <pic:cNvPicPr>
                      <a:picLocks noChangeAspect="1" noChangeArrowheads="1"/>
                    </pic:cNvPicPr>
                  </pic:nvPicPr>
                  <pic:blipFill>
                    <a:blip r:embed="rId6"/>
                    <a:stretch>
                      <a:fillRect/>
                    </a:stretch>
                  </pic:blipFill>
                  <pic:spPr bwMode="auto">
                    <a:xfrm>
                      <a:off x="0" y="0"/>
                      <a:ext cx="4286250" cy="723900"/>
                    </a:xfrm>
                    <a:prstGeom prst="rect">
                      <a:avLst/>
                    </a:prstGeom>
                  </pic:spPr>
                </pic:pic>
              </a:graphicData>
            </a:graphic>
          </wp:inline>
        </w:drawing>
      </w:r>
    </w:p>
    <w:p>
      <w:pPr>
        <w:pStyle w:val="Normal"/>
        <w:spacing w:before="0" w:after="120"/>
        <w:rPr/>
      </w:pPr>
      <w:r>
        <w:rPr/>
        <w:t>Evidence of working cross-network routing</w:t>
      </w:r>
    </w:p>
    <w:p>
      <w:pPr>
        <w:pStyle w:val="Normal"/>
        <w:spacing w:before="60" w:after="60"/>
        <w:rPr/>
      </w:pPr>
      <w:r>
        <w:rPr>
          <w:i/>
          <w:iCs/>
          <w:color w:val="555555"/>
          <w:sz w:val="20"/>
          <w:szCs w:val="20"/>
        </w:rPr>
        <w:t>Successful ping across the Birmingham–London WAN link (10.0.0.2)</w:t>
      </w:r>
    </w:p>
    <w:p>
      <w:pPr>
        <w:pStyle w:val="Normal"/>
        <w:spacing w:before="100" w:after="200"/>
        <w:rPr/>
      </w:pPr>
      <w:r>
        <w:rPr/>
        <w:drawing>
          <wp:inline distT="0" distB="0" distL="0" distR="0">
            <wp:extent cx="3810000" cy="1590675"/>
            <wp:effectExtent l="0" t="0" r="0" b="0"/>
            <wp:docPr id="6"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5" descr=""/>
                    <pic:cNvPicPr>
                      <a:picLocks noChangeAspect="1" noChangeArrowheads="1"/>
                    </pic:cNvPicPr>
                  </pic:nvPicPr>
                  <pic:blipFill>
                    <a:blip r:embed="rId7"/>
                    <a:stretch>
                      <a:fillRect/>
                    </a:stretch>
                  </pic:blipFill>
                  <pic:spPr bwMode="auto">
                    <a:xfrm>
                      <a:off x="0" y="0"/>
                      <a:ext cx="3810000" cy="1590675"/>
                    </a:xfrm>
                    <a:prstGeom prst="rect">
                      <a:avLst/>
                    </a:prstGeom>
                  </pic:spPr>
                </pic:pic>
              </a:graphicData>
            </a:graphic>
          </wp:inline>
        </w:drawing>
      </w:r>
    </w:p>
    <w:p>
      <w:pPr>
        <w:pStyle w:val="Heading1"/>
        <w:spacing w:before="300" w:after="150"/>
        <w:rPr/>
      </w:pPr>
      <w:bookmarkStart w:id="3" w:name="__RefHeading___Toc2198_2189350986"/>
      <w:bookmarkEnd w:id="3"/>
      <w:r>
        <w:rPr/>
        <w:t>2. Domain Server (Birmingham)</w:t>
      </w:r>
    </w:p>
    <w:p>
      <w:pPr>
        <w:pStyle w:val="Normal"/>
        <w:spacing w:before="0" w:after="150"/>
        <w:rPr/>
      </w:pPr>
      <w:r>
        <w:rPr>
          <w:b/>
          <w:bCs/>
        </w:rPr>
        <w:t xml:space="preserve">Status: </w:t>
      </w:r>
      <w:r>
        <w:rPr/>
        <w:t>Completed</w:t>
      </w:r>
    </w:p>
    <w:p>
      <w:pPr>
        <w:pStyle w:val="Heading2"/>
        <w:spacing w:before="250" w:after="120"/>
        <w:rPr/>
      </w:pPr>
      <w:bookmarkStart w:id="4" w:name="__RefHeading___Toc2226_2189350986"/>
      <w:bookmarkEnd w:id="4"/>
      <w:r>
        <w:rPr/>
        <w:t>2.1 Forest Creation</w:t>
      </w:r>
    </w:p>
    <w:p>
      <w:pPr>
        <w:pStyle w:val="Normal"/>
        <w:spacing w:before="0" w:after="150"/>
        <w:rPr/>
      </w:pPr>
      <w:r>
        <w:rPr/>
        <w:t>To set up centralised authentication and management for the network, I promoted B-DC to a domain controller using the Active Directory Domain Services role in Server Manager, choosing to create a brand new forest rather than join an existing one, and naming it Yevhen.acca. Once the forest was created, I confirmed it with the Get-ADDomain PowerShell cmdlet, which returned details including the domain name, NetBIOS name, and domain functional level. I then went into Group Policy Management and edited the Default Domain Policy to enforce a stronger password policy than the Windows default, setting the minimum password length to 7 characters, enabling password complexity requirements, keeping a password history of 24 so old passwords can't be immediately reused, and setting a maximum password age of 42 days to force periodic changes [4], [5], [6].</w:t>
      </w:r>
    </w:p>
    <w:p>
      <w:pPr>
        <w:pStyle w:val="Normal"/>
        <w:spacing w:before="60" w:after="60"/>
        <w:rPr/>
      </w:pPr>
      <w:r>
        <w:rPr>
          <w:i/>
          <w:iCs/>
          <w:color w:val="555555"/>
          <w:sz w:val="20"/>
          <w:szCs w:val="20"/>
        </w:rPr>
        <w:t>Get-ADDomain output confirming the forest (e.g. Yevhen.acca)</w:t>
      </w:r>
    </w:p>
    <w:p>
      <w:pPr>
        <w:pStyle w:val="Normal"/>
        <w:spacing w:before="100" w:after="200"/>
        <w:rPr/>
      </w:pPr>
      <w:r>
        <w:rPr/>
        <w:drawing>
          <wp:inline distT="0" distB="0" distL="0" distR="0">
            <wp:extent cx="4286250" cy="2990850"/>
            <wp:effectExtent l="0" t="0" r="0" b="0"/>
            <wp:docPr id="7"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6" descr=""/>
                    <pic:cNvPicPr>
                      <a:picLocks noChangeAspect="1" noChangeArrowheads="1"/>
                    </pic:cNvPicPr>
                  </pic:nvPicPr>
                  <pic:blipFill>
                    <a:blip r:embed="rId8"/>
                    <a:stretch>
                      <a:fillRect/>
                    </a:stretch>
                  </pic:blipFill>
                  <pic:spPr bwMode="auto">
                    <a:xfrm>
                      <a:off x="0" y="0"/>
                      <a:ext cx="4286250" cy="2990850"/>
                    </a:xfrm>
                    <a:prstGeom prst="rect">
                      <a:avLst/>
                    </a:prstGeom>
                  </pic:spPr>
                </pic:pic>
              </a:graphicData>
            </a:graphic>
          </wp:inline>
        </w:drawing>
      </w:r>
    </w:p>
    <w:p>
      <w:pPr>
        <w:pStyle w:val="Normal"/>
        <w:spacing w:before="60" w:after="60"/>
        <w:rPr/>
      </w:pPr>
      <w:r>
        <w:rPr>
          <w:i/>
          <w:iCs/>
          <w:color w:val="555555"/>
          <w:sz w:val="20"/>
          <w:szCs w:val="20"/>
        </w:rPr>
        <w:t>Default Domain Policy — Password Policy settings (minimum length, complexity)</w:t>
      </w:r>
    </w:p>
    <w:p>
      <w:pPr>
        <w:pStyle w:val="Normal"/>
        <w:spacing w:before="100" w:after="200"/>
        <w:rPr/>
      </w:pPr>
      <w:r>
        <w:rPr/>
        <w:drawing>
          <wp:inline distT="0" distB="0" distL="0" distR="0">
            <wp:extent cx="4286250" cy="3124200"/>
            <wp:effectExtent l="0" t="0" r="0" b="0"/>
            <wp:docPr id="8"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7" descr=""/>
                    <pic:cNvPicPr>
                      <a:picLocks noChangeAspect="1" noChangeArrowheads="1"/>
                    </pic:cNvPicPr>
                  </pic:nvPicPr>
                  <pic:blipFill>
                    <a:blip r:embed="rId9"/>
                    <a:stretch>
                      <a:fillRect/>
                    </a:stretch>
                  </pic:blipFill>
                  <pic:spPr bwMode="auto">
                    <a:xfrm>
                      <a:off x="0" y="0"/>
                      <a:ext cx="4286250" cy="3124200"/>
                    </a:xfrm>
                    <a:prstGeom prst="rect">
                      <a:avLst/>
                    </a:prstGeom>
                  </pic:spPr>
                </pic:pic>
              </a:graphicData>
            </a:graphic>
          </wp:inline>
        </w:drawing>
      </w:r>
    </w:p>
    <w:p>
      <w:pPr>
        <w:pStyle w:val="Heading2"/>
        <w:spacing w:before="250" w:after="120"/>
        <w:rPr/>
      </w:pPr>
      <w:bookmarkStart w:id="5" w:name="__RefHeading___Toc2224_2189350986"/>
      <w:bookmarkEnd w:id="5"/>
      <w:r>
        <w:rPr/>
        <w:t>2.2 A Records</w:t>
      </w:r>
    </w:p>
    <w:p>
      <w:pPr>
        <w:pStyle w:val="Normal"/>
        <w:spacing w:before="0" w:after="150"/>
        <w:rPr/>
      </w:pPr>
      <w:r>
        <w:rPr/>
        <w:t>With the domain set up, I went into DNS Manager and manually created A records for every key device on the network, rather than relying solely on dynamic registration. This included B-DC and L-CD themselves, both client machines (ClientS1 in Birmingham and ClientL1 in London), and the two service-specific hostnames — webs for the IIS website and rds for the planned Remote Desktop server — each pointed at its correct IP address. Having these records in place means devices across both sites can resolve each other by name rather than needing to know IP addresses directly [7].</w:t>
      </w:r>
    </w:p>
    <w:p>
      <w:pPr>
        <w:pStyle w:val="Normal"/>
        <w:spacing w:before="60" w:after="60"/>
        <w:rPr/>
      </w:pPr>
      <w:r>
        <w:rPr>
          <w:i/>
          <w:iCs/>
          <w:color w:val="555555"/>
          <w:sz w:val="20"/>
          <w:szCs w:val="20"/>
        </w:rPr>
        <w:t>DNS Manager — Forward Lookup Zone showing all A records (B-DC, L-CD, ClientS1, ClientL1, webs, rds)</w:t>
      </w:r>
    </w:p>
    <w:p>
      <w:pPr>
        <w:pStyle w:val="Normal"/>
        <w:spacing w:before="100" w:after="200"/>
        <w:rPr/>
      </w:pPr>
      <w:r>
        <w:rPr/>
        <w:drawing>
          <wp:inline distT="0" distB="0" distL="0" distR="0">
            <wp:extent cx="4286250" cy="3009900"/>
            <wp:effectExtent l="0" t="0" r="0" b="0"/>
            <wp:docPr id="9"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8" descr=""/>
                    <pic:cNvPicPr>
                      <a:picLocks noChangeAspect="1" noChangeArrowheads="1"/>
                    </pic:cNvPicPr>
                  </pic:nvPicPr>
                  <pic:blipFill>
                    <a:blip r:embed="rId10"/>
                    <a:stretch>
                      <a:fillRect/>
                    </a:stretch>
                  </pic:blipFill>
                  <pic:spPr bwMode="auto">
                    <a:xfrm>
                      <a:off x="0" y="0"/>
                      <a:ext cx="4286250" cy="3009900"/>
                    </a:xfrm>
                    <a:prstGeom prst="rect">
                      <a:avLst/>
                    </a:prstGeom>
                  </pic:spPr>
                </pic:pic>
              </a:graphicData>
            </a:graphic>
          </wp:inline>
        </w:drawing>
      </w:r>
    </w:p>
    <w:p>
      <w:pPr>
        <w:pStyle w:val="Heading2"/>
        <w:spacing w:before="250" w:after="120"/>
        <w:rPr/>
      </w:pPr>
      <w:bookmarkStart w:id="6" w:name="__RefHeading___Toc2222_2189350986"/>
      <w:bookmarkEnd w:id="6"/>
      <w:r>
        <w:rPr/>
        <w:t>2.3 Reverse Lookup Zone and PTR Records</w:t>
      </w:r>
    </w:p>
    <w:p>
      <w:pPr>
        <w:pStyle w:val="Normal"/>
        <w:spacing w:before="0" w:after="150"/>
        <w:rPr/>
      </w:pPr>
      <w:r>
        <w:rPr/>
        <w:t>To support reverse DNS lookups — resolving an IP address back to a hostname — I created two reverse lookup zones in DNS Manager, one for each subnet in use: 1.16.172.in-addr.arpa for the Birmingham network (172.16.1.0/24) and 2.16.172.in-addr.arpa for the London network (172.16.2.0/24). Inside each zone I added PTR records matching the A records already created, so that, for example, looking up 172.16.1.10 correctly returns ClientS1.Yevhen.acca rather than nothing [8].</w:t>
      </w:r>
    </w:p>
    <w:p>
      <w:pPr>
        <w:pStyle w:val="Normal"/>
        <w:spacing w:before="60" w:after="60"/>
        <w:rPr/>
      </w:pPr>
      <w:r>
        <w:rPr>
          <w:i/>
          <w:iCs/>
          <w:color w:val="555555"/>
          <w:sz w:val="20"/>
          <w:szCs w:val="20"/>
        </w:rPr>
        <w:t>DNS Manager — Reverse Lookup Zones list showing both 172.16.1.x and 172.16.2.x zones</w:t>
      </w:r>
    </w:p>
    <w:p>
      <w:pPr>
        <w:pStyle w:val="Normal"/>
        <w:spacing w:before="100" w:after="200"/>
        <w:rPr/>
      </w:pPr>
      <w:r>
        <w:rPr/>
        <w:drawing>
          <wp:inline distT="0" distB="0" distL="0" distR="0">
            <wp:extent cx="4286250" cy="1323975"/>
            <wp:effectExtent l="0" t="0" r="0" b="0"/>
            <wp:docPr id="10"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9" descr=""/>
                    <pic:cNvPicPr>
                      <a:picLocks noChangeAspect="1" noChangeArrowheads="1"/>
                    </pic:cNvPicPr>
                  </pic:nvPicPr>
                  <pic:blipFill>
                    <a:blip r:embed="rId11"/>
                    <a:stretch>
                      <a:fillRect/>
                    </a:stretch>
                  </pic:blipFill>
                  <pic:spPr bwMode="auto">
                    <a:xfrm>
                      <a:off x="0" y="0"/>
                      <a:ext cx="4286250" cy="1323975"/>
                    </a:xfrm>
                    <a:prstGeom prst="rect">
                      <a:avLst/>
                    </a:prstGeom>
                  </pic:spPr>
                </pic:pic>
              </a:graphicData>
            </a:graphic>
          </wp:inline>
        </w:drawing>
      </w:r>
    </w:p>
    <w:p>
      <w:pPr>
        <w:pStyle w:val="Normal"/>
        <w:spacing w:before="60" w:after="60"/>
        <w:rPr/>
      </w:pPr>
      <w:r>
        <w:rPr>
          <w:i/>
          <w:iCs/>
          <w:color w:val="555555"/>
          <w:sz w:val="20"/>
          <w:szCs w:val="20"/>
        </w:rPr>
        <w:t>PTR records populated inside each reverse zone — 172.16.1.x zone</w:t>
      </w:r>
    </w:p>
    <w:p>
      <w:pPr>
        <w:pStyle w:val="Normal"/>
        <w:spacing w:before="100" w:after="200"/>
        <w:rPr/>
      </w:pPr>
      <w:r>
        <w:rPr/>
        <w:drawing>
          <wp:inline distT="0" distB="0" distL="0" distR="0">
            <wp:extent cx="4286250" cy="2857500"/>
            <wp:effectExtent l="0" t="0" r="0" b="0"/>
            <wp:docPr id="11" name="Imag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0" descr=""/>
                    <pic:cNvPicPr>
                      <a:picLocks noChangeAspect="1" noChangeArrowheads="1"/>
                    </pic:cNvPicPr>
                  </pic:nvPicPr>
                  <pic:blipFill>
                    <a:blip r:embed="rId12"/>
                    <a:stretch>
                      <a:fillRect/>
                    </a:stretch>
                  </pic:blipFill>
                  <pic:spPr bwMode="auto">
                    <a:xfrm>
                      <a:off x="0" y="0"/>
                      <a:ext cx="4286250" cy="2857500"/>
                    </a:xfrm>
                    <a:prstGeom prst="rect">
                      <a:avLst/>
                    </a:prstGeom>
                  </pic:spPr>
                </pic:pic>
              </a:graphicData>
            </a:graphic>
          </wp:inline>
        </w:drawing>
      </w:r>
    </w:p>
    <w:p>
      <w:pPr>
        <w:pStyle w:val="Normal"/>
        <w:spacing w:before="60" w:after="60"/>
        <w:rPr/>
      </w:pPr>
      <w:r>
        <w:rPr>
          <w:i/>
          <w:iCs/>
          <w:color w:val="555555"/>
          <w:sz w:val="20"/>
          <w:szCs w:val="20"/>
        </w:rPr>
        <w:t>PTR records populated inside each reverse zone — 172.16.2.x zone</w:t>
      </w:r>
    </w:p>
    <w:p>
      <w:pPr>
        <w:pStyle w:val="Normal"/>
        <w:spacing w:before="100" w:after="200"/>
        <w:rPr/>
      </w:pPr>
      <w:r>
        <w:rPr/>
        <w:drawing>
          <wp:inline distT="0" distB="0" distL="0" distR="0">
            <wp:extent cx="4286250" cy="3000375"/>
            <wp:effectExtent l="0" t="0" r="0" b="0"/>
            <wp:docPr id="12" name="Imag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1" descr=""/>
                    <pic:cNvPicPr>
                      <a:picLocks noChangeAspect="1" noChangeArrowheads="1"/>
                    </pic:cNvPicPr>
                  </pic:nvPicPr>
                  <pic:blipFill>
                    <a:blip r:embed="rId13"/>
                    <a:stretch>
                      <a:fillRect/>
                    </a:stretch>
                  </pic:blipFill>
                  <pic:spPr bwMode="auto">
                    <a:xfrm>
                      <a:off x="0" y="0"/>
                      <a:ext cx="4286250" cy="3000375"/>
                    </a:xfrm>
                    <a:prstGeom prst="rect">
                      <a:avLst/>
                    </a:prstGeom>
                  </pic:spPr>
                </pic:pic>
              </a:graphicData>
            </a:graphic>
          </wp:inline>
        </w:drawing>
      </w:r>
    </w:p>
    <w:p>
      <w:pPr>
        <w:pStyle w:val="Heading1"/>
        <w:spacing w:before="300" w:after="150"/>
        <w:rPr/>
      </w:pPr>
      <w:bookmarkStart w:id="7" w:name="__RefHeading___Toc2196_2189350986"/>
      <w:bookmarkEnd w:id="7"/>
      <w:r>
        <w:rPr/>
        <w:t>3. Encrypted Connection between Birmingham and London</w:t>
      </w:r>
    </w:p>
    <w:p>
      <w:pPr>
        <w:pStyle w:val="Normal"/>
        <w:spacing w:before="0" w:after="150"/>
        <w:rPr/>
      </w:pPr>
      <w:r>
        <w:rPr>
          <w:b/>
          <w:bCs/>
        </w:rPr>
        <w:t xml:space="preserve">Status: </w:t>
      </w:r>
      <w:r>
        <w:rPr/>
        <w:t>Not completed — document any attempt made, or note as not attempted</w:t>
      </w:r>
    </w:p>
    <w:p>
      <w:pPr>
        <w:pStyle w:val="Heading2"/>
        <w:spacing w:before="250" w:after="120"/>
        <w:rPr/>
      </w:pPr>
      <w:bookmarkStart w:id="8" w:name="__RefHeading___Toc2220_2189350986"/>
      <w:bookmarkEnd w:id="8"/>
      <w:r>
        <w:rPr/>
        <w:t>3.1 Site-to-Site VPN</w:t>
      </w:r>
    </w:p>
    <w:p>
      <w:pPr>
        <w:pStyle w:val="Normal"/>
        <w:spacing w:before="0" w:after="150"/>
        <w:rPr/>
      </w:pPr>
      <w:r>
        <w:rPr/>
        <w:t>I didn't get the chance to attempt a site-to-site VPN between Birmingham and London. With the time I had available, I made the decision to prioritise getting routing, the domain server, DNS, DHCP, disk sharing and IIS working and properly evidenced, since I felt these represented the core of the assignment and were more achievable within the time I had left. I recognise this means the connection between sites in its current state is unencrypted, which would be the next thing I'd tackle with more time.</w:t>
      </w:r>
    </w:p>
    <w:p>
      <w:pPr>
        <w:pStyle w:val="Heading1"/>
        <w:spacing w:before="300" w:after="150"/>
        <w:rPr/>
      </w:pPr>
      <w:bookmarkStart w:id="9" w:name="__RefHeading___Toc2194_2189350986"/>
      <w:bookmarkEnd w:id="9"/>
      <w:r>
        <w:rPr/>
        <w:t>4. Users</w:t>
      </w:r>
    </w:p>
    <w:p>
      <w:pPr>
        <w:pStyle w:val="Normal"/>
        <w:spacing w:before="0" w:after="150"/>
        <w:rPr/>
      </w:pPr>
      <w:r>
        <w:rPr>
          <w:b/>
          <w:bCs/>
        </w:rPr>
        <w:t xml:space="preserve">Status: </w:t>
      </w:r>
      <w:r>
        <w:rPr/>
        <w:t>Not completed — blocked pending users_list_updated.xlsx from lecturer</w:t>
      </w:r>
    </w:p>
    <w:p>
      <w:pPr>
        <w:pStyle w:val="Heading2"/>
        <w:spacing w:before="250" w:after="120"/>
        <w:rPr/>
      </w:pPr>
      <w:bookmarkStart w:id="10" w:name="__RefHeading___Toc2218_2189350986"/>
      <w:bookmarkEnd w:id="10"/>
      <w:r>
        <w:rPr/>
        <w:t>4.1 Bulk User Creation</w:t>
      </w:r>
    </w:p>
    <w:p>
      <w:pPr>
        <w:pStyle w:val="Normal"/>
        <w:spacing w:before="0" w:after="150"/>
        <w:rPr/>
      </w:pPr>
      <w:r>
        <w:rPr/>
        <w:t>I wasn't able to start the bulk user creation task, because the users_list_updated.xlsx file that was meant to be provided by the lecturer hadn't been made available by the time I needed to complete this section. Without the actual list of users to import, I didn't have anything concrete to build a PowerShell import script against, so I haven't drafted one yet — I'd rather write it against the real data than guess at a structure that might not match once the file arrives.</w:t>
      </w:r>
    </w:p>
    <w:p>
      <w:pPr>
        <w:pStyle w:val="Heading1"/>
        <w:spacing w:before="300" w:after="150"/>
        <w:rPr/>
      </w:pPr>
      <w:bookmarkStart w:id="11" w:name="__RefHeading___Toc2192_2189350986"/>
      <w:bookmarkEnd w:id="11"/>
      <w:r>
        <w:rPr/>
        <w:t>5. Domain Membership</w:t>
      </w:r>
    </w:p>
    <w:p>
      <w:pPr>
        <w:pStyle w:val="Normal"/>
        <w:spacing w:before="0" w:after="150"/>
        <w:rPr/>
      </w:pPr>
      <w:r>
        <w:rPr>
          <w:b/>
          <w:bCs/>
        </w:rPr>
        <w:t xml:space="preserve">Status: </w:t>
      </w:r>
      <w:r>
        <w:rPr/>
        <w:t>Attempted, not fully functional</w:t>
      </w:r>
    </w:p>
    <w:p>
      <w:pPr>
        <w:pStyle w:val="Heading2"/>
        <w:spacing w:before="250" w:after="120"/>
        <w:rPr/>
      </w:pPr>
      <w:bookmarkStart w:id="12" w:name="__RefHeading___Toc2216_2189350986"/>
      <w:bookmarkEnd w:id="12"/>
      <w:r>
        <w:rPr/>
        <w:t>5.1 Joining L-CD, ClientS1, ClientL1 to the domain</w:t>
      </w:r>
    </w:p>
    <w:p>
      <w:pPr>
        <w:pStyle w:val="Normal"/>
        <w:spacing w:before="0" w:after="150"/>
        <w:rPr/>
      </w:pPr>
      <w:r>
        <w:rPr/>
        <w:t>I attempted to join L-CD to the Yevhen.acca domain using realmd and sssd, which is the standard approach for joining a Linux machine to an Active Directory domain. Before I could even get to that point, though, I ran into a problem where L-CD had no internet access at all, which meant apt-get couldn't install the packages I needed (realmd, sssd, adcli, and the Kerberos utilities). I traced this back to a NAT adapter that had been removed during earlier network reconfiguration, and fixed it by adding a new NAT adapter and bringing the interface up manually [9].</w:t>
      </w:r>
    </w:p>
    <w:p>
      <w:pPr>
        <w:pStyle w:val="Normal"/>
        <w:spacing w:before="0" w:after="150"/>
        <w:rPr/>
      </w:pPr>
      <w:r>
        <w:rPr/>
        <w:t>Once I could install the required packages, I attempted the actual domain join, but it failed with a Kerberos preauthentication error. I went through a systematic process to rule out the likely causes: I verified the domain administrator password was correct by testing it with runas on B-DC, I checked the clock synchronisation between L-CD and B-DC (Kerberos tickets are time-sensitive and will reject requests if the clocks are too far apart) and corrected a drift I found, I confirmed the domain account itself wasn't locked out, and I manually created a krb5.conf file on L-CD to make sure the Kerberos realm configuration was correct. Despite ruling out all of these as the cause, I wasn't able to get the join to complete in the time I had, so this remains an open issue [10].</w:t>
      </w:r>
    </w:p>
    <w:p>
      <w:pPr>
        <w:pStyle w:val="Normal"/>
        <w:spacing w:before="60" w:after="150"/>
        <w:rPr/>
      </w:pPr>
      <w:r>
        <w:rPr>
          <w:b/>
          <w:bCs/>
          <w:i/>
          <w:iCs/>
        </w:rPr>
        <w:t>ClientS1 is running Windows 10 Pro, which does support domain join, so I went ahead and attempted it through System Properties &gt; Change domain. The join failed with the error "An Active Directory Domain Controller (AD DC) for the domain Yevhen.acca could not be contacted." Checking ClientS1's network settings, its DNS server was still set to the default/DHCP-assigned address rather than B-DC, so it had no way to resolve the SRV records needed to locate a domain controller. I corrected the DNS server setting to point at B-DC and retried, which cleared the initial contact error, but I ran out of time to fully confirm the join completed cleanly (checking the computer object in Active Directory Users and Computers and testing a domain login), so I'm recording this as attempted but not fully verified.</w:t>
      </w:r>
    </w:p>
    <w:p>
      <w:pPr>
        <w:pStyle w:val="Normal"/>
        <w:spacing w:before="60" w:after="60"/>
        <w:rPr/>
      </w:pPr>
      <w:r>
        <w:rPr>
          <w:i/>
          <w:iCs/>
          <w:color w:val="555555"/>
          <w:sz w:val="20"/>
          <w:szCs w:val="20"/>
        </w:rPr>
        <w:t>winver — About Windows on ClientS1</w:t>
      </w:r>
    </w:p>
    <w:p>
      <w:pPr>
        <w:pStyle w:val="Normal"/>
        <w:spacing w:before="100" w:after="200"/>
        <w:rPr/>
      </w:pPr>
      <w:r>
        <w:rPr/>
        <w:drawing>
          <wp:inline distT="0" distB="0" distL="0" distR="0">
            <wp:extent cx="2857500" cy="2647950"/>
            <wp:effectExtent l="0" t="0" r="0" b="0"/>
            <wp:docPr id="13" name="Image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12" descr=""/>
                    <pic:cNvPicPr>
                      <a:picLocks noChangeAspect="1" noChangeArrowheads="1"/>
                    </pic:cNvPicPr>
                  </pic:nvPicPr>
                  <pic:blipFill>
                    <a:blip r:embed="rId14"/>
                    <a:stretch>
                      <a:fillRect/>
                    </a:stretch>
                  </pic:blipFill>
                  <pic:spPr bwMode="auto">
                    <a:xfrm>
                      <a:off x="0" y="0"/>
                      <a:ext cx="2857500" cy="2647950"/>
                    </a:xfrm>
                    <a:prstGeom prst="rect">
                      <a:avLst/>
                    </a:prstGeom>
                  </pic:spPr>
                </pic:pic>
              </a:graphicData>
            </a:graphic>
          </wp:inline>
        </w:drawing>
      </w:r>
    </w:p>
    <w:p>
      <w:pPr>
        <w:pStyle w:val="Normal"/>
        <w:rPr/>
      </w:pPr>
      <w:r>
        <w:rPr/>
        <w:t>ClientL1 was also attempted. Since the DHCP relay agent on L-CD had not been configured at this point (see section 6.2), ClientL1 had not received DHCP-assigned network settings automatically and was given a manual IP configuration instead. The domain join attempt failed with the same class of error seen on ClientS1 — the domain controller could not be contacted — which pointed to the manually-set DNS server on ClientL1 not correctly resolving to B-DC across the WAN link. I traced this back to the same underlying gap as the DHCP relay issue: without an automatic, correct network configuration from B-DC, London-side clients are more prone to this kind of misconfiguration. I ran out of time to correct ClientL1's DNS setting and re-test before this deadline, so the join remains unresolved for this device [10].</w:t>
      </w:r>
    </w:p>
    <w:p>
      <w:pPr>
        <w:pStyle w:val="Heading1"/>
        <w:spacing w:before="300" w:after="150"/>
        <w:rPr/>
      </w:pPr>
      <w:bookmarkStart w:id="13" w:name="__RefHeading___Toc2190_2189350986"/>
      <w:bookmarkEnd w:id="13"/>
      <w:r>
        <w:rPr/>
        <w:t>6. DHCP Server</w:t>
      </w:r>
    </w:p>
    <w:p>
      <w:pPr>
        <w:pStyle w:val="Normal"/>
        <w:spacing w:before="0" w:after="150"/>
        <w:rPr/>
      </w:pPr>
      <w:r>
        <w:rPr>
          <w:b/>
          <w:bCs/>
        </w:rPr>
        <w:t xml:space="preserve">Status: </w:t>
      </w:r>
      <w:r>
        <w:rPr/>
        <w:t>Completed</w:t>
      </w:r>
    </w:p>
    <w:p>
      <w:pPr>
        <w:pStyle w:val="Heading2"/>
        <w:spacing w:before="250" w:after="120"/>
        <w:rPr/>
      </w:pPr>
      <w:bookmarkStart w:id="14" w:name="__RefHeading___Toc2214_2189350986"/>
      <w:bookmarkEnd w:id="14"/>
      <w:r>
        <w:rPr/>
        <w:t>6.1 B-DC as DHCP Server</w:t>
      </w:r>
    </w:p>
    <w:p>
      <w:pPr>
        <w:pStyle w:val="Normal"/>
        <w:spacing w:before="0" w:after="150"/>
        <w:rPr/>
      </w:pPr>
      <w:r>
        <w:rPr/>
        <w:t>For DHCP, I installed the DHCP Server role on B-DC and configured two separate scopes, one for each site. The Birmingham scope covers the address range 172.16.1.10 to 172.16.1.20, and the London scope covers 172.16.2.10 to 172.16.2.20. For each scope I set the subnet mask, the default gateway matching that site's router interface, and the DNS server address pointing back to B-DC, so that any client picking up a lease automatically gets the correct network settings without needing manual configuration.</w:t>
      </w:r>
    </w:p>
    <w:p>
      <w:pPr>
        <w:pStyle w:val="Normal"/>
        <w:spacing w:before="60" w:after="60"/>
        <w:rPr/>
      </w:pPr>
      <w:r>
        <w:rPr>
          <w:i/>
          <w:iCs/>
          <w:color w:val="555555"/>
          <w:sz w:val="20"/>
          <w:szCs w:val="20"/>
        </w:rPr>
        <w:t>DHCP console showing Birmingham scope, Active, with range and options</w:t>
      </w:r>
    </w:p>
    <w:p>
      <w:pPr>
        <w:pStyle w:val="Normal"/>
        <w:spacing w:before="100" w:after="200"/>
        <w:rPr/>
      </w:pPr>
      <w:r>
        <w:rPr/>
        <w:drawing>
          <wp:inline distT="0" distB="0" distL="0" distR="0">
            <wp:extent cx="4286250" cy="2924175"/>
            <wp:effectExtent l="0" t="0" r="0" b="0"/>
            <wp:docPr id="14" name="Imag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3" descr=""/>
                    <pic:cNvPicPr>
                      <a:picLocks noChangeAspect="1" noChangeArrowheads="1"/>
                    </pic:cNvPicPr>
                  </pic:nvPicPr>
                  <pic:blipFill>
                    <a:blip r:embed="rId15"/>
                    <a:stretch>
                      <a:fillRect/>
                    </a:stretch>
                  </pic:blipFill>
                  <pic:spPr bwMode="auto">
                    <a:xfrm>
                      <a:off x="0" y="0"/>
                      <a:ext cx="4286250" cy="2924175"/>
                    </a:xfrm>
                    <a:prstGeom prst="rect">
                      <a:avLst/>
                    </a:prstGeom>
                  </pic:spPr>
                </pic:pic>
              </a:graphicData>
            </a:graphic>
          </wp:inline>
        </w:drawing>
      </w:r>
    </w:p>
    <w:p>
      <w:pPr>
        <w:pStyle w:val="Heading2"/>
        <w:spacing w:before="250" w:after="120"/>
        <w:rPr/>
      </w:pPr>
      <w:bookmarkStart w:id="15" w:name="__RefHeading___Toc2212_2189350986"/>
      <w:bookmarkEnd w:id="15"/>
      <w:r>
        <w:rPr/>
        <w:t>6.2 L-CD as DHCP Relay</w:t>
      </w:r>
    </w:p>
    <w:p>
      <w:pPr>
        <w:pStyle w:val="Normal"/>
        <w:spacing w:before="0" w:after="150"/>
        <w:rPr/>
      </w:pPr>
      <w:r>
        <w:rPr/>
        <w:t>I didn't manage to get DHCP relay configured on L-CD within the time I had. Since B-DC is the only DHCP server on the network and it sits on the Birmingham subnet, London clients would need L-CD to relay their DHCP broadcast requests across the WAN link in order to get a lease automatically — without that relay in place, this part of the setup isn't functional yet [11], [12].</w:t>
      </w:r>
    </w:p>
    <w:p>
      <w:pPr>
        <w:pStyle w:val="Heading2"/>
        <w:spacing w:before="250" w:after="120"/>
        <w:rPr/>
      </w:pPr>
      <w:bookmarkStart w:id="16" w:name="__RefHeading___Toc2210_2189350986"/>
      <w:bookmarkEnd w:id="16"/>
      <w:r>
        <w:rPr/>
        <w:t>6.3 Client IP Assignment</w:t>
      </w:r>
    </w:p>
    <w:p>
      <w:pPr>
        <w:pStyle w:val="Normal"/>
        <w:spacing w:before="0" w:after="150"/>
        <w:rPr/>
      </w:pPr>
      <w:r>
        <w:rPr/>
        <w:t>Because the DHCP relay agent on L-CD hasn't been configured yet, I wasn't able to fully test and confirm that a London-side client can automatically obtain an IP address from the DHCP scope on B-DC. This is directly linked to the DHCP relay task above, and would be the next thing to verify once that's in place.</w:t>
      </w:r>
    </w:p>
    <w:p>
      <w:pPr>
        <w:pStyle w:val="Heading1"/>
        <w:spacing w:before="300" w:after="150"/>
        <w:rPr/>
      </w:pPr>
      <w:bookmarkStart w:id="17" w:name="__RefHeading___Toc2188_2189350986"/>
      <w:bookmarkEnd w:id="17"/>
      <w:r>
        <w:rPr/>
        <w:t>7. Test and Troubleshoot</w:t>
      </w:r>
    </w:p>
    <w:p>
      <w:pPr>
        <w:pStyle w:val="Normal"/>
        <w:spacing w:before="0" w:after="150"/>
        <w:rPr/>
      </w:pPr>
      <w:r>
        <w:rPr>
          <w:b/>
          <w:bCs/>
        </w:rPr>
        <w:t xml:space="preserve">Status: </w:t>
      </w:r>
      <w:r>
        <w:rPr/>
        <w:t>Partially completed</w:t>
      </w:r>
    </w:p>
    <w:p>
      <w:pPr>
        <w:pStyle w:val="Heading2"/>
        <w:spacing w:before="250" w:after="120"/>
        <w:rPr/>
      </w:pPr>
      <w:bookmarkStart w:id="18" w:name="__RefHeading___Toc2208_2189350986"/>
      <w:bookmarkEnd w:id="18"/>
      <w:r>
        <w:rPr/>
        <w:t>7.1 Connectivity Testing</w:t>
      </w:r>
    </w:p>
    <w:p>
      <w:pPr>
        <w:pStyle w:val="Normal"/>
        <w:spacing w:before="0" w:after="150"/>
        <w:rPr/>
      </w:pPr>
      <w:r>
        <w:rPr/>
        <w:t>For connectivity testing, I was able to confirm that the WAN link between Birmingham and London is up and working, and that IP forwarding and the static route on L-CD are both correctly configured and active. What I couldn't fully verify end-to-end were pings all the way through to individual client devices on the London side, since that's tied up with the domain membership and DHCP relay issues I hit elsewhere — without those pieces in place, I can't be completely confident that every device would be reachable the way it should be in the finished network.</w:t>
      </w:r>
    </w:p>
    <w:p>
      <w:pPr>
        <w:pStyle w:val="Heading1"/>
        <w:spacing w:before="300" w:after="150"/>
        <w:rPr/>
      </w:pPr>
      <w:bookmarkStart w:id="19" w:name="__RefHeading___Toc2186_2189350986"/>
      <w:bookmarkEnd w:id="19"/>
      <w:r>
        <w:rPr/>
        <w:t>8. Disk Drive</w:t>
      </w:r>
    </w:p>
    <w:p>
      <w:pPr>
        <w:pStyle w:val="Normal"/>
        <w:spacing w:before="0" w:after="150"/>
        <w:rPr/>
      </w:pPr>
      <w:r>
        <w:rPr>
          <w:b/>
          <w:bCs/>
        </w:rPr>
        <w:t xml:space="preserve">Status: </w:t>
      </w:r>
      <w:r>
        <w:rPr/>
        <w:t>Completed</w:t>
      </w:r>
    </w:p>
    <w:p>
      <w:pPr>
        <w:pStyle w:val="Heading2"/>
        <w:spacing w:before="250" w:after="120"/>
        <w:rPr/>
      </w:pPr>
      <w:bookmarkStart w:id="20" w:name="__RefHeading___Toc2206_2189350986"/>
      <w:bookmarkEnd w:id="20"/>
      <w:r>
        <w:rPr/>
        <w:t>8.1 Mount, Share and Permission</w:t>
      </w:r>
    </w:p>
    <w:p>
      <w:pPr>
        <w:pStyle w:val="Normal"/>
        <w:spacing w:before="0" w:after="150"/>
        <w:rPr/>
      </w:pPr>
      <w:r>
        <w:rPr/>
        <w:t>For the shared storage requirement, I added a second virtual disk to the B-DC virtual machine, then used Disk Management to bring it online, initialise it, and format it with NTFS, which assigned it drive letter F. I created a folder called BirminghamFiles on this new drive and shared it over the network, then set NTFS permissions so that Domain Users have Full Control over the share — so staff can read, write and manage files — while Authenticated Users more broadly only have Read access, which felt like a sensible balance between usability and restricting who can modify shared files [13].</w:t>
      </w:r>
    </w:p>
    <w:p>
      <w:pPr>
        <w:pStyle w:val="Normal"/>
        <w:spacing w:before="60" w:after="60"/>
        <w:rPr/>
      </w:pPr>
      <w:r>
        <w:rPr>
          <w:i/>
          <w:iCs/>
          <w:color w:val="555555"/>
          <w:sz w:val="20"/>
          <w:szCs w:val="20"/>
        </w:rPr>
        <w:t>Disk Management showing the new disk, initialised and formatted</w:t>
      </w:r>
    </w:p>
    <w:p>
      <w:pPr>
        <w:pStyle w:val="Normal"/>
        <w:spacing w:before="100" w:after="200"/>
        <w:rPr/>
      </w:pPr>
      <w:r>
        <w:rPr/>
        <w:drawing>
          <wp:inline distT="0" distB="0" distL="0" distR="0">
            <wp:extent cx="4286250" cy="3048000"/>
            <wp:effectExtent l="0" t="0" r="0" b="0"/>
            <wp:docPr id="15" name="Image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14" descr=""/>
                    <pic:cNvPicPr>
                      <a:picLocks noChangeAspect="1" noChangeArrowheads="1"/>
                    </pic:cNvPicPr>
                  </pic:nvPicPr>
                  <pic:blipFill>
                    <a:blip r:embed="rId16"/>
                    <a:stretch>
                      <a:fillRect/>
                    </a:stretch>
                  </pic:blipFill>
                  <pic:spPr bwMode="auto">
                    <a:xfrm>
                      <a:off x="0" y="0"/>
                      <a:ext cx="4286250" cy="3048000"/>
                    </a:xfrm>
                    <a:prstGeom prst="rect">
                      <a:avLst/>
                    </a:prstGeom>
                  </pic:spPr>
                </pic:pic>
              </a:graphicData>
            </a:graphic>
          </wp:inline>
        </w:drawing>
      </w:r>
    </w:p>
    <w:p>
      <w:pPr>
        <w:pStyle w:val="Normal"/>
        <w:spacing w:before="60" w:after="60"/>
        <w:rPr/>
      </w:pPr>
      <w:r>
        <w:rPr>
          <w:i/>
          <w:iCs/>
          <w:color w:val="555555"/>
          <w:sz w:val="20"/>
          <w:szCs w:val="20"/>
        </w:rPr>
        <w:t>Folder Properties — Security tab showing Domain Users (Full Control) and Authenticated Users (Read)</w:t>
      </w:r>
    </w:p>
    <w:p>
      <w:pPr>
        <w:pStyle w:val="Normal"/>
        <w:spacing w:before="100" w:after="200"/>
        <w:rPr/>
      </w:pPr>
      <w:r>
        <w:rPr/>
        <w:drawing>
          <wp:inline distT="0" distB="0" distL="0" distR="0">
            <wp:extent cx="4286250" cy="3524250"/>
            <wp:effectExtent l="0" t="0" r="0" b="0"/>
            <wp:docPr id="16" name="Image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5" descr=""/>
                    <pic:cNvPicPr>
                      <a:picLocks noChangeAspect="1" noChangeArrowheads="1"/>
                    </pic:cNvPicPr>
                  </pic:nvPicPr>
                  <pic:blipFill>
                    <a:blip r:embed="rId17"/>
                    <a:stretch>
                      <a:fillRect/>
                    </a:stretch>
                  </pic:blipFill>
                  <pic:spPr bwMode="auto">
                    <a:xfrm>
                      <a:off x="0" y="0"/>
                      <a:ext cx="4286250" cy="3524250"/>
                    </a:xfrm>
                    <a:prstGeom prst="rect">
                      <a:avLst/>
                    </a:prstGeom>
                  </pic:spPr>
                </pic:pic>
              </a:graphicData>
            </a:graphic>
          </wp:inline>
        </w:drawing>
      </w:r>
    </w:p>
    <w:p>
      <w:pPr>
        <w:pStyle w:val="Heading1"/>
        <w:spacing w:before="300" w:after="150"/>
        <w:rPr/>
      </w:pPr>
      <w:bookmarkStart w:id="21" w:name="__RefHeading___Toc2184_2189350986"/>
      <w:bookmarkEnd w:id="21"/>
      <w:r>
        <w:rPr/>
        <w:t>9. IIS Server</w:t>
      </w:r>
    </w:p>
    <w:p>
      <w:pPr>
        <w:pStyle w:val="Normal"/>
        <w:spacing w:before="0" w:after="150"/>
        <w:rPr/>
      </w:pPr>
      <w:r>
        <w:rPr>
          <w:b/>
          <w:bCs/>
        </w:rPr>
        <w:t xml:space="preserve">Status: </w:t>
      </w:r>
      <w:r>
        <w:rPr/>
        <w:t>Completed — HTTP; HTTPS not configured due to time constraints</w:t>
      </w:r>
    </w:p>
    <w:p>
      <w:pPr>
        <w:pStyle w:val="Heading2"/>
        <w:spacing w:before="250" w:after="120"/>
        <w:rPr/>
      </w:pPr>
      <w:bookmarkStart w:id="22" w:name="__RefHeading___Toc2204_2189350986"/>
      <w:bookmarkEnd w:id="22"/>
      <w:r>
        <w:rPr/>
        <w:t>9.1 Website and Authentication</w:t>
      </w:r>
    </w:p>
    <w:p>
      <w:pPr>
        <w:pStyle w:val="Normal"/>
        <w:spacing w:before="0" w:after="150"/>
        <w:rPr/>
      </w:pPr>
      <w:r>
        <w:rPr/>
        <w:t>For the web server requirement, I created a new site in IIS called webs.Yevhen.acca. Rather than leaving it open to anyone, I disabled Anonymous Authentication and enabled Windows Authentication instead, so that only users already authenticated against the domain can access the site — this ties the website into the same identity system as the rest of the network rather than treating it as a separate, unsecured resource. For the actual page content, I kept it simple with an index.html file that displays "Welcome to Birmingham Website" as a basic proof that the site is live and being served correctly. I didn't get to configuring HTTPS and a certificate binding, so the site is currently only reachable over plain HTTP — something I'd add if I had more time, since it's not ideal for a site using Windows Authentication to send credentials unencrypted [14], [15].</w:t>
      </w:r>
    </w:p>
    <w:p>
      <w:pPr>
        <w:pStyle w:val="Normal"/>
        <w:spacing w:before="60" w:after="60"/>
        <w:rPr/>
      </w:pPr>
      <w:r>
        <w:rPr>
          <w:i/>
          <w:iCs/>
          <w:color w:val="555555"/>
          <w:sz w:val="20"/>
          <w:szCs w:val="20"/>
        </w:rPr>
        <w:t>IIS Manager — site bindings for webs.Yevhen.acca</w:t>
      </w:r>
    </w:p>
    <w:p>
      <w:pPr>
        <w:pStyle w:val="Normal"/>
        <w:spacing w:before="100" w:after="200"/>
        <w:rPr/>
      </w:pPr>
      <w:r>
        <w:rPr/>
        <w:drawing>
          <wp:inline distT="0" distB="0" distL="0" distR="0">
            <wp:extent cx="4286250" cy="3467100"/>
            <wp:effectExtent l="0" t="0" r="0" b="0"/>
            <wp:docPr id="17" name="Image1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16" descr=""/>
                    <pic:cNvPicPr>
                      <a:picLocks noChangeAspect="1" noChangeArrowheads="1"/>
                    </pic:cNvPicPr>
                  </pic:nvPicPr>
                  <pic:blipFill>
                    <a:blip r:embed="rId18"/>
                    <a:stretch>
                      <a:fillRect/>
                    </a:stretch>
                  </pic:blipFill>
                  <pic:spPr bwMode="auto">
                    <a:xfrm>
                      <a:off x="0" y="0"/>
                      <a:ext cx="4286250" cy="3467100"/>
                    </a:xfrm>
                    <a:prstGeom prst="rect">
                      <a:avLst/>
                    </a:prstGeom>
                  </pic:spPr>
                </pic:pic>
              </a:graphicData>
            </a:graphic>
          </wp:inline>
        </w:drawing>
      </w:r>
    </w:p>
    <w:p>
      <w:pPr>
        <w:pStyle w:val="Normal"/>
        <w:spacing w:before="60" w:after="60"/>
        <w:rPr/>
      </w:pPr>
      <w:r>
        <w:rPr>
          <w:i/>
          <w:iCs/>
          <w:color w:val="555555"/>
          <w:sz w:val="20"/>
          <w:szCs w:val="20"/>
        </w:rPr>
        <w:t>IIS Manager — Authentication panel showing Anonymous Disabled, Windows Enabled</w:t>
      </w:r>
    </w:p>
    <w:p>
      <w:pPr>
        <w:pStyle w:val="Normal"/>
        <w:spacing w:before="100" w:after="200"/>
        <w:rPr/>
      </w:pPr>
      <w:r>
        <w:rPr/>
        <w:drawing>
          <wp:inline distT="0" distB="0" distL="0" distR="0">
            <wp:extent cx="4286250" cy="3486150"/>
            <wp:effectExtent l="0" t="0" r="0" b="0"/>
            <wp:docPr id="18" name="Image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7" descr=""/>
                    <pic:cNvPicPr>
                      <a:picLocks noChangeAspect="1" noChangeArrowheads="1"/>
                    </pic:cNvPicPr>
                  </pic:nvPicPr>
                  <pic:blipFill>
                    <a:blip r:embed="rId19"/>
                    <a:stretch>
                      <a:fillRect/>
                    </a:stretch>
                  </pic:blipFill>
                  <pic:spPr bwMode="auto">
                    <a:xfrm>
                      <a:off x="0" y="0"/>
                      <a:ext cx="4286250" cy="3486150"/>
                    </a:xfrm>
                    <a:prstGeom prst="rect">
                      <a:avLst/>
                    </a:prstGeom>
                  </pic:spPr>
                </pic:pic>
              </a:graphicData>
            </a:graphic>
          </wp:inline>
        </w:drawing>
      </w:r>
    </w:p>
    <w:p>
      <w:pPr>
        <w:pStyle w:val="Normal"/>
        <w:spacing w:before="60" w:after="60"/>
        <w:rPr/>
      </w:pPr>
      <w:r>
        <w:rPr>
          <w:i/>
          <w:iCs/>
          <w:color w:val="555555"/>
          <w:sz w:val="20"/>
          <w:szCs w:val="20"/>
        </w:rPr>
        <w:t>index.html content showing "Welcome to Birmingham Website" text</w:t>
      </w:r>
    </w:p>
    <w:p>
      <w:pPr>
        <w:pStyle w:val="Normal"/>
        <w:spacing w:before="100" w:after="200"/>
        <w:rPr/>
      </w:pPr>
      <w:r>
        <w:rPr/>
        <w:drawing>
          <wp:inline distT="0" distB="0" distL="0" distR="0">
            <wp:extent cx="3810000" cy="2495550"/>
            <wp:effectExtent l="0" t="0" r="0" b="0"/>
            <wp:docPr id="19" name="Image1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18" descr=""/>
                    <pic:cNvPicPr>
                      <a:picLocks noChangeAspect="1" noChangeArrowheads="1"/>
                    </pic:cNvPicPr>
                  </pic:nvPicPr>
                  <pic:blipFill>
                    <a:blip r:embed="rId20"/>
                    <a:stretch>
                      <a:fillRect/>
                    </a:stretch>
                  </pic:blipFill>
                  <pic:spPr bwMode="auto">
                    <a:xfrm>
                      <a:off x="0" y="0"/>
                      <a:ext cx="3810000" cy="2495550"/>
                    </a:xfrm>
                    <a:prstGeom prst="rect">
                      <a:avLst/>
                    </a:prstGeom>
                  </pic:spPr>
                </pic:pic>
              </a:graphicData>
            </a:graphic>
          </wp:inline>
        </w:drawing>
      </w:r>
    </w:p>
    <w:p>
      <w:pPr>
        <w:pStyle w:val="Heading1"/>
        <w:spacing w:before="300" w:after="150"/>
        <w:rPr/>
      </w:pPr>
      <w:bookmarkStart w:id="23" w:name="__RefHeading___Toc2182_2189350986"/>
      <w:bookmarkEnd w:id="23"/>
      <w:r>
        <w:rPr/>
        <w:t>10. Remote Desktop Services</w:t>
      </w:r>
    </w:p>
    <w:p>
      <w:pPr>
        <w:pStyle w:val="Normal"/>
        <w:spacing w:before="0" w:after="150"/>
        <w:rPr/>
      </w:pPr>
      <w:r>
        <w:rPr>
          <w:b/>
          <w:bCs/>
        </w:rPr>
        <w:t xml:space="preserve">Status: </w:t>
      </w:r>
      <w:r>
        <w:rPr/>
        <w:t>Not attempted</w:t>
      </w:r>
    </w:p>
    <w:p>
      <w:pPr>
        <w:pStyle w:val="Heading2"/>
        <w:spacing w:before="250" w:after="120"/>
        <w:rPr/>
      </w:pPr>
      <w:bookmarkStart w:id="24" w:name="__RefHeading___Toc2202_2189350986"/>
      <w:bookmarkEnd w:id="24"/>
      <w:r>
        <w:rPr/>
        <w:t>10.1 Remote Access Configuration</w:t>
      </w:r>
    </w:p>
    <w:p>
      <w:pPr>
        <w:pStyle w:val="Normal"/>
        <w:spacing w:before="0" w:after="150"/>
        <w:rPr/>
      </w:pPr>
      <w:r>
        <w:rPr/>
        <w:t>I didn't attempt Remote Desktop Services at all. By the time I'd worked through routing, the domain server, DNS, DHCP, disk sharing and IIS, I judged that RDS realistically wasn't achievable in the time remaining, and I'd rather submit those other sections properly finished and evidenced than spread myself across every task and risk leaving all of them incomplete [16].</w:t>
      </w:r>
    </w:p>
    <w:p>
      <w:pPr>
        <w:pStyle w:val="Normal"/>
        <w:rPr/>
      </w:pPr>
      <w:r>
        <w:rPr/>
      </w:r>
      <w:r>
        <w:br w:type="page"/>
      </w:r>
    </w:p>
    <w:p>
      <w:pPr>
        <w:pStyle w:val="Heading1"/>
        <w:pBdr>
          <w:bottom w:val="single" w:sz="18" w:space="4" w:color="1F3864"/>
        </w:pBdr>
        <w:spacing w:before="0" w:after="120"/>
        <w:rPr/>
      </w:pPr>
      <w:bookmarkStart w:id="25" w:name="__RefHeading___Toc465_3677640412"/>
      <w:bookmarkEnd w:id="25"/>
      <w:r>
        <w:rPr>
          <w:b/>
          <w:color w:val="1F3864"/>
          <w:sz w:val="36"/>
        </w:rPr>
        <w:t>References</w:t>
      </w:r>
    </w:p>
    <w:p>
      <w:pPr>
        <w:pStyle w:val="Normal"/>
        <w:rPr/>
      </w:pPr>
      <w:r>
        <w:rPr/>
      </w:r>
    </w:p>
    <w:p>
      <w:pPr>
        <w:pStyle w:val="Normal"/>
        <w:spacing w:before="0" w:after="200"/>
        <w:ind w:hanging="576" w:left="576"/>
        <w:rPr/>
      </w:pPr>
      <w:r>
        <w:rPr>
          <w:sz w:val="21"/>
        </w:rPr>
        <w:t>[1] Microsoft, "How To Set Up Routing and Remote Access - Windows Server," Microsoft Learn. [Online]. Available: https://learn.microsoft.com/en-us/troubleshoot/windows-server/networking/set-up-routing-remote-access-intranet. [Accessed: 21-Aug-2026].</w:t>
      </w:r>
    </w:p>
    <w:p>
      <w:pPr>
        <w:pStyle w:val="Normal"/>
        <w:spacing w:before="0" w:after="200"/>
        <w:ind w:hanging="576" w:left="576"/>
        <w:rPr/>
      </w:pPr>
      <w:r>
        <w:rPr>
          <w:sz w:val="21"/>
        </w:rPr>
        <w:t>[2] Microsoft, "netsh advfirewall," Microsoft Learn. [Online]. Available: https://learn.microsoft.com/en-us/windows-server/administration/windows-commands/netsh-advfirewall. [Accessed: 21-Aug-2026].</w:t>
      </w:r>
    </w:p>
    <w:p>
      <w:pPr>
        <w:pStyle w:val="Normal"/>
        <w:spacing w:before="0" w:after="200"/>
        <w:ind w:hanging="576" w:left="576"/>
        <w:rPr/>
      </w:pPr>
      <w:r>
        <w:rPr>
          <w:sz w:val="21"/>
        </w:rPr>
        <w:t>[3] Linode, "Configure Linux as a Router (IP Forwarding)," Linode Docs. [Online]. Available: https://www.linode.com/docs/guides/linux-router-and-ip-forwarding/. [Accessed: 21-Aug-2026].</w:t>
      </w:r>
    </w:p>
    <w:p>
      <w:pPr>
        <w:pStyle w:val="Normal"/>
        <w:spacing w:before="0" w:after="200"/>
        <w:ind w:hanging="576" w:left="576"/>
        <w:rPr/>
      </w:pPr>
      <w:r>
        <w:rPr>
          <w:sz w:val="21"/>
        </w:rPr>
        <w:t>[4] Microsoft, "Install Active Directory Domain Services on Windows Server," Microsoft Learn. [Online]. Available: https://learn.microsoft.com/en-us/windows-server/identity/ad-ds/deploy/install-active-directory-domain-services--level-100-. [Accessed: 21-Aug-2026].</w:t>
      </w:r>
    </w:p>
    <w:p>
      <w:pPr>
        <w:pStyle w:val="Normal"/>
        <w:spacing w:before="0" w:after="200"/>
        <w:ind w:hanging="576" w:left="576"/>
        <w:rPr/>
      </w:pPr>
      <w:r>
        <w:rPr>
          <w:sz w:val="21"/>
        </w:rPr>
        <w:t>[5] Microsoft, "Get-ADDomain (ActiveDirectory)," Microsoft Learn. [Online]. Available: https://learn.microsoft.com/en-us/powershell/module/activedirectory/get-addomain. [Accessed: 21-Aug-2026].</w:t>
      </w:r>
    </w:p>
    <w:p>
      <w:pPr>
        <w:pStyle w:val="Normal"/>
        <w:spacing w:before="0" w:after="200"/>
        <w:ind w:hanging="576" w:left="576"/>
        <w:rPr/>
      </w:pPr>
      <w:r>
        <w:rPr>
          <w:sz w:val="21"/>
        </w:rPr>
        <w:t>[6] Microsoft, "Password must meet complexity requirements," Microsoft Learn. [Online]. Available: https://learn.microsoft.com/en-us/previous-versions/windows/it-pro/windows-10/security/threat-protection/security-policy-settings/password-must-meet-complexity-requirements. [Accessed: 21-Aug-2026].</w:t>
      </w:r>
    </w:p>
    <w:p>
      <w:pPr>
        <w:pStyle w:val="Normal"/>
        <w:spacing w:before="0" w:after="200"/>
        <w:ind w:hanging="576" w:left="576"/>
        <w:rPr/>
      </w:pPr>
      <w:r>
        <w:rPr>
          <w:sz w:val="21"/>
        </w:rPr>
        <w:t>[7] Microsoft, "Manage DNS zones using DNS server in Windows Server," Microsoft Learn. [Online]. Available: https://learn.microsoft.com/en-us/windows-server/networking/dns/manage-dns-zones. [Accessed: 21-Aug-2026].</w:t>
      </w:r>
    </w:p>
    <w:p>
      <w:pPr>
        <w:pStyle w:val="Normal"/>
        <w:spacing w:before="0" w:after="200"/>
        <w:ind w:hanging="576" w:left="576"/>
        <w:rPr/>
      </w:pPr>
      <w:r>
        <w:rPr>
          <w:sz w:val="21"/>
        </w:rPr>
        <w:t>[8] Microsoft, "DNS Reverse Lookups in Windows and Windows Server," Microsoft Learn. [Online]. Available: https://learn.microsoft.com/en-us/windows-server/networking/dns/reverse-lookup. [Accessed: 21-Aug-2026].</w:t>
      </w:r>
    </w:p>
    <w:p>
      <w:pPr>
        <w:pStyle w:val="Normal"/>
        <w:spacing w:before="0" w:after="200"/>
        <w:ind w:hanging="576" w:left="576"/>
        <w:rPr/>
      </w:pPr>
      <w:r>
        <w:rPr>
          <w:sz w:val="21"/>
        </w:rPr>
        <w:t>[9] Red Hat, "Connecting RHEL systems directly to AD using SSSD," Red Hat Documentation. [Online]. Available: https://docs.redhat.com/en/documentation/red_hat_enterprise_linux/8/html/integrating_rhel_systems_directly_with_windows_active_directory/connecting-rhel-systems-directly-to-ad-using-sssd_integrating-rhel-systems-directly-with-active-directory. [Accessed: 21-Aug-2026].</w:t>
      </w:r>
    </w:p>
    <w:p>
      <w:pPr>
        <w:pStyle w:val="Normal"/>
        <w:spacing w:before="0" w:after="200"/>
        <w:ind w:hanging="576" w:left="576"/>
        <w:rPr/>
      </w:pPr>
      <w:r>
        <w:rPr>
          <w:sz w:val="21"/>
        </w:rPr>
        <w:t>[10] Microsoft, "4771(F): Kerberos pre-authentication failed," Microsoft Learn. [Online]. Available: https://learn.microsoft.com/en-us/previous-versions/windows/it-pro/windows-10/security/threat-protection/auditing/event-4771. [Accessed: 21-Aug-2026].</w:t>
      </w:r>
    </w:p>
    <w:p>
      <w:pPr>
        <w:pStyle w:val="Normal"/>
        <w:spacing w:before="0" w:after="200"/>
        <w:ind w:hanging="576" w:left="576"/>
        <w:rPr/>
      </w:pPr>
      <w:r>
        <w:rPr>
          <w:sz w:val="21"/>
        </w:rPr>
        <w:t>[11] Microsoft, "Install DHCP relay agent for Windows Server," Microsoft Learn. [Online]. Available: https://learn.microsoft.com/en-us/windows-server/networking/technologies/dhcp/dhcp-deploy-relay-agent. [Accessed: 21-Aug-2026].</w:t>
      </w:r>
    </w:p>
    <w:p>
      <w:pPr>
        <w:pStyle w:val="Normal"/>
        <w:spacing w:before="0" w:after="200"/>
        <w:ind w:hanging="576" w:left="576"/>
        <w:rPr/>
      </w:pPr>
      <w:r>
        <w:rPr>
          <w:sz w:val="21"/>
        </w:rPr>
        <w:t>[12] W. Wimer, "RFC 1542: Clarifications and Extensions for the Bootstrap Protocol," Internet Engineering Task Force, Oct. 1993. [Online]. Available: https://www.rfc-editor.org/rfc/rfc1542. [Accessed: 21-Aug-2026].</w:t>
      </w:r>
    </w:p>
    <w:p>
      <w:pPr>
        <w:pStyle w:val="Normal"/>
        <w:spacing w:before="0" w:after="200"/>
        <w:ind w:hanging="576" w:left="576"/>
        <w:rPr/>
      </w:pPr>
      <w:r>
        <w:rPr>
          <w:sz w:val="21"/>
        </w:rPr>
        <w:t>[13] Microsoft, "Share and NTFS Permissions," Microsoft Learn. [Online]. Available: https://learn.microsoft.com/en-us/iis/web-hosting/configuring-servers-in-the-windows-web-platform/configuring-share-and-ntfs-permissions. [Accessed: 21-Aug-2026].</w:t>
      </w:r>
    </w:p>
    <w:p>
      <w:pPr>
        <w:pStyle w:val="Normal"/>
        <w:spacing w:before="0" w:after="200"/>
        <w:ind w:hanging="576" w:left="576"/>
        <w:rPr/>
      </w:pPr>
      <w:r>
        <w:rPr>
          <w:sz w:val="21"/>
        </w:rPr>
        <w:t>[14] Microsoft, "Anonymous Authentication &lt;anonymousAuthentication&gt;," Microsoft Learn. [Online]. Available: https://learn.microsoft.com/en-us/iis/configuration/system.webserver/security/authentication/anonymousauthentication. [Accessed: 21-Aug-2026].</w:t>
      </w:r>
    </w:p>
    <w:p>
      <w:pPr>
        <w:pStyle w:val="Normal"/>
        <w:spacing w:before="0" w:after="200"/>
        <w:ind w:hanging="576" w:left="576"/>
        <w:rPr/>
      </w:pPr>
      <w:r>
        <w:rPr>
          <w:sz w:val="21"/>
        </w:rPr>
        <w:t>[15] Microsoft, "Windows Authentication &lt;windowsAuthentication&gt;," Microsoft Learn. [Online]. Available: https://learn.microsoft.com/en-us/iis/configuration/system.webserver/security/authentication/windowsauthentication/. [Accessed: 21-Aug-2026].</w:t>
      </w:r>
    </w:p>
    <w:p>
      <w:pPr>
        <w:pStyle w:val="Normal"/>
        <w:spacing w:before="0" w:after="200"/>
        <w:ind w:hanging="576" w:left="576"/>
        <w:rPr/>
      </w:pPr>
      <w:r>
        <w:rPr>
          <w:sz w:val="21"/>
        </w:rPr>
        <w:t>[16] Microsoft, "Remote Desktop Services overview in Windows Server," Microsoft Learn. [Online]. Available: https://learn.microsoft.com/en-us/windows-server/remote/remote-desktop-services/overview. [Accessed: 21-Aug-2026].</w:t>
      </w:r>
    </w:p>
    <w:sectPr>
      <w:footerReference w:type="even" r:id="rId21"/>
      <w:footerReference w:type="default" r:id="rId22"/>
      <w:footerReference w:type="first" r:id="rId23"/>
      <w:type w:val="nextPage"/>
      <w:pgSz w:w="11906" w:h="16838"/>
      <w:pgMar w:left="1440" w:right="1440" w:gutter="0" w:header="0" w:top="1440" w:footer="0" w:bottom="1440"/>
      <w:pgNumType w:fmt="decimal"/>
      <w:formProt w:val="false"/>
      <w:textDirection w:val="lrTb"/>
      <w:docGrid w:type="default" w:linePitch="360"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r>
      <w:rPr>
        <w:color w:val="404040"/>
        <w:sz w:val="18"/>
      </w:rPr>
      <w:t xml:space="preserve">Page </w:t>
    </w:r>
    <w:r>
      <w:rPr/>
      <w:fldChar w:fldCharType="begin"/>
    </w:r>
    <w:r>
      <w:rPr/>
      <w:instrText xml:space="preserve"> PAGE </w:instrText>
    </w:r>
    <w:r>
      <w:rPr/>
      <w:fldChar w:fldCharType="separate"/>
    </w:r>
    <w:r>
      <w:rPr/>
      <w:t>15</w:t>
    </w:r>
    <w:r>
      <w:rPr/>
      <w:fldChar w:fldCharType="end"/>
    </w:r>
    <w:r>
      <w:rPr>
        <w:color w:val="404040"/>
        <w:sz w:val="18"/>
      </w:rPr>
      <w:t xml:space="preserve"> of </w:t>
    </w:r>
    <w:r>
      <w:rPr/>
      <w:fldChar w:fldCharType="begin"/>
    </w:r>
    <w:r>
      <w:rPr/>
      <w:instrText xml:space="preserve"> NUMPAGES </w:instrText>
    </w:r>
    <w:r>
      <w:rPr/>
      <w:fldChar w:fldCharType="separate"/>
    </w:r>
    <w:r>
      <w:rPr/>
      <w:t>15</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r>
      <w:rPr>
        <w:color w:val="404040"/>
        <w:sz w:val="18"/>
      </w:rPr>
      <w:t xml:space="preserve">Page </w:t>
    </w:r>
    <w:r>
      <w:rPr/>
      <w:fldChar w:fldCharType="begin"/>
    </w:r>
    <w:r>
      <w:rPr/>
      <w:instrText xml:space="preserve"> PAGE </w:instrText>
    </w:r>
    <w:r>
      <w:rPr/>
      <w:fldChar w:fldCharType="separate"/>
    </w:r>
    <w:r>
      <w:rPr/>
      <w:t>15</w:t>
    </w:r>
    <w:r>
      <w:rPr/>
      <w:fldChar w:fldCharType="end"/>
    </w:r>
    <w:r>
      <w:rPr>
        <w:color w:val="404040"/>
        <w:sz w:val="18"/>
      </w:rPr>
      <w:t xml:space="preserve"> of </w:t>
    </w:r>
    <w:r>
      <w:rPr/>
      <w:fldChar w:fldCharType="begin"/>
    </w:r>
    <w:r>
      <w:rPr/>
      <w:instrText xml:space="preserve"> NUMPAGES </w:instrText>
    </w:r>
    <w:r>
      <w:rPr/>
      <w:fldChar w:fldCharType="separate"/>
    </w:r>
    <w:r>
      <w:rPr/>
      <w:t>15</w:t>
    </w:r>
    <w:r>
      <w:rPr/>
      <w:fldChar w:fldCharType="end"/>
    </w:r>
  </w:p>
</w:ft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oto Serif CJK SC" w:cs="FreeSans"/>
        <w:lang w:val="en-US" w:eastAsia="zh-CN" w:bidi="hi-IN"/>
      </w:rPr>
    </w:rPrDefault>
    <w:pPrDefault>
      <w:pPr>
        <w:suppressAutoHyphens w:val="true"/>
      </w:pPr>
    </w:pPrDefault>
  </w:docDefaults>
  <w:style w:type="paragraph" w:styleId="Normal">
    <w:name w:val="Normal"/>
    <w:qFormat/>
    <w:pPr>
      <w:widowControl/>
      <w:suppressAutoHyphens w:val="true"/>
      <w:bidi w:val="0"/>
      <w:spacing w:before="0" w:after="0"/>
      <w:jc w:val="left"/>
    </w:pPr>
    <w:rPr>
      <w:rFonts w:ascii="Times New Roman" w:hAnsi="Times New Roman" w:eastAsia="Noto Serif CJK SC" w:cs="FreeSans"/>
      <w:color w:val="auto"/>
      <w:kern w:val="0"/>
      <w:sz w:val="20"/>
      <w:szCs w:val="20"/>
      <w:lang w:val="en-US" w:eastAsia="zh-CN" w:bidi="hi-IN"/>
    </w:rPr>
  </w:style>
  <w:style w:type="paragraph" w:styleId="Heading1">
    <w:name w:val="Heading 1"/>
    <w:basedOn w:val="Heading"/>
    <w:qFormat/>
    <w:pPr/>
    <w:rPr>
      <w:color w:val="2E74B5"/>
      <w:sz w:val="32"/>
      <w:szCs w:val="32"/>
    </w:rPr>
  </w:style>
  <w:style w:type="paragraph" w:styleId="Heading2">
    <w:name w:val="Heading 2"/>
    <w:basedOn w:val="Heading"/>
    <w:qFormat/>
    <w:pPr/>
    <w:rPr>
      <w:color w:val="2E74B5"/>
      <w:sz w:val="26"/>
      <w:szCs w:val="26"/>
    </w:rPr>
  </w:style>
  <w:style w:type="paragraph" w:styleId="Heading3">
    <w:name w:val="Heading 3"/>
    <w:basedOn w:val="Heading"/>
    <w:qFormat/>
    <w:pPr/>
    <w:rPr>
      <w:color w:val="1F4D78"/>
      <w:sz w:val="24"/>
      <w:szCs w:val="24"/>
    </w:rPr>
  </w:style>
  <w:style w:type="paragraph" w:styleId="Heading4">
    <w:name w:val="Heading 4"/>
    <w:basedOn w:val="Heading"/>
    <w:qFormat/>
    <w:pPr/>
    <w:rPr>
      <w:i/>
      <w:iCs/>
      <w:color w:val="2E74B5"/>
    </w:rPr>
  </w:style>
  <w:style w:type="paragraph" w:styleId="Heading5">
    <w:name w:val="Heading 5"/>
    <w:basedOn w:val="Heading"/>
    <w:qFormat/>
    <w:pPr/>
    <w:rPr>
      <w:color w:val="2E74B5"/>
    </w:rPr>
  </w:style>
  <w:style w:type="paragraph" w:styleId="Heading6">
    <w:name w:val="Heading 6"/>
    <w:basedOn w:val="Heading"/>
    <w:qFormat/>
    <w:pPr/>
    <w:rPr>
      <w:color w:val="1F4D78"/>
    </w:rPr>
  </w:style>
  <w:style w:type="character" w:styleId="Hyperlink">
    <w:name w:val="Hyperlink"/>
    <w:uiPriority w:val="99"/>
    <w:unhideWhenUsed/>
    <w:rPr>
      <w:color w:val="0563C1"/>
      <w:u w:val="single"/>
    </w:rPr>
  </w:style>
  <w:style w:type="character" w:styleId="FootnoteCharacters">
    <w:name w:val="Footnote Characters"/>
    <w:uiPriority w:val="99"/>
    <w:semiHidden/>
    <w:unhideWhenUsed/>
    <w:qFormat/>
    <w:rPr>
      <w:vertAlign w:val="superscript"/>
    </w:rPr>
  </w:style>
  <w:style w:type="character" w:styleId="FootnoteReference">
    <w:name w:val="Footnote Reference"/>
    <w:rPr>
      <w:vertAlign w:val="superscript"/>
    </w:rPr>
  </w:style>
  <w:style w:type="character" w:styleId="FootnoteTextChar">
    <w:name w:val="Footnote Text Char"/>
    <w:link w:val="FootnoteText"/>
    <w:uiPriority w:val="99"/>
    <w:semiHidden/>
    <w:unhideWhenUsed/>
    <w:qFormat/>
    <w:rPr>
      <w:sz w:val="20"/>
      <w:szCs w:val="20"/>
    </w:rPr>
  </w:style>
  <w:style w:type="character" w:styleId="EndnoteCharacters">
    <w:name w:val="Endnote Characters"/>
    <w:uiPriority w:val="99"/>
    <w:semiHidden/>
    <w:unhideWhenUsed/>
    <w:qFormat/>
    <w:rPr>
      <w:vertAlign w:val="superscript"/>
    </w:rPr>
  </w:style>
  <w:style w:type="character" w:styleId="EndnoteReference">
    <w:name w:val="Endnote Reference"/>
    <w:rPr>
      <w:vertAlign w:val="superscript"/>
    </w:rPr>
  </w:style>
  <w:style w:type="character" w:styleId="EndnoteTextChar">
    <w:name w:val="Endnote Text Char"/>
    <w:link w:val="EndnoteText"/>
    <w:uiPriority w:val="99"/>
    <w:semiHidden/>
    <w:unhideWhenUsed/>
    <w:qFormat/>
    <w:rPr>
      <w:sz w:val="20"/>
      <w:szCs w:val="20"/>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Noto Sans CJK SC" w:cs="Free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FreeSans"/>
    </w:rPr>
  </w:style>
  <w:style w:type="paragraph" w:styleId="Caption">
    <w:name w:val="Caption"/>
    <w:basedOn w:val="Normal"/>
    <w:qFormat/>
    <w:pPr>
      <w:suppressLineNumbers/>
      <w:spacing w:before="120" w:after="120"/>
    </w:pPr>
    <w:rPr>
      <w:rFonts w:cs="FreeSans"/>
      <w:i/>
      <w:iCs/>
      <w:sz w:val="24"/>
      <w:szCs w:val="24"/>
    </w:rPr>
  </w:style>
  <w:style w:type="paragraph" w:styleId="Index">
    <w:name w:val="Index"/>
    <w:basedOn w:val="Normal"/>
    <w:qFormat/>
    <w:pPr>
      <w:suppressLineNumbers/>
    </w:pPr>
    <w:rPr>
      <w:rFonts w:cs="FreeSans"/>
    </w:rPr>
  </w:style>
  <w:style w:type="paragraph" w:styleId="Title">
    <w:name w:val="Title"/>
    <w:basedOn w:val="Heading"/>
    <w:qFormat/>
    <w:pPr/>
    <w:rPr>
      <w:sz w:val="56"/>
      <w:szCs w:val="56"/>
    </w:rPr>
  </w:style>
  <w:style w:type="paragraph" w:styleId="StrongEmphasis">
    <w:name w:val="Strong Emphasis"/>
    <w:qFormat/>
    <w:pPr>
      <w:widowControl/>
      <w:suppressAutoHyphens w:val="true"/>
      <w:bidi w:val="0"/>
      <w:spacing w:before="0" w:after="0"/>
      <w:jc w:val="left"/>
    </w:pPr>
    <w:rPr>
      <w:rFonts w:ascii="Times New Roman" w:hAnsi="Times New Roman" w:eastAsia="Noto Serif CJK SC" w:cs="FreeSans"/>
      <w:b/>
      <w:bCs/>
      <w:color w:val="auto"/>
      <w:kern w:val="0"/>
      <w:sz w:val="20"/>
      <w:szCs w:val="20"/>
      <w:lang w:val="en-US" w:eastAsia="zh-CN" w:bidi="hi-IN"/>
    </w:rPr>
  </w:style>
  <w:style w:type="paragraph" w:styleId="ListParagraph">
    <w:name w:val="List Paragraph"/>
    <w:qFormat/>
    <w:pPr>
      <w:widowControl/>
      <w:suppressAutoHyphens w:val="true"/>
      <w:bidi w:val="0"/>
      <w:spacing w:before="0" w:after="0"/>
      <w:jc w:val="left"/>
    </w:pPr>
    <w:rPr>
      <w:rFonts w:ascii="Times New Roman" w:hAnsi="Times New Roman" w:eastAsia="Noto Serif CJK SC" w:cs="FreeSans"/>
      <w:color w:val="auto"/>
      <w:kern w:val="0"/>
      <w:sz w:val="20"/>
      <w:szCs w:val="20"/>
      <w:lang w:val="en-US" w:eastAsia="zh-CN" w:bidi="hi-IN"/>
    </w:rPr>
  </w:style>
  <w:style w:type="paragraph" w:styleId="FootnoteText">
    <w:name w:val="Footnote Text"/>
    <w:basedOn w:val="Normal"/>
    <w:link w:val="FootnoteTextChar"/>
    <w:uiPriority w:val="99"/>
    <w:semiHidden/>
    <w:unhideWhenUsed/>
    <w:pPr>
      <w:spacing w:lineRule="auto" w:line="240" w:before="0" w:after="0"/>
    </w:pPr>
    <w:rPr>
      <w:sz w:val="20"/>
      <w:szCs w:val="20"/>
    </w:rPr>
  </w:style>
  <w:style w:type="paragraph" w:styleId="EndnoteText">
    <w:name w:val="Endnote Text"/>
    <w:basedOn w:val="Normal"/>
    <w:link w:val="EndnoteTextChar"/>
    <w:uiPriority w:val="99"/>
    <w:semiHidden/>
    <w:unhideWhenUsed/>
    <w:pPr>
      <w:spacing w:lineRule="auto" w:line="240" w:before="0" w:after="0"/>
    </w:pPr>
    <w:rPr>
      <w:sz w:val="20"/>
      <w:szCs w:val="20"/>
    </w:rPr>
  </w:style>
  <w:style w:type="paragraph" w:styleId="TOC1">
    <w:name w:val="TOC 1"/>
    <w:basedOn w:val="Index"/>
    <w:pPr>
      <w:tabs>
        <w:tab w:val="clear" w:pos="720"/>
        <w:tab w:val="right" w:pos="9026" w:leader="dot"/>
      </w:tabs>
      <w:ind w:hanging="0" w:left="0"/>
    </w:pPr>
    <w:rPr/>
  </w:style>
  <w:style w:type="paragraph" w:styleId="TOC2">
    <w:name w:val="TOC 2"/>
    <w:basedOn w:val="Index"/>
    <w:pPr>
      <w:tabs>
        <w:tab w:val="clear" w:pos="720"/>
        <w:tab w:val="right" w:pos="8743" w:leader="dot"/>
      </w:tabs>
      <w:ind w:hanging="0" w:left="283"/>
    </w:pPr>
    <w:rPr/>
  </w:style>
  <w:style w:type="paragraph" w:styleId="HeaderandFooter">
    <w:name w:val="Header and Footer"/>
    <w:basedOn w:val="Normal"/>
    <w:qFormat/>
    <w:pPr/>
    <w:rPr/>
  </w:style>
  <w:style w:type="paragraph" w:styleId="Footer">
    <w:name w:val="Footer"/>
    <w:basedOn w:val="HeaderandFooter"/>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image" Target="media/image11.png"/><Relationship Id="rId13" Type="http://schemas.openxmlformats.org/officeDocument/2006/relationships/image" Target="media/image12.png"/><Relationship Id="rId14" Type="http://schemas.openxmlformats.org/officeDocument/2006/relationships/image" Target="media/image13.png"/><Relationship Id="rId15" Type="http://schemas.openxmlformats.org/officeDocument/2006/relationships/image" Target="media/image14.png"/><Relationship Id="rId16" Type="http://schemas.openxmlformats.org/officeDocument/2006/relationships/image" Target="media/image15.png"/><Relationship Id="rId17" Type="http://schemas.openxmlformats.org/officeDocument/2006/relationships/image" Target="media/image16.png"/><Relationship Id="rId18" Type="http://schemas.openxmlformats.org/officeDocument/2006/relationships/image" Target="media/image17.png"/><Relationship Id="rId19" Type="http://schemas.openxmlformats.org/officeDocument/2006/relationships/image" Target="media/image18.png"/><Relationship Id="rId20" Type="http://schemas.openxmlformats.org/officeDocument/2006/relationships/image" Target="media/image19.png"/><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oter" Target="footer3.xml"/><Relationship Id="rId24" Type="http://schemas.openxmlformats.org/officeDocument/2006/relationships/fontTable" Target="fontTable.xml"/><Relationship Id="rId25" Type="http://schemas.openxmlformats.org/officeDocument/2006/relationships/settings" Target="settings.xml"/><Relationship Id="rId26"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0</TotalTime>
  <Application>LibreOffice/24.2.7.2$Linux_X86_64 LibreOffice_project/420$Build-2</Application>
  <AppVersion>15.0000</AppVersion>
  <Pages>15</Pages>
  <Words>2654</Words>
  <Characters>16176</Characters>
  <CharactersWithSpaces>18717</CharactersWithSpaces>
  <Paragraphs>161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2026-08-21T11:23:36Z</dcterms:created>
  <dc:creator>Un-named</dc:creator>
  <dc:description/>
  <dc:language>en-US</dc:language>
  <cp:lastModifiedBy/>
  <dcterms:modified xsi:type="dcterms:W3CDTF">2026-08-21T12:18:01Z</dcterms:modified>
  <cp:revision>4</cp:revision>
  <dc:subject/>
  <dc:title/>
</cp:coreProperties>
</file>

<file path=docProps/custom.xml><?xml version="1.0" encoding="utf-8"?>
<Properties xmlns="http://schemas.openxmlformats.org/officeDocument/2006/custom-properties" xmlns:vt="http://schemas.openxmlformats.org/officeDocument/2006/docPropsVTypes"/>
</file>