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772" w14:textId="5B22DE9F" w:rsidR="0021753C" w:rsidRPr="0021753C" w:rsidRDefault="0025703E" w:rsidP="00842CDD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Speaker</w:t>
      </w:r>
      <w:r w:rsidR="0021753C" w:rsidRPr="0021753C">
        <w:rPr>
          <w:b/>
          <w:bCs/>
          <w:i/>
          <w:iCs/>
          <w:sz w:val="28"/>
          <w:szCs w:val="28"/>
          <w:u w:val="single"/>
        </w:rPr>
        <w:t xml:space="preserve"> </w:t>
      </w:r>
      <w:r>
        <w:rPr>
          <w:b/>
          <w:bCs/>
          <w:i/>
          <w:iCs/>
          <w:sz w:val="28"/>
          <w:szCs w:val="28"/>
          <w:u w:val="single"/>
        </w:rPr>
        <w:t>n</w:t>
      </w:r>
      <w:r w:rsidR="0021753C" w:rsidRPr="0021753C">
        <w:rPr>
          <w:b/>
          <w:bCs/>
          <w:i/>
          <w:iCs/>
          <w:sz w:val="28"/>
          <w:szCs w:val="28"/>
          <w:u w:val="single"/>
        </w:rPr>
        <w:t>otes.</w:t>
      </w:r>
    </w:p>
    <w:p w14:paraId="0F908618" w14:textId="3120253B" w:rsidR="00842CDD" w:rsidRPr="00842CDD" w:rsidRDefault="0021753C" w:rsidP="00842CDD">
      <w:pPr>
        <w:rPr>
          <w:b/>
          <w:bCs/>
        </w:rPr>
      </w:pPr>
      <w:r>
        <w:rPr>
          <w:b/>
          <w:bCs/>
        </w:rPr>
        <w:t xml:space="preserve">Project </w:t>
      </w:r>
      <w:r w:rsidR="00842CDD" w:rsidRPr="00842CDD">
        <w:rPr>
          <w:b/>
          <w:bCs/>
        </w:rPr>
        <w:t>Phase 4 – Ukrainian Refugees – are they really welcome in the UK</w:t>
      </w:r>
      <w:r>
        <w:rPr>
          <w:b/>
          <w:bCs/>
        </w:rPr>
        <w:t>?</w:t>
      </w:r>
    </w:p>
    <w:p w14:paraId="36750C41" w14:textId="77777777" w:rsidR="00842CDD" w:rsidRPr="0021753C" w:rsidRDefault="00842CDD" w:rsidP="00842CDD">
      <w:pPr>
        <w:rPr>
          <w:b/>
          <w:bCs/>
          <w:i/>
          <w:iCs/>
          <w:color w:val="4472C4" w:themeColor="accent1"/>
          <w:u w:val="single"/>
        </w:rPr>
      </w:pPr>
      <w:r w:rsidRPr="0021753C">
        <w:rPr>
          <w:b/>
          <w:bCs/>
          <w:i/>
          <w:iCs/>
          <w:color w:val="4472C4" w:themeColor="accent1"/>
          <w:u w:val="single"/>
        </w:rPr>
        <w:t>Monitoring tools.</w:t>
      </w:r>
    </w:p>
    <w:p w14:paraId="07AB62EF" w14:textId="758ECECF" w:rsidR="007A0447" w:rsidRDefault="00842CDD" w:rsidP="00842CDD">
      <w:r>
        <w:t xml:space="preserve">According to </w:t>
      </w:r>
      <w:proofErr w:type="spellStart"/>
      <w:r>
        <w:t>Diabré</w:t>
      </w:r>
      <w:proofErr w:type="spellEnd"/>
      <w:r>
        <w:t xml:space="preserve"> (2002), monitoring is simply watching the progress, whereas the evaluation is an analysis or judgment based on specific criteria and obtained information.</w:t>
      </w:r>
    </w:p>
    <w:p w14:paraId="5E881F3F" w14:textId="294BACEC" w:rsidR="00842CDD" w:rsidRDefault="00842CDD" w:rsidP="00842CDD">
      <w:pPr>
        <w:rPr>
          <w:color w:val="000000" w:themeColor="text1"/>
        </w:rPr>
      </w:pPr>
      <w:r>
        <w:rPr>
          <w:color w:val="000000" w:themeColor="text1"/>
        </w:rPr>
        <w:t>After the first two stages, the project manager decided on project activities and tasks and assigned them to the team members.</w:t>
      </w:r>
      <w:r w:rsidR="0021753C">
        <w:rPr>
          <w:color w:val="000000" w:themeColor="text1"/>
        </w:rPr>
        <w:t xml:space="preserve"> Then, t</w:t>
      </w:r>
      <w:r>
        <w:rPr>
          <w:color w:val="000000" w:themeColor="text1"/>
        </w:rPr>
        <w:t>he Gantt Chart</w:t>
      </w:r>
      <w:r w:rsidR="0021753C">
        <w:rPr>
          <w:color w:val="000000" w:themeColor="text1"/>
        </w:rPr>
        <w:t xml:space="preserve"> was created and used to monitor the project. This flexible tool</w:t>
      </w:r>
      <w:r>
        <w:rPr>
          <w:color w:val="000000" w:themeColor="text1"/>
        </w:rPr>
        <w:t xml:space="preserve"> is easily adjustable in case of any eventualities and visualises all project activities with start and end times </w:t>
      </w:r>
      <w:r w:rsidRPr="00842CDD">
        <w:rPr>
          <w:color w:val="000000" w:themeColor="text1"/>
        </w:rPr>
        <w:t>(Gantt, 2019)</w:t>
      </w:r>
      <w:r>
        <w:rPr>
          <w:color w:val="000000" w:themeColor="text1"/>
        </w:rPr>
        <w:t xml:space="preserve">. </w:t>
      </w:r>
    </w:p>
    <w:p w14:paraId="3F2557A1" w14:textId="3FE9B197" w:rsidR="0021753C" w:rsidRDefault="0021753C" w:rsidP="00842CDD">
      <w:pPr>
        <w:rPr>
          <w:color w:val="000000" w:themeColor="text1"/>
        </w:rPr>
      </w:pPr>
      <w:r w:rsidRPr="0021753C">
        <w:rPr>
          <w:color w:val="000000" w:themeColor="text1"/>
        </w:rPr>
        <w:t>Additionally, Pavlo used the Iron Triangle tool (Villanova University, 2021). This tool allowed him to increase project agility by balancing t</w:t>
      </w:r>
      <w:r>
        <w:rPr>
          <w:color w:val="000000" w:themeColor="text1"/>
        </w:rPr>
        <w:t>ime, cost and quality constraints</w:t>
      </w:r>
      <w:r w:rsidRPr="0021753C">
        <w:rPr>
          <w:color w:val="000000" w:themeColor="text1"/>
        </w:rPr>
        <w:t xml:space="preserve">. Additionally, the SWOT, PESTLE and Risk Analysis (RA) were used to support the usage of this model. </w:t>
      </w:r>
    </w:p>
    <w:p w14:paraId="3116E131" w14:textId="31CB512C" w:rsidR="0021753C" w:rsidRDefault="0021753C" w:rsidP="00842CDD">
      <w:pPr>
        <w:rPr>
          <w:color w:val="000000" w:themeColor="text1"/>
        </w:rPr>
      </w:pPr>
      <w:r w:rsidRPr="0021753C">
        <w:rPr>
          <w:color w:val="000000" w:themeColor="text1"/>
        </w:rPr>
        <w:t xml:space="preserve">For instance, RA is also a monitoring tool, as it helps determine if </w:t>
      </w:r>
      <w:r w:rsidR="00A24287">
        <w:rPr>
          <w:color w:val="000000" w:themeColor="text1"/>
        </w:rPr>
        <w:t>mitigation actions were effective and remedial measures were</w:t>
      </w:r>
      <w:r w:rsidRPr="0021753C">
        <w:rPr>
          <w:color w:val="000000" w:themeColor="text1"/>
        </w:rPr>
        <w:t xml:space="preserve"> successful. Moreover, dynamic RA identifies new risks. </w:t>
      </w:r>
    </w:p>
    <w:p w14:paraId="561C9592" w14:textId="2C30714E" w:rsidR="00902052" w:rsidRDefault="0021753C" w:rsidP="00842CDD">
      <w:pPr>
        <w:rPr>
          <w:color w:val="000000" w:themeColor="text1"/>
        </w:rPr>
      </w:pPr>
      <w:r>
        <w:rPr>
          <w:color w:val="000000" w:themeColor="text1"/>
        </w:rPr>
        <w:t>The c</w:t>
      </w:r>
      <w:r w:rsidR="00902052" w:rsidRPr="00902052">
        <w:rPr>
          <w:color w:val="000000" w:themeColor="text1"/>
        </w:rPr>
        <w:t>ontin</w:t>
      </w:r>
      <w:r>
        <w:rPr>
          <w:color w:val="000000" w:themeColor="text1"/>
        </w:rPr>
        <w:t>u</w:t>
      </w:r>
      <w:r w:rsidR="00902052" w:rsidRPr="00902052">
        <w:rPr>
          <w:color w:val="000000" w:themeColor="text1"/>
        </w:rPr>
        <w:t xml:space="preserve">ous monitoring process allowed Pavlo to react quickly and efficiently when 2 team members </w:t>
      </w:r>
      <w:r>
        <w:rPr>
          <w:color w:val="000000" w:themeColor="text1"/>
        </w:rPr>
        <w:t>could not be actively involved</w:t>
      </w:r>
      <w:r w:rsidR="00902052" w:rsidRPr="00902052">
        <w:rPr>
          <w:color w:val="000000" w:themeColor="text1"/>
        </w:rPr>
        <w:t xml:space="preserve"> in the project activities due to their abs</w:t>
      </w:r>
      <w:r>
        <w:rPr>
          <w:color w:val="000000" w:themeColor="text1"/>
        </w:rPr>
        <w:t>ence</w:t>
      </w:r>
      <w:r w:rsidR="00902052" w:rsidRPr="00902052">
        <w:rPr>
          <w:color w:val="000000" w:themeColor="text1"/>
        </w:rPr>
        <w:t xml:space="preserve">. </w:t>
      </w:r>
      <w:r>
        <w:rPr>
          <w:color w:val="000000" w:themeColor="text1"/>
        </w:rPr>
        <w:t>Nevertheless</w:t>
      </w:r>
      <w:r w:rsidR="00902052" w:rsidRPr="00902052">
        <w:rPr>
          <w:color w:val="000000" w:themeColor="text1"/>
        </w:rPr>
        <w:t xml:space="preserve">, Pavlo has </w:t>
      </w:r>
      <w:r>
        <w:rPr>
          <w:color w:val="000000" w:themeColor="text1"/>
        </w:rPr>
        <w:t>distributed</w:t>
      </w:r>
      <w:r w:rsidR="00902052" w:rsidRPr="00902052">
        <w:rPr>
          <w:color w:val="000000" w:themeColor="text1"/>
        </w:rPr>
        <w:t xml:space="preserve"> workflow </w:t>
      </w:r>
      <w:r>
        <w:rPr>
          <w:color w:val="000000" w:themeColor="text1"/>
        </w:rPr>
        <w:t>among</w:t>
      </w:r>
      <w:r w:rsidR="00902052" w:rsidRPr="00902052">
        <w:rPr>
          <w:color w:val="000000" w:themeColor="text1"/>
        </w:rPr>
        <w:t xml:space="preserve"> the rest of the team members</w:t>
      </w:r>
      <w:r>
        <w:rPr>
          <w:color w:val="000000" w:themeColor="text1"/>
        </w:rPr>
        <w:t>,</w:t>
      </w:r>
      <w:r w:rsidR="00902052" w:rsidRPr="00902052">
        <w:rPr>
          <w:color w:val="000000" w:themeColor="text1"/>
        </w:rPr>
        <w:t xml:space="preserve"> pr</w:t>
      </w:r>
      <w:r>
        <w:rPr>
          <w:color w:val="000000" w:themeColor="text1"/>
        </w:rPr>
        <w:t>ioritisi</w:t>
      </w:r>
      <w:r w:rsidR="00902052" w:rsidRPr="00902052">
        <w:rPr>
          <w:color w:val="000000" w:themeColor="text1"/>
        </w:rPr>
        <w:t xml:space="preserve">ng </w:t>
      </w:r>
      <w:r>
        <w:rPr>
          <w:color w:val="000000" w:themeColor="text1"/>
        </w:rPr>
        <w:t xml:space="preserve">the </w:t>
      </w:r>
      <w:r w:rsidR="00902052" w:rsidRPr="00902052">
        <w:rPr>
          <w:color w:val="000000" w:themeColor="text1"/>
        </w:rPr>
        <w:t>most critical tasks</w:t>
      </w:r>
      <w:r>
        <w:rPr>
          <w:color w:val="000000" w:themeColor="text1"/>
        </w:rPr>
        <w:t>, circumventing barriers with mitigating actions,</w:t>
      </w:r>
      <w:r w:rsidR="00902052" w:rsidRPr="0090205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="00902052" w:rsidRPr="00902052">
        <w:rPr>
          <w:color w:val="000000" w:themeColor="text1"/>
        </w:rPr>
        <w:t>aligning tasks with project objectives</w:t>
      </w:r>
      <w:r>
        <w:rPr>
          <w:color w:val="000000" w:themeColor="text1"/>
        </w:rPr>
        <w:t>.</w:t>
      </w:r>
    </w:p>
    <w:p w14:paraId="68BB1EDD" w14:textId="6D9C0635" w:rsidR="0021753C" w:rsidRDefault="0021753C" w:rsidP="00842CDD">
      <w:pPr>
        <w:rPr>
          <w:color w:val="000000" w:themeColor="text1"/>
        </w:rPr>
      </w:pPr>
      <w:r w:rsidRPr="0021753C">
        <w:rPr>
          <w:color w:val="000000" w:themeColor="text1"/>
        </w:rPr>
        <w:t>Furthermore, in response to the Sponsor scheme</w:t>
      </w:r>
      <w:r>
        <w:rPr>
          <w:color w:val="000000" w:themeColor="text1"/>
        </w:rPr>
        <w:t>'s</w:t>
      </w:r>
      <w:r w:rsidRPr="0021753C">
        <w:rPr>
          <w:color w:val="000000" w:themeColor="text1"/>
        </w:rPr>
        <w:t xml:space="preserve"> frequent updates, each project phase was evaluated using Kolb's Experiential Learning Cycle to ensure project activities' relevance (Kurt, 2020).</w:t>
      </w:r>
    </w:p>
    <w:p w14:paraId="7E916DA6" w14:textId="5B2655EC" w:rsidR="00842CDD" w:rsidRPr="0021753C" w:rsidRDefault="00842CDD" w:rsidP="00842CDD">
      <w:pPr>
        <w:rPr>
          <w:b/>
          <w:bCs/>
          <w:i/>
          <w:iCs/>
          <w:color w:val="4472C4" w:themeColor="accent1"/>
          <w:u w:val="single"/>
        </w:rPr>
      </w:pPr>
      <w:r w:rsidRPr="0021753C">
        <w:rPr>
          <w:b/>
          <w:bCs/>
          <w:i/>
          <w:iCs/>
          <w:color w:val="4472C4" w:themeColor="accent1"/>
          <w:u w:val="single"/>
        </w:rPr>
        <w:t>Project Evaluation.</w:t>
      </w:r>
    </w:p>
    <w:p w14:paraId="2C28753D" w14:textId="74CF5DD4" w:rsidR="00842CDD" w:rsidRPr="00842CDD" w:rsidRDefault="00842CDD" w:rsidP="00842CDD">
      <w:pPr>
        <w:rPr>
          <w:color w:val="000000" w:themeColor="text1"/>
        </w:rPr>
      </w:pPr>
      <w:r w:rsidRPr="00842CDD">
        <w:rPr>
          <w:b/>
          <w:bCs/>
          <w:color w:val="000000" w:themeColor="text1"/>
        </w:rPr>
        <w:t>Hard (Summative – Questionnaire, QUAD Chart) –</w:t>
      </w:r>
      <w:r w:rsidRPr="00842CDD">
        <w:rPr>
          <w:color w:val="000000" w:themeColor="text1"/>
        </w:rPr>
        <w:t xml:space="preserve"> </w:t>
      </w:r>
      <w:r w:rsidR="0021753C" w:rsidRPr="0021753C">
        <w:rPr>
          <w:color w:val="000000" w:themeColor="text1"/>
        </w:rPr>
        <w:t>The project was delivered within the deliberated time and presented to 1 lecturer and 3 team members. Participation of 14 displaced Ukrainians and 6 UK-based sponsors in in-person interviews. Thirty-three questions from the compiled questionnaires provided robust and quantifiable evidence and revealed further fields for improvement.</w:t>
      </w:r>
    </w:p>
    <w:p w14:paraId="2726696C" w14:textId="057806BE" w:rsidR="00842CDD" w:rsidRPr="0021753C" w:rsidRDefault="00842CDD" w:rsidP="00842CDD">
      <w:pPr>
        <w:rPr>
          <w:color w:val="000000" w:themeColor="text1"/>
        </w:rPr>
      </w:pPr>
      <w:r w:rsidRPr="0021753C">
        <w:rPr>
          <w:b/>
          <w:bCs/>
          <w:color w:val="000000" w:themeColor="text1"/>
        </w:rPr>
        <w:t>Soft (Reaction – refugees' experience amelioration)  –</w:t>
      </w:r>
      <w:r w:rsidRPr="0021753C">
        <w:rPr>
          <w:color w:val="000000" w:themeColor="text1"/>
        </w:rPr>
        <w:t xml:space="preserve"> Positive verbal feedback was received from the interviewed people. The project team helped local authorities and refugees' associated social networking to </w:t>
      </w:r>
      <w:r w:rsidR="0021753C">
        <w:rPr>
          <w:color w:val="000000" w:themeColor="text1"/>
        </w:rPr>
        <w:t xml:space="preserve">share important information related to the available in Wales help and </w:t>
      </w:r>
      <w:r w:rsidRPr="0021753C">
        <w:rPr>
          <w:color w:val="000000" w:themeColor="text1"/>
        </w:rPr>
        <w:t>raise awareness of the</w:t>
      </w:r>
      <w:r w:rsidR="0021753C">
        <w:rPr>
          <w:color w:val="000000" w:themeColor="text1"/>
        </w:rPr>
        <w:t xml:space="preserve"> primary</w:t>
      </w:r>
      <w:r w:rsidRPr="0021753C">
        <w:rPr>
          <w:color w:val="000000" w:themeColor="text1"/>
        </w:rPr>
        <w:t xml:space="preserve"> refugees' needs regarding their integration and assimilation. As a result, the refugees felt </w:t>
      </w:r>
      <w:r w:rsidR="0021753C" w:rsidRPr="0021753C">
        <w:rPr>
          <w:color w:val="000000" w:themeColor="text1"/>
        </w:rPr>
        <w:t xml:space="preserve">more </w:t>
      </w:r>
      <w:r w:rsidR="00A660BD" w:rsidRPr="0021753C">
        <w:rPr>
          <w:color w:val="000000" w:themeColor="text1"/>
        </w:rPr>
        <w:t>supported</w:t>
      </w:r>
      <w:r w:rsidR="0021753C" w:rsidRPr="0021753C">
        <w:rPr>
          <w:color w:val="000000" w:themeColor="text1"/>
        </w:rPr>
        <w:t xml:space="preserve">. </w:t>
      </w:r>
    </w:p>
    <w:p w14:paraId="07A719EC" w14:textId="0DC58819" w:rsidR="00842CDD" w:rsidRPr="0021753C" w:rsidRDefault="00842CDD" w:rsidP="00842CDD">
      <w:pPr>
        <w:rPr>
          <w:color w:val="000000" w:themeColor="text1"/>
        </w:rPr>
      </w:pPr>
      <w:r w:rsidRPr="0021753C">
        <w:rPr>
          <w:b/>
          <w:bCs/>
          <w:color w:val="000000" w:themeColor="text1"/>
        </w:rPr>
        <w:t>Soft (Formative – Free language classes as additional support from local authorities) –</w:t>
      </w:r>
      <w:r w:rsidRPr="0021753C">
        <w:rPr>
          <w:color w:val="000000" w:themeColor="text1"/>
        </w:rPr>
        <w:t xml:space="preserve"> Both parties in the Sponsor scheme have a language barrier. </w:t>
      </w:r>
      <w:r w:rsidR="0021753C" w:rsidRPr="0021753C">
        <w:rPr>
          <w:color w:val="000000" w:themeColor="text1"/>
        </w:rPr>
        <w:t>The majority l</w:t>
      </w:r>
      <w:r w:rsidRPr="0021753C">
        <w:rPr>
          <w:color w:val="000000" w:themeColor="text1"/>
        </w:rPr>
        <w:t>ack digital skills to use available translating applications.</w:t>
      </w:r>
    </w:p>
    <w:p w14:paraId="3C874434" w14:textId="3B15CF33" w:rsidR="008B4248" w:rsidRPr="0021753C" w:rsidRDefault="0021753C" w:rsidP="00842CDD">
      <w:pPr>
        <w:rPr>
          <w:b/>
          <w:bCs/>
        </w:rPr>
      </w:pPr>
      <w:r w:rsidRPr="0021753C">
        <w:rPr>
          <w:b/>
          <w:bCs/>
        </w:rPr>
        <w:t xml:space="preserve">Soft (Formative – Miscellaneous </w:t>
      </w:r>
      <w:r>
        <w:rPr>
          <w:b/>
          <w:bCs/>
        </w:rPr>
        <w:t>NGO</w:t>
      </w:r>
      <w:r w:rsidRPr="0021753C">
        <w:rPr>
          <w:b/>
          <w:bCs/>
        </w:rPr>
        <w:t xml:space="preserve"> organisations and local initiatives were identified, and cooperation established) </w:t>
      </w:r>
      <w:r>
        <w:rPr>
          <w:b/>
          <w:bCs/>
        </w:rPr>
        <w:t xml:space="preserve">– </w:t>
      </w:r>
      <w:r w:rsidRPr="0021753C">
        <w:t xml:space="preserve">project activities </w:t>
      </w:r>
      <w:r>
        <w:t>and research resulted in forming firm boundaries with local charities, educational institutions, local businesses and volunteers.</w:t>
      </w:r>
    </w:p>
    <w:p w14:paraId="7EE8B36C" w14:textId="763753D6" w:rsidR="00842CDD" w:rsidRPr="0021753C" w:rsidRDefault="00842CDD" w:rsidP="00842CDD">
      <w:pPr>
        <w:rPr>
          <w:b/>
          <w:bCs/>
          <w:i/>
          <w:iCs/>
          <w:color w:val="4472C4" w:themeColor="accent1"/>
          <w:u w:val="single"/>
        </w:rPr>
      </w:pPr>
      <w:r w:rsidRPr="0021753C">
        <w:rPr>
          <w:b/>
          <w:bCs/>
          <w:i/>
          <w:iCs/>
          <w:color w:val="4472C4" w:themeColor="accent1"/>
          <w:u w:val="single"/>
        </w:rPr>
        <w:t>Limitation of Monitoring and Evaluation tools.</w:t>
      </w:r>
    </w:p>
    <w:p w14:paraId="403842F3" w14:textId="291AF7DB" w:rsidR="00842CDD" w:rsidRPr="00842CDD" w:rsidRDefault="0021753C" w:rsidP="00842CDD">
      <w:pPr>
        <w:rPr>
          <w:color w:val="000000" w:themeColor="text1"/>
        </w:rPr>
      </w:pPr>
      <w:r>
        <w:rPr>
          <w:color w:val="000000" w:themeColor="text1"/>
        </w:rPr>
        <w:t>Pavlo thinks most of the learned project manager tools are useful from the project manager's perspective</w:t>
      </w:r>
      <w:r w:rsidR="00842CDD" w:rsidRPr="00842CDD">
        <w:rPr>
          <w:color w:val="000000" w:themeColor="text1"/>
        </w:rPr>
        <w:t xml:space="preserve">. However, he questions </w:t>
      </w:r>
      <w:r>
        <w:rPr>
          <w:color w:val="000000" w:themeColor="text1"/>
        </w:rPr>
        <w:t>their</w:t>
      </w:r>
      <w:r w:rsidR="00842CDD" w:rsidRPr="00842CDD">
        <w:rPr>
          <w:color w:val="000000" w:themeColor="text1"/>
        </w:rPr>
        <w:t xml:space="preserve"> practical application in </w:t>
      </w:r>
      <w:r w:rsidR="00842CDD">
        <w:rPr>
          <w:color w:val="000000" w:themeColor="text1"/>
        </w:rPr>
        <w:t>the work environment</w:t>
      </w:r>
      <w:r>
        <w:rPr>
          <w:color w:val="000000" w:themeColor="text1"/>
        </w:rPr>
        <w:t xml:space="preserve"> - tools </w:t>
      </w:r>
      <w:r w:rsidR="00842CDD">
        <w:rPr>
          <w:color w:val="000000" w:themeColor="text1"/>
        </w:rPr>
        <w:lastRenderedPageBreak/>
        <w:t xml:space="preserve">creation and usage are time-consuming activities that will increase labour time and </w:t>
      </w:r>
      <w:r>
        <w:rPr>
          <w:color w:val="000000" w:themeColor="text1"/>
        </w:rPr>
        <w:t xml:space="preserve">the </w:t>
      </w:r>
      <w:r w:rsidR="00842CDD">
        <w:rPr>
          <w:color w:val="000000" w:themeColor="text1"/>
        </w:rPr>
        <w:t>project's overall cos</w:t>
      </w:r>
      <w:r w:rsidR="00842CDD" w:rsidRPr="00842CDD">
        <w:rPr>
          <w:color w:val="000000" w:themeColor="text1"/>
        </w:rPr>
        <w:t>t</w:t>
      </w:r>
      <w:r>
        <w:rPr>
          <w:color w:val="000000" w:themeColor="text1"/>
        </w:rPr>
        <w:t>. Moreover,</w:t>
      </w:r>
      <w:r w:rsidR="00842CDD" w:rsidRPr="00842CDD">
        <w:rPr>
          <w:color w:val="000000" w:themeColor="text1"/>
        </w:rPr>
        <w:t xml:space="preserve"> most businesses, especially manufacturers, will look for the minimum input with the maximum outcome. That is why big corporations use turnkey package deals such as Asana when dealing with projects</w:t>
      </w:r>
      <w:r w:rsidR="00842CDD">
        <w:rPr>
          <w:color w:val="000000" w:themeColor="text1"/>
        </w:rPr>
        <w:t xml:space="preserve"> </w:t>
      </w:r>
      <w:r w:rsidR="00842CDD" w:rsidRPr="00842CDD">
        <w:rPr>
          <w:color w:val="000000" w:themeColor="text1"/>
        </w:rPr>
        <w:t>(Asana, 2021)</w:t>
      </w:r>
      <w:r w:rsidR="00842CDD">
        <w:rPr>
          <w:color w:val="000000" w:themeColor="text1"/>
        </w:rPr>
        <w:t xml:space="preserve">. </w:t>
      </w:r>
    </w:p>
    <w:p w14:paraId="496D42E9" w14:textId="77777777" w:rsidR="00842CDD" w:rsidRPr="0021753C" w:rsidRDefault="00842CDD" w:rsidP="00842CDD">
      <w:pPr>
        <w:rPr>
          <w:b/>
          <w:bCs/>
          <w:i/>
          <w:iCs/>
          <w:color w:val="4472C4" w:themeColor="accent1"/>
          <w:u w:val="single"/>
        </w:rPr>
      </w:pPr>
      <w:r w:rsidRPr="0021753C">
        <w:rPr>
          <w:b/>
          <w:bCs/>
          <w:i/>
          <w:iCs/>
          <w:color w:val="4472C4" w:themeColor="accent1"/>
          <w:u w:val="single"/>
        </w:rPr>
        <w:t>Project Conclusions.</w:t>
      </w:r>
    </w:p>
    <w:p w14:paraId="7FACCE4A" w14:textId="32059DA4" w:rsidR="00842CDD" w:rsidRPr="00842CDD" w:rsidRDefault="00842CDD" w:rsidP="00842CDD">
      <w:pPr>
        <w:rPr>
          <w:color w:val="000000" w:themeColor="text1"/>
        </w:rPr>
      </w:pPr>
      <w:r w:rsidRPr="00842CDD">
        <w:rPr>
          <w:color w:val="000000" w:themeColor="text1"/>
        </w:rPr>
        <w:t>Subjectively, as a project manager</w:t>
      </w:r>
      <w:r>
        <w:rPr>
          <w:color w:val="000000" w:themeColor="text1"/>
        </w:rPr>
        <w:t>,</w:t>
      </w:r>
      <w:r w:rsidRPr="00842CDD">
        <w:rPr>
          <w:color w:val="000000" w:themeColor="text1"/>
        </w:rPr>
        <w:t xml:space="preserve"> Pavlo can declare an overall project success. The </w:t>
      </w:r>
      <w:r>
        <w:rPr>
          <w:color w:val="000000" w:themeColor="text1"/>
        </w:rPr>
        <w:t>objective evaluation of the project outcome also confirmed the</w:t>
      </w:r>
      <w:r w:rsidRPr="00842CDD">
        <w:rPr>
          <w:color w:val="000000" w:themeColor="text1"/>
        </w:rPr>
        <w:t xml:space="preserve"> achievement of all described in the project scope goals. </w:t>
      </w:r>
    </w:p>
    <w:p w14:paraId="5DDC0779" w14:textId="2FD3B49D" w:rsidR="00842CDD" w:rsidRDefault="008B4248" w:rsidP="00842CDD">
      <w:r w:rsidRPr="008B4248">
        <w:rPr>
          <w:color w:val="000000" w:themeColor="text1"/>
        </w:rPr>
        <w:t xml:space="preserve">Additionally, the project team performance was excellent </w:t>
      </w:r>
      <w:r>
        <w:rPr>
          <w:color w:val="000000" w:themeColor="text1"/>
        </w:rPr>
        <w:t>and consistent throughout a</w:t>
      </w:r>
      <w:r w:rsidRPr="008B4248">
        <w:rPr>
          <w:color w:val="000000" w:themeColor="text1"/>
        </w:rPr>
        <w:t>ll project stages. Moreover, the high level of dedication, responsiveness and proactivity of all the team members enabled them to finalise the project by providing quality deliverables in the required time.</w:t>
      </w:r>
    </w:p>
    <w:p w14:paraId="48BC5439" w14:textId="77777777" w:rsidR="008B4248" w:rsidRDefault="008B4248" w:rsidP="00842CDD">
      <w:pPr>
        <w:rPr>
          <w:b/>
          <w:bCs/>
          <w:i/>
          <w:iCs/>
          <w:color w:val="4472C4" w:themeColor="accent1"/>
        </w:rPr>
      </w:pPr>
    </w:p>
    <w:p w14:paraId="6FDD9D53" w14:textId="77777777" w:rsidR="008B4248" w:rsidRDefault="008B4248" w:rsidP="00842CDD">
      <w:pPr>
        <w:rPr>
          <w:b/>
          <w:bCs/>
          <w:i/>
          <w:iCs/>
          <w:color w:val="4472C4" w:themeColor="accent1"/>
        </w:rPr>
      </w:pPr>
    </w:p>
    <w:p w14:paraId="42B38779" w14:textId="7BF7E373" w:rsidR="00842CDD" w:rsidRPr="0021753C" w:rsidRDefault="00842CDD" w:rsidP="00842CDD">
      <w:pPr>
        <w:rPr>
          <w:b/>
          <w:bCs/>
          <w:i/>
          <w:iCs/>
          <w:color w:val="4472C4" w:themeColor="accent1"/>
          <w:u w:val="single"/>
        </w:rPr>
      </w:pPr>
      <w:r w:rsidRPr="0021753C">
        <w:rPr>
          <w:b/>
          <w:bCs/>
          <w:i/>
          <w:iCs/>
          <w:color w:val="4472C4" w:themeColor="accent1"/>
          <w:u w:val="single"/>
        </w:rPr>
        <w:t>References.</w:t>
      </w:r>
    </w:p>
    <w:p w14:paraId="6D8F726D" w14:textId="77777777" w:rsidR="00842CDD" w:rsidRPr="00842CDD" w:rsidRDefault="00842CDD" w:rsidP="00842CDD">
      <w:pPr>
        <w:spacing w:line="360" w:lineRule="auto"/>
        <w:rPr>
          <w:rFonts w:ascii="Calibri" w:hAnsi="Calibri" w:cs="Calibri"/>
        </w:rPr>
      </w:pPr>
      <w:r w:rsidRPr="00842CDD">
        <w:rPr>
          <w:rFonts w:ascii="Calibri" w:hAnsi="Calibri" w:cs="Calibri"/>
        </w:rPr>
        <w:t xml:space="preserve">Asana (2021). </w:t>
      </w:r>
      <w:r w:rsidRPr="00842CDD">
        <w:rPr>
          <w:rFonts w:ascii="Calibri" w:hAnsi="Calibri" w:cs="Calibri"/>
          <w:i/>
        </w:rPr>
        <w:t>7 Common Project Risks and How to Prevent Them • Asana</w:t>
      </w:r>
      <w:r w:rsidRPr="00842CDD">
        <w:rPr>
          <w:rFonts w:ascii="Calibri" w:hAnsi="Calibri" w:cs="Calibri"/>
        </w:rPr>
        <w:t xml:space="preserve">. [online] Asana. Available at: </w:t>
      </w:r>
      <w:hyperlink r:id="rId6" w:history="1">
        <w:r w:rsidRPr="00842CDD">
          <w:rPr>
            <w:rStyle w:val="Hyperlink"/>
            <w:rFonts w:ascii="Calibri" w:hAnsi="Calibri" w:cs="Calibri"/>
          </w:rPr>
          <w:t>https://asana.com/resources/project-risks</w:t>
        </w:r>
      </w:hyperlink>
      <w:r w:rsidRPr="00842CDD">
        <w:rPr>
          <w:rFonts w:ascii="Calibri" w:hAnsi="Calibri" w:cs="Calibri"/>
        </w:rPr>
        <w:t xml:space="preserve"> [Accessed 3 Jun. 2022].</w:t>
      </w:r>
    </w:p>
    <w:p w14:paraId="3325A32E" w14:textId="77777777" w:rsidR="00842CDD" w:rsidRPr="00842CDD" w:rsidRDefault="00842CDD" w:rsidP="00842CDD">
      <w:pPr>
        <w:spacing w:line="360" w:lineRule="auto"/>
        <w:rPr>
          <w:rFonts w:ascii="Calibri" w:hAnsi="Calibri" w:cs="Calibri"/>
        </w:rPr>
      </w:pPr>
      <w:proofErr w:type="spellStart"/>
      <w:r w:rsidRPr="00842CDD">
        <w:rPr>
          <w:rFonts w:ascii="Calibri" w:hAnsi="Calibri" w:cs="Calibri"/>
        </w:rPr>
        <w:t>Diabré</w:t>
      </w:r>
      <w:proofErr w:type="spellEnd"/>
      <w:r w:rsidRPr="00842CDD">
        <w:rPr>
          <w:rFonts w:ascii="Calibri" w:hAnsi="Calibri" w:cs="Calibri"/>
        </w:rPr>
        <w:t xml:space="preserve">, Z. (2002). </w:t>
      </w:r>
      <w:r w:rsidRPr="00842CDD">
        <w:rPr>
          <w:rFonts w:ascii="Calibri" w:hAnsi="Calibri" w:cs="Calibri"/>
          <w:i/>
        </w:rPr>
        <w:t>Handbook on Monitoring and Evaluating for Results E VA L UATION OFFICE</w:t>
      </w:r>
      <w:r w:rsidRPr="00842CDD">
        <w:rPr>
          <w:rFonts w:ascii="Calibri" w:hAnsi="Calibri" w:cs="Calibri"/>
        </w:rPr>
        <w:t xml:space="preserve">. [online] Available at: </w:t>
      </w:r>
      <w:hyperlink r:id="rId7" w:history="1">
        <w:r w:rsidRPr="00842CDD">
          <w:rPr>
            <w:rStyle w:val="Hyperlink"/>
            <w:rFonts w:ascii="Calibri" w:hAnsi="Calibri" w:cs="Calibri"/>
          </w:rPr>
          <w:t>http://web.undp.org/evaluation/documents/handbook/me-handbook.pdf</w:t>
        </w:r>
      </w:hyperlink>
      <w:r w:rsidRPr="00842CDD">
        <w:rPr>
          <w:rFonts w:ascii="Calibri" w:hAnsi="Calibri" w:cs="Calibri"/>
        </w:rPr>
        <w:t xml:space="preserve"> [Accessed 6 Jun. 2022].</w:t>
      </w:r>
    </w:p>
    <w:p w14:paraId="45F1DE9F" w14:textId="77777777" w:rsidR="00842CDD" w:rsidRPr="00842CDD" w:rsidRDefault="00842CDD" w:rsidP="00842CDD">
      <w:pPr>
        <w:spacing w:line="360" w:lineRule="auto"/>
        <w:rPr>
          <w:rFonts w:ascii="Calibri" w:hAnsi="Calibri" w:cs="Calibri"/>
        </w:rPr>
      </w:pPr>
      <w:r w:rsidRPr="00842CDD">
        <w:rPr>
          <w:rFonts w:ascii="Calibri" w:hAnsi="Calibri" w:cs="Calibri"/>
        </w:rPr>
        <w:t xml:space="preserve">Gantt (2019). </w:t>
      </w:r>
      <w:r w:rsidRPr="00842CDD">
        <w:rPr>
          <w:rFonts w:ascii="Calibri" w:hAnsi="Calibri" w:cs="Calibri"/>
          <w:i/>
        </w:rPr>
        <w:t>What is a Gantt Chart? Gantt Chart Software, Information, and History</w:t>
      </w:r>
      <w:r w:rsidRPr="00842CDD">
        <w:rPr>
          <w:rFonts w:ascii="Calibri" w:hAnsi="Calibri" w:cs="Calibri"/>
        </w:rPr>
        <w:t xml:space="preserve">. [online] Gantt.com. Available at: </w:t>
      </w:r>
      <w:hyperlink r:id="rId8" w:history="1">
        <w:r w:rsidRPr="00842CDD">
          <w:rPr>
            <w:rStyle w:val="Hyperlink"/>
            <w:rFonts w:ascii="Calibri" w:hAnsi="Calibri" w:cs="Calibri"/>
          </w:rPr>
          <w:t>https://www.gantt.com/</w:t>
        </w:r>
      </w:hyperlink>
      <w:r w:rsidRPr="00842CDD">
        <w:rPr>
          <w:rFonts w:ascii="Calibri" w:hAnsi="Calibri" w:cs="Calibri"/>
        </w:rPr>
        <w:t xml:space="preserve"> [Accessed 27 May 2022].</w:t>
      </w:r>
    </w:p>
    <w:p w14:paraId="6AF65B77" w14:textId="24357672" w:rsidR="00842CDD" w:rsidRPr="00842CDD" w:rsidRDefault="00842CDD" w:rsidP="00842CDD">
      <w:pPr>
        <w:spacing w:line="360" w:lineRule="auto"/>
        <w:rPr>
          <w:rFonts w:ascii="Calibri" w:hAnsi="Calibri" w:cs="Calibri"/>
        </w:rPr>
      </w:pPr>
      <w:r w:rsidRPr="00842CDD">
        <w:rPr>
          <w:rFonts w:ascii="Calibri" w:hAnsi="Calibri" w:cs="Calibri"/>
        </w:rPr>
        <w:t xml:space="preserve">Kurt, S. (2020). </w:t>
      </w:r>
      <w:r w:rsidRPr="00842CDD">
        <w:rPr>
          <w:rFonts w:ascii="Calibri" w:hAnsi="Calibri" w:cs="Calibri"/>
          <w:i/>
        </w:rPr>
        <w:t>Kolb</w:t>
      </w:r>
      <w:r>
        <w:rPr>
          <w:rFonts w:ascii="Calibri" w:hAnsi="Calibri" w:cs="Calibri"/>
          <w:i/>
        </w:rPr>
        <w:t>'</w:t>
      </w:r>
      <w:r w:rsidRPr="00842CDD">
        <w:rPr>
          <w:rFonts w:ascii="Calibri" w:hAnsi="Calibri" w:cs="Calibri"/>
          <w:i/>
        </w:rPr>
        <w:t>s Experiential Learning Theory &amp; Learning Styles</w:t>
      </w:r>
      <w:r w:rsidRPr="00842CDD">
        <w:rPr>
          <w:rFonts w:ascii="Calibri" w:hAnsi="Calibri" w:cs="Calibri"/>
        </w:rPr>
        <w:t xml:space="preserve">. [online] Educational Technology. Available at: </w:t>
      </w:r>
      <w:hyperlink r:id="rId9" w:history="1">
        <w:r w:rsidRPr="00842CDD">
          <w:rPr>
            <w:rStyle w:val="Hyperlink"/>
            <w:rFonts w:ascii="Calibri" w:hAnsi="Calibri" w:cs="Calibri"/>
          </w:rPr>
          <w:t>https://educationaltechnology.net/kolbs-experiential-learning-theory-learning-styles/</w:t>
        </w:r>
      </w:hyperlink>
      <w:r w:rsidRPr="00842CDD">
        <w:rPr>
          <w:rFonts w:ascii="Calibri" w:hAnsi="Calibri" w:cs="Calibri"/>
        </w:rPr>
        <w:t xml:space="preserve"> [Accessed 7 Jun. 2022].</w:t>
      </w:r>
    </w:p>
    <w:p w14:paraId="081FDF0B" w14:textId="77777777" w:rsidR="00842CDD" w:rsidRPr="00842CDD" w:rsidRDefault="00842CDD" w:rsidP="00842CDD">
      <w:pPr>
        <w:spacing w:line="360" w:lineRule="auto"/>
        <w:rPr>
          <w:rFonts w:ascii="Calibri" w:hAnsi="Calibri" w:cs="Calibri"/>
        </w:rPr>
      </w:pPr>
      <w:r w:rsidRPr="00842CDD">
        <w:rPr>
          <w:rFonts w:ascii="Calibri" w:hAnsi="Calibri" w:cs="Calibri"/>
        </w:rPr>
        <w:t xml:space="preserve">Villanova University (2021). </w:t>
      </w:r>
      <w:r w:rsidRPr="00842CDD">
        <w:rPr>
          <w:rFonts w:ascii="Calibri" w:hAnsi="Calibri" w:cs="Calibri"/>
          <w:i/>
        </w:rPr>
        <w:t>What is the Iron Triangle of Project Management?</w:t>
      </w:r>
      <w:r w:rsidRPr="00842CDD">
        <w:rPr>
          <w:rFonts w:ascii="Calibri" w:hAnsi="Calibri" w:cs="Calibri"/>
        </w:rPr>
        <w:t xml:space="preserve"> [online] Villanovau.com. Available at: </w:t>
      </w:r>
      <w:hyperlink r:id="rId10" w:history="1">
        <w:r w:rsidRPr="00842CDD">
          <w:rPr>
            <w:rStyle w:val="Hyperlink"/>
            <w:rFonts w:ascii="Calibri" w:hAnsi="Calibri" w:cs="Calibri"/>
          </w:rPr>
          <w:t>https://www.villanovau.com/resources/project-management/iron-triangle-project-management/</w:t>
        </w:r>
      </w:hyperlink>
      <w:r w:rsidRPr="00842CDD">
        <w:rPr>
          <w:rFonts w:ascii="Calibri" w:hAnsi="Calibri" w:cs="Calibri"/>
        </w:rPr>
        <w:t xml:space="preserve"> [Accessed 7 Jun. 2022].</w:t>
      </w:r>
    </w:p>
    <w:p w14:paraId="33C9D534" w14:textId="77777777" w:rsidR="00842CDD" w:rsidRDefault="00842CDD" w:rsidP="00842CDD"/>
    <w:sectPr w:rsidR="00842C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ED3A5" w14:textId="77777777" w:rsidR="0071344C" w:rsidRDefault="0071344C" w:rsidP="0021753C">
      <w:pPr>
        <w:spacing w:after="0" w:line="240" w:lineRule="auto"/>
      </w:pPr>
      <w:r>
        <w:separator/>
      </w:r>
    </w:p>
  </w:endnote>
  <w:endnote w:type="continuationSeparator" w:id="0">
    <w:p w14:paraId="4FADF308" w14:textId="77777777" w:rsidR="0071344C" w:rsidRDefault="0071344C" w:rsidP="00217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8D091" w14:textId="77777777" w:rsidR="0021753C" w:rsidRDefault="002175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3DF49" w14:textId="77777777" w:rsidR="0021753C" w:rsidRDefault="002175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05723" w14:textId="77777777" w:rsidR="0021753C" w:rsidRDefault="00217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17995" w14:textId="77777777" w:rsidR="0071344C" w:rsidRDefault="0071344C" w:rsidP="0021753C">
      <w:pPr>
        <w:spacing w:after="0" w:line="240" w:lineRule="auto"/>
      </w:pPr>
      <w:r>
        <w:separator/>
      </w:r>
    </w:p>
  </w:footnote>
  <w:footnote w:type="continuationSeparator" w:id="0">
    <w:p w14:paraId="69F2F755" w14:textId="77777777" w:rsidR="0071344C" w:rsidRDefault="0071344C" w:rsidP="00217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4F70" w14:textId="77777777" w:rsidR="0021753C" w:rsidRDefault="002175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1EC6C" w14:textId="77777777" w:rsidR="0021753C" w:rsidRPr="0001341F" w:rsidRDefault="0021753C" w:rsidP="0021753C">
    <w:pPr>
      <w:pStyle w:val="Header"/>
      <w:rPr>
        <w:b/>
        <w:bCs/>
        <w:i/>
        <w:iCs/>
      </w:rPr>
    </w:pPr>
    <w:r w:rsidRPr="0001341F">
      <w:rPr>
        <w:b/>
        <w:bCs/>
        <w:i/>
        <w:iCs/>
      </w:rPr>
      <w:t xml:space="preserve">Student number: 1918831  </w:t>
    </w:r>
    <w:r>
      <w:rPr>
        <w:b/>
        <w:bCs/>
        <w:i/>
        <w:iCs/>
      </w:rPr>
      <w:t xml:space="preserve">                </w:t>
    </w:r>
    <w:r w:rsidRPr="0001341F">
      <w:rPr>
        <w:b/>
        <w:bCs/>
        <w:i/>
        <w:iCs/>
      </w:rPr>
      <w:t xml:space="preserve">Managing Projects in the Organisation              </w:t>
    </w:r>
    <w:r>
      <w:rPr>
        <w:b/>
        <w:bCs/>
        <w:i/>
        <w:iCs/>
      </w:rPr>
      <w:t xml:space="preserve">      </w:t>
    </w:r>
    <w:r w:rsidRPr="0001341F">
      <w:rPr>
        <w:b/>
        <w:bCs/>
        <w:i/>
        <w:iCs/>
      </w:rPr>
      <w:t>Pavlo Gladkyi</w:t>
    </w:r>
  </w:p>
  <w:p w14:paraId="29379FE5" w14:textId="77777777" w:rsidR="0021753C" w:rsidRDefault="002175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C451" w14:textId="77777777" w:rsidR="0021753C" w:rsidRDefault="002175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0NTEzMDe0MLYwMDNT0lEKTi0uzszPAykwrgUAasrk4iwAAAA="/>
  </w:docVars>
  <w:rsids>
    <w:rsidRoot w:val="00842CDD"/>
    <w:rsid w:val="00133AEE"/>
    <w:rsid w:val="001E30AD"/>
    <w:rsid w:val="0021753C"/>
    <w:rsid w:val="0025703E"/>
    <w:rsid w:val="00296ACB"/>
    <w:rsid w:val="0046083B"/>
    <w:rsid w:val="004C23B8"/>
    <w:rsid w:val="0071344C"/>
    <w:rsid w:val="007A0447"/>
    <w:rsid w:val="008273C0"/>
    <w:rsid w:val="00842CDD"/>
    <w:rsid w:val="008B4248"/>
    <w:rsid w:val="00902052"/>
    <w:rsid w:val="009229B8"/>
    <w:rsid w:val="00A24287"/>
    <w:rsid w:val="00A660BD"/>
    <w:rsid w:val="00D03EE2"/>
    <w:rsid w:val="00D5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F08A0"/>
  <w15:chartTrackingRefBased/>
  <w15:docId w15:val="{7A8136F2-6521-472C-B9D5-C1CC70BD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2CD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33A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3A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3A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3A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3AE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33A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75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3C"/>
  </w:style>
  <w:style w:type="paragraph" w:styleId="Footer">
    <w:name w:val="footer"/>
    <w:basedOn w:val="Normal"/>
    <w:link w:val="FooterChar"/>
    <w:uiPriority w:val="99"/>
    <w:unhideWhenUsed/>
    <w:rsid w:val="002175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ntt.com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eb.undp.org/evaluation/documents/handbook/me-handbook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asana.com/resources/project-risk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www.villanovau.com/resources/project-management/iron-triangle-project-managemen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ducationaltechnology.net/kolbs-experiential-learning-theory-learning-styles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 Gladkyi</dc:creator>
  <cp:keywords/>
  <dc:description/>
  <cp:lastModifiedBy>Pavlo Gladkyi</cp:lastModifiedBy>
  <cp:revision>6</cp:revision>
  <dcterms:created xsi:type="dcterms:W3CDTF">2022-06-10T15:54:00Z</dcterms:created>
  <dcterms:modified xsi:type="dcterms:W3CDTF">2022-06-10T22:11:00Z</dcterms:modified>
</cp:coreProperties>
</file>