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39C19F" w14:textId="77777777" w:rsidR="002A629C" w:rsidRPr="00CE0C6B" w:rsidRDefault="002A629C" w:rsidP="002A629C">
      <w:pPr>
        <w:jc w:val="center"/>
        <w:rPr>
          <w:rFonts w:ascii="Arial" w:hAnsi="Arial" w:cs="Arial"/>
          <w:b/>
          <w:bCs/>
          <w:w w:val="95"/>
          <w:sz w:val="32"/>
          <w:szCs w:val="32"/>
        </w:rPr>
      </w:pPr>
      <w:r w:rsidRPr="00CE0C6B">
        <w:rPr>
          <w:rFonts w:ascii="Arial" w:hAnsi="Arial" w:cs="Arial"/>
          <w:noProof/>
          <w:sz w:val="36"/>
          <w:szCs w:val="36"/>
        </w:rPr>
        <w:drawing>
          <wp:inline distT="0" distB="0" distL="0" distR="0" wp14:anchorId="4B03CA8F" wp14:editId="6B7EBD7E">
            <wp:extent cx="3142297" cy="929640"/>
            <wp:effectExtent l="0" t="0" r="0" b="0"/>
            <wp:docPr id="18264120" name="Picture 182641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66281" cy="936736"/>
                    </a:xfrm>
                    <a:prstGeom prst="rect">
                      <a:avLst/>
                    </a:prstGeom>
                    <a:noFill/>
                    <a:ln>
                      <a:noFill/>
                    </a:ln>
                  </pic:spPr>
                </pic:pic>
              </a:graphicData>
            </a:graphic>
          </wp:inline>
        </w:drawing>
      </w:r>
    </w:p>
    <w:p w14:paraId="29C5BDF1" w14:textId="77777777" w:rsidR="002A629C" w:rsidRDefault="002A629C" w:rsidP="002A629C">
      <w:pPr>
        <w:rPr>
          <w:rFonts w:ascii="Arial" w:hAnsi="Arial" w:cs="Arial"/>
          <w:sz w:val="32"/>
          <w:szCs w:val="32"/>
        </w:rPr>
      </w:pPr>
    </w:p>
    <w:p w14:paraId="22147D7A" w14:textId="77777777" w:rsidR="002A629C" w:rsidRDefault="002A629C" w:rsidP="002A629C">
      <w:pPr>
        <w:rPr>
          <w:rFonts w:ascii="Arial" w:hAnsi="Arial" w:cs="Arial"/>
          <w:sz w:val="32"/>
          <w:szCs w:val="32"/>
        </w:rPr>
      </w:pPr>
    </w:p>
    <w:p w14:paraId="071E6A45" w14:textId="77777777" w:rsidR="002A629C" w:rsidRPr="00CE0C6B" w:rsidRDefault="002A629C" w:rsidP="002A629C">
      <w:pPr>
        <w:rPr>
          <w:rFonts w:ascii="Arial" w:hAnsi="Arial" w:cs="Arial"/>
          <w:sz w:val="32"/>
          <w:szCs w:val="32"/>
        </w:rPr>
      </w:pPr>
    </w:p>
    <w:p w14:paraId="34DF8E57" w14:textId="77777777" w:rsidR="002A629C" w:rsidRPr="00282357" w:rsidRDefault="002A629C" w:rsidP="002A629C">
      <w:pPr>
        <w:jc w:val="center"/>
        <w:rPr>
          <w:rFonts w:asciiTheme="majorHAnsi" w:hAnsiTheme="majorHAnsi" w:cs="Arial"/>
          <w:b/>
          <w:bCs/>
          <w:sz w:val="28"/>
          <w:szCs w:val="28"/>
        </w:rPr>
      </w:pPr>
      <w:r w:rsidRPr="00282357">
        <w:rPr>
          <w:rStyle w:val="Heading1Char"/>
          <w:b/>
          <w:bCs/>
          <w:color w:val="auto"/>
          <w:sz w:val="36"/>
          <w:szCs w:val="36"/>
        </w:rPr>
        <w:t>Title</w:t>
      </w:r>
      <w:r w:rsidRPr="00282357">
        <w:rPr>
          <w:rFonts w:asciiTheme="majorHAnsi" w:hAnsiTheme="majorHAnsi" w:cs="Arial"/>
          <w:b/>
          <w:bCs/>
          <w:sz w:val="28"/>
          <w:szCs w:val="28"/>
        </w:rPr>
        <w:t>:</w:t>
      </w:r>
    </w:p>
    <w:p w14:paraId="4D6B7263" w14:textId="498FABCE" w:rsidR="002A629C" w:rsidRPr="002A629C" w:rsidRDefault="002A629C" w:rsidP="002A629C">
      <w:pPr>
        <w:jc w:val="center"/>
        <w:rPr>
          <w:rFonts w:asciiTheme="majorHAnsi" w:hAnsiTheme="majorHAnsi" w:cs="Arial"/>
          <w:b/>
          <w:bCs/>
          <w:i/>
          <w:iCs/>
          <w:sz w:val="32"/>
          <w:szCs w:val="32"/>
        </w:rPr>
      </w:pPr>
      <w:r>
        <w:rPr>
          <w:rFonts w:asciiTheme="majorHAnsi" w:hAnsiTheme="majorHAnsi" w:cs="Arial"/>
          <w:b/>
          <w:bCs/>
          <w:sz w:val="32"/>
          <w:szCs w:val="32"/>
        </w:rPr>
        <w:t xml:space="preserve">What Makes a Monster? Exploring the Boundaries of Monstrosity From Ovid to </w:t>
      </w:r>
      <w:r>
        <w:rPr>
          <w:rFonts w:asciiTheme="majorHAnsi" w:hAnsiTheme="majorHAnsi" w:cs="Arial"/>
          <w:b/>
          <w:bCs/>
          <w:i/>
          <w:iCs/>
          <w:sz w:val="32"/>
          <w:szCs w:val="32"/>
        </w:rPr>
        <w:t>The Witcher</w:t>
      </w:r>
    </w:p>
    <w:p w14:paraId="2E101742" w14:textId="77777777" w:rsidR="002A629C" w:rsidRPr="00CE0C6B" w:rsidRDefault="002A629C" w:rsidP="002A629C">
      <w:pPr>
        <w:jc w:val="center"/>
        <w:rPr>
          <w:rFonts w:asciiTheme="majorHAnsi" w:hAnsiTheme="majorHAnsi" w:cs="Arial"/>
          <w:b/>
          <w:bCs/>
          <w:sz w:val="32"/>
          <w:szCs w:val="32"/>
        </w:rPr>
      </w:pPr>
    </w:p>
    <w:p w14:paraId="3A5909E8" w14:textId="77777777" w:rsidR="002A629C" w:rsidRDefault="002A629C" w:rsidP="002A629C">
      <w:pPr>
        <w:jc w:val="center"/>
        <w:rPr>
          <w:rFonts w:asciiTheme="majorHAnsi" w:hAnsiTheme="majorHAnsi" w:cs="Arial"/>
          <w:b/>
          <w:bCs/>
          <w:sz w:val="32"/>
          <w:szCs w:val="32"/>
        </w:rPr>
      </w:pPr>
      <w:r w:rsidRPr="00CE0C6B">
        <w:rPr>
          <w:rFonts w:asciiTheme="majorHAnsi" w:hAnsiTheme="majorHAnsi" w:cs="Arial"/>
          <w:b/>
          <w:bCs/>
          <w:sz w:val="32"/>
          <w:szCs w:val="32"/>
        </w:rPr>
        <w:t>Name</w:t>
      </w:r>
      <w:r>
        <w:rPr>
          <w:rFonts w:asciiTheme="majorHAnsi" w:hAnsiTheme="majorHAnsi" w:cs="Arial"/>
          <w:b/>
          <w:bCs/>
          <w:sz w:val="32"/>
          <w:szCs w:val="32"/>
        </w:rPr>
        <w:t>:</w:t>
      </w:r>
    </w:p>
    <w:p w14:paraId="4D4E05BB" w14:textId="77777777" w:rsidR="002A629C" w:rsidRPr="00CE0C6B" w:rsidRDefault="002A629C" w:rsidP="002A629C">
      <w:pPr>
        <w:jc w:val="center"/>
        <w:rPr>
          <w:rFonts w:asciiTheme="majorHAnsi" w:hAnsiTheme="majorHAnsi" w:cs="Arial"/>
          <w:b/>
          <w:bCs/>
          <w:sz w:val="32"/>
          <w:szCs w:val="32"/>
        </w:rPr>
      </w:pPr>
      <w:r>
        <w:rPr>
          <w:rFonts w:asciiTheme="majorHAnsi" w:hAnsiTheme="majorHAnsi" w:cs="Arial"/>
          <w:b/>
          <w:bCs/>
          <w:sz w:val="32"/>
          <w:szCs w:val="32"/>
        </w:rPr>
        <w:t>Anna Matthews</w:t>
      </w:r>
    </w:p>
    <w:p w14:paraId="453EA755" w14:textId="77777777" w:rsidR="002A629C" w:rsidRPr="00CE0C6B" w:rsidRDefault="002A629C" w:rsidP="002A629C">
      <w:pPr>
        <w:jc w:val="center"/>
        <w:rPr>
          <w:rFonts w:asciiTheme="majorHAnsi" w:hAnsiTheme="majorHAnsi" w:cs="Arial"/>
          <w:b/>
          <w:bCs/>
          <w:sz w:val="32"/>
          <w:szCs w:val="32"/>
        </w:rPr>
      </w:pPr>
    </w:p>
    <w:p w14:paraId="0FA63DE6" w14:textId="77777777" w:rsidR="002A629C" w:rsidRDefault="002A629C" w:rsidP="002A629C">
      <w:pPr>
        <w:jc w:val="center"/>
        <w:rPr>
          <w:rFonts w:asciiTheme="majorHAnsi" w:hAnsiTheme="majorHAnsi" w:cs="Arial"/>
          <w:b/>
          <w:bCs/>
          <w:sz w:val="32"/>
          <w:szCs w:val="32"/>
        </w:rPr>
      </w:pPr>
      <w:r w:rsidRPr="00CE0C6B">
        <w:rPr>
          <w:rFonts w:asciiTheme="majorHAnsi" w:hAnsiTheme="majorHAnsi" w:cs="Arial"/>
          <w:b/>
          <w:bCs/>
          <w:sz w:val="32"/>
          <w:szCs w:val="32"/>
        </w:rPr>
        <w:t xml:space="preserve">Supervised by: </w:t>
      </w:r>
    </w:p>
    <w:p w14:paraId="0623E5EC" w14:textId="23D83B31" w:rsidR="002A629C" w:rsidRPr="00CE0C6B" w:rsidRDefault="002A629C" w:rsidP="002A629C">
      <w:pPr>
        <w:jc w:val="center"/>
        <w:rPr>
          <w:rFonts w:asciiTheme="majorHAnsi" w:hAnsiTheme="majorHAnsi" w:cs="Arial"/>
          <w:b/>
          <w:bCs/>
          <w:sz w:val="32"/>
          <w:szCs w:val="32"/>
        </w:rPr>
      </w:pPr>
      <w:r>
        <w:rPr>
          <w:rFonts w:asciiTheme="majorHAnsi" w:hAnsiTheme="majorHAnsi" w:cs="Arial"/>
          <w:b/>
          <w:bCs/>
          <w:sz w:val="32"/>
          <w:szCs w:val="32"/>
        </w:rPr>
        <w:t>Matthew Cobb</w:t>
      </w:r>
    </w:p>
    <w:p w14:paraId="4C7BD5D7" w14:textId="77777777" w:rsidR="002A629C" w:rsidRPr="00CE0C6B" w:rsidRDefault="002A629C" w:rsidP="002A629C">
      <w:pPr>
        <w:jc w:val="center"/>
        <w:rPr>
          <w:rFonts w:asciiTheme="majorHAnsi" w:hAnsiTheme="majorHAnsi" w:cs="Arial"/>
          <w:b/>
          <w:bCs/>
          <w:sz w:val="32"/>
          <w:szCs w:val="32"/>
        </w:rPr>
      </w:pPr>
    </w:p>
    <w:p w14:paraId="45C76BE7" w14:textId="4006DA0D" w:rsidR="002A629C" w:rsidRPr="00CE0C6B" w:rsidRDefault="002A629C" w:rsidP="002A629C">
      <w:pPr>
        <w:jc w:val="center"/>
        <w:rPr>
          <w:rFonts w:asciiTheme="majorHAnsi" w:hAnsiTheme="majorHAnsi" w:cs="Arial"/>
          <w:b/>
          <w:bCs/>
          <w:sz w:val="32"/>
          <w:szCs w:val="32"/>
        </w:rPr>
      </w:pPr>
      <w:r w:rsidRPr="00CE0C6B">
        <w:rPr>
          <w:rFonts w:asciiTheme="majorHAnsi" w:hAnsiTheme="majorHAnsi" w:cs="Arial"/>
          <w:b/>
          <w:bCs/>
          <w:sz w:val="32"/>
          <w:szCs w:val="32"/>
        </w:rPr>
        <w:t xml:space="preserve">Submitted in partial fulfilment for the </w:t>
      </w:r>
      <w:r w:rsidRPr="009820AD">
        <w:rPr>
          <w:rFonts w:asciiTheme="majorHAnsi" w:hAnsiTheme="majorHAnsi" w:cs="Arial"/>
          <w:b/>
          <w:bCs/>
          <w:sz w:val="32"/>
          <w:szCs w:val="32"/>
        </w:rPr>
        <w:t>award of the</w:t>
      </w:r>
      <w:r w:rsidR="009820AD" w:rsidRPr="009820AD">
        <w:rPr>
          <w:rFonts w:asciiTheme="majorHAnsi" w:hAnsiTheme="majorHAnsi" w:cs="Arial"/>
          <w:b/>
          <w:bCs/>
          <w:sz w:val="32"/>
          <w:szCs w:val="32"/>
        </w:rPr>
        <w:t xml:space="preserve"> degree of </w:t>
      </w:r>
      <w:r w:rsidR="009820AD" w:rsidRPr="009820AD">
        <w:rPr>
          <w:rFonts w:ascii="Arial" w:hAnsi="Arial" w:cs="Arial"/>
          <w:b/>
          <w:bCs/>
          <w:sz w:val="32"/>
          <w:szCs w:val="32"/>
        </w:rPr>
        <w:t>Masters Ancient History</w:t>
      </w:r>
    </w:p>
    <w:p w14:paraId="5DFD9528" w14:textId="77777777" w:rsidR="002A629C" w:rsidRPr="00CE0C6B" w:rsidRDefault="002A629C" w:rsidP="002A629C">
      <w:pPr>
        <w:jc w:val="center"/>
        <w:rPr>
          <w:rFonts w:asciiTheme="majorHAnsi" w:hAnsiTheme="majorHAnsi" w:cs="Arial"/>
          <w:b/>
          <w:bCs/>
          <w:sz w:val="32"/>
          <w:szCs w:val="32"/>
        </w:rPr>
      </w:pPr>
    </w:p>
    <w:p w14:paraId="6F996F94" w14:textId="3B358C97" w:rsidR="002A629C" w:rsidRPr="00CE0C6B" w:rsidRDefault="002A629C" w:rsidP="002A629C">
      <w:pPr>
        <w:jc w:val="center"/>
        <w:rPr>
          <w:rFonts w:asciiTheme="majorHAnsi" w:hAnsiTheme="majorHAnsi" w:cs="Arial"/>
          <w:b/>
          <w:bCs/>
          <w:sz w:val="32"/>
          <w:szCs w:val="32"/>
        </w:rPr>
      </w:pPr>
      <w:r w:rsidRPr="00CE0C6B">
        <w:rPr>
          <w:rFonts w:asciiTheme="majorHAnsi" w:hAnsiTheme="majorHAnsi" w:cs="Arial"/>
          <w:b/>
          <w:bCs/>
          <w:sz w:val="32"/>
          <w:szCs w:val="32"/>
        </w:rPr>
        <w:t>University of Wales Trinity Saint David</w:t>
      </w:r>
    </w:p>
    <w:p w14:paraId="6C5A85D6" w14:textId="77777777" w:rsidR="002A629C" w:rsidRPr="00CE0C6B" w:rsidRDefault="002A629C" w:rsidP="002A629C">
      <w:pPr>
        <w:jc w:val="center"/>
        <w:rPr>
          <w:rFonts w:asciiTheme="majorHAnsi" w:hAnsiTheme="majorHAnsi" w:cs="Arial"/>
          <w:b/>
          <w:bCs/>
          <w:sz w:val="32"/>
          <w:szCs w:val="32"/>
        </w:rPr>
      </w:pPr>
    </w:p>
    <w:p w14:paraId="67CD535B" w14:textId="397BFA46" w:rsidR="002A629C" w:rsidRPr="00CE0C6B" w:rsidRDefault="002A629C" w:rsidP="002A629C">
      <w:pPr>
        <w:jc w:val="center"/>
        <w:rPr>
          <w:rFonts w:asciiTheme="majorHAnsi" w:hAnsiTheme="majorHAnsi" w:cs="Arial"/>
          <w:b/>
          <w:bCs/>
          <w:sz w:val="32"/>
          <w:szCs w:val="32"/>
        </w:rPr>
      </w:pPr>
      <w:r w:rsidRPr="00CE0C6B">
        <w:rPr>
          <w:rFonts w:asciiTheme="majorHAnsi" w:hAnsiTheme="majorHAnsi" w:cs="Arial"/>
          <w:b/>
          <w:bCs/>
          <w:sz w:val="32"/>
          <w:szCs w:val="32"/>
        </w:rPr>
        <w:t>202</w:t>
      </w:r>
      <w:r>
        <w:rPr>
          <w:rFonts w:asciiTheme="majorHAnsi" w:hAnsiTheme="majorHAnsi" w:cs="Arial"/>
          <w:b/>
          <w:bCs/>
          <w:sz w:val="32"/>
          <w:szCs w:val="32"/>
        </w:rPr>
        <w:t>5</w:t>
      </w:r>
    </w:p>
    <w:p w14:paraId="28C3BF46" w14:textId="2E465DEF" w:rsidR="008B43F4" w:rsidRDefault="008B43F4">
      <w:pPr>
        <w:rPr>
          <w:rFonts w:ascii="Raleway" w:hAnsi="Raleway"/>
          <w:sz w:val="30"/>
          <w:szCs w:val="30"/>
          <w:shd w:val="clear" w:color="auto" w:fill="FFFFFF"/>
        </w:rPr>
      </w:pPr>
      <w:r>
        <w:rPr>
          <w:rFonts w:ascii="Raleway" w:hAnsi="Raleway"/>
          <w:sz w:val="30"/>
          <w:szCs w:val="30"/>
          <w:shd w:val="clear" w:color="auto" w:fill="FFFFFF"/>
        </w:rPr>
        <w:br w:type="page"/>
      </w:r>
    </w:p>
    <w:p w14:paraId="650344AE" w14:textId="77777777" w:rsidR="00747381" w:rsidRPr="00951BBF" w:rsidRDefault="00747381" w:rsidP="00747381">
      <w:pPr>
        <w:spacing w:after="120"/>
        <w:ind w:left="720"/>
        <w:jc w:val="center"/>
        <w:rPr>
          <w:rFonts w:ascii="Arial" w:hAnsi="Arial" w:cs="Arial"/>
        </w:rPr>
      </w:pPr>
      <w:r>
        <w:rPr>
          <w:rFonts w:ascii="Arial" w:hAnsi="Arial" w:cs="Arial"/>
          <w:noProof/>
        </w:rPr>
        <w:lastRenderedPageBreak/>
        <w:drawing>
          <wp:inline distT="0" distB="0" distL="0" distR="0" wp14:anchorId="25C495AF" wp14:editId="0D5BC1E4">
            <wp:extent cx="2605177" cy="461869"/>
            <wp:effectExtent l="0" t="0" r="508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81513" cy="475403"/>
                    </a:xfrm>
                    <a:prstGeom prst="rect">
                      <a:avLst/>
                    </a:prstGeom>
                    <a:noFill/>
                    <a:ln>
                      <a:noFill/>
                    </a:ln>
                  </pic:spPr>
                </pic:pic>
              </a:graphicData>
            </a:graphic>
          </wp:inline>
        </w:drawing>
      </w:r>
    </w:p>
    <w:p w14:paraId="496EC3AB" w14:textId="77777777" w:rsidR="00747381" w:rsidRPr="00951BBF" w:rsidRDefault="00747381" w:rsidP="00747381">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395545A6" w14:textId="77777777" w:rsidR="00747381" w:rsidRPr="00951BBF" w:rsidRDefault="00747381" w:rsidP="00747381">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175DB292" w14:textId="77777777" w:rsidR="00747381" w:rsidRPr="00951BBF" w:rsidRDefault="00747381" w:rsidP="0074738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00984689" w14:textId="77873341" w:rsidR="00747381" w:rsidRPr="00951BBF" w:rsidRDefault="00747381" w:rsidP="0074738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Anna Matthews</w:t>
      </w:r>
      <w:r w:rsidRPr="00951BBF">
        <w:rPr>
          <w:rFonts w:ascii="Arial" w:hAnsi="Arial" w:cs="Arial"/>
        </w:rPr>
        <w:t>…………………………...</w:t>
      </w:r>
    </w:p>
    <w:p w14:paraId="6CD6B1C9" w14:textId="4EA17F31" w:rsidR="00747381" w:rsidRPr="00951BBF" w:rsidRDefault="00747381" w:rsidP="0074738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Pr>
          <w:rFonts w:ascii="Arial" w:hAnsi="Arial" w:cs="Arial"/>
        </w:rPr>
        <w:t>30/</w:t>
      </w:r>
      <w:r w:rsidR="000F4A1E">
        <w:rPr>
          <w:rFonts w:ascii="Arial" w:hAnsi="Arial" w:cs="Arial"/>
        </w:rPr>
        <w:t>09/2025</w:t>
      </w:r>
      <w:r w:rsidRPr="00951BBF">
        <w:rPr>
          <w:rFonts w:ascii="Arial" w:hAnsi="Arial" w:cs="Arial"/>
        </w:rPr>
        <w:t>…………...</w:t>
      </w:r>
    </w:p>
    <w:p w14:paraId="036F58D2" w14:textId="77777777" w:rsidR="00747381" w:rsidRPr="00951BBF" w:rsidRDefault="00747381" w:rsidP="0074738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61AF2569" w14:textId="2C1EA689" w:rsidR="00747381" w:rsidRPr="00951BBF" w:rsidRDefault="00747381" w:rsidP="0074738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2. This dissertation is being submitted in partial fulfilment of the requirements for the degree of ……………</w:t>
      </w:r>
      <w:r w:rsidR="009820AD">
        <w:rPr>
          <w:rFonts w:ascii="Arial" w:hAnsi="Arial" w:cs="Arial"/>
        </w:rPr>
        <w:t>Masters Ancient History</w:t>
      </w:r>
      <w:r w:rsidRPr="00951BBF">
        <w:rPr>
          <w:rFonts w:ascii="Arial" w:hAnsi="Arial" w:cs="Arial"/>
        </w:rPr>
        <w:t>………………..................................</w:t>
      </w:r>
    </w:p>
    <w:p w14:paraId="173B2508" w14:textId="40C6776E" w:rsidR="00747381" w:rsidRPr="00951BBF" w:rsidRDefault="00747381" w:rsidP="0074738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 …………</w:t>
      </w:r>
      <w:r w:rsidR="000F4A1E">
        <w:rPr>
          <w:rFonts w:ascii="Arial" w:hAnsi="Arial" w:cs="Arial"/>
        </w:rPr>
        <w:t xml:space="preserve">Anna Matthews </w:t>
      </w:r>
      <w:r w:rsidRPr="00951BBF">
        <w:rPr>
          <w:rFonts w:ascii="Arial" w:hAnsi="Arial" w:cs="Arial"/>
        </w:rPr>
        <w:t>………………….</w:t>
      </w:r>
    </w:p>
    <w:p w14:paraId="53086F5C" w14:textId="265D21A0" w:rsidR="00747381" w:rsidRPr="00951BBF" w:rsidRDefault="00747381" w:rsidP="0074738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sidR="000F4A1E">
        <w:rPr>
          <w:rFonts w:ascii="Arial" w:hAnsi="Arial" w:cs="Arial"/>
        </w:rPr>
        <w:t>30-09-2025</w:t>
      </w:r>
      <w:r w:rsidRPr="00951BBF">
        <w:rPr>
          <w:rFonts w:ascii="Arial" w:hAnsi="Arial" w:cs="Arial"/>
        </w:rPr>
        <w:t>……………………..…………...</w:t>
      </w:r>
    </w:p>
    <w:p w14:paraId="05A4F2E5" w14:textId="77777777" w:rsidR="00747381" w:rsidRPr="00951BBF" w:rsidRDefault="00747381" w:rsidP="0074738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2406DFD5" w14:textId="77777777" w:rsidR="00747381" w:rsidRPr="00951BBF" w:rsidRDefault="00747381" w:rsidP="0074738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36C5C166" w14:textId="77777777" w:rsidR="00747381" w:rsidRPr="00951BBF" w:rsidRDefault="00747381" w:rsidP="0074738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5B9949C8" w14:textId="77777777" w:rsidR="00747381" w:rsidRPr="00951BBF" w:rsidRDefault="00747381" w:rsidP="0074738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22B074CB" w14:textId="4042909B" w:rsidR="00747381" w:rsidRPr="00951BBF" w:rsidRDefault="00747381" w:rsidP="0074738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0F4A1E">
        <w:rPr>
          <w:rFonts w:ascii="Arial" w:hAnsi="Arial" w:cs="Arial"/>
        </w:rPr>
        <w:t>Anna Matthews</w:t>
      </w:r>
      <w:r w:rsidRPr="00951BBF">
        <w:rPr>
          <w:rFonts w:ascii="Arial" w:hAnsi="Arial" w:cs="Arial"/>
        </w:rPr>
        <w:t>………….……………….</w:t>
      </w:r>
    </w:p>
    <w:p w14:paraId="667D623D" w14:textId="5BFC865C" w:rsidR="00747381" w:rsidRPr="00951BBF" w:rsidRDefault="00747381" w:rsidP="0074738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sidR="000F4A1E">
        <w:rPr>
          <w:rFonts w:ascii="Arial" w:hAnsi="Arial" w:cs="Arial"/>
        </w:rPr>
        <w:t>30/09/2025</w:t>
      </w:r>
      <w:r w:rsidRPr="00951BBF">
        <w:rPr>
          <w:rFonts w:ascii="Arial" w:hAnsi="Arial" w:cs="Arial"/>
        </w:rPr>
        <w:t>……………………….</w:t>
      </w:r>
    </w:p>
    <w:p w14:paraId="732EBDD6" w14:textId="77777777" w:rsidR="00747381" w:rsidRPr="00951BBF" w:rsidRDefault="00747381" w:rsidP="0074738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6335A85C" w14:textId="77777777" w:rsidR="00747381" w:rsidRPr="00951BBF" w:rsidRDefault="00747381" w:rsidP="0074738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1C88C7BC" w14:textId="3BBF501F" w:rsidR="00747381" w:rsidRPr="00951BBF" w:rsidRDefault="00747381" w:rsidP="0074738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6C432B">
        <w:rPr>
          <w:rFonts w:ascii="Arial" w:hAnsi="Arial" w:cs="Arial"/>
        </w:rPr>
        <w:t>Anna Matthews</w:t>
      </w:r>
      <w:r w:rsidRPr="00951BBF">
        <w:rPr>
          <w:rFonts w:ascii="Arial" w:hAnsi="Arial" w:cs="Arial"/>
        </w:rPr>
        <w:t>……………………….</w:t>
      </w:r>
    </w:p>
    <w:p w14:paraId="466349DE" w14:textId="33562A01" w:rsidR="00747381" w:rsidRPr="00951BBF" w:rsidRDefault="00747381" w:rsidP="0074738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sidR="006C432B">
        <w:rPr>
          <w:rFonts w:ascii="Arial" w:hAnsi="Arial" w:cs="Arial"/>
        </w:rPr>
        <w:t>30/09/2025</w:t>
      </w:r>
      <w:r w:rsidRPr="00951BBF">
        <w:rPr>
          <w:rFonts w:ascii="Arial" w:hAnsi="Arial" w:cs="Arial"/>
        </w:rPr>
        <w:t>…………………………..</w:t>
      </w:r>
    </w:p>
    <w:p w14:paraId="6A15A9EE" w14:textId="77777777" w:rsidR="00747381" w:rsidRPr="00951BBF" w:rsidRDefault="00747381" w:rsidP="0074738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5C24F8F5" w14:textId="77777777" w:rsidR="00747381" w:rsidRPr="00951BBF" w:rsidRDefault="00747381" w:rsidP="0074738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116FC59E" w14:textId="77777777" w:rsidR="00747381" w:rsidRPr="00951BBF" w:rsidRDefault="00747381" w:rsidP="0074738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07FD067C" w14:textId="77777777" w:rsidR="00747381" w:rsidRDefault="00747381" w:rsidP="00747381">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
    <w:p w14:paraId="204F4862" w14:textId="77777777" w:rsidR="00D17DAE" w:rsidRPr="00CE0C6B" w:rsidRDefault="00D17DAE" w:rsidP="00D17DAE">
      <w:pPr>
        <w:pStyle w:val="Heading1"/>
        <w:jc w:val="center"/>
      </w:pPr>
      <w:r w:rsidRPr="00CE0C6B">
        <w:lastRenderedPageBreak/>
        <w:t>Acknowledgements:</w:t>
      </w:r>
    </w:p>
    <w:p w14:paraId="10EE6C7C" w14:textId="2B19D8AE" w:rsidR="00747381" w:rsidRDefault="00D17DAE" w:rsidP="00282357">
      <w:pPr>
        <w:jc w:val="center"/>
      </w:pPr>
      <w:r>
        <w:t xml:space="preserve">Thank you so much to my dissertation supervisor Matt, who has </w:t>
      </w:r>
      <w:r w:rsidR="00013406">
        <w:t>been very generous with his feedback and I have greatly benefited from being your student.</w:t>
      </w:r>
    </w:p>
    <w:p w14:paraId="4E3B4DE9" w14:textId="77777777" w:rsidR="00013406" w:rsidRDefault="00013406" w:rsidP="00282357">
      <w:pPr>
        <w:jc w:val="center"/>
      </w:pPr>
    </w:p>
    <w:p w14:paraId="3995743F" w14:textId="777CE2F3" w:rsidR="00013406" w:rsidRDefault="00013406" w:rsidP="00282357">
      <w:pPr>
        <w:jc w:val="center"/>
      </w:pPr>
      <w:r>
        <w:t>Thank you also to my learning support tutor Julie</w:t>
      </w:r>
      <w:r w:rsidR="00282357">
        <w:t>, I could not have made it this far without your support and guidance.</w:t>
      </w:r>
    </w:p>
    <w:p w14:paraId="52FC710A" w14:textId="77777777" w:rsidR="00A31434" w:rsidRPr="007E220D" w:rsidRDefault="008B43F4" w:rsidP="00A31434">
      <w:pPr>
        <w:pStyle w:val="Heading1"/>
        <w:rPr>
          <w:color w:val="auto"/>
          <w:shd w:val="clear" w:color="auto" w:fill="FFFFFF"/>
        </w:rPr>
      </w:pPr>
      <w:r>
        <w:rPr>
          <w:rFonts w:ascii="Raleway" w:hAnsi="Raleway"/>
          <w:sz w:val="30"/>
          <w:szCs w:val="30"/>
          <w:shd w:val="clear" w:color="auto" w:fill="FFFFFF"/>
        </w:rPr>
        <w:br w:type="page"/>
      </w:r>
      <w:r w:rsidR="00A31434" w:rsidRPr="007E220D">
        <w:rPr>
          <w:color w:val="auto"/>
          <w:shd w:val="clear" w:color="auto" w:fill="FFFFFF"/>
        </w:rPr>
        <w:lastRenderedPageBreak/>
        <w:t>Abstract</w:t>
      </w:r>
    </w:p>
    <w:p w14:paraId="398962F3" w14:textId="77777777" w:rsidR="00A31434" w:rsidRDefault="00A31434" w:rsidP="00A31434">
      <w:r>
        <w:t>Monsters are creatures that are widely known yet are always hiding; whether it is the child’s imaginary monster under their bed, the serial killer lurking in the alleys or the classical monster living far away from civilisation that heroes are tasked to hunt. But what makes a monster? Within this dissertation, which focuses on four main case studies, monsters are transformed humans that have been othered by society, whether for their actions, appearance or morality. But not every case study is completely a monster: the boundaries of monstrosity are more related to morality and actions rather than appearance, and so creatures like witchers, modern werewolves and the feministic reinterpretation of Medusa can be seen as characters with monstrous qualities (a monstrous appearance) but their morality redeems the monstrosity. On the other hand, Lycaon’s morality deems him a monster before his appearance is doomed to match. Then there are creatures who suffer from both monstrous morality and appearance, like the ancient Medusa and most antagonistic necromancers. Alternatively, there are some protagonist necromancers who are declared monsters in the form of quickly acquiring great power to be able to defend themselves, and eventually the whole of humanity.</w:t>
      </w:r>
    </w:p>
    <w:p w14:paraId="66A5E7B5" w14:textId="77777777" w:rsidR="00A31434" w:rsidRPr="00A21867" w:rsidRDefault="00A31434" w:rsidP="00A31434">
      <w:pPr>
        <w:ind w:firstLine="720"/>
      </w:pPr>
      <w:r>
        <w:t>This dissertation therefore aims to explore monsters from periods of Classical Antiquity (Ancient Greece and Rome) and modern media representations to compare and contrast how they were viewed. The terms of monster, monstrous and monstrosity will be defined, as</w:t>
      </w:r>
      <w:r w:rsidRPr="00F16A95">
        <w:t xml:space="preserve"> </w:t>
      </w:r>
      <w:r>
        <w:t>one cannot simply class a creature as a monster without delving thoroughly into its creation and the monstrous qualities it possesses or lacks. It concludes that the necessary qualities the monsters must possess are an absence of humanity and morality, with a history of transgressions and evil actions. A monstrous appearance is secondary to all that but is still viewed as a quality which can help determine what makes a monster, while exploring the boundaries of monstrosity.</w:t>
      </w:r>
    </w:p>
    <w:p w14:paraId="5C8E6CC5" w14:textId="05B6E605" w:rsidR="008B43F4" w:rsidRDefault="008B43F4">
      <w:pPr>
        <w:rPr>
          <w:rFonts w:ascii="Raleway" w:hAnsi="Raleway"/>
          <w:sz w:val="30"/>
          <w:szCs w:val="30"/>
          <w:shd w:val="clear" w:color="auto" w:fill="FFFFFF"/>
        </w:rPr>
      </w:pPr>
    </w:p>
    <w:p w14:paraId="2999D169" w14:textId="77777777" w:rsidR="008B5C30" w:rsidRDefault="008B5C30" w:rsidP="00C93FE7">
      <w:pPr>
        <w:spacing w:line="360" w:lineRule="auto"/>
        <w:rPr>
          <w:rFonts w:ascii="Raleway" w:hAnsi="Raleway"/>
          <w:sz w:val="30"/>
          <w:szCs w:val="30"/>
          <w:shd w:val="clear" w:color="auto" w:fill="FFFFFF"/>
        </w:rPr>
      </w:pPr>
    </w:p>
    <w:p w14:paraId="788D9E3E" w14:textId="77777777" w:rsidR="008B5C30" w:rsidRDefault="008B5C30" w:rsidP="00C93FE7">
      <w:pPr>
        <w:rPr>
          <w:rFonts w:ascii="Raleway" w:hAnsi="Raleway"/>
          <w:sz w:val="30"/>
          <w:szCs w:val="30"/>
          <w:shd w:val="clear" w:color="auto" w:fill="FFFFFF"/>
        </w:rPr>
      </w:pPr>
      <w:r>
        <w:rPr>
          <w:rFonts w:ascii="Raleway" w:hAnsi="Raleway"/>
          <w:sz w:val="30"/>
          <w:szCs w:val="30"/>
          <w:shd w:val="clear" w:color="auto" w:fill="FFFFFF"/>
        </w:rPr>
        <w:br w:type="page"/>
      </w:r>
    </w:p>
    <w:p w14:paraId="6BFCAB1B" w14:textId="77777777" w:rsidR="008B5C30" w:rsidRPr="00D607D6" w:rsidRDefault="008B5C30" w:rsidP="00C93FE7">
      <w:pPr>
        <w:pStyle w:val="Heading1"/>
        <w:rPr>
          <w:color w:val="auto"/>
          <w:shd w:val="clear" w:color="auto" w:fill="FFFFFF"/>
        </w:rPr>
      </w:pPr>
      <w:r w:rsidRPr="00D607D6">
        <w:rPr>
          <w:color w:val="auto"/>
          <w:shd w:val="clear" w:color="auto" w:fill="FFFFFF"/>
        </w:rPr>
        <w:lastRenderedPageBreak/>
        <w:t>Contents</w:t>
      </w:r>
    </w:p>
    <w:p w14:paraId="573D0AF1" w14:textId="77777777" w:rsidR="008B5C30" w:rsidRDefault="008B5C30" w:rsidP="00C93FE7">
      <w:pPr>
        <w:rPr>
          <w:rFonts w:ascii="Raleway" w:hAnsi="Raleway"/>
          <w:sz w:val="30"/>
          <w:szCs w:val="30"/>
          <w:shd w:val="clear" w:color="auto" w:fill="FFFFFF"/>
        </w:rPr>
      </w:pPr>
      <w:r>
        <w:rPr>
          <w:rFonts w:ascii="Raleway" w:hAnsi="Raleway"/>
          <w:sz w:val="30"/>
          <w:szCs w:val="30"/>
          <w:shd w:val="clear" w:color="auto" w:fill="FFFFFF"/>
        </w:rPr>
        <w:br w:type="page"/>
      </w:r>
    </w:p>
    <w:p w14:paraId="5622BDC4" w14:textId="54ACADD2" w:rsidR="008B5C30" w:rsidRPr="00F8171E" w:rsidRDefault="008B5C30" w:rsidP="006C432B">
      <w:pPr>
        <w:rPr>
          <w:rFonts w:ascii="Raleway" w:hAnsi="Raleway"/>
          <w:sz w:val="30"/>
          <w:szCs w:val="30"/>
          <w:shd w:val="clear" w:color="auto" w:fill="FFFFFF"/>
        </w:rPr>
      </w:pPr>
      <w:r w:rsidRPr="00F8171E">
        <w:rPr>
          <w:rFonts w:ascii="Raleway" w:hAnsi="Raleway"/>
          <w:sz w:val="30"/>
          <w:szCs w:val="30"/>
          <w:shd w:val="clear" w:color="auto" w:fill="FFFFFF"/>
        </w:rPr>
        <w:lastRenderedPageBreak/>
        <w:t>“Monsters are more than just horrid looks and claws and teeth. Monsters are born of deeds done. Unforgivable ones.”</w:t>
      </w:r>
      <w:r w:rsidRPr="00F8171E">
        <w:rPr>
          <w:rStyle w:val="FootnoteReference"/>
          <w:rFonts w:ascii="Raleway" w:hAnsi="Raleway"/>
          <w:sz w:val="30"/>
          <w:szCs w:val="30"/>
          <w:shd w:val="clear" w:color="auto" w:fill="FFFFFF"/>
        </w:rPr>
        <w:footnoteReference w:id="1"/>
      </w:r>
    </w:p>
    <w:p w14:paraId="0DD6DF6C" w14:textId="77777777" w:rsidR="008B5C30" w:rsidRPr="0045572A" w:rsidRDefault="008B5C30" w:rsidP="00C93FE7">
      <w:pPr>
        <w:pStyle w:val="Heading1"/>
        <w:rPr>
          <w:color w:val="auto"/>
        </w:rPr>
      </w:pPr>
      <w:bookmarkStart w:id="0" w:name="_Toc209167273"/>
      <w:r w:rsidRPr="0045572A">
        <w:rPr>
          <w:color w:val="auto"/>
        </w:rPr>
        <w:t>Introduction</w:t>
      </w:r>
      <w:bookmarkEnd w:id="0"/>
    </w:p>
    <w:p w14:paraId="0745F633" w14:textId="77777777" w:rsidR="008B5C30" w:rsidRPr="00F8171E" w:rsidRDefault="008B5C30" w:rsidP="00C93FE7">
      <w:pPr>
        <w:spacing w:line="360" w:lineRule="auto"/>
      </w:pPr>
      <w:r w:rsidRPr="00F8171E">
        <w:t xml:space="preserve">Monsters have appeared in numerous forms throughout history. But what exactly makes a monster? Physical hybridity? Gruesome looks? Deviance from what is considered the norm? Or morality? Is a human serial killer or child rapist considered more monstrous than a hybrid creature that creates plagues or spits fire? And is one a monster just because they have monstrous qualities? It is these questions that are at the forefront of this dissertation into exploring the boundaries of monstrosity to find out what exactly makes a monster. </w:t>
      </w:r>
    </w:p>
    <w:p w14:paraId="2202AC57" w14:textId="77777777" w:rsidR="008B5C30" w:rsidRPr="00F8171E" w:rsidRDefault="008B5C30" w:rsidP="00C93FE7">
      <w:pPr>
        <w:spacing w:line="360" w:lineRule="auto"/>
        <w:ind w:firstLine="720"/>
      </w:pPr>
      <w:r>
        <w:t>The</w:t>
      </w:r>
      <w:r w:rsidRPr="00F8171E">
        <w:t xml:space="preserve"> aims and objectives </w:t>
      </w:r>
      <w:r>
        <w:t>of</w:t>
      </w:r>
      <w:r w:rsidRPr="00F8171E">
        <w:t xml:space="preserve"> this dissertation</w:t>
      </w:r>
      <w:r>
        <w:t xml:space="preserve"> are:</w:t>
      </w:r>
      <w:r w:rsidRPr="00F8171E">
        <w:t xml:space="preserve"> to define the terms of monster, monstrous and monstrosity</w:t>
      </w:r>
      <w:r>
        <w:t>,</w:t>
      </w:r>
      <w:r w:rsidRPr="00F8171E">
        <w:t xml:space="preserve"> to examine whether monsters are monstrous because of their looks or actions</w:t>
      </w:r>
      <w:r>
        <w:t>,</w:t>
      </w:r>
      <w:r w:rsidRPr="00F8171E">
        <w:t xml:space="preserve"> and to determine how attitudes and depictions of monstrosity have changed between cultures from the classical period (namely Ancient Greece and Ancient Rome) and today, comparing the two eras and largely disregarding everything in-between as it would be too large a scope</w:t>
      </w:r>
      <w:r>
        <w:t xml:space="preserve"> otherwise. The focus on Ancient Greece and Rome ensures the relevant primary literature sources can be used for the specific case studies. Meanwhile, the focus on today (the 21</w:t>
      </w:r>
      <w:r w:rsidRPr="00FE133E">
        <w:rPr>
          <w:vertAlign w:val="superscript"/>
        </w:rPr>
        <w:t>st</w:t>
      </w:r>
      <w:r>
        <w:t xml:space="preserve"> Century) means the reception of those ancient monsters can be viewed both through the ancient literature and modern scholarship, as well as through modern media representations.</w:t>
      </w:r>
    </w:p>
    <w:p w14:paraId="5B9A46B8" w14:textId="77777777" w:rsidR="008B5C30" w:rsidRPr="00F8171E" w:rsidRDefault="008B5C30" w:rsidP="00C93FE7">
      <w:pPr>
        <w:spacing w:line="360" w:lineRule="auto"/>
        <w:ind w:firstLine="720"/>
      </w:pPr>
      <w:r w:rsidRPr="00F8171E">
        <w:t xml:space="preserve">To deliberate the aims of this essay, a range of ancient and modern mediums will be discussed, from </w:t>
      </w:r>
      <w:r>
        <w:t>classical</w:t>
      </w:r>
      <w:r w:rsidRPr="00F8171E">
        <w:t xml:space="preserve"> </w:t>
      </w:r>
      <w:r>
        <w:t xml:space="preserve">and contemporary </w:t>
      </w:r>
      <w:r w:rsidRPr="00F8171E">
        <w:t xml:space="preserve">scholars </w:t>
      </w:r>
      <w:r>
        <w:t xml:space="preserve">to </w:t>
      </w:r>
      <w:r w:rsidRPr="00F8171E">
        <w:t>games, films and TV shows</w:t>
      </w:r>
      <w:r>
        <w:t>. A</w:t>
      </w:r>
      <w:r w:rsidRPr="00F8171E">
        <w:t xml:space="preserve"> very varied range of sources</w:t>
      </w:r>
      <w:r>
        <w:t xml:space="preserve"> </w:t>
      </w:r>
      <w:r w:rsidRPr="00F8171E">
        <w:t xml:space="preserve">will help to compare and contrast Ancient Graeco-Roman ideas of monstrosity to those of today through reception of ancient and modern literature, games and </w:t>
      </w:r>
      <w:r>
        <w:t>visual media</w:t>
      </w:r>
      <w:r w:rsidRPr="00F8171E">
        <w:t>, as well as identifying what exactly made something monstrou</w:t>
      </w:r>
      <w:r>
        <w:t>s</w:t>
      </w:r>
      <w:r w:rsidRPr="00F8171E">
        <w:t xml:space="preserve">. The sources will also encourage the discussion of whether the case studies are truly monstrous or simply have some monstrous elements. In order to do this effectively, exploring the definitions of monstrosity will be crucial. A definition for </w:t>
      </w:r>
      <w:r w:rsidRPr="00F8171E">
        <w:lastRenderedPageBreak/>
        <w:t xml:space="preserve">monstrosity and criteria for what makes a monster will be created and carefully considered, and will be discussed </w:t>
      </w:r>
      <w:r>
        <w:t>in the ‘Definitions’ section</w:t>
      </w:r>
      <w:r w:rsidRPr="00F8171E">
        <w:t>.</w:t>
      </w:r>
    </w:p>
    <w:p w14:paraId="4897D4C3" w14:textId="77777777" w:rsidR="008B5C30" w:rsidRPr="00F8171E" w:rsidRDefault="008B5C30" w:rsidP="00C93FE7">
      <w:pPr>
        <w:spacing w:line="360" w:lineRule="auto"/>
        <w:ind w:firstLine="720"/>
      </w:pPr>
      <w:r w:rsidRPr="00F8171E">
        <w:t xml:space="preserve">There are four main case studies focused upon, all which share the similitude of metamorphosis, specifically, a human becoming less human in some way, whether physically or morally. This does not mean that hybrids or monsters are “less than human”, just that, for example, human legs becoming a snake tail means the body is less physically human than it was before. The main case studies of this dissertation are Medusa, werewolves, and necromancers. There will be a fourth case study looking at witchers, magically mutated (generally male) humans who hunt other monsters, not to be confused with witches (magical women often associated with evil). </w:t>
      </w:r>
    </w:p>
    <w:p w14:paraId="03CA2778" w14:textId="77777777" w:rsidR="008B5C30" w:rsidRPr="00F8171E" w:rsidRDefault="008B5C30" w:rsidP="00C93FE7">
      <w:pPr>
        <w:spacing w:line="360" w:lineRule="auto"/>
        <w:ind w:firstLine="720"/>
      </w:pPr>
      <w:r w:rsidRPr="00F8171E">
        <w:t xml:space="preserve">Why have these case studies been chosen? In order to avoid an endless amount of potential monsters being </w:t>
      </w:r>
      <w:r>
        <w:t>discussed</w:t>
      </w:r>
      <w:r w:rsidRPr="00F8171E">
        <w:t xml:space="preserve">, there had to be a boundary of which type of monsters should be </w:t>
      </w:r>
      <w:r>
        <w:t>consider</w:t>
      </w:r>
      <w:r w:rsidRPr="00F8171E">
        <w:t xml:space="preserve">ed. The case studies chosen all retain the common feature of once </w:t>
      </w:r>
      <w:r>
        <w:t>having been</w:t>
      </w:r>
      <w:r w:rsidRPr="00F8171E">
        <w:t xml:space="preserve"> human and being changed to become less human, though the reasons for their change, and the extent of their changes, differ. All the case studies also have moments where they can be considered monstrous, while also having </w:t>
      </w:r>
      <w:r>
        <w:t>instances</w:t>
      </w:r>
      <w:r w:rsidRPr="00F8171E">
        <w:t xml:space="preserve"> where they are considered </w:t>
      </w:r>
      <w:r w:rsidRPr="00F8171E">
        <w:rPr>
          <w:i/>
          <w:iCs/>
        </w:rPr>
        <w:t>not</w:t>
      </w:r>
      <w:r w:rsidRPr="00F8171E">
        <w:t xml:space="preserve"> monstrous. These case studies are prevalent in both ancient literature and modern media, with the exception of witchers who only appear in modern media. </w:t>
      </w:r>
    </w:p>
    <w:p w14:paraId="7D58C5E9" w14:textId="7CC78611" w:rsidR="008B5C30" w:rsidRPr="00F8171E" w:rsidRDefault="008B5C30" w:rsidP="00C93FE7">
      <w:pPr>
        <w:spacing w:line="360" w:lineRule="auto"/>
        <w:ind w:firstLine="720"/>
      </w:pPr>
      <w:r w:rsidRPr="00F8171E">
        <w:t xml:space="preserve">Medusa has been </w:t>
      </w:r>
      <w:r>
        <w:t>described as</w:t>
      </w:r>
      <w:r w:rsidRPr="00F8171E">
        <w:t xml:space="preserve"> </w:t>
      </w:r>
      <w:r>
        <w:t xml:space="preserve">either </w:t>
      </w:r>
      <w:r w:rsidRPr="00F8171E">
        <w:t>born as a gorgon</w:t>
      </w:r>
      <w:r>
        <w:t>,</w:t>
      </w:r>
      <w:r w:rsidRPr="00F8171E">
        <w:t xml:space="preserve"> </w:t>
      </w:r>
      <w:r>
        <w:t>or</w:t>
      </w:r>
      <w:r w:rsidRPr="00F8171E">
        <w:t xml:space="preserve"> transformed into one by Athen</w:t>
      </w:r>
      <w:r>
        <w:t>a, who witnessed</w:t>
      </w:r>
      <w:r w:rsidRPr="00F8171E">
        <w:t xml:space="preserve"> Medusa </w:t>
      </w:r>
      <w:r>
        <w:t xml:space="preserve">being </w:t>
      </w:r>
      <w:r w:rsidRPr="00F8171E">
        <w:t xml:space="preserve">raped by Poseidon in </w:t>
      </w:r>
      <w:r>
        <w:t>her own</w:t>
      </w:r>
      <w:r w:rsidRPr="00F8171E">
        <w:t xml:space="preserve"> temple.</w:t>
      </w:r>
      <w:r w:rsidRPr="00F8171E">
        <w:rPr>
          <w:rStyle w:val="FootnoteReference"/>
        </w:rPr>
        <w:footnoteReference w:id="2"/>
      </w:r>
      <w:r w:rsidRPr="00F8171E">
        <w:t xml:space="preserve"> </w:t>
      </w:r>
      <w:r>
        <w:t>In Ovid’s text, Medusa</w:t>
      </w:r>
      <w:r w:rsidRPr="00F8171E">
        <w:t xml:space="preserve"> was originally viewed as being punished by Athena, and was classed as a dangerous monster for a hero to overcome.</w:t>
      </w:r>
      <w:r>
        <w:rPr>
          <w:rStyle w:val="FootnoteReference"/>
        </w:rPr>
        <w:footnoteReference w:id="3"/>
      </w:r>
      <w:r w:rsidRPr="00F8171E">
        <w:t xml:space="preserve"> </w:t>
      </w:r>
      <w:r>
        <w:t>Nowadays,</w:t>
      </w:r>
      <w:r w:rsidRPr="00F8171E">
        <w:t xml:space="preserve"> feminist readings portray her either as a victim, or as being empowered by Athena to protect herself from similar situations. Thus, Medusa is a perfect case study for determining what makes a monster and for exploring the boundaries of monstrosity over time. </w:t>
      </w:r>
    </w:p>
    <w:p w14:paraId="51AD7900" w14:textId="77777777" w:rsidR="008B5C30" w:rsidRPr="00F8171E" w:rsidRDefault="008B5C30" w:rsidP="00C93FE7">
      <w:pPr>
        <w:spacing w:line="360" w:lineRule="auto"/>
        <w:ind w:firstLine="720"/>
      </w:pPr>
      <w:r w:rsidRPr="00F8171E">
        <w:t xml:space="preserve">Likewise, werewolves are </w:t>
      </w:r>
      <w:r>
        <w:t>another great example</w:t>
      </w:r>
      <w:r w:rsidRPr="00F8171E">
        <w:t xml:space="preserve"> to explore the boundaries of monstrosity. This is due to the difference in attitudes towards the original werewolf </w:t>
      </w:r>
      <w:r w:rsidRPr="00F8171E">
        <w:lastRenderedPageBreak/>
        <w:t xml:space="preserve">(Lycaon), who had another human killed and </w:t>
      </w:r>
      <w:r>
        <w:t>masqueraded</w:t>
      </w:r>
      <w:r w:rsidRPr="00F8171E">
        <w:t xml:space="preserve"> as food to test if </w:t>
      </w:r>
      <w:r>
        <w:t xml:space="preserve">the disguised </w:t>
      </w:r>
      <w:r w:rsidRPr="00F8171E">
        <w:t>Zeus was a god,</w:t>
      </w:r>
      <w:r w:rsidRPr="00F8171E">
        <w:rPr>
          <w:rStyle w:val="FootnoteReference"/>
        </w:rPr>
        <w:footnoteReference w:id="4"/>
      </w:r>
      <w:r w:rsidRPr="00F8171E">
        <w:t xml:space="preserve"> and the romanticised werewolves of today. Therefore</w:t>
      </w:r>
      <w:r>
        <w:t>,</w:t>
      </w:r>
      <w:r w:rsidRPr="00F8171E">
        <w:t xml:space="preserve"> </w:t>
      </w:r>
      <w:r>
        <w:t xml:space="preserve">over time </w:t>
      </w:r>
      <w:r w:rsidRPr="00F8171E">
        <w:t>werewolves have been seen as both monstrous and not monstrous</w:t>
      </w:r>
      <w:r>
        <w:t>,</w:t>
      </w:r>
      <w:r w:rsidRPr="00F8171E">
        <w:t xml:space="preserve"> and can help further the discussion of what makes a monster.</w:t>
      </w:r>
    </w:p>
    <w:p w14:paraId="0707CA7F" w14:textId="77777777" w:rsidR="008B5C30" w:rsidRPr="00F8171E" w:rsidRDefault="008B5C30" w:rsidP="00C93FE7">
      <w:pPr>
        <w:spacing w:line="360" w:lineRule="auto"/>
        <w:ind w:firstLine="720"/>
      </w:pPr>
      <w:r w:rsidRPr="00F8171E">
        <w:t xml:space="preserve">Necromancers in ancient times were religious figures serving Hades and Persephone, who would perform rituals to </w:t>
      </w:r>
      <w:r>
        <w:t>communicate with spirits</w:t>
      </w:r>
      <w:r w:rsidRPr="00F8171E">
        <w:t xml:space="preserve"> </w:t>
      </w:r>
      <w:r>
        <w:t>to</w:t>
      </w:r>
      <w:r w:rsidRPr="00F8171E">
        <w:t xml:space="preserve"> gain knowledge.</w:t>
      </w:r>
      <w:r w:rsidRPr="00F8171E">
        <w:rPr>
          <w:rStyle w:val="FootnoteReference"/>
        </w:rPr>
        <w:footnoteReference w:id="5"/>
      </w:r>
      <w:r w:rsidRPr="00F8171E">
        <w:t xml:space="preserve"> Nowadays, necromancers are purely fantasy creatures, and can be viewed positively and negatively in modern media, depending on whether the character is supposed to be a protagonist or antagonist, and </w:t>
      </w:r>
      <w:r>
        <w:t>whether</w:t>
      </w:r>
      <w:r w:rsidRPr="00F8171E">
        <w:t xml:space="preserve"> they are human or undead. Thus, necromancers can also further the discussion of </w:t>
      </w:r>
      <w:r>
        <w:t xml:space="preserve">the </w:t>
      </w:r>
      <w:r w:rsidRPr="00F8171E">
        <w:t>boundaries of monstrosity over time, as well as defining what makes a monster.</w:t>
      </w:r>
    </w:p>
    <w:p w14:paraId="50F02747" w14:textId="77777777" w:rsidR="008B5C30" w:rsidRPr="00F8171E" w:rsidRDefault="008B5C30" w:rsidP="00C93FE7">
      <w:pPr>
        <w:spacing w:line="360" w:lineRule="auto"/>
        <w:ind w:firstLine="720"/>
      </w:pPr>
      <w:r w:rsidRPr="00F8171E">
        <w:t>The witchers, on the other hand, are far more modern than the rest of the case studies as they did not originate in the classical</w:t>
      </w:r>
      <w:r>
        <w:t xml:space="preserve"> period</w:t>
      </w:r>
      <w:r w:rsidRPr="00F8171E">
        <w:t xml:space="preserve">, or at least not in the cultures of </w:t>
      </w:r>
      <w:r>
        <w:t>Ancient</w:t>
      </w:r>
      <w:r w:rsidRPr="00F8171E">
        <w:t xml:space="preserve"> Greece and Rome. This means that they are being used as a control variable in comparison to the rest of the case studies, to see if classical “monsters” are treated differently today compared to more modern “monsters”. Witchers, like werewolves, are romanticised</w:t>
      </w:r>
      <w:r>
        <w:t>,</w:t>
      </w:r>
      <w:r w:rsidRPr="00F8171E">
        <w:t xml:space="preserve"> </w:t>
      </w:r>
      <w:r>
        <w:t>due to</w:t>
      </w:r>
      <w:r w:rsidRPr="00F8171E">
        <w:t xml:space="preserve"> the debut of ‘</w:t>
      </w:r>
      <w:r w:rsidRPr="00280755">
        <w:rPr>
          <w:i/>
          <w:iCs/>
        </w:rPr>
        <w:t>The Witcher</w:t>
      </w:r>
      <w:r w:rsidRPr="00F8171E">
        <w:t>’ on Netflix, based on Polish author Andrzej Sapkowski’s book series ‘</w:t>
      </w:r>
      <w:r w:rsidRPr="00280755">
        <w:rPr>
          <w:i/>
          <w:iCs/>
        </w:rPr>
        <w:t>The Witcher</w:t>
      </w:r>
      <w:r w:rsidRPr="00F8171E">
        <w:t>’ and the games based on the same book series.</w:t>
      </w:r>
      <w:r w:rsidRPr="00F8171E">
        <w:rPr>
          <w:rStyle w:val="FootnoteReference"/>
        </w:rPr>
        <w:footnoteReference w:id="6"/>
      </w:r>
      <w:r w:rsidRPr="00F8171E">
        <w:t xml:space="preserve"> However, within the Witcher world, witchers are often proclaimed as monsters by the common people, being called ‘devil’s breed’ and ‘offspring of foul sorcery and witchcraft.’</w:t>
      </w:r>
      <w:r w:rsidRPr="00F8171E">
        <w:rPr>
          <w:rStyle w:val="FootnoteReference"/>
        </w:rPr>
        <w:footnoteReference w:id="7"/>
      </w:r>
      <w:r w:rsidRPr="00F8171E">
        <w:t xml:space="preserve"> This is due to the creation of witchers through sorcery and scientific mutagens, a process through which three to four out of ten boys die.</w:t>
      </w:r>
      <w:r w:rsidRPr="00F8171E">
        <w:rPr>
          <w:rStyle w:val="FootnoteReference"/>
        </w:rPr>
        <w:footnoteReference w:id="8"/>
      </w:r>
      <w:r w:rsidRPr="00F8171E">
        <w:t xml:space="preserve"> There is also a lot of moral ambiguity and discussions of evil within all the mediums of the Witcher world, which can help explore the boundaries of monstrosity, especially since witchers were created to become monster hunters and then became classed as monsters themselves.</w:t>
      </w:r>
      <w:r>
        <w:rPr>
          <w:rStyle w:val="FootnoteReference"/>
        </w:rPr>
        <w:footnoteReference w:id="9"/>
      </w:r>
    </w:p>
    <w:p w14:paraId="281FB107" w14:textId="77777777" w:rsidR="008B5C30" w:rsidRPr="00F8171E" w:rsidRDefault="008B5C30" w:rsidP="00C93FE7">
      <w:pPr>
        <w:spacing w:line="360" w:lineRule="auto"/>
        <w:ind w:firstLine="720"/>
      </w:pPr>
      <w:r w:rsidRPr="00F8171E">
        <w:lastRenderedPageBreak/>
        <w:t xml:space="preserve">These four entities have all been called monstrous at some point in time, some more recently than others, while simultaneously they all have been considered victims or heroes (in </w:t>
      </w:r>
      <w:r w:rsidRPr="00B52221">
        <w:t xml:space="preserve">other words, </w:t>
      </w:r>
      <w:r w:rsidRPr="00B52221">
        <w:rPr>
          <w:i/>
          <w:iCs/>
        </w:rPr>
        <w:t>not</w:t>
      </w:r>
      <w:r w:rsidRPr="00B52221">
        <w:t xml:space="preserve"> monstrous, or at least not in the bad/evil sense). Due to the perceptions of these entities changing between monstrous and not monstrous d</w:t>
      </w:r>
      <w:r>
        <w:t>epending on</w:t>
      </w:r>
      <w:r w:rsidRPr="00B52221">
        <w:t xml:space="preserve"> time and culture, this dissertation compares the last few decades of modern culture with how the ancient Greeks and Romans portrayed the same entities (with the obvious exception of the witchers). T</w:t>
      </w:r>
      <w:r>
        <w:t>hese timeframes are given because although the origin of the stories originate around the classical times, it can be hard to eliminate every modern influence attributed to the case studies, which also explains the need for the control case study. T</w:t>
      </w:r>
      <w:r w:rsidRPr="00B52221">
        <w:t>hus</w:t>
      </w:r>
      <w:r w:rsidRPr="00F8171E">
        <w:t xml:space="preserve">, we can see whether the perception of what makes a monster changes depending on how long the entity has been </w:t>
      </w:r>
      <w:r>
        <w:t>known</w:t>
      </w:r>
      <w:r w:rsidRPr="00F8171E">
        <w:t xml:space="preserve"> throughout the world,</w:t>
      </w:r>
      <w:r>
        <w:t xml:space="preserve"> or if it is simply a cultural viewpoint,</w:t>
      </w:r>
      <w:r w:rsidRPr="00F8171E">
        <w:t xml:space="preserve"> and so it was decided that the best discussion of what makes a monster would be had when these chosen beings were the focal point of the conversation. </w:t>
      </w:r>
    </w:p>
    <w:p w14:paraId="62D71209" w14:textId="77777777" w:rsidR="008B5C30" w:rsidRPr="00F8171E" w:rsidRDefault="008B5C30" w:rsidP="00C93FE7">
      <w:pPr>
        <w:spacing w:line="360" w:lineRule="auto"/>
        <w:ind w:firstLine="720"/>
      </w:pPr>
      <w:r w:rsidRPr="00F8171E">
        <w:t>The case studies will be discussed</w:t>
      </w:r>
      <w:r>
        <w:t xml:space="preserve"> to discover </w:t>
      </w:r>
      <w:r w:rsidRPr="00F8171E">
        <w:t>how they became perceived as monsters, whether through punishment, as a choice, or if they were victim</w:t>
      </w:r>
      <w:r>
        <w:t>s who became</w:t>
      </w:r>
      <w:r w:rsidRPr="00F8171E">
        <w:t xml:space="preserve"> monster</w:t>
      </w:r>
      <w:r>
        <w:t>s</w:t>
      </w:r>
      <w:r w:rsidRPr="00F8171E">
        <w:t xml:space="preserve">. The essay will </w:t>
      </w:r>
      <w:r>
        <w:t>explore</w:t>
      </w:r>
      <w:r w:rsidRPr="00F8171E">
        <w:t xml:space="preserve"> the theme</w:t>
      </w:r>
      <w:r>
        <w:t>s (</w:t>
      </w:r>
      <w:r w:rsidRPr="00F8171E">
        <w:t>or criteria</w:t>
      </w:r>
      <w:r>
        <w:t>)</w:t>
      </w:r>
      <w:r w:rsidRPr="00F8171E">
        <w:t xml:space="preserve"> of morality, appearance and </w:t>
      </w:r>
      <w:r>
        <w:t>otherness</w:t>
      </w:r>
      <w:r w:rsidRPr="00F8171E">
        <w:t>, to determine the boundaries of monstrosity</w:t>
      </w:r>
      <w:r>
        <w:t xml:space="preserve">, by analysing which of the criteria, or which combination, are required to define a creature as a monster, and whether some aspects are more important than others. </w:t>
      </w:r>
      <w:r w:rsidRPr="00F8171E">
        <w:t xml:space="preserve">Combining these themes with the discussion of the definition of monster means each of </w:t>
      </w:r>
      <w:r>
        <w:t>the</w:t>
      </w:r>
      <w:r w:rsidRPr="00F8171E">
        <w:t xml:space="preserve"> transformed humans can be adequately sorted into the categories of “monster” and “not a monster”.</w:t>
      </w:r>
    </w:p>
    <w:p w14:paraId="6FDBE1D2" w14:textId="77777777" w:rsidR="008B5C30" w:rsidRDefault="008B5C30" w:rsidP="00C93FE7">
      <w:pPr>
        <w:rPr>
          <w:rFonts w:asciiTheme="majorHAnsi" w:eastAsiaTheme="majorEastAsia" w:hAnsiTheme="majorHAnsi" w:cstheme="majorBidi"/>
          <w:sz w:val="40"/>
          <w:szCs w:val="40"/>
        </w:rPr>
      </w:pPr>
      <w:r>
        <w:br w:type="page"/>
      </w:r>
    </w:p>
    <w:p w14:paraId="61732D79" w14:textId="77777777" w:rsidR="008B5C30" w:rsidRPr="00F8171E" w:rsidRDefault="008B5C30" w:rsidP="00C93FE7">
      <w:pPr>
        <w:pStyle w:val="Heading1"/>
        <w:spacing w:line="360" w:lineRule="auto"/>
        <w:rPr>
          <w:color w:val="auto"/>
        </w:rPr>
      </w:pPr>
      <w:bookmarkStart w:id="1" w:name="_Toc209167274"/>
      <w:r w:rsidRPr="00F8171E">
        <w:rPr>
          <w:color w:val="auto"/>
        </w:rPr>
        <w:lastRenderedPageBreak/>
        <w:t>Definitions</w:t>
      </w:r>
      <w:bookmarkEnd w:id="1"/>
    </w:p>
    <w:p w14:paraId="1AA46249" w14:textId="77777777" w:rsidR="008B5C30" w:rsidRDefault="008B5C30" w:rsidP="00C93FE7">
      <w:pPr>
        <w:spacing w:line="360" w:lineRule="auto"/>
      </w:pPr>
      <w:r w:rsidRPr="00F8171E">
        <w:t xml:space="preserve">In order to establish a suitable framework for discussing monsters, the monstrous and monstrosity, it is necessary to interrogate a number of definitions and concepts related to these terms. As a starting point, the Latin terms </w:t>
      </w:r>
      <w:r w:rsidRPr="00F8171E">
        <w:rPr>
          <w:i/>
          <w:iCs/>
        </w:rPr>
        <w:t>monstrum</w:t>
      </w:r>
      <w:r w:rsidRPr="00F8171E">
        <w:t xml:space="preserve"> and </w:t>
      </w:r>
      <w:r w:rsidRPr="00F8171E">
        <w:rPr>
          <w:i/>
          <w:iCs/>
        </w:rPr>
        <w:t>prodigium</w:t>
      </w:r>
      <w:r w:rsidRPr="00F8171E">
        <w:t xml:space="preserve"> will be discussed and related to the English dictionary definitions, examining both Latin and English for similarities and differences.</w:t>
      </w:r>
      <w:r w:rsidRPr="00F8171E">
        <w:rPr>
          <w:rStyle w:val="FootnoteReference"/>
        </w:rPr>
        <w:footnoteReference w:id="10"/>
      </w:r>
      <w:r w:rsidRPr="00F8171E">
        <w:t xml:space="preserve"> Various scholarly descriptions </w:t>
      </w:r>
      <w:r>
        <w:t>have been</w:t>
      </w:r>
      <w:r w:rsidRPr="00F8171E">
        <w:t xml:space="preserve"> interrogated to determine which characteristics are most suitable for the present research. To ensure an accurate portrayal of what makes a monster in regards to the transformed humans studied in this essay, a new definition combining scholarly and dictionary definitions has been created, which will be presented after the discussion of both types of categorisation.</w:t>
      </w:r>
    </w:p>
    <w:p w14:paraId="2F5B5081" w14:textId="77777777" w:rsidR="008B5C30" w:rsidRPr="00F8171E" w:rsidRDefault="008B5C30" w:rsidP="00C93FE7">
      <w:pPr>
        <w:spacing w:line="360" w:lineRule="auto"/>
      </w:pPr>
    </w:p>
    <w:p w14:paraId="5D2C315D" w14:textId="77777777" w:rsidR="008B5C30" w:rsidRPr="00010214" w:rsidRDefault="008B5C30" w:rsidP="00C93FE7">
      <w:pPr>
        <w:pStyle w:val="Heading3"/>
        <w:rPr>
          <w:color w:val="auto"/>
          <w:sz w:val="32"/>
          <w:szCs w:val="32"/>
        </w:rPr>
      </w:pPr>
      <w:bookmarkStart w:id="2" w:name="_Toc209167275"/>
      <w:r w:rsidRPr="00010214">
        <w:rPr>
          <w:i/>
          <w:iCs/>
          <w:color w:val="auto"/>
          <w:sz w:val="32"/>
          <w:szCs w:val="32"/>
        </w:rPr>
        <w:t>Monstrum</w:t>
      </w:r>
      <w:r w:rsidRPr="00010214">
        <w:rPr>
          <w:color w:val="auto"/>
          <w:sz w:val="32"/>
          <w:szCs w:val="32"/>
        </w:rPr>
        <w:t xml:space="preserve"> and </w:t>
      </w:r>
      <w:r w:rsidRPr="00010214">
        <w:rPr>
          <w:i/>
          <w:iCs/>
          <w:color w:val="auto"/>
          <w:sz w:val="32"/>
          <w:szCs w:val="32"/>
        </w:rPr>
        <w:t>Prodigium</w:t>
      </w:r>
      <w:bookmarkEnd w:id="2"/>
    </w:p>
    <w:p w14:paraId="036EA816" w14:textId="77777777" w:rsidR="008B5C30" w:rsidRPr="00F8171E" w:rsidRDefault="008B5C30" w:rsidP="00C93FE7">
      <w:pPr>
        <w:spacing w:line="360" w:lineRule="auto"/>
      </w:pPr>
      <w:r w:rsidRPr="00F8171E">
        <w:t xml:space="preserve">These two Latin terms loosely translate to ‘monster’ and ‘prodigy’, with monster being one of the defining terms of this essay and prodigy being used to describe a monster, as shown in the next section. </w:t>
      </w:r>
      <w:r>
        <w:t>A</w:t>
      </w:r>
      <w:r w:rsidRPr="00F8171E">
        <w:t xml:space="preserve">ccording to </w:t>
      </w:r>
      <w:r w:rsidRPr="003615C0">
        <w:rPr>
          <w:i/>
          <w:iCs/>
        </w:rPr>
        <w:t>latinlexicon.org</w:t>
      </w:r>
      <w:r w:rsidRPr="00F8171E">
        <w:t xml:space="preserve">, </w:t>
      </w:r>
      <w:r w:rsidRPr="00F8171E">
        <w:rPr>
          <w:i/>
          <w:iCs/>
        </w:rPr>
        <w:t>monstrum</w:t>
      </w:r>
      <w:r w:rsidRPr="00F8171E">
        <w:t xml:space="preserve"> can mean the following: </w:t>
      </w:r>
    </w:p>
    <w:p w14:paraId="47330BAA" w14:textId="77777777" w:rsidR="008B5C30" w:rsidRPr="00F8171E" w:rsidRDefault="008B5C30" w:rsidP="00C93FE7">
      <w:pPr>
        <w:numPr>
          <w:ilvl w:val="0"/>
          <w:numId w:val="1"/>
        </w:numPr>
        <w:spacing w:before="100" w:beforeAutospacing="1" w:after="100" w:afterAutospacing="1" w:line="360" w:lineRule="auto"/>
        <w:rPr>
          <w:rFonts w:eastAsia="Times New Roman" w:cs="Times New Roman"/>
          <w:kern w:val="0"/>
          <w14:ligatures w14:val="none"/>
        </w:rPr>
      </w:pPr>
      <w:r w:rsidRPr="00F8171E">
        <w:rPr>
          <w:rFonts w:eastAsia="Times New Roman" w:cs="Times New Roman"/>
          <w:kern w:val="0"/>
          <w14:ligatures w14:val="none"/>
        </w:rPr>
        <w:t xml:space="preserve">‘a divine omen, supernatural appearance, wonder, miracle, portent. </w:t>
      </w:r>
    </w:p>
    <w:p w14:paraId="0C535107" w14:textId="77777777" w:rsidR="008B5C30" w:rsidRPr="00F8171E" w:rsidRDefault="008B5C30" w:rsidP="00C93FE7">
      <w:pPr>
        <w:numPr>
          <w:ilvl w:val="0"/>
          <w:numId w:val="1"/>
        </w:numPr>
        <w:spacing w:before="100" w:beforeAutospacing="1" w:after="100" w:afterAutospacing="1" w:line="360" w:lineRule="auto"/>
        <w:rPr>
          <w:rFonts w:eastAsia="Times New Roman" w:cs="Times New Roman"/>
          <w:kern w:val="0"/>
          <w14:ligatures w14:val="none"/>
        </w:rPr>
      </w:pPr>
      <w:r w:rsidRPr="00F8171E">
        <w:rPr>
          <w:rFonts w:eastAsia="Times New Roman" w:cs="Times New Roman"/>
          <w:kern w:val="0"/>
          <w14:ligatures w14:val="none"/>
        </w:rPr>
        <w:t>an abnormal shape, unnatural growth, monster, monstrosity</w:t>
      </w:r>
    </w:p>
    <w:p w14:paraId="73582BF8" w14:textId="77777777" w:rsidR="008B5C30" w:rsidRPr="00F8171E" w:rsidRDefault="008B5C30" w:rsidP="00C93FE7">
      <w:pPr>
        <w:numPr>
          <w:ilvl w:val="0"/>
          <w:numId w:val="1"/>
        </w:numPr>
        <w:spacing w:before="100" w:beforeAutospacing="1" w:after="100" w:afterAutospacing="1" w:line="360" w:lineRule="auto"/>
        <w:rPr>
          <w:rFonts w:eastAsia="Times New Roman" w:cs="Times New Roman"/>
          <w:kern w:val="0"/>
          <w14:ligatures w14:val="none"/>
        </w:rPr>
      </w:pPr>
      <w:r w:rsidRPr="00F8171E">
        <w:rPr>
          <w:rFonts w:eastAsia="Times New Roman" w:cs="Times New Roman"/>
          <w:kern w:val="0"/>
          <w14:ligatures w14:val="none"/>
        </w:rPr>
        <w:t>[figuratively] a repulsive character, monster, abomination</w:t>
      </w:r>
    </w:p>
    <w:p w14:paraId="189BAC4D" w14:textId="77777777" w:rsidR="008B5C30" w:rsidRPr="00F8171E" w:rsidRDefault="008B5C30" w:rsidP="00C93FE7">
      <w:pPr>
        <w:numPr>
          <w:ilvl w:val="0"/>
          <w:numId w:val="1"/>
        </w:numPr>
        <w:spacing w:before="100" w:beforeAutospacing="1" w:after="100" w:afterAutospacing="1" w:line="360" w:lineRule="auto"/>
        <w:rPr>
          <w:rFonts w:eastAsia="Times New Roman" w:cs="Times New Roman"/>
          <w:kern w:val="0"/>
          <w14:ligatures w14:val="none"/>
        </w:rPr>
      </w:pPr>
      <w:r w:rsidRPr="00F8171E">
        <w:rPr>
          <w:rFonts w:eastAsia="Times New Roman" w:cs="Times New Roman"/>
          <w:kern w:val="0"/>
          <w14:ligatures w14:val="none"/>
        </w:rPr>
        <w:t xml:space="preserve">a horrible sight, pernicious thing, object of dread, awful deed.’ </w:t>
      </w:r>
      <w:r w:rsidRPr="00F8171E">
        <w:rPr>
          <w:rStyle w:val="FootnoteReference"/>
          <w:rFonts w:eastAsia="Times New Roman" w:cs="Times New Roman"/>
          <w:kern w:val="0"/>
          <w14:ligatures w14:val="none"/>
        </w:rPr>
        <w:footnoteReference w:id="11"/>
      </w:r>
    </w:p>
    <w:p w14:paraId="272DCC55" w14:textId="77777777" w:rsidR="008B5C30" w:rsidRPr="00F8171E" w:rsidRDefault="008B5C30" w:rsidP="00C93FE7">
      <w:pPr>
        <w:spacing w:line="360" w:lineRule="auto"/>
      </w:pPr>
      <w:r w:rsidRPr="00F8171E">
        <w:t xml:space="preserve">Meanwhile, the term </w:t>
      </w:r>
      <w:r w:rsidRPr="00F8171E">
        <w:rPr>
          <w:i/>
          <w:iCs/>
        </w:rPr>
        <w:t>prodigium</w:t>
      </w:r>
      <w:r w:rsidRPr="00F8171E">
        <w:t xml:space="preserve"> is defined as either ‘a prophetic sign, token, omen, portent, prodigy’ or ‘a monster, prodigy.’</w:t>
      </w:r>
      <w:r w:rsidRPr="00F8171E">
        <w:rPr>
          <w:rStyle w:val="FootnoteReference"/>
        </w:rPr>
        <w:footnoteReference w:id="12"/>
      </w:r>
      <w:r w:rsidRPr="00F8171E">
        <w:t xml:space="preserve"> The </w:t>
      </w:r>
      <w:r w:rsidRPr="00F8171E">
        <w:rPr>
          <w:i/>
          <w:iCs/>
        </w:rPr>
        <w:t>prodigium</w:t>
      </w:r>
      <w:r w:rsidRPr="00F8171E">
        <w:t xml:space="preserve"> was a type of sign from the gods that was unsolicited and usually denot</w:t>
      </w:r>
      <w:r>
        <w:t>ed</w:t>
      </w:r>
      <w:r w:rsidRPr="00F8171E">
        <w:t xml:space="preserve"> displeasure and destruction.</w:t>
      </w:r>
      <w:r w:rsidRPr="00F8171E">
        <w:rPr>
          <w:rStyle w:val="FootnoteReference"/>
        </w:rPr>
        <w:footnoteReference w:id="13"/>
      </w:r>
      <w:r w:rsidRPr="00F8171E">
        <w:t xml:space="preserve"> Some </w:t>
      </w:r>
      <w:r w:rsidRPr="00F8171E">
        <w:lastRenderedPageBreak/>
        <w:t>examples of prodigies include unusual births of humans or animals, ‘such as hermaphrodites and animals born with too many or too few limbs.’</w:t>
      </w:r>
      <w:r w:rsidRPr="00F8171E">
        <w:rPr>
          <w:rStyle w:val="FootnoteReference"/>
        </w:rPr>
        <w:footnoteReference w:id="14"/>
      </w:r>
      <w:r w:rsidRPr="00F8171E">
        <w:t xml:space="preserve"> According to Orlin and Rosenberger, ‘many of the items the Romans accepted as portents [which both </w:t>
      </w:r>
      <w:r w:rsidRPr="00F8171E">
        <w:rPr>
          <w:i/>
          <w:iCs/>
        </w:rPr>
        <w:t>monstrum</w:t>
      </w:r>
      <w:r w:rsidRPr="00F8171E">
        <w:t xml:space="preserve"> and </w:t>
      </w:r>
      <w:r w:rsidRPr="00F8171E">
        <w:rPr>
          <w:i/>
          <w:iCs/>
        </w:rPr>
        <w:t>prodigium</w:t>
      </w:r>
      <w:r w:rsidRPr="00F8171E">
        <w:t xml:space="preserve"> could be classed as] represent a transgression of normal boundaries.’</w:t>
      </w:r>
      <w:r w:rsidRPr="00F8171E">
        <w:rPr>
          <w:rStyle w:val="FootnoteReference"/>
        </w:rPr>
        <w:footnoteReference w:id="15"/>
      </w:r>
    </w:p>
    <w:p w14:paraId="2304A1DC" w14:textId="77777777" w:rsidR="008B5C30" w:rsidRDefault="008B5C30" w:rsidP="00C93FE7">
      <w:pPr>
        <w:spacing w:line="360" w:lineRule="auto"/>
        <w:ind w:firstLine="720"/>
      </w:pPr>
      <w:r w:rsidRPr="00F8171E">
        <w:t>There are also ancient Greek terms like</w:t>
      </w:r>
      <w:r w:rsidRPr="00F8171E">
        <w:rPr>
          <w:i/>
          <w:iCs/>
        </w:rPr>
        <w:t xml:space="preserve"> </w:t>
      </w:r>
      <w:r w:rsidRPr="00CB46C1">
        <w:t>τέρας</w:t>
      </w:r>
      <w:r>
        <w:rPr>
          <w:i/>
          <w:iCs/>
        </w:rPr>
        <w:t xml:space="preserve"> (teras)</w:t>
      </w:r>
      <w:r w:rsidRPr="00F8171E">
        <w:t xml:space="preserve"> which</w:t>
      </w:r>
      <w:r>
        <w:t xml:space="preserve"> can</w:t>
      </w:r>
      <w:r w:rsidRPr="00F8171E">
        <w:t xml:space="preserve"> translate to ‘monster, divine sign, omen, marvel, wonder,’</w:t>
      </w:r>
      <w:r w:rsidRPr="00F8171E">
        <w:rPr>
          <w:rStyle w:val="FootnoteReference"/>
        </w:rPr>
        <w:footnoteReference w:id="16"/>
      </w:r>
      <w:r w:rsidRPr="00F8171E">
        <w:t xml:space="preserve"> but that does not etymologically fit with the terms </w:t>
      </w:r>
      <w:r w:rsidRPr="00F8171E">
        <w:rPr>
          <w:i/>
          <w:iCs/>
        </w:rPr>
        <w:t>monstrum</w:t>
      </w:r>
      <w:r w:rsidRPr="00F8171E">
        <w:t xml:space="preserve"> and monster, even if it is </w:t>
      </w:r>
      <w:r>
        <w:t>the Ancient Greek</w:t>
      </w:r>
      <w:r w:rsidRPr="00F8171E">
        <w:t xml:space="preserve"> synonym. </w:t>
      </w:r>
      <w:r>
        <w:t xml:space="preserve">Additionally, while there is an English derivation of </w:t>
      </w:r>
      <w:r w:rsidRPr="00CB46C1">
        <w:t>τέρας</w:t>
      </w:r>
      <w:r>
        <w:t xml:space="preserve"> – teras being a technical medical term that denotes a malformed foetus – it is not a widely used term in late 20</w:t>
      </w:r>
      <w:r w:rsidRPr="009A5E9D">
        <w:rPr>
          <w:vertAlign w:val="superscript"/>
        </w:rPr>
        <w:t>th</w:t>
      </w:r>
      <w:r>
        <w:t xml:space="preserve"> and 21</w:t>
      </w:r>
      <w:r w:rsidRPr="009A5E9D">
        <w:rPr>
          <w:vertAlign w:val="superscript"/>
        </w:rPr>
        <w:t>st</w:t>
      </w:r>
      <w:r>
        <w:t xml:space="preserve"> century reception of the Classical world.</w:t>
      </w:r>
    </w:p>
    <w:p w14:paraId="03C24B9E" w14:textId="77777777" w:rsidR="008B5C30" w:rsidRPr="00F8171E" w:rsidRDefault="008B5C30" w:rsidP="00C93FE7">
      <w:pPr>
        <w:spacing w:line="360" w:lineRule="auto"/>
        <w:ind w:firstLine="720"/>
      </w:pPr>
    </w:p>
    <w:p w14:paraId="4FDBA5F1" w14:textId="77777777" w:rsidR="008B5C30" w:rsidRPr="00010214" w:rsidRDefault="008B5C30" w:rsidP="00C93FE7">
      <w:pPr>
        <w:pStyle w:val="Heading3"/>
        <w:rPr>
          <w:color w:val="auto"/>
          <w:sz w:val="32"/>
          <w:szCs w:val="32"/>
        </w:rPr>
      </w:pPr>
      <w:bookmarkStart w:id="3" w:name="_Toc209167276"/>
      <w:r w:rsidRPr="00010214">
        <w:rPr>
          <w:color w:val="auto"/>
          <w:sz w:val="32"/>
          <w:szCs w:val="32"/>
        </w:rPr>
        <w:t>Monster</w:t>
      </w:r>
      <w:bookmarkEnd w:id="3"/>
    </w:p>
    <w:p w14:paraId="3879FB92" w14:textId="77777777" w:rsidR="008B5C30" w:rsidRPr="00F8171E" w:rsidRDefault="008B5C30" w:rsidP="00C93FE7">
      <w:pPr>
        <w:spacing w:line="360" w:lineRule="auto"/>
      </w:pPr>
      <w:r w:rsidRPr="00F8171E">
        <w:t>It would be easy to think a definition of the word monster would be universal: a big scary creature that tends to plague children’s nightmares. However, that is not the case. There are more definitions that revolve around the same idea without actually describing a monster itself; a ‘very large person, animal or thing’</w:t>
      </w:r>
      <w:r w:rsidRPr="00F8171E">
        <w:rPr>
          <w:rStyle w:val="FootnoteReference"/>
        </w:rPr>
        <w:footnoteReference w:id="17"/>
      </w:r>
      <w:r w:rsidRPr="00F8171E">
        <w:t xml:space="preserve"> eliminates creatures like imps and goblins, which are often described as small, fairly weak monsters, usually one of the first monsters a protagonist would encounter within a </w:t>
      </w:r>
      <w:r>
        <w:t>fantasy</w:t>
      </w:r>
      <w:r w:rsidRPr="00F8171E">
        <w:t xml:space="preserve"> world. Similarly, ‘a nonhuman creature so ugly or monstrous as to frighten people’</w:t>
      </w:r>
      <w:r w:rsidRPr="00F8171E">
        <w:rPr>
          <w:rStyle w:val="FootnoteReference"/>
        </w:rPr>
        <w:footnoteReference w:id="18"/>
      </w:r>
      <w:r w:rsidRPr="00F8171E">
        <w:t xml:space="preserve"> would exclude both the Roman versions of Medusa and sirens, which were described as having beautiful feminine faces.</w:t>
      </w:r>
      <w:r w:rsidRPr="00F8171E">
        <w:rPr>
          <w:rStyle w:val="FootnoteReference"/>
        </w:rPr>
        <w:footnoteReference w:id="19"/>
      </w:r>
      <w:r w:rsidRPr="00F8171E">
        <w:t xml:space="preserve"> Conversely, the definition ‘an imaginary beast, such as a centaur, usually made up of various animal or human parts’</w:t>
      </w:r>
      <w:r w:rsidRPr="00F8171E">
        <w:rPr>
          <w:rStyle w:val="FootnoteReference"/>
        </w:rPr>
        <w:footnoteReference w:id="20"/>
      </w:r>
      <w:r w:rsidRPr="00F8171E">
        <w:t xml:space="preserve"> would include creatures like the chimera, sirens and Medusa, but would also encompass creatures such as Pegasus, </w:t>
      </w:r>
      <w:r w:rsidRPr="00F8171E">
        <w:lastRenderedPageBreak/>
        <w:t>unicorns and alicorns (winged unicorns), which are usually seen as gentle, pure beasts and almost never seen as a monster.</w:t>
      </w:r>
      <w:r w:rsidRPr="00F8171E">
        <w:rPr>
          <w:rStyle w:val="FootnoteReference"/>
        </w:rPr>
        <w:footnoteReference w:id="21"/>
      </w:r>
      <w:r w:rsidRPr="00F8171E">
        <w:t xml:space="preserve"> These definitions are expanded in both the Oxford English dictionary and the Cambridge dictionary. The Cambridge dictionary, when referring to an imaginary monster, describes it as ‘an imaginary frightening creature, especially one that is large and strange’</w:t>
      </w:r>
      <w:r w:rsidRPr="00F8171E">
        <w:rPr>
          <w:rStyle w:val="FootnoteReference"/>
        </w:rPr>
        <w:footnoteReference w:id="22"/>
      </w:r>
      <w:r w:rsidRPr="00F8171E">
        <w:t>, essentially managing to combine the three previous definitions, including smaller monsters and excluding the gentle beasts like unicorns, though still also excluding beautiful Roman creatures like Medusa and sirens. The Oxford English dictionary, however, states:</w:t>
      </w:r>
    </w:p>
    <w:p w14:paraId="3AB4F4E5" w14:textId="77777777" w:rsidR="008B5C30" w:rsidRPr="00F8171E" w:rsidRDefault="008B5C30" w:rsidP="00C93FE7">
      <w:pPr>
        <w:spacing w:line="240" w:lineRule="auto"/>
        <w:ind w:left="720" w:right="720"/>
      </w:pPr>
      <w:r w:rsidRPr="00F8171E">
        <w:t>‘</w:t>
      </w:r>
      <w:r w:rsidRPr="00F8171E">
        <w:rPr>
          <w:rFonts w:eastAsia="Times New Roman" w:cs="Open Sans"/>
          <w:kern w:val="0"/>
          <w14:ligatures w14:val="none"/>
        </w:rPr>
        <w:t>Originally: a mythical creature which is part animal and part human, or combines elements of two or more animal forms, and is frequently of great size and ferocious appearance. Later, more generally: any imaginary creature that is large, ugly, and frightening.’</w:t>
      </w:r>
      <w:r w:rsidRPr="00F8171E">
        <w:rPr>
          <w:rStyle w:val="FootnoteReference"/>
          <w:rFonts w:eastAsia="Times New Roman" w:cs="Open Sans"/>
          <w:kern w:val="0"/>
          <w14:ligatures w14:val="none"/>
        </w:rPr>
        <w:footnoteReference w:id="23"/>
      </w:r>
    </w:p>
    <w:p w14:paraId="4B23BB66" w14:textId="77777777" w:rsidR="008B5C30" w:rsidRPr="00F8171E" w:rsidRDefault="008B5C30" w:rsidP="00C93FE7">
      <w:pPr>
        <w:spacing w:line="360" w:lineRule="auto"/>
      </w:pPr>
      <w:r w:rsidRPr="00F8171E">
        <w:t>Meanwhile, the definition ‘a cruel, wicked or inhuman person’</w:t>
      </w:r>
      <w:r w:rsidRPr="00F8171E">
        <w:rPr>
          <w:rStyle w:val="FootnoteReference"/>
        </w:rPr>
        <w:footnoteReference w:id="24"/>
      </w:r>
      <w:r w:rsidRPr="00F8171E">
        <w:t xml:space="preserve"> directly excludes all the bestial monsters and focuses on the people who look human but do not act human, such as serial killers, child rapists and the like. There are also some more positive definitions of monster, such as ‘one that is highly successful’,</w:t>
      </w:r>
      <w:r w:rsidRPr="00F8171E">
        <w:rPr>
          <w:rStyle w:val="FootnoteReference"/>
        </w:rPr>
        <w:footnoteReference w:id="25"/>
      </w:r>
      <w:r w:rsidRPr="00F8171E">
        <w:t xml:space="preserve"> and ‘Something </w:t>
      </w:r>
      <w:r w:rsidRPr="00C02388">
        <w:t>extraordinary or unnatural; an amazing event or occurrence; a prodigy; a marvel’.</w:t>
      </w:r>
      <w:r w:rsidRPr="00C02388">
        <w:rPr>
          <w:rStyle w:val="FootnoteReference"/>
        </w:rPr>
        <w:footnoteReference w:id="26"/>
      </w:r>
      <w:r w:rsidRPr="00C02388">
        <w:t xml:space="preserve"> </w:t>
      </w:r>
      <w:r>
        <w:t>A</w:t>
      </w:r>
      <w:r w:rsidRPr="00C02388">
        <w:t xml:space="preserve">noted in the previous section, the Latin term </w:t>
      </w:r>
      <w:r w:rsidRPr="00C02388">
        <w:rPr>
          <w:i/>
          <w:iCs/>
        </w:rPr>
        <w:t>prodigium</w:t>
      </w:r>
      <w:r w:rsidRPr="00C02388">
        <w:t xml:space="preserve"> in an ancient context can often designate a terrible and unusual occurrence that required expiation. </w:t>
      </w:r>
      <w:r>
        <w:t>This term is the etymological root for</w:t>
      </w:r>
      <w:r w:rsidRPr="00C02388">
        <w:t xml:space="preserve"> the </w:t>
      </w:r>
      <w:r>
        <w:t>word</w:t>
      </w:r>
      <w:r w:rsidRPr="00C02388">
        <w:t xml:space="preserve"> prodigy</w:t>
      </w:r>
      <w:r>
        <w:t>, which in contrast</w:t>
      </w:r>
      <w:r w:rsidRPr="00C02388">
        <w:t xml:space="preserve"> is typically used today to express extraordinary talent and genius.</w:t>
      </w:r>
    </w:p>
    <w:p w14:paraId="34D91976" w14:textId="77777777" w:rsidR="008B5C30" w:rsidRPr="00F8171E" w:rsidRDefault="008B5C30" w:rsidP="00C93FE7">
      <w:pPr>
        <w:spacing w:line="360" w:lineRule="auto"/>
      </w:pPr>
      <w:r w:rsidRPr="00F8171E">
        <w:tab/>
        <w:t>It is interesting to note</w:t>
      </w:r>
      <w:r>
        <w:t xml:space="preserve"> that in contemporary English</w:t>
      </w:r>
      <w:r w:rsidRPr="00F8171E">
        <w:t xml:space="preserve"> the more positive uses of monster </w:t>
      </w:r>
      <w:r>
        <w:t xml:space="preserve">are typically the same as for the term prodigy, focusing on ability and </w:t>
      </w:r>
      <w:r>
        <w:lastRenderedPageBreak/>
        <w:t xml:space="preserve">achievement, </w:t>
      </w:r>
      <w:r w:rsidRPr="00F8171E">
        <w:t xml:space="preserve">whereas the more negative uses focus more on a physical appearance or morality. Specifically, the non-human monsters tend to be described as ugly and large, whereas the human monsters are described as cruel and evil. Perhaps being evil and cruel is implied for a non-human monster, which is why it is not included in the definition, but then humanoid monsters that can pass as being human (like vampires) are then judged by human standards, despite not being human. However, being judged on morality, and thus their actions, is generally a better sense of whether something </w:t>
      </w:r>
      <w:r>
        <w:t xml:space="preserve">or someone may qualify as </w:t>
      </w:r>
      <w:r w:rsidRPr="00F8171E">
        <w:t xml:space="preserve">a monster </w:t>
      </w:r>
      <w:r>
        <w:t>as opposed to</w:t>
      </w:r>
      <w:r w:rsidRPr="00F8171E">
        <w:t xml:space="preserve"> how they physically look. For instance, Shrek, the titular character from the </w:t>
      </w:r>
      <w:r w:rsidRPr="00F8171E">
        <w:rPr>
          <w:i/>
          <w:iCs/>
        </w:rPr>
        <w:t>Shrek</w:t>
      </w:r>
      <w:r w:rsidRPr="00F8171E">
        <w:t xml:space="preserve"> film franchise is, by all accounts, physically a monster. Shrek is an ogre, green skinned and fairly large, and he can even be seen scaring people with his looks, exaggerating certain features and roaring at a mob of torch-bearing and pitchfork-wielding villagers. So, despite all this, why do the viewers never see Shrek as a monster? Because morally, Shrek is a good guy who has not committed evil; the worst he does is intentionally scare people by exaggerating his physical appearance to get them to leave him alone, and lie to others. Compared to some human characters in the franchise, who hire assassins or torture creatures, Shrek is hardly considered a monster. But as Shrek says to Donkey:</w:t>
      </w:r>
    </w:p>
    <w:p w14:paraId="07B2A2CE" w14:textId="77777777" w:rsidR="008B5C30" w:rsidRPr="00F8171E" w:rsidRDefault="008B5C30" w:rsidP="00C93FE7">
      <w:pPr>
        <w:spacing w:line="240" w:lineRule="auto"/>
        <w:ind w:left="720" w:right="720" w:firstLine="45"/>
      </w:pPr>
      <w:r w:rsidRPr="00F8171E">
        <w:t>‘It's the world that seems to have a problem with ME! People take one look at me and go "Aargh! Help! Run! A big stupid ugly ogre!" They judge me before they even know me.’</w:t>
      </w:r>
      <w:r w:rsidRPr="00F8171E">
        <w:rPr>
          <w:rStyle w:val="FootnoteReference"/>
        </w:rPr>
        <w:footnoteReference w:id="27"/>
      </w:r>
    </w:p>
    <w:p w14:paraId="6B1C71A1" w14:textId="77777777" w:rsidR="008B5C30" w:rsidRPr="00F8171E" w:rsidRDefault="008B5C30" w:rsidP="00C93FE7">
      <w:pPr>
        <w:spacing w:line="360" w:lineRule="auto"/>
      </w:pPr>
      <w:r>
        <w:t>For these reasons,</w:t>
      </w:r>
      <w:r w:rsidRPr="00F8171E">
        <w:t xml:space="preserve"> my criteria for a monster will include parameters on morality – if you look like a monster but do not act like a monster, are you still a monster? In Shrek’s case in the very least, the answer to that question is no, for even though his race is classed as </w:t>
      </w:r>
      <w:r>
        <w:t xml:space="preserve"> monstrous</w:t>
      </w:r>
      <w:r w:rsidRPr="00F8171E">
        <w:t>, he does not act like one would expect a monster to act: indiscriminately killing and generally causing havoc. But the opposite can also be asked: if you do not look like a monster but act like one, are you a monster?</w:t>
      </w:r>
      <w:r w:rsidRPr="00F8171E">
        <w:rPr>
          <w:rStyle w:val="FootnoteReference"/>
        </w:rPr>
        <w:footnoteReference w:id="28"/>
      </w:r>
      <w:r w:rsidRPr="00F8171E">
        <w:t xml:space="preserve"> Chances are that the answer to the latter question of morality over </w:t>
      </w:r>
      <w:r>
        <w:t>appearance</w:t>
      </w:r>
      <w:r w:rsidRPr="00F8171E">
        <w:t xml:space="preserve"> is more likely to be a yes than the former question of looks over morality. </w:t>
      </w:r>
    </w:p>
    <w:p w14:paraId="3D40218D" w14:textId="77777777" w:rsidR="008B5C30" w:rsidRPr="00010214" w:rsidRDefault="008B5C30" w:rsidP="00C93FE7">
      <w:pPr>
        <w:pStyle w:val="Heading3"/>
        <w:rPr>
          <w:color w:val="auto"/>
          <w:sz w:val="32"/>
          <w:szCs w:val="32"/>
        </w:rPr>
      </w:pPr>
      <w:bookmarkStart w:id="4" w:name="_Toc209167277"/>
      <w:r w:rsidRPr="00010214">
        <w:rPr>
          <w:color w:val="auto"/>
          <w:sz w:val="32"/>
          <w:szCs w:val="32"/>
        </w:rPr>
        <w:lastRenderedPageBreak/>
        <w:t>Monstrous and Monstrosity</w:t>
      </w:r>
      <w:bookmarkEnd w:id="4"/>
    </w:p>
    <w:p w14:paraId="605405FF" w14:textId="77777777" w:rsidR="008B5C30" w:rsidRDefault="008B5C30" w:rsidP="00C93FE7">
      <w:pPr>
        <w:spacing w:line="360" w:lineRule="auto"/>
      </w:pPr>
      <w:r w:rsidRPr="00F8171E">
        <w:t xml:space="preserve">The </w:t>
      </w:r>
      <w:r>
        <w:t xml:space="preserve">terms </w:t>
      </w:r>
      <w:r w:rsidRPr="00F8171E">
        <w:t xml:space="preserve">monstrous and monstrosity </w:t>
      </w:r>
      <w:r>
        <w:t xml:space="preserve">have sematic overlap, both with each other and the </w:t>
      </w:r>
      <w:r w:rsidRPr="00F8171E">
        <w:t>definition of monster. For example, the Collin’s dictionary says ‘If you describe something, especially something large, as a monstrosity, you mean that you think it is extremely ugly’</w:t>
      </w:r>
      <w:r w:rsidRPr="00F8171E">
        <w:rPr>
          <w:rStyle w:val="FootnoteReference"/>
        </w:rPr>
        <w:footnoteReference w:id="29"/>
      </w:r>
      <w:r w:rsidRPr="00F8171E">
        <w:t xml:space="preserve"> and ‘If you describe something as monstrous, you mean that it is extremely frightening because it appears unnatural or ugly’.</w:t>
      </w:r>
      <w:r w:rsidRPr="00F8171E">
        <w:rPr>
          <w:rStyle w:val="FootnoteReference"/>
        </w:rPr>
        <w:footnoteReference w:id="30"/>
      </w:r>
      <w:r w:rsidRPr="00F8171E">
        <w:t xml:space="preserve"> The two words also get definitions like ‘an outrageous or ugly person or thing; monster’</w:t>
      </w:r>
      <w:r w:rsidRPr="00F8171E">
        <w:rPr>
          <w:rStyle w:val="FootnoteReference"/>
        </w:rPr>
        <w:footnoteReference w:id="31"/>
      </w:r>
      <w:r w:rsidRPr="00F8171E">
        <w:t xml:space="preserve"> </w:t>
      </w:r>
      <w:r>
        <w:t>and</w:t>
      </w:r>
      <w:r w:rsidRPr="00F8171E">
        <w:t xml:space="preserve"> ‘the state or quality of being monstrous’</w:t>
      </w:r>
      <w:r w:rsidRPr="00F8171E">
        <w:rPr>
          <w:rStyle w:val="FootnoteReference"/>
        </w:rPr>
        <w:footnoteReference w:id="32"/>
      </w:r>
      <w:r w:rsidRPr="00F8171E">
        <w:t xml:space="preserve"> (monstrosity),</w:t>
      </w:r>
      <w:r>
        <w:t xml:space="preserve"> as well as </w:t>
      </w:r>
      <w:r w:rsidRPr="00F8171E">
        <w:t>‘of, relating to, or resembling a monster/ having the character or appearance of a monster’</w:t>
      </w:r>
      <w:r>
        <w:t>,</w:t>
      </w:r>
      <w:r w:rsidRPr="00F8171E">
        <w:rPr>
          <w:rStyle w:val="FootnoteReference"/>
        </w:rPr>
        <w:footnoteReference w:id="33"/>
      </w:r>
      <w:r w:rsidRPr="00F8171E">
        <w:t xml:space="preserve"> ‘having the qualities or appearance of a monster’</w:t>
      </w:r>
      <w:r w:rsidRPr="00F8171E">
        <w:rPr>
          <w:rStyle w:val="FootnoteReference"/>
        </w:rPr>
        <w:footnoteReference w:id="34"/>
      </w:r>
      <w:r w:rsidRPr="00F8171E">
        <w:t xml:space="preserve"> and ‘like a monster’</w:t>
      </w:r>
      <w:r w:rsidRPr="00F8171E">
        <w:rPr>
          <w:rStyle w:val="FootnoteReference"/>
        </w:rPr>
        <w:footnoteReference w:id="35"/>
      </w:r>
      <w:r w:rsidRPr="00F8171E">
        <w:t xml:space="preserve"> (monstrous).</w:t>
      </w:r>
    </w:p>
    <w:p w14:paraId="1276F76F" w14:textId="77777777" w:rsidR="008B5C30" w:rsidRPr="00F8171E" w:rsidRDefault="008B5C30" w:rsidP="00C93FE7">
      <w:pPr>
        <w:spacing w:line="360" w:lineRule="auto"/>
      </w:pPr>
    </w:p>
    <w:p w14:paraId="78FF1119" w14:textId="77777777" w:rsidR="008B5C30" w:rsidRPr="00010214" w:rsidRDefault="008B5C30" w:rsidP="00C93FE7">
      <w:pPr>
        <w:pStyle w:val="Heading3"/>
        <w:rPr>
          <w:color w:val="auto"/>
          <w:sz w:val="32"/>
          <w:szCs w:val="32"/>
        </w:rPr>
      </w:pPr>
      <w:bookmarkStart w:id="5" w:name="_Toc209167278"/>
      <w:r w:rsidRPr="00010214">
        <w:rPr>
          <w:color w:val="auto"/>
          <w:sz w:val="32"/>
          <w:szCs w:val="32"/>
        </w:rPr>
        <w:t>Scholarly Definition of Monster</w:t>
      </w:r>
      <w:bookmarkEnd w:id="5"/>
    </w:p>
    <w:p w14:paraId="6C3FD9A0" w14:textId="77777777" w:rsidR="008B5C30" w:rsidRPr="00F8171E" w:rsidRDefault="008B5C30" w:rsidP="00C93FE7">
      <w:pPr>
        <w:spacing w:line="360" w:lineRule="auto"/>
      </w:pPr>
      <w:r w:rsidRPr="00F8171E">
        <w:t>Once we move from dictionary to scholarly definitions, it appears that there are more useful interpretations of the word monster and the similar terms. Mikayla Kim suggests that within the Beowulf manuscript, monstrosity is ‘firmly grounded in an individual’s morality.’</w:t>
      </w:r>
      <w:r w:rsidRPr="00F8171E">
        <w:rPr>
          <w:rStyle w:val="FootnoteReference"/>
        </w:rPr>
        <w:footnoteReference w:id="36"/>
      </w:r>
      <w:r w:rsidRPr="00F8171E">
        <w:t xml:space="preserve"> Basing monstrosity on morality and humanity is why Shrek is generally considered </w:t>
      </w:r>
      <w:r w:rsidRPr="00F8171E">
        <w:rPr>
          <w:i/>
          <w:iCs/>
        </w:rPr>
        <w:t>not</w:t>
      </w:r>
      <w:r w:rsidRPr="00F8171E">
        <w:t xml:space="preserve"> a monster and why humans like serial killers and child rapists </w:t>
      </w:r>
      <w:r w:rsidRPr="00F8171E">
        <w:rPr>
          <w:i/>
          <w:iCs/>
        </w:rPr>
        <w:t>are</w:t>
      </w:r>
      <w:r w:rsidRPr="00F8171E">
        <w:t>. Likewise, it was Lycaon’s morality that forced Zeus to change Lycaon’s form to better suit his lack of humanity. Meanwhile, Catherine Atherton mentions that ‘monsters get defined in relation to communities and to their standards of what is good, acceptable, normal or natural.’</w:t>
      </w:r>
      <w:r w:rsidRPr="00F8171E">
        <w:rPr>
          <w:rStyle w:val="FootnoteReference"/>
        </w:rPr>
        <w:footnoteReference w:id="37"/>
      </w:r>
      <w:r w:rsidRPr="00F8171E">
        <w:t xml:space="preserve"> This is significant, especially when monsters get defined against human standards for humanity and morality. Additionally, her statement fits into Cohen’s first monster thesis, ‘</w:t>
      </w:r>
      <w:r>
        <w:t>T</w:t>
      </w:r>
      <w:r w:rsidRPr="00F8171E">
        <w:t xml:space="preserve">he </w:t>
      </w:r>
      <w:r>
        <w:t>M</w:t>
      </w:r>
      <w:r w:rsidRPr="00F8171E">
        <w:t xml:space="preserve">onster’s </w:t>
      </w:r>
      <w:r>
        <w:t>B</w:t>
      </w:r>
      <w:r w:rsidRPr="00F8171E">
        <w:t xml:space="preserve">ody is a </w:t>
      </w:r>
      <w:r>
        <w:t>C</w:t>
      </w:r>
      <w:r w:rsidRPr="00F8171E">
        <w:t xml:space="preserve">ultural </w:t>
      </w:r>
      <w:r>
        <w:t>B</w:t>
      </w:r>
      <w:r w:rsidRPr="00F8171E">
        <w:t>ody.’</w:t>
      </w:r>
      <w:r w:rsidRPr="00F8171E">
        <w:rPr>
          <w:rStyle w:val="FootnoteReference"/>
        </w:rPr>
        <w:footnoteReference w:id="38"/>
      </w:r>
      <w:r w:rsidRPr="00F8171E">
        <w:t xml:space="preserve"> As Cohen states, monsters are ‘an embodiment of a certain cultural moment – of a time, a feeling, and a </w:t>
      </w:r>
      <w:r w:rsidRPr="00F8171E">
        <w:lastRenderedPageBreak/>
        <w:t>place.’</w:t>
      </w:r>
      <w:r w:rsidRPr="00F8171E">
        <w:rPr>
          <w:rStyle w:val="FootnoteReference"/>
        </w:rPr>
        <w:footnoteReference w:id="39"/>
      </w:r>
      <w:r w:rsidRPr="00F8171E">
        <w:t xml:space="preserve"> Monsters are created to embody the </w:t>
      </w:r>
      <w:r>
        <w:t>concern</w:t>
      </w:r>
      <w:r w:rsidRPr="00F8171E">
        <w:t>s of the culture, incorporating ‘fear, desire, anxiety and fantasy’,</w:t>
      </w:r>
      <w:r w:rsidRPr="00F8171E">
        <w:rPr>
          <w:rStyle w:val="FootnoteReference"/>
        </w:rPr>
        <w:footnoteReference w:id="40"/>
      </w:r>
      <w:r w:rsidRPr="00F8171E">
        <w:t xml:space="preserve"> existing to reveal and warn citizens of what may happen if they deviate from whatever they consider the norm. </w:t>
      </w:r>
    </w:p>
    <w:p w14:paraId="688CBE8B" w14:textId="77777777" w:rsidR="008B5C30" w:rsidRDefault="008B5C30" w:rsidP="00C93FE7">
      <w:pPr>
        <w:spacing w:line="360" w:lineRule="auto"/>
        <w:ind w:firstLine="720"/>
      </w:pPr>
      <w:r w:rsidRPr="00F8171E">
        <w:t>In contrast</w:t>
      </w:r>
      <w:r>
        <w:t>,</w:t>
      </w:r>
      <w:r w:rsidRPr="00F8171E">
        <w:t xml:space="preserve"> Asma, according to Piet Swanepole, ‘gives no definition of monster in his book, simply because he thinks that there does not exist one.’</w:t>
      </w:r>
      <w:r w:rsidRPr="00F8171E">
        <w:rPr>
          <w:rStyle w:val="FootnoteReference"/>
        </w:rPr>
        <w:footnoteReference w:id="41"/>
      </w:r>
      <w:r w:rsidRPr="00F8171E">
        <w:t xml:space="preserve"> This connects with Williams, who states that trying to categorise monsters into neat typologies is contradictory as monsters exist to resist and confound systemisation.</w:t>
      </w:r>
      <w:r w:rsidRPr="00F8171E">
        <w:rPr>
          <w:rStyle w:val="FootnoteReference"/>
        </w:rPr>
        <w:footnoteReference w:id="42"/>
      </w:r>
      <w:r w:rsidRPr="00F8171E">
        <w:t xml:space="preserve"> Cohen’s third monster thesis, ‘The Monster is the Harbinger of Category Crisis’ examines this exact phenomenon of defying categorisation that both Asma and Williams mention.</w:t>
      </w:r>
      <w:r w:rsidRPr="00F8171E">
        <w:rPr>
          <w:rStyle w:val="FootnoteReference"/>
        </w:rPr>
        <w:footnoteReference w:id="43"/>
      </w:r>
      <w:r>
        <w:t xml:space="preserve"> However, monsters refusing to be categorised can be criticised as contradictory, as defying categorisation can become a category by itself.</w:t>
      </w:r>
    </w:p>
    <w:p w14:paraId="7A76B83A" w14:textId="18C2CAA2" w:rsidR="008B5C30" w:rsidRPr="00F8171E" w:rsidRDefault="008B5C30" w:rsidP="00C93FE7">
      <w:pPr>
        <w:spacing w:line="360" w:lineRule="auto"/>
        <w:ind w:firstLine="720"/>
      </w:pPr>
      <w:r w:rsidRPr="00F8171E">
        <w:t xml:space="preserve">Monsters, especially in </w:t>
      </w:r>
      <w:r>
        <w:t>eras</w:t>
      </w:r>
      <w:r w:rsidRPr="00F8171E">
        <w:t xml:space="preserve"> </w:t>
      </w:r>
      <w:r>
        <w:t>such as</w:t>
      </w:r>
      <w:r w:rsidRPr="00F8171E">
        <w:t xml:space="preserve"> Ancient Greece, were often hybrids either of different types of animals or a combination of human and animal. Notable examples include the minotaur (half man and half bull), and the chimera, a combination of the forebody of a lion, the middle of a goat and the hind of snake or a dragon, with a head of each of the three creatures. There is also Medusa who, as a gorgon, had ‘heads twined about with scales of dragons, and great tusks like swine’s, and brazen hands and golden wings,’</w:t>
      </w:r>
      <w:r w:rsidRPr="00F8171E">
        <w:rPr>
          <w:rStyle w:val="FootnoteReference"/>
        </w:rPr>
        <w:footnoteReference w:id="44"/>
      </w:r>
      <w:r w:rsidRPr="00F8171E">
        <w:t xml:space="preserve"> according to Apollodorus, while in the film </w:t>
      </w:r>
      <w:r w:rsidRPr="00F8171E">
        <w:rPr>
          <w:i/>
          <w:iCs/>
        </w:rPr>
        <w:t>Clash of the Titans</w:t>
      </w:r>
      <w:r w:rsidRPr="00F8171E">
        <w:t>, Medusa is depicted as having a snake body for her lower half, with the upper half of a woman, as well as having her iconic snakes for hair.</w:t>
      </w:r>
      <w:r w:rsidRPr="00F8171E">
        <w:rPr>
          <w:rStyle w:val="FootnoteReference"/>
        </w:rPr>
        <w:footnoteReference w:id="45"/>
      </w:r>
      <w:r w:rsidRPr="00F8171E">
        <w:t xml:space="preserve"> The hybridity of monsters leads into Cohen’s fourth monster thesis, ‘</w:t>
      </w:r>
      <w:r>
        <w:t>T</w:t>
      </w:r>
      <w:r w:rsidRPr="00F8171E">
        <w:t xml:space="preserve">he </w:t>
      </w:r>
      <w:r>
        <w:t>M</w:t>
      </w:r>
      <w:r w:rsidRPr="00F8171E">
        <w:t xml:space="preserve">onster </w:t>
      </w:r>
      <w:r>
        <w:t>D</w:t>
      </w:r>
      <w:r w:rsidRPr="00F8171E">
        <w:t xml:space="preserve">wells at the </w:t>
      </w:r>
      <w:r>
        <w:t>G</w:t>
      </w:r>
      <w:r w:rsidRPr="00F8171E">
        <w:t xml:space="preserve">ates of </w:t>
      </w:r>
      <w:r>
        <w:t>D</w:t>
      </w:r>
      <w:r w:rsidRPr="00F8171E">
        <w:t>ifference,’</w:t>
      </w:r>
      <w:r w:rsidRPr="00F8171E">
        <w:rPr>
          <w:rStyle w:val="FootnoteReference"/>
        </w:rPr>
        <w:footnoteReference w:id="46"/>
      </w:r>
      <w:r w:rsidRPr="00F8171E">
        <w:t xml:space="preserve"> and strengthens Verner’s definition of a monster as ‘anything deformed against kind; deformed against the general category of creature under consideration.’</w:t>
      </w:r>
      <w:r w:rsidRPr="00F8171E">
        <w:rPr>
          <w:rStyle w:val="FootnoteReference"/>
        </w:rPr>
        <w:footnoteReference w:id="47"/>
      </w:r>
      <w:r w:rsidRPr="00F8171E">
        <w:t xml:space="preserve"> It is noted, however, that a definition of what is “normal” for each creature is required to truly </w:t>
      </w:r>
      <w:r w:rsidRPr="00F8171E">
        <w:lastRenderedPageBreak/>
        <w:t>understand what is a “deviation”.</w:t>
      </w:r>
      <w:r w:rsidRPr="00F8171E">
        <w:rPr>
          <w:rStyle w:val="FootnoteReference"/>
        </w:rPr>
        <w:footnoteReference w:id="48"/>
      </w:r>
      <w:r w:rsidRPr="00F8171E">
        <w:t xml:space="preserve"> However, Cohen’s fourth thesis contradicts his third, for how can a monster be both defying categorisation yet still be classed as “different”? Yet that contradictory nature is exactly what helps distinguish these creatures, especially when Cohen’s fifth thesis is ‘</w:t>
      </w:r>
      <w:r>
        <w:t>T</w:t>
      </w:r>
      <w:r w:rsidRPr="00F8171E">
        <w:t xml:space="preserve">he </w:t>
      </w:r>
      <w:r>
        <w:t>M</w:t>
      </w:r>
      <w:r w:rsidRPr="00F8171E">
        <w:t xml:space="preserve">onster </w:t>
      </w:r>
      <w:r>
        <w:t>P</w:t>
      </w:r>
      <w:r w:rsidRPr="00F8171E">
        <w:t xml:space="preserve">olices the </w:t>
      </w:r>
      <w:r>
        <w:t>B</w:t>
      </w:r>
      <w:r w:rsidRPr="00F8171E">
        <w:t xml:space="preserve">order of the </w:t>
      </w:r>
      <w:r>
        <w:t>P</w:t>
      </w:r>
      <w:r w:rsidRPr="00F8171E">
        <w:t>ossible’.</w:t>
      </w:r>
      <w:r w:rsidRPr="00F8171E">
        <w:rPr>
          <w:rStyle w:val="FootnoteReference"/>
        </w:rPr>
        <w:footnoteReference w:id="49"/>
      </w:r>
      <w:r w:rsidRPr="00F8171E">
        <w:t xml:space="preserve"> Why not have one monster that regrows two heads in place of one, and why not have humans who have died violent deaths become angry spirits? There is nothing stopping anything from becoming monstrous, especially when morality is brought into the equation of what makes a monster. </w:t>
      </w:r>
    </w:p>
    <w:p w14:paraId="37869231" w14:textId="77777777" w:rsidR="008B5C30" w:rsidRPr="00F8171E" w:rsidRDefault="008B5C30" w:rsidP="00C93FE7">
      <w:pPr>
        <w:spacing w:line="360" w:lineRule="auto"/>
        <w:ind w:firstLine="720"/>
      </w:pPr>
      <w:r w:rsidRPr="00F8171E">
        <w:t xml:space="preserve">As such, while inherently difficult to </w:t>
      </w:r>
      <w:r>
        <w:t>place</w:t>
      </w:r>
      <w:r w:rsidRPr="00F8171E">
        <w:t xml:space="preserve"> monsters into a </w:t>
      </w:r>
      <w:r>
        <w:t xml:space="preserve">neatly defined </w:t>
      </w:r>
      <w:r w:rsidRPr="00F8171E">
        <w:t>category, this essay focus</w:t>
      </w:r>
      <w:r>
        <w:t>es</w:t>
      </w:r>
      <w:r w:rsidRPr="00F8171E">
        <w:t xml:space="preserve"> on transformed monsters</w:t>
      </w:r>
      <w:r>
        <w:t xml:space="preserve">: </w:t>
      </w:r>
      <w:r w:rsidRPr="00F8171E">
        <w:t>as in monsters who were once fully human but have been transformed to become physically less human in some way</w:t>
      </w:r>
      <w:r>
        <w:t>. In doing so,</w:t>
      </w:r>
      <w:r w:rsidRPr="00F8171E">
        <w:t xml:space="preserve"> </w:t>
      </w:r>
      <w:r>
        <w:t>it</w:t>
      </w:r>
      <w:r w:rsidRPr="00F8171E">
        <w:t xml:space="preserve"> become</w:t>
      </w:r>
      <w:r>
        <w:t>s</w:t>
      </w:r>
      <w:r w:rsidRPr="00F8171E">
        <w:t xml:space="preserve"> easier to define these monsters</w:t>
      </w:r>
      <w:r>
        <w:t xml:space="preserve"> in relation to the categories noted above</w:t>
      </w:r>
      <w:r w:rsidRPr="00F8171E">
        <w:t>. In fact,</w:t>
      </w:r>
      <w:r>
        <w:t xml:space="preserve"> after some evaluation we will see that</w:t>
      </w:r>
      <w:r w:rsidRPr="00F8171E">
        <w:t xml:space="preserve"> some of the transformed creatures </w:t>
      </w:r>
      <w:r>
        <w:t xml:space="preserve">may </w:t>
      </w:r>
      <w:r w:rsidRPr="00F8171E">
        <w:t>end up</w:t>
      </w:r>
      <w:r>
        <w:t xml:space="preserve"> falling short of the label</w:t>
      </w:r>
      <w:r w:rsidRPr="00F8171E">
        <w:t xml:space="preserve"> monster, depending on the criteria. But due to the differing opinions of scholars regarding how to define a monster, an exclusive definition will be adopted for the transformed creatures discussed in this essay. Since they all started as human, naturally their humanity and morality will be a large contribution towards their monstrosity. The reasons behind their transformations will also be considered, whether it was a punishment for their morality or if it was meant as a backhanded gift, or even if they had willingly undergone metamorphosis. There will be less of a focus o</w:t>
      </w:r>
      <w:r>
        <w:t xml:space="preserve">n </w:t>
      </w:r>
      <w:r w:rsidRPr="00F8171E">
        <w:t xml:space="preserve">appearance compared to </w:t>
      </w:r>
      <w:r>
        <w:t xml:space="preserve">innate </w:t>
      </w:r>
      <w:r w:rsidRPr="00F8171E">
        <w:t>humanity, though if there is a link between the creature’s humanity and how physically human they a</w:t>
      </w:r>
      <w:r>
        <w:t>ppear</w:t>
      </w:r>
      <w:r w:rsidRPr="00F8171E">
        <w:t xml:space="preserve"> after their transformation, that will certainly be an interesting facet to explore. Thus, the definition of a monster in this essay will be tailored to the creatures featured here, and will be pieced together through a combination of different scholarly and dictionary definitions. </w:t>
      </w:r>
    </w:p>
    <w:p w14:paraId="40A324DD" w14:textId="77777777" w:rsidR="008B5C30" w:rsidRDefault="008B5C30" w:rsidP="00C93FE7">
      <w:pPr>
        <w:spacing w:line="360" w:lineRule="auto"/>
        <w:ind w:firstLine="720"/>
      </w:pPr>
      <w:r w:rsidRPr="00F8171E">
        <w:t xml:space="preserve">This does not mean that other definitions will not be used in this dissertation; they will be, as well as the main definition created for this work (which is stated at the end of this paragraph). The main definition is being used to determine whether these transformed humans are a monster, or are just monstrous in some way, and it acts as a </w:t>
      </w:r>
      <w:r w:rsidRPr="00F8171E">
        <w:lastRenderedPageBreak/>
        <w:t>control specifically for these case studies. A general definition for monsters as a whole category would not work as it would be too vague for the specific case studies debated, regardless of monsters being able to ‘defy categorisation’ as discussed by Cohen and Williams.</w:t>
      </w:r>
      <w:r w:rsidRPr="00F8171E">
        <w:rPr>
          <w:rStyle w:val="FootnoteReference"/>
        </w:rPr>
        <w:footnoteReference w:id="50"/>
      </w:r>
      <w:r w:rsidRPr="00F8171E">
        <w:t xml:space="preserve"> As such, parameters for the four transformed human case studies (Lycaon/werewolves, Medusa, necromancers and witchers) will include the transformed human’s humanity and morality, their appearance and, to a lesser extent, how they are “othered” from society. Therefore, </w:t>
      </w:r>
      <w:r>
        <w:t>in</w:t>
      </w:r>
      <w:r w:rsidRPr="00F8171E">
        <w:t xml:space="preserve"> this essay, the definition of a monster will be as follows: a mythical creature that is partly human and partly non-human (as animal or undead) whose actions are evil and stem from their morality (or lack of). </w:t>
      </w:r>
    </w:p>
    <w:p w14:paraId="4DC9FB91" w14:textId="77777777" w:rsidR="008B5C30" w:rsidRPr="007F681B" w:rsidRDefault="008B5C30" w:rsidP="00C93FE7">
      <w:r>
        <w:br w:type="page"/>
      </w:r>
    </w:p>
    <w:p w14:paraId="58C4B5E0" w14:textId="77777777" w:rsidR="008B5C30" w:rsidRDefault="008B5C30" w:rsidP="00C93FE7">
      <w:pPr>
        <w:pStyle w:val="Heading1"/>
        <w:spacing w:line="360" w:lineRule="auto"/>
        <w:rPr>
          <w:color w:val="auto"/>
        </w:rPr>
      </w:pPr>
      <w:bookmarkStart w:id="6" w:name="_Toc209167279"/>
      <w:r w:rsidRPr="00F8171E">
        <w:rPr>
          <w:color w:val="auto"/>
        </w:rPr>
        <w:lastRenderedPageBreak/>
        <w:t>Reasons for Becoming a Monster</w:t>
      </w:r>
      <w:bookmarkEnd w:id="6"/>
    </w:p>
    <w:p w14:paraId="0D82482A" w14:textId="77777777" w:rsidR="008B5C30" w:rsidRPr="00010214" w:rsidRDefault="008B5C30" w:rsidP="00C93FE7">
      <w:pPr>
        <w:pStyle w:val="Heading3"/>
        <w:spacing w:line="360" w:lineRule="auto"/>
        <w:rPr>
          <w:color w:val="auto"/>
          <w:sz w:val="32"/>
          <w:szCs w:val="32"/>
        </w:rPr>
      </w:pPr>
      <w:bookmarkStart w:id="7" w:name="_Toc209167280"/>
      <w:r w:rsidRPr="00010214">
        <w:rPr>
          <w:color w:val="auto"/>
          <w:sz w:val="32"/>
          <w:szCs w:val="32"/>
        </w:rPr>
        <w:t>Monster as Punishment</w:t>
      </w:r>
      <w:bookmarkEnd w:id="7"/>
    </w:p>
    <w:p w14:paraId="5A173B6A" w14:textId="77777777" w:rsidR="008B5C30" w:rsidRPr="00F8171E" w:rsidRDefault="008B5C30" w:rsidP="00C93FE7">
      <w:pPr>
        <w:spacing w:line="360" w:lineRule="auto"/>
      </w:pPr>
      <w:r w:rsidRPr="00F8171E">
        <w:t>Within Ancient Greek and Roman myth, there are two prominent examples of the gods turning people into monsters, and in some retellings these people were transformed because of their own actions. The first example is King Lycaon,</w:t>
      </w:r>
      <w:r>
        <w:t xml:space="preserve"> the Greek King of Arcadia,</w:t>
      </w:r>
      <w:r w:rsidRPr="00F8171E">
        <w:t xml:space="preserve"> who became the </w:t>
      </w:r>
      <w:r>
        <w:t xml:space="preserve">original </w:t>
      </w:r>
      <w:r w:rsidRPr="00F8171E">
        <w:t>werewo</w:t>
      </w:r>
      <w:r>
        <w:t>lf</w:t>
      </w:r>
      <w:r w:rsidRPr="00F8171E">
        <w:t>.</w:t>
      </w:r>
      <w:r>
        <w:rPr>
          <w:rStyle w:val="FootnoteReference"/>
        </w:rPr>
        <w:footnoteReference w:id="51"/>
      </w:r>
      <w:r w:rsidRPr="00F8171E">
        <w:t xml:space="preserve"> The second example is Medusa, who was changed from woman to gorgon.</w:t>
      </w:r>
    </w:p>
    <w:p w14:paraId="484F2846" w14:textId="77777777" w:rsidR="008B5C30" w:rsidRPr="00F8171E" w:rsidRDefault="008B5C30" w:rsidP="00C93FE7">
      <w:pPr>
        <w:spacing w:line="360" w:lineRule="auto"/>
        <w:ind w:firstLine="720"/>
      </w:pPr>
      <w:r w:rsidRPr="00F8171E">
        <w:t xml:space="preserve">There are a few versions of Lycaon’s lycanthropy myth, but they all centre around the same general idea of Zeus paying a visit to Lycaon. This is an important detail, as  Zeus’ epithet, </w:t>
      </w:r>
      <w:r w:rsidRPr="006339E5">
        <w:rPr>
          <w:i/>
          <w:iCs/>
        </w:rPr>
        <w:t>Xenios</w:t>
      </w:r>
      <w:r w:rsidRPr="00F8171E">
        <w:t>, m</w:t>
      </w:r>
      <w:r>
        <w:t>ade him</w:t>
      </w:r>
      <w:r w:rsidRPr="00F8171E">
        <w:t xml:space="preserve"> the patron of hospitality.</w:t>
      </w:r>
      <w:r w:rsidRPr="00F8171E">
        <w:rPr>
          <w:rStyle w:val="FootnoteReference"/>
        </w:rPr>
        <w:footnoteReference w:id="52"/>
      </w:r>
      <w:r w:rsidRPr="00F8171E">
        <w:t xml:space="preserve"> According to the Roman author Ovid, Lycaon wished to </w:t>
      </w:r>
      <w:r>
        <w:t>determine</w:t>
      </w:r>
      <w:r w:rsidRPr="00F8171E">
        <w:t xml:space="preserve"> whether </w:t>
      </w:r>
      <w:r>
        <w:t xml:space="preserve">a disguised </w:t>
      </w:r>
      <w:r w:rsidRPr="00F8171E">
        <w:t>Zeus (named Jove in Ovid’s works) was truly a god, and proceeded with two tests. Firstly, Lycaon ‘prepared to slay me [Zeus] in the night, to end my slumbers in the sleep of death’,</w:t>
      </w:r>
      <w:r w:rsidRPr="00F8171E">
        <w:rPr>
          <w:rStyle w:val="FootnoteReference"/>
        </w:rPr>
        <w:footnoteReference w:id="53"/>
      </w:r>
      <w:r w:rsidRPr="00F8171E">
        <w:t xml:space="preserve"> and secondly, Lycaon had a Molossian hostage killed, cooked and served to Zeus. In Pseudo-Apollodorus’ </w:t>
      </w:r>
      <w:r w:rsidRPr="00F8171E">
        <w:rPr>
          <w:i/>
          <w:iCs/>
        </w:rPr>
        <w:t>Library</w:t>
      </w:r>
      <w:r w:rsidRPr="00F8171E">
        <w:t>, Zeus ‘came to them in the likeness of a day-labourer’ and was given a slaughtered child’s bowels within his godly sacrifice that was set before him.</w:t>
      </w:r>
      <w:r w:rsidRPr="00F8171E">
        <w:rPr>
          <w:rStyle w:val="FootnoteReference"/>
        </w:rPr>
        <w:footnoteReference w:id="54"/>
      </w:r>
      <w:r w:rsidRPr="00F8171E">
        <w:t xml:space="preserve"> For the patron of hospitality, whether in human guise or his true form, having an attempt on </w:t>
      </w:r>
      <w:r>
        <w:t>his</w:t>
      </w:r>
      <w:r w:rsidRPr="00F8171E">
        <w:t xml:space="preserve"> own life before being served human meat disguised as regular meat, whether in his meal or sacrifice, would be the absolute opposite of the hospitality he should have received in the king’s house. Thus, it is no wonder that Zeus decides to severely punish Lycaon. </w:t>
      </w:r>
    </w:p>
    <w:p w14:paraId="1FC8EC4F" w14:textId="0E8EA587" w:rsidR="008B5C30" w:rsidRPr="00F8171E" w:rsidRDefault="008B5C30" w:rsidP="00C93FE7">
      <w:pPr>
        <w:spacing w:line="360" w:lineRule="auto"/>
        <w:ind w:firstLine="720"/>
      </w:pPr>
      <w:r w:rsidRPr="00F8171E">
        <w:t xml:space="preserve">However, a fragment of Hesiod’s </w:t>
      </w:r>
      <w:r w:rsidRPr="00F8171E">
        <w:rPr>
          <w:i/>
          <w:iCs/>
        </w:rPr>
        <w:t>Astronomica</w:t>
      </w:r>
      <w:r w:rsidRPr="00F8171E">
        <w:t xml:space="preserve"> </w:t>
      </w:r>
      <w:r>
        <w:t xml:space="preserve">insinuates </w:t>
      </w:r>
      <w:r w:rsidRPr="00F8171E">
        <w:t xml:space="preserve">that Zeus’ seduction of Lycaon’s daughter Callisto is the reason for Lycaon’s bad hospitality, saying Lycaon was ‘pretending to not know of the matter’ and later ‘set before him on the table the babe he had cut up’, </w:t>
      </w:r>
      <w:r w:rsidRPr="00F8171E">
        <w:rPr>
          <w:rStyle w:val="FootnoteReference"/>
        </w:rPr>
        <w:footnoteReference w:id="55"/>
      </w:r>
      <w:r w:rsidRPr="00F8171E">
        <w:t xml:space="preserve"> presumably into a cooked dish for Zeus to eat. If Hesiod’s claim was true, one can understand Lycaon not giving Zeus good hospitality after Zeus’ seduction of </w:t>
      </w:r>
      <w:r w:rsidRPr="00F8171E">
        <w:lastRenderedPageBreak/>
        <w:t xml:space="preserve">Callisto. In fact, there is an extract </w:t>
      </w:r>
      <w:r w:rsidR="00182652">
        <w:t xml:space="preserve">in Lefkowitz and Fant, </w:t>
      </w:r>
      <w:r w:rsidRPr="00F8171E">
        <w:t>by the speaker Lysias</w:t>
      </w:r>
      <w:r w:rsidR="00182652">
        <w:t>,</w:t>
      </w:r>
      <w:r w:rsidRPr="00F8171E">
        <w:t xml:space="preserve"> called ‘</w:t>
      </w:r>
      <w:r w:rsidRPr="00F8171E">
        <w:rPr>
          <w:i/>
          <w:iCs/>
        </w:rPr>
        <w:t>On the Murder of Eratosthenes</w:t>
      </w:r>
      <w:r w:rsidRPr="00F8171E">
        <w:t>’ where the Law of Solon is read out, which states that an adulterer may be put to death by the man who catches him.</w:t>
      </w:r>
      <w:r w:rsidRPr="00F8171E">
        <w:rPr>
          <w:rStyle w:val="FootnoteReference"/>
        </w:rPr>
        <w:footnoteReference w:id="56"/>
      </w:r>
      <w:r w:rsidRPr="00F8171E">
        <w:t xml:space="preserve"> While it can be assumed that Lycaon did not catch Zeus in person, it is certain that it would have been common knowledge, like many of Zeus’ other trysts were. </w:t>
      </w:r>
      <w:r>
        <w:t xml:space="preserve">Lycaon of course was residing in Arcadia in the mythic past, rather than early fourth century Athens, and his actions do not correctly follow the parameters set out in Athenian law. Nevertheless, Lysias’ text stresses the universality of the abhorrence of adultery and the penalties for it. Thus, Lycaon may have felt justified in his attempt to murder Zeus. </w:t>
      </w:r>
      <w:r w:rsidRPr="00F8171E">
        <w:t xml:space="preserve">However, since we today do not know the extent of the adultery and rape laws throughout </w:t>
      </w:r>
      <w:r>
        <w:t>A</w:t>
      </w:r>
      <w:r w:rsidRPr="00F8171E">
        <w:t xml:space="preserve">ncient Greece, this is all conjecture based on two extracts of different texts. </w:t>
      </w:r>
    </w:p>
    <w:p w14:paraId="7A1E553B" w14:textId="77777777" w:rsidR="008B5C30" w:rsidRPr="00F8171E" w:rsidRDefault="008B5C30" w:rsidP="00C93FE7">
      <w:pPr>
        <w:spacing w:line="360" w:lineRule="auto"/>
        <w:ind w:firstLine="720"/>
      </w:pPr>
      <w:r w:rsidRPr="00F8171E">
        <w:t>Regardless, going so far as to try and murder Zeus and/or serve him human meat, even when the seduction of Callisto is considered, Lycaon went way too far, especially since his guest was Zeus, king of the gods and god of hospitality. As such, Lycaon was certainly punished for good reason. However, turning Lycaon into a bloodthirsty werewolf would be a harsh punishment if Lycaon was getting revenge for what happened to his daughter Callisto; in this situation he was not entirely acting in cruelty, being sceptical of Zeus’ identity through his disguise, but as a father getting revenge for what had happened to his daughter. Conversely, if Callisto’s seduction had no part in Lycaon’s actions, like most accounts suggest by not mentioning Callisto,</w:t>
      </w:r>
      <w:r w:rsidRPr="00F8171E">
        <w:rPr>
          <w:rStyle w:val="FootnoteReference"/>
        </w:rPr>
        <w:footnoteReference w:id="57"/>
      </w:r>
      <w:r w:rsidRPr="00F8171E">
        <w:t xml:space="preserve"> then Lycaon’s acts of attempting to murder Zeus in his sleep, and murdering hostages or children to give to Zeus as food, shows Lycaon’s evil morality and bestial nature. For Zeus to change Lycaon from a human with a murderous, bestial nature to a bloodthirsty beast is effectively changing Lycaon to be more in tune with his morality, making Lycaon literally become the beast within himself</w:t>
      </w:r>
      <w:r>
        <w:t>,</w:t>
      </w:r>
      <w:r w:rsidRPr="00F8171E">
        <w:t xml:space="preserve"> befitting his inner nature.</w:t>
      </w:r>
      <w:r w:rsidRPr="00F8171E">
        <w:rPr>
          <w:rStyle w:val="FootnoteReference"/>
        </w:rPr>
        <w:footnoteReference w:id="58"/>
      </w:r>
      <w:r w:rsidRPr="00F8171E">
        <w:t xml:space="preserve"> </w:t>
      </w:r>
      <w:r>
        <w:t>Wolves are thought to represent a ‘savage interior that has to be carefully contained, controlled and muzzled,’</w:t>
      </w:r>
      <w:r>
        <w:rPr>
          <w:rStyle w:val="FootnoteReference"/>
        </w:rPr>
        <w:footnoteReference w:id="59"/>
      </w:r>
      <w:r>
        <w:t xml:space="preserve"> which Lycaon could not do to himself. </w:t>
      </w:r>
      <w:r w:rsidRPr="00F8171E">
        <w:t xml:space="preserve">This is encapsulated in the lines </w:t>
      </w:r>
    </w:p>
    <w:p w14:paraId="78B8C406" w14:textId="77777777" w:rsidR="008B5C30" w:rsidRPr="00F8171E" w:rsidRDefault="008B5C30" w:rsidP="00C93FE7">
      <w:pPr>
        <w:spacing w:line="240" w:lineRule="auto"/>
        <w:ind w:left="1440"/>
      </w:pPr>
      <w:r w:rsidRPr="00F8171E">
        <w:lastRenderedPageBreak/>
        <w:t>‘Terror struck</w:t>
      </w:r>
      <w:r w:rsidRPr="00F8171E">
        <w:br/>
        <w:t>he took to flight, and on the silent plains</w:t>
      </w:r>
      <w:r w:rsidRPr="00F8171E">
        <w:br/>
        <w:t>is howling in his vain attempts to speak;</w:t>
      </w:r>
      <w:r w:rsidRPr="00F8171E">
        <w:br/>
        <w:t>he raves and rages and his greedy jaws,</w:t>
      </w:r>
      <w:r w:rsidRPr="00F8171E">
        <w:br/>
        <w:t>desiring their accustomed slaughter, turn</w:t>
      </w:r>
      <w:r w:rsidRPr="00F8171E">
        <w:br/>
        <w:t>against the sheep—still eager for their blood.</w:t>
      </w:r>
      <w:r w:rsidRPr="00F8171E">
        <w:br/>
        <w:t>His vesture separates in shaggy hair,</w:t>
      </w:r>
      <w:r w:rsidRPr="00F8171E">
        <w:br/>
        <w:t>his arms are changed to legs; and as a wolf</w:t>
      </w:r>
      <w:r w:rsidRPr="00F8171E">
        <w:br/>
        <w:t>he has the same grey locks, the same hard face,</w:t>
      </w:r>
      <w:r w:rsidRPr="00F8171E">
        <w:br/>
        <w:t>the same bright eyes, the same ferocious look.’</w:t>
      </w:r>
      <w:r w:rsidRPr="00F8171E">
        <w:rPr>
          <w:rStyle w:val="FootnoteReference"/>
        </w:rPr>
        <w:footnoteReference w:id="60"/>
      </w:r>
    </w:p>
    <w:p w14:paraId="6345034D" w14:textId="77777777" w:rsidR="008B5C30" w:rsidRPr="00F8171E" w:rsidRDefault="008B5C30" w:rsidP="00C93FE7">
      <w:pPr>
        <w:spacing w:line="360" w:lineRule="auto"/>
      </w:pPr>
      <w:r w:rsidRPr="00F8171E">
        <w:tab/>
        <w:t xml:space="preserve">Ovid’s work insinuates that Lycaon was always a beast, especially when saying he has the same grey hair, face, eyes and ferocious look as a wolf that he had as a human, with Balsley even translating </w:t>
      </w:r>
      <w:r w:rsidRPr="00F8171E">
        <w:rPr>
          <w:i/>
          <w:iCs/>
        </w:rPr>
        <w:t>edem feritatis imago est</w:t>
      </w:r>
      <w:r w:rsidRPr="00F8171E">
        <w:t xml:space="preserve"> (the same ferocious look) as ‘the same picture of beastly savagery’.</w:t>
      </w:r>
      <w:r w:rsidRPr="00F8171E">
        <w:rPr>
          <w:rStyle w:val="FootnoteReference"/>
        </w:rPr>
        <w:footnoteReference w:id="61"/>
      </w:r>
      <w:r w:rsidRPr="00F8171E">
        <w:t xml:space="preserve"> This is e</w:t>
      </w:r>
      <w:r>
        <w:t>mphasised even more</w:t>
      </w:r>
      <w:r w:rsidRPr="00F8171E">
        <w:t xml:space="preserve"> with the words ‘his greedy jaws, desiring their accustomed slaughter,’</w:t>
      </w:r>
      <w:r w:rsidRPr="00F8171E">
        <w:rPr>
          <w:rStyle w:val="FootnoteReference"/>
        </w:rPr>
        <w:footnoteReference w:id="62"/>
      </w:r>
      <w:r w:rsidRPr="00F8171E">
        <w:t xml:space="preserve"> revealing that killing was not an uncommon action for Lycaon. As Nivellen says in </w:t>
      </w:r>
      <w:r w:rsidRPr="00F8171E">
        <w:rPr>
          <w:i/>
          <w:iCs/>
        </w:rPr>
        <w:t>The Witcher</w:t>
      </w:r>
      <w:r w:rsidRPr="00F8171E">
        <w:t>, ‘Monsters are more than just horrid looks and claws and teeth. Monsters are born of deeds done. Unforgivable ones.’</w:t>
      </w:r>
      <w:r w:rsidRPr="00F8171E">
        <w:rPr>
          <w:rStyle w:val="FootnoteReference"/>
        </w:rPr>
        <w:footnoteReference w:id="63"/>
      </w:r>
      <w:r w:rsidRPr="00F8171E">
        <w:t xml:space="preserve"> Lycaon’s deeds were monstrous to the point of physically becoming a monster to match his morality and actions. After all, who else other than a human monster would not only attempt </w:t>
      </w:r>
      <w:r>
        <w:t xml:space="preserve">to </w:t>
      </w:r>
      <w:r w:rsidRPr="00F8171E">
        <w:t>murder a guest, but also murder a baby to be used as food for that guest? Thus, it can be said that Lycaon was physically changed into a monster as punishment for his monstrous deeds.</w:t>
      </w:r>
    </w:p>
    <w:p w14:paraId="699C9B2E" w14:textId="170B9C36" w:rsidR="008B5C30" w:rsidRPr="00F8171E" w:rsidRDefault="008B5C30" w:rsidP="00C93FE7">
      <w:pPr>
        <w:spacing w:line="360" w:lineRule="auto"/>
        <w:ind w:firstLine="720"/>
      </w:pPr>
      <w:r w:rsidRPr="00F8171E">
        <w:t>Medusa</w:t>
      </w:r>
      <w:r>
        <w:t xml:space="preserve"> is another </w:t>
      </w:r>
      <w:r w:rsidRPr="00F8171E">
        <w:t>example of gods turning humans into monsters as a punishment. In Graeco-Roman versions of her myth she is typically transformed into a gorgon by Athena. There is a</w:t>
      </w:r>
      <w:r>
        <w:t xml:space="preserve"> (primarily modern) </w:t>
      </w:r>
      <w:r w:rsidRPr="00F8171E">
        <w:t>version of Medusa’s myth, where Medusa’s transformation is a punishment for boasting of her own beauty within Athena’s temple,</w:t>
      </w:r>
      <w:r w:rsidRPr="00F8171E">
        <w:rPr>
          <w:rStyle w:val="FootnoteReference"/>
        </w:rPr>
        <w:footnoteReference w:id="64"/>
      </w:r>
      <w:r w:rsidRPr="00F8171E">
        <w:t xml:space="preserve"> a version aimed more at children due to the absence of rape</w:t>
      </w:r>
      <w:r>
        <w:t>, and this was the version first presented to me in school</w:t>
      </w:r>
      <w:r w:rsidRPr="00F8171E">
        <w:t xml:space="preserve">. In this story, Medusa claims to be just as beautiful, if not more so, than Athena, with her most prideful feature being her hair. In </w:t>
      </w:r>
      <w:r w:rsidRPr="00F8171E">
        <w:lastRenderedPageBreak/>
        <w:t>response to Medusa’s hubris, Athena turns Medusa into a hideous monster,</w:t>
      </w:r>
      <w:r>
        <w:t xml:space="preserve"> as possibly based on Ovid’s quote where he states</w:t>
      </w:r>
      <w:r w:rsidRPr="00F8171E">
        <w:t xml:space="preserve"> ‘</w:t>
      </w:r>
      <w:r>
        <w:t xml:space="preserve">for </w:t>
      </w:r>
      <w:r w:rsidRPr="00F8171E">
        <w:t>fitting punishment transformed the Gorgo's lovely hair to loathsome snakes.’</w:t>
      </w:r>
      <w:r w:rsidRPr="00F8171E">
        <w:rPr>
          <w:rStyle w:val="FootnoteReference"/>
        </w:rPr>
        <w:footnoteReference w:id="65"/>
      </w:r>
      <w:r w:rsidRPr="00F8171E">
        <w:t xml:space="preserve"> </w:t>
      </w:r>
      <w:r>
        <w:t>Ovid’s quote</w:t>
      </w:r>
      <w:r w:rsidRPr="00F8171E">
        <w:t xml:space="preserve"> would have helped to create this version of events, alongside Pseudo-Apollodorus saying that Medusa was beheaded for daring to be compared with Athena in beauty.</w:t>
      </w:r>
      <w:r w:rsidRPr="00F8171E">
        <w:rPr>
          <w:rStyle w:val="FootnoteReference"/>
        </w:rPr>
        <w:footnoteReference w:id="66"/>
      </w:r>
      <w:r w:rsidRPr="00F8171E">
        <w:t xml:space="preserve"> Hubris is the downfall of several mortal figures within classical myth, with Lycaon and Arachne being two examples included in those who dared to test or challenge the gods. Both Lycaon and Arachne were transformed into creatures that resembled their ‘tests’; Lycaon into a bloodthirsty werewolf after his murder attempt, and Arachne into a spider after her weaving contest with Athena.</w:t>
      </w:r>
      <w:r>
        <w:t xml:space="preserve"> F</w:t>
      </w:r>
      <w:r w:rsidRPr="00F8171E">
        <w:t>or Medusa’s most beautiful feature to be changed into writhing, venomou</w:t>
      </w:r>
      <w:r>
        <w:t>s</w:t>
      </w:r>
      <w:r w:rsidRPr="00F8171E">
        <w:t xml:space="preserve"> snakes, along with Medusa now being so hideous to look at she turns creatures to stone, it would certainly be a fitting end for Medusa to become the epitome of the opposite of beauty. However, </w:t>
      </w:r>
      <w:r>
        <w:t>Pseudo-Apollodorus’</w:t>
      </w:r>
      <w:r w:rsidRPr="00F8171E">
        <w:t xml:space="preserve"> phrasing</w:t>
      </w:r>
      <w:r>
        <w:t xml:space="preserve"> suggests</w:t>
      </w:r>
      <w:r w:rsidRPr="00F8171E">
        <w:t xml:space="preserve"> that Medusa was already a gorgon before her hair was changed into snakes. </w:t>
      </w:r>
    </w:p>
    <w:p w14:paraId="37FA175E" w14:textId="77777777" w:rsidR="008B5C30" w:rsidRPr="00F8171E" w:rsidRDefault="008B5C30" w:rsidP="00C93FE7">
      <w:pPr>
        <w:spacing w:line="360" w:lineRule="auto"/>
        <w:ind w:firstLine="720"/>
      </w:pPr>
      <w:r w:rsidRPr="00F8171E">
        <w:t>There is a second, more common, instantiation of Medusa’s transformation myth where</w:t>
      </w:r>
      <w:r>
        <w:t>in</w:t>
      </w:r>
      <w:r w:rsidRPr="00F8171E">
        <w:t xml:space="preserve"> Medusa was raped by Poseidon inside Athena’s temple. This version</w:t>
      </w:r>
      <w:r>
        <w:t xml:space="preserve">, based on Ovid’s </w:t>
      </w:r>
      <w:r>
        <w:rPr>
          <w:i/>
          <w:iCs/>
        </w:rPr>
        <w:t>Metamorphoses</w:t>
      </w:r>
      <w:r>
        <w:t>,</w:t>
      </w:r>
      <w:r>
        <w:rPr>
          <w:rStyle w:val="FootnoteReference"/>
        </w:rPr>
        <w:footnoteReference w:id="67"/>
      </w:r>
      <w:r w:rsidRPr="00F8171E">
        <w:t xml:space="preserve"> is told by Stephen Fry in his book </w:t>
      </w:r>
      <w:r w:rsidRPr="00F8171E">
        <w:rPr>
          <w:i/>
          <w:iCs/>
        </w:rPr>
        <w:t>Heroes</w:t>
      </w:r>
      <w:r w:rsidRPr="00F8171E">
        <w:t>,</w:t>
      </w:r>
      <w:r>
        <w:rPr>
          <w:rStyle w:val="FootnoteReference"/>
        </w:rPr>
        <w:footnoteReference w:id="68"/>
      </w:r>
      <w:r w:rsidRPr="00F8171E">
        <w:t xml:space="preserve"> </w:t>
      </w:r>
      <w:r>
        <w:t xml:space="preserve">and </w:t>
      </w:r>
      <w:r w:rsidRPr="00F8171E">
        <w:t xml:space="preserve">Nina McLaughlin in her feminist novel </w:t>
      </w:r>
      <w:r w:rsidRPr="00F8171E">
        <w:rPr>
          <w:i/>
          <w:iCs/>
        </w:rPr>
        <w:t>Wake Siren: Ovid Unsung</w:t>
      </w:r>
      <w:r w:rsidRPr="00F8171E">
        <w:t>.</w:t>
      </w:r>
      <w:r w:rsidRPr="00F8171E">
        <w:rPr>
          <w:rStyle w:val="FootnoteReference"/>
        </w:rPr>
        <w:footnoteReference w:id="69"/>
      </w:r>
      <w:r w:rsidRPr="00F8171E">
        <w:t xml:space="preserve"> </w:t>
      </w:r>
      <w:r>
        <w:t>Of the translations of Ovid,</w:t>
      </w:r>
      <w:r w:rsidRPr="00F8171E">
        <w:t xml:space="preserve"> Brooks More differs from the rest by using the phrase ‘attained her love’, insinuating consent, instead of the more visual ‘violated’ or ‘abusde’ used by Melville and Golding respectively.</w:t>
      </w:r>
      <w:r w:rsidRPr="00F8171E">
        <w:rPr>
          <w:rStyle w:val="FootnoteReference"/>
        </w:rPr>
        <w:footnoteReference w:id="70"/>
      </w:r>
      <w:r w:rsidRPr="00F8171E">
        <w:t xml:space="preserve"> Athena, having seen the rape occur in her temple, and being unable to punish a fellow deity,</w:t>
      </w:r>
      <w:r w:rsidRPr="00F8171E">
        <w:rPr>
          <w:rStyle w:val="FootnoteReference"/>
        </w:rPr>
        <w:footnoteReference w:id="71"/>
      </w:r>
      <w:r w:rsidRPr="00F8171E">
        <w:t xml:space="preserve"> punished Medusa instead. Or, as Leo Curran states, Minerva </w:t>
      </w:r>
      <w:r w:rsidRPr="00F8171E">
        <w:lastRenderedPageBreak/>
        <w:t>[Athena] ‘takes vengeance on Medusa for having the presumption to be raped in the goddess’ temple.’</w:t>
      </w:r>
      <w:r w:rsidRPr="00F8171E">
        <w:rPr>
          <w:rStyle w:val="FootnoteReference"/>
        </w:rPr>
        <w:footnoteReference w:id="72"/>
      </w:r>
      <w:r w:rsidRPr="00F8171E">
        <w:t xml:space="preserve"> </w:t>
      </w:r>
    </w:p>
    <w:p w14:paraId="105F3AF5" w14:textId="77777777" w:rsidR="008B5C30" w:rsidRDefault="008B5C30" w:rsidP="00C93FE7">
      <w:pPr>
        <w:spacing w:line="360" w:lineRule="auto"/>
        <w:ind w:firstLine="720"/>
      </w:pPr>
      <w:r w:rsidRPr="00F8171E">
        <w:t>Athena’s vengeance on Medusa would be</w:t>
      </w:r>
      <w:r>
        <w:t xml:space="preserve"> viewed as</w:t>
      </w:r>
      <w:r w:rsidRPr="00F8171E">
        <w:t xml:space="preserve"> even more horrifying today if one believes that Medusa was a priestess of Athena.</w:t>
      </w:r>
      <w:r w:rsidRPr="00F8171E">
        <w:rPr>
          <w:rStyle w:val="FootnoteReference"/>
        </w:rPr>
        <w:footnoteReference w:id="73"/>
      </w:r>
      <w:r w:rsidRPr="00F8171E">
        <w:t xml:space="preserve"> There are some connections between Medusa and Vestal Virgins, priestesses of Vesta (Roman syncretisation of Hestia) who were important religious figures sworn to stay a virgin while in office. Medusa’s living conditions after her transformation are similar to the punishment</w:t>
      </w:r>
      <w:r>
        <w:t xml:space="preserve"> a</w:t>
      </w:r>
      <w:r w:rsidRPr="00F8171E">
        <w:t xml:space="preserve"> Vestal Virgin would receive if she was seduced during her tenure. </w:t>
      </w:r>
      <w:r>
        <w:t>Exiled from society,</w:t>
      </w:r>
      <w:r w:rsidRPr="00F8171E">
        <w:t xml:space="preserve"> Medusa lived in a cave where she would eventually be killed by Perseus</w:t>
      </w:r>
      <w:r>
        <w:t>. Likewise,</w:t>
      </w:r>
      <w:r w:rsidRPr="00F8171E">
        <w:t xml:space="preserve"> the </w:t>
      </w:r>
      <w:r>
        <w:t xml:space="preserve">seduced </w:t>
      </w:r>
      <w:r w:rsidRPr="00F8171E">
        <w:t>Virgin would be l</w:t>
      </w:r>
      <w:r>
        <w:t>ocked</w:t>
      </w:r>
      <w:r w:rsidRPr="00F8171E">
        <w:t xml:space="preserve"> in a </w:t>
      </w:r>
      <w:r>
        <w:t>“</w:t>
      </w:r>
      <w:r w:rsidRPr="00F8171E">
        <w:t>room</w:t>
      </w:r>
      <w:r>
        <w:t>”</w:t>
      </w:r>
      <w:r w:rsidRPr="00F8171E">
        <w:t xml:space="preserve"> in the earth, with some necessities, </w:t>
      </w:r>
      <w:r>
        <w:t xml:space="preserve">and </w:t>
      </w:r>
      <w:r w:rsidRPr="00F8171E">
        <w:t xml:space="preserve">the room buried. The Virgin would eventually die in that </w:t>
      </w:r>
      <w:r>
        <w:t>“</w:t>
      </w:r>
      <w:r w:rsidRPr="00F8171E">
        <w:t>room</w:t>
      </w:r>
      <w:r>
        <w:t>”</w:t>
      </w:r>
      <w:r w:rsidRPr="00F8171E">
        <w:t>, though she was left food as it was impious to let her die of starvation.</w:t>
      </w:r>
      <w:r w:rsidRPr="00F8171E">
        <w:rPr>
          <w:rStyle w:val="FootnoteReference"/>
        </w:rPr>
        <w:footnoteReference w:id="74"/>
      </w:r>
      <w:r w:rsidRPr="00F8171E">
        <w:t xml:space="preserve"> Prior to the </w:t>
      </w:r>
      <w:r>
        <w:t>this</w:t>
      </w:r>
      <w:r w:rsidRPr="00F8171E">
        <w:t>, the Virgin was paraded through the streets of Rome in a litter, though covered and bound so she could not be seen or heard, not only as a warning to others, but also treating the Virgin as if she were a savage criminal or a monster, when it is more likely she was a victim of rape like Medusa</w:t>
      </w:r>
      <w:r>
        <w:t>, who was transformed and could be seen as bound and covered by the gorgon appearance.</w:t>
      </w:r>
      <w:r w:rsidRPr="00F8171E">
        <w:t xml:space="preserve"> It would also insinuate that Medusa’s transformation from beautiful human to hideous monster was to e</w:t>
      </w:r>
      <w:r>
        <w:t>mbody</w:t>
      </w:r>
      <w:r w:rsidRPr="00F8171E">
        <w:t xml:space="preserve"> the shame and savagery she had to endure</w:t>
      </w:r>
      <w:r>
        <w:t>.</w:t>
      </w:r>
      <w:r w:rsidRPr="00F8171E">
        <w:rPr>
          <w:rStyle w:val="FootnoteReference"/>
        </w:rPr>
        <w:footnoteReference w:id="75"/>
      </w:r>
    </w:p>
    <w:p w14:paraId="30657942" w14:textId="77777777" w:rsidR="008B5C30" w:rsidRDefault="008B5C30" w:rsidP="00C93FE7">
      <w:pPr>
        <w:spacing w:line="360" w:lineRule="auto"/>
        <w:ind w:firstLine="720"/>
      </w:pPr>
      <w:r>
        <w:tab/>
      </w:r>
      <w:r>
        <w:br w:type="page"/>
      </w:r>
    </w:p>
    <w:p w14:paraId="3FE9B1EB" w14:textId="77777777" w:rsidR="008B5C30" w:rsidRPr="00010214" w:rsidRDefault="008B5C30" w:rsidP="00C93FE7">
      <w:pPr>
        <w:pStyle w:val="Heading3"/>
        <w:rPr>
          <w:color w:val="auto"/>
          <w:sz w:val="32"/>
          <w:szCs w:val="32"/>
        </w:rPr>
      </w:pPr>
      <w:bookmarkStart w:id="8" w:name="_Toc209167281"/>
      <w:r w:rsidRPr="00010214">
        <w:rPr>
          <w:color w:val="auto"/>
          <w:sz w:val="32"/>
          <w:szCs w:val="32"/>
        </w:rPr>
        <w:lastRenderedPageBreak/>
        <w:t>Monster as Victim</w:t>
      </w:r>
      <w:bookmarkEnd w:id="8"/>
    </w:p>
    <w:p w14:paraId="035B4F27" w14:textId="77777777" w:rsidR="008B5C30" w:rsidRDefault="008B5C30" w:rsidP="00C93FE7">
      <w:pPr>
        <w:spacing w:line="240" w:lineRule="auto"/>
        <w:ind w:left="720"/>
      </w:pPr>
      <w:r>
        <w:t>‘Even monsters were human, once. Don’t turn away from that, lest you fail to recognize the monsters in yourself or those around you. To dehumanize others is to turn away from those who are struggling to process trauma until they become monstrous.’</w:t>
      </w:r>
      <w:r>
        <w:rPr>
          <w:rStyle w:val="FootnoteReference"/>
        </w:rPr>
        <w:footnoteReference w:id="76"/>
      </w:r>
    </w:p>
    <w:p w14:paraId="60F84948" w14:textId="77777777" w:rsidR="008B5C30" w:rsidRPr="008726FA" w:rsidRDefault="008B5C30" w:rsidP="00C93FE7">
      <w:pPr>
        <w:spacing w:line="360" w:lineRule="auto"/>
      </w:pPr>
      <w:r>
        <w:t>When one thinks of monsters, one thinks of the deeds the monster has done. Typically, the monster would either be indifferent about their deeds, or they would take pleasure in what they have done. However, Sarah Bell states, ‘</w:t>
      </w:r>
      <w:r w:rsidRPr="00921042">
        <w:t>The birth of the monster is a violent affair</w:t>
      </w:r>
      <w:r>
        <w:t>’</w:t>
      </w:r>
      <w:r w:rsidRPr="00921042">
        <w:t xml:space="preserve"> and </w:t>
      </w:r>
      <w:r>
        <w:t xml:space="preserve">suggests that </w:t>
      </w:r>
      <w:r w:rsidRPr="00921042">
        <w:t>the essence of</w:t>
      </w:r>
      <w:r>
        <w:t xml:space="preserve"> all monstrous transformations</w:t>
      </w:r>
      <w:r w:rsidRPr="00921042">
        <w:t xml:space="preserve"> can be distilled down to a single word: </w:t>
      </w:r>
      <w:r>
        <w:t>t</w:t>
      </w:r>
      <w:r w:rsidRPr="00921042">
        <w:t>rauma</w:t>
      </w:r>
      <w:r>
        <w:t>.</w:t>
      </w:r>
      <w:r>
        <w:rPr>
          <w:rStyle w:val="FootnoteReference"/>
        </w:rPr>
        <w:footnoteReference w:id="77"/>
      </w:r>
      <w:r>
        <w:t xml:space="preserve"> It is often forgotten that ‘it is the rare juvenile incarcerated in an adult prison for rape or murder who has had anything than the cruelest of childhoods.’</w:t>
      </w:r>
      <w:r>
        <w:rPr>
          <w:rStyle w:val="FootnoteReference"/>
        </w:rPr>
        <w:footnoteReference w:id="78"/>
      </w:r>
      <w:r>
        <w:t xml:space="preserve"> In that same vein, this section will look at transformed human monsters who started off as victims in some sense, focusing on the case studies of Medusa and th</w:t>
      </w:r>
      <w:r w:rsidRPr="008726FA">
        <w:t>e witchers.</w:t>
      </w:r>
    </w:p>
    <w:p w14:paraId="6E3E6056" w14:textId="5F7F065C" w:rsidR="001B5553" w:rsidRDefault="008B5C30" w:rsidP="00C93FE7">
      <w:pPr>
        <w:spacing w:line="360" w:lineRule="auto"/>
        <w:ind w:firstLine="720"/>
      </w:pPr>
      <w:r w:rsidRPr="008726FA">
        <w:t>While in the modern day Medusa would undoubtedly be seen as a rape victim, in classical times this would not necessarily be the case. For example, there is a fragment of a lost tragedy by Sophocles wherein an unmarried girl, called Tyro, was abducted by Poseidon and became a mother of twins, and her father not only blamed Tyro for the pregnancy, but also cut off her hair as punishment.</w:t>
      </w:r>
      <w:r w:rsidRPr="008726FA">
        <w:rPr>
          <w:rStyle w:val="FootnoteReference"/>
        </w:rPr>
        <w:footnoteReference w:id="79"/>
      </w:r>
      <w:r w:rsidRPr="008726FA">
        <w:t xml:space="preserve"> Additionally, in Livy’s </w:t>
      </w:r>
      <w:r w:rsidRPr="008726FA">
        <w:rPr>
          <w:i/>
          <w:iCs/>
        </w:rPr>
        <w:t>History of Rome</w:t>
      </w:r>
      <w:r w:rsidRPr="008726FA">
        <w:t>, he mentions the rape of Lucretia and how Sextus Tarquinius forced himself upon Lucretia with the threat of killing her and a servant boy to frame them as adulterers.</w:t>
      </w:r>
      <w:r w:rsidRPr="008726FA">
        <w:rPr>
          <w:rStyle w:val="FootnoteReference"/>
        </w:rPr>
        <w:footnoteReference w:id="80"/>
      </w:r>
      <w:r w:rsidRPr="008726FA">
        <w:t xml:space="preserve">  This links back to Lysias’s speech of killing the adulterer found laying with one’s wife, as allowed through the Law of Solon,</w:t>
      </w:r>
      <w:r w:rsidRPr="008726FA">
        <w:rPr>
          <w:rStyle w:val="FootnoteReference"/>
        </w:rPr>
        <w:footnoteReference w:id="81"/>
      </w:r>
      <w:r w:rsidRPr="008726FA">
        <w:t xml:space="preserve"> and directly refers to the Romulan law of adultery </w:t>
      </w:r>
      <w:r w:rsidRPr="008726FA">
        <w:lastRenderedPageBreak/>
        <w:t>where the ultimate punishment for both wife and adulterer was death.</w:t>
      </w:r>
      <w:r w:rsidRPr="008726FA">
        <w:rPr>
          <w:rStyle w:val="FootnoteReference"/>
        </w:rPr>
        <w:footnoteReference w:id="82"/>
      </w:r>
      <w:r w:rsidRPr="008726FA">
        <w:t xml:space="preserve"> Moreover, there is a law found in Justinian’s </w:t>
      </w:r>
      <w:r w:rsidRPr="008726FA">
        <w:rPr>
          <w:i/>
          <w:iCs/>
        </w:rPr>
        <w:t>Codex</w:t>
      </w:r>
      <w:r w:rsidRPr="008726FA">
        <w:t>, a compilation of Roman laws throughout the years, that would only punish prostitutes and adulterers, not those who were raped.</w:t>
      </w:r>
      <w:r w:rsidRPr="008726FA">
        <w:rPr>
          <w:rStyle w:val="FootnoteReference"/>
        </w:rPr>
        <w:footnoteReference w:id="83"/>
      </w:r>
      <w:r w:rsidRPr="008726FA">
        <w:t xml:space="preserve"> However, the stories of Medusa, Tyro and Lucretia all portray rape victims being punished. Even today in supposedly progressive societies women are often made to feel like being raped was their own fault, being asked “what were you wearing?”</w:t>
      </w:r>
      <w:r w:rsidR="00DE0CD1" w:rsidRPr="00DE0CD1">
        <w:rPr>
          <w:rStyle w:val="FootnoteReference"/>
        </w:rPr>
        <w:t xml:space="preserve"> </w:t>
      </w:r>
      <w:r w:rsidR="00DE0CD1" w:rsidRPr="008726FA">
        <w:rPr>
          <w:rStyle w:val="FootnoteReference"/>
        </w:rPr>
        <w:footnoteReference w:id="84"/>
      </w:r>
      <w:r w:rsidRPr="008726FA">
        <w:t xml:space="preserve"> </w:t>
      </w:r>
      <w:r w:rsidR="006D2F0B">
        <w:t>“why did she</w:t>
      </w:r>
      <w:r w:rsidR="00A04305">
        <w:t xml:space="preserve"> not</w:t>
      </w:r>
      <w:r w:rsidR="006D2F0B">
        <w:t xml:space="preserve"> scream?”</w:t>
      </w:r>
      <w:r w:rsidR="009963DB">
        <w:rPr>
          <w:rStyle w:val="FootnoteReference"/>
        </w:rPr>
        <w:footnoteReference w:id="85"/>
      </w:r>
      <w:r w:rsidR="006D2F0B">
        <w:t xml:space="preserve"> and </w:t>
      </w:r>
      <w:r w:rsidRPr="008726FA">
        <w:t>told</w:t>
      </w:r>
      <w:r w:rsidR="00AB3A41">
        <w:t xml:space="preserve"> they are “asking for it”</w:t>
      </w:r>
      <w:r w:rsidR="00AB3A41">
        <w:rPr>
          <w:rStyle w:val="FootnoteReference"/>
        </w:rPr>
        <w:footnoteReference w:id="86"/>
      </w:r>
      <w:r w:rsidR="00AB3A41">
        <w:t xml:space="preserve"> and </w:t>
      </w:r>
      <w:r w:rsidRPr="008726FA">
        <w:t>“</w:t>
      </w:r>
      <w:r w:rsidR="006C12C5">
        <w:t xml:space="preserve">women need to stop putting themselves </w:t>
      </w:r>
      <w:r w:rsidR="00974006">
        <w:t>in vulnerable situations. Why didn’t she just go home?</w:t>
      </w:r>
      <w:r w:rsidRPr="008726FA">
        <w:t>”</w:t>
      </w:r>
      <w:r w:rsidR="00974006">
        <w:rPr>
          <w:rStyle w:val="FootnoteReference"/>
        </w:rPr>
        <w:footnoteReference w:id="87"/>
      </w:r>
      <w:r w:rsidRPr="008726FA">
        <w:t xml:space="preserve"> </w:t>
      </w:r>
    </w:p>
    <w:p w14:paraId="30203F40" w14:textId="22F00D63" w:rsidR="008B5C30" w:rsidRDefault="008B5C30" w:rsidP="00C93FE7">
      <w:pPr>
        <w:spacing w:line="360" w:lineRule="auto"/>
        <w:ind w:firstLine="720"/>
      </w:pPr>
      <w:r w:rsidRPr="008726FA">
        <w:t>Women being victim-blamed for rape sadly has not changed, they are still made to feel like they have committed a crime, when the actual crime is the man raping the woman. All those women were socially made to feel monstrous through their “otherness” of having been defiled; their only difference being that Medusa’s monstrousness due to her defiled body affected her appearance too.</w:t>
      </w:r>
      <w:r>
        <w:t xml:space="preserve"> </w:t>
      </w:r>
    </w:p>
    <w:p w14:paraId="602749E6" w14:textId="77777777" w:rsidR="008B5C30" w:rsidRDefault="008B5C30" w:rsidP="00C93FE7">
      <w:pPr>
        <w:spacing w:line="360" w:lineRule="auto"/>
        <w:ind w:firstLine="720"/>
      </w:pPr>
      <w:r>
        <w:t>Similar examples can also be found in real life; as Abbe Smith says ‘among those who have committed serious crimes, it is the rare perpetrator who has not also suffered.’</w:t>
      </w:r>
      <w:r>
        <w:rPr>
          <w:rStyle w:val="FootnoteReference"/>
        </w:rPr>
        <w:footnoteReference w:id="88"/>
      </w:r>
      <w:r>
        <w:t xml:space="preserve"> Smith provides the case study of Aileen Wuornos, a prostitute vilified as a serial killer, who ‘always maintained that the killings were in self-defen[s]e’.</w:t>
      </w:r>
      <w:r>
        <w:rPr>
          <w:rStyle w:val="FootnoteReference"/>
        </w:rPr>
        <w:footnoteReference w:id="89"/>
      </w:r>
      <w:r>
        <w:t xml:space="preserve"> Like Medusa, Wuornos was raped, and Wuornos’ trauma from being violated and beaten throughout her life appeared in the form of ‘imperfect self-defen[s]e in the face of anticipated physical assault or rape’,</w:t>
      </w:r>
      <w:r>
        <w:rPr>
          <w:rStyle w:val="FootnoteReference"/>
        </w:rPr>
        <w:footnoteReference w:id="90"/>
      </w:r>
      <w:r>
        <w:t xml:space="preserve"> which could also be applied to Medusa’s ability of petrification. When looking at the ancient sources of Medusa’s transformation through a feminist perspective, the English-translated phrasing that describes those </w:t>
      </w:r>
      <w:r>
        <w:lastRenderedPageBreak/>
        <w:t>who Medusa turns to stone notably excludes women from the list, stating only ‘men and beasts’,</w:t>
      </w:r>
      <w:r>
        <w:rPr>
          <w:rStyle w:val="FootnoteReference"/>
        </w:rPr>
        <w:footnoteReference w:id="91"/>
      </w:r>
      <w:r>
        <w:t xml:space="preserve"> both of which have the ability to harm Medusa, whether through rape and mental anguish (men), or through physical attacks and death (both men and animals).</w:t>
      </w:r>
      <w:r>
        <w:rPr>
          <w:rStyle w:val="FootnoteReference"/>
        </w:rPr>
        <w:footnoteReference w:id="92"/>
      </w:r>
      <w:r>
        <w:t xml:space="preserve"> Therefore, when combined with the feminist perspective on Medusa’s tale, it suggests that Medusa’s power of petrification was given to her as a means of defence, like Wuornos buying herself a gun, as Medusa’s petrification power could be used ‘to protect oneself from their enemies.’</w:t>
      </w:r>
      <w:r>
        <w:rPr>
          <w:rStyle w:val="FootnoteReference"/>
        </w:rPr>
        <w:footnoteReference w:id="93"/>
      </w:r>
      <w:r>
        <w:t xml:space="preserve"> This can also be backed up by the myth wherein Hephaestus attempted to rape Athena but was unsuccessful due to Athena’s aspect as a goddess of war and being proficient with weapons, thus being able to fight back and fend off Hephaestus.</w:t>
      </w:r>
      <w:r>
        <w:rPr>
          <w:rStyle w:val="FootnoteReference"/>
        </w:rPr>
        <w:footnoteReference w:id="94"/>
      </w:r>
      <w:r>
        <w:t xml:space="preserve"> As such, a modern reinterpretation of Medusa’s transformation could be viewed as Athena granting Medusa a way of protecting herself. However, that ability to fight back against those who would hurt her coupled with her physical transformation into a gorgon, meant that Medusa became regarded as a monster despite being a victim herself. Medusa’s monstrous transformation as a victim can also be explained as her surviving a traumatic experience and emerging as a different person to who she was before.</w:t>
      </w:r>
      <w:r>
        <w:rPr>
          <w:rStyle w:val="FootnoteReference"/>
        </w:rPr>
        <w:footnoteReference w:id="95"/>
      </w:r>
    </w:p>
    <w:p w14:paraId="5E4AD99D" w14:textId="77777777" w:rsidR="008B5C30" w:rsidRDefault="008B5C30" w:rsidP="00C93FE7">
      <w:pPr>
        <w:spacing w:line="360" w:lineRule="auto"/>
      </w:pPr>
      <w:r>
        <w:tab/>
      </w:r>
      <w:r w:rsidRPr="00E004F1">
        <w:t>This explanation of</w:t>
      </w:r>
      <w:r>
        <w:t xml:space="preserve"> transformation due to trauma can also be attributed to the witchers. Inside Andrzej Sapowski’s world of </w:t>
      </w:r>
      <w:r w:rsidRPr="00A25504">
        <w:rPr>
          <w:i/>
          <w:iCs/>
        </w:rPr>
        <w:t>The Witcher</w:t>
      </w:r>
      <w:r>
        <w:t xml:space="preserve">, witchers are human-like creatures, originally (mostly male) humans who have been mutated by science and magic to resist poisons, fight monsters and use magic. These mutations drive many religious and superstitious common folk to regard witchers as non-humans and monsters, even though the only obvious identifications of witchers having gone through </w:t>
      </w:r>
      <w:r>
        <w:lastRenderedPageBreak/>
        <w:t>the mutations (through the Trial of the Grasses) would be their slitted pupils and carrying a silver and steel sword.</w:t>
      </w:r>
      <w:r>
        <w:rPr>
          <w:rStyle w:val="FootnoteReference"/>
        </w:rPr>
        <w:footnoteReference w:id="96"/>
      </w:r>
      <w:r>
        <w:t xml:space="preserve"> Witchers were largely regarded as monsters by villagers because of their slitted pupils, marking them as no longer fully human and becoming ‘offspring of foul sorcery and witchcraft, veritable creatures from hell capable only of taking lives’ and accused of “stealing” children.</w:t>
      </w:r>
      <w:r>
        <w:rPr>
          <w:rStyle w:val="FootnoteReference"/>
        </w:rPr>
        <w:footnoteReference w:id="97"/>
      </w:r>
      <w:r>
        <w:t xml:space="preserve"> Or, as the glossary entry on witchers in the first game states, ‘due to their otherness, unusual abilities and magic skills, witchers are treated as outcasts and sometimes even met with hatred.’</w:t>
      </w:r>
      <w:r>
        <w:rPr>
          <w:rStyle w:val="FootnoteReference"/>
        </w:rPr>
        <w:footnoteReference w:id="98"/>
      </w:r>
      <w:r>
        <w:t xml:space="preserve"> A good example of hatred aimed at witchers was found in the pamphlet ‘</w:t>
      </w:r>
      <w:r>
        <w:rPr>
          <w:i/>
          <w:iCs/>
        </w:rPr>
        <w:t>The Monstrum</w:t>
      </w:r>
      <w:r>
        <w:t>’, claiming ‘there is nothing more repulsive than these monsters that defy nature and are known by the name of witcher.’</w:t>
      </w:r>
      <w:r>
        <w:rPr>
          <w:rStyle w:val="FootnoteReference"/>
        </w:rPr>
        <w:footnoteReference w:id="99"/>
      </w:r>
      <w:r>
        <w:t xml:space="preserve"> As Geralt of Rivia says in the first witcher game, ‘“Witchers exist to slay monsters,”’</w:t>
      </w:r>
      <w:r>
        <w:rPr>
          <w:rStyle w:val="FootnoteReference"/>
        </w:rPr>
        <w:footnoteReference w:id="100"/>
      </w:r>
      <w:r>
        <w:t xml:space="preserve"> but in the eyes of the common folk, witchers are just as unnatural and unwanted as the monsters they kill. As such, witchers can exist as both monsters and monster slayers, and as victims in both scenarios.</w:t>
      </w:r>
    </w:p>
    <w:p w14:paraId="788B4CCD" w14:textId="77777777" w:rsidR="008B5C30" w:rsidRDefault="008B5C30" w:rsidP="00C93FE7">
      <w:pPr>
        <w:spacing w:line="360" w:lineRule="auto"/>
      </w:pPr>
      <w:r>
        <w:tab/>
        <w:t>The witchers can also fit into Bell’s statement that ‘the birth of a monster is a violent affair,’</w:t>
      </w:r>
      <w:r>
        <w:rPr>
          <w:rStyle w:val="FootnoteReference"/>
        </w:rPr>
        <w:footnoteReference w:id="101"/>
      </w:r>
      <w:r>
        <w:t xml:space="preserve"> as during the Trial of the Grasses only three to four out of ten children generally would survive the process, with the others dying in agony. </w:t>
      </w:r>
      <w:commentRangeStart w:id="9"/>
      <w:commentRangeStart w:id="10"/>
      <w:r>
        <w:t>In a Witcher 3 journal entry, of five boys aged 10 or younger, one trainee survived and was able to start their training, while the rest died of heart failure, multiple organ failure or cerebral haemorrhage; one child was even euthanised due to severe brain damage</w:t>
      </w:r>
      <w:commentRangeEnd w:id="9"/>
      <w:r>
        <w:rPr>
          <w:rStyle w:val="CommentReference"/>
        </w:rPr>
        <w:commentReference w:id="9"/>
      </w:r>
      <w:commentRangeEnd w:id="10"/>
      <w:r>
        <w:rPr>
          <w:rStyle w:val="CommentReference"/>
        </w:rPr>
        <w:commentReference w:id="10"/>
      </w:r>
      <w:r>
        <w:t>.</w:t>
      </w:r>
      <w:r>
        <w:rPr>
          <w:rStyle w:val="FootnoteReference"/>
        </w:rPr>
        <w:footnoteReference w:id="102"/>
      </w:r>
      <w:r>
        <w:t xml:space="preserve"> While there was no deliberate violence towards the children, there is no doubt that several of the deceased victims of the Trial of the Grasses died violently, and even the surviving children went through violent pain from the poisons used during the Trial of the Grasses.</w:t>
      </w:r>
      <w:r>
        <w:rPr>
          <w:rStyle w:val="FootnoteReference"/>
        </w:rPr>
        <w:footnoteReference w:id="103"/>
      </w:r>
      <w:r w:rsidRPr="00CF04D3">
        <w:t xml:space="preserve"> </w:t>
      </w:r>
      <w:r>
        <w:t xml:space="preserve">Surviving the Trial of the Grasses would be the major catalyst to turn boy to </w:t>
      </w:r>
      <w:r>
        <w:lastRenderedPageBreak/>
        <w:t xml:space="preserve">witcher, or according to some of the common folk of the world of </w:t>
      </w:r>
      <w:r w:rsidRPr="008E6C96">
        <w:rPr>
          <w:i/>
          <w:iCs/>
        </w:rPr>
        <w:t>The Witcher</w:t>
      </w:r>
      <w:r>
        <w:t>, boy to monster.</w:t>
      </w:r>
      <w:r>
        <w:rPr>
          <w:rStyle w:val="FootnoteReference"/>
        </w:rPr>
        <w:footnoteReference w:id="104"/>
      </w:r>
      <w:r>
        <w:t xml:space="preserve"> </w:t>
      </w:r>
    </w:p>
    <w:p w14:paraId="130E3C7A" w14:textId="77777777" w:rsidR="008B5C30" w:rsidRDefault="008B5C30" w:rsidP="00C93FE7">
      <w:pPr>
        <w:spacing w:line="360" w:lineRule="auto"/>
        <w:ind w:firstLine="360"/>
      </w:pPr>
      <w:r>
        <w:t>There is also a witcher named Berengar who resents the rest of the witchers for making him become a witcher. The biography for Berengar only states that he was ‘brought to Kaer Morhen and trained to be a witcher’, meaning there is no way to know if Berengar was a Child of Surprise,</w:t>
      </w:r>
      <w:r>
        <w:rPr>
          <w:rStyle w:val="FootnoteReference"/>
        </w:rPr>
        <w:footnoteReference w:id="105"/>
      </w:r>
      <w:r>
        <w:t xml:space="preserve"> or if his parents willingly gave him to the witchers like Geralt’s mother did.</w:t>
      </w:r>
      <w:r>
        <w:rPr>
          <w:rStyle w:val="FootnoteReference"/>
        </w:rPr>
        <w:footnoteReference w:id="106"/>
      </w:r>
      <w:r>
        <w:t xml:space="preserve"> However, since Berengar vehemently blamed the witchers, it is likely he would have been a Child of Surprise. In a conversation with Geralt, Berengar states that the evil group he was working with reminded him of the witchers, saying: </w:t>
      </w:r>
    </w:p>
    <w:p w14:paraId="2432CC4B" w14:textId="77777777" w:rsidR="008B5C30" w:rsidRDefault="008B5C30" w:rsidP="00C93FE7">
      <w:pPr>
        <w:spacing w:line="240" w:lineRule="auto"/>
        <w:ind w:left="360"/>
      </w:pPr>
      <w:r w:rsidRPr="00633597">
        <w:t>‘“[I] never had a choice - with them or you. The witchers made me a mutant, the Professor a criminal. An outcast twice over… Humans hate me, when they see my eyes they blanch in fear… I wanted to marry, have children, friends, a normal life… The witchers robbed me of that chance.”’</w:t>
      </w:r>
      <w:r w:rsidRPr="00633597">
        <w:rPr>
          <w:rStyle w:val="FootnoteReference"/>
        </w:rPr>
        <w:footnoteReference w:id="107"/>
      </w:r>
      <w:r>
        <w:t xml:space="preserve"> </w:t>
      </w:r>
    </w:p>
    <w:p w14:paraId="4BD42705" w14:textId="77777777" w:rsidR="008B5C30" w:rsidRDefault="008B5C30" w:rsidP="00C93FE7">
      <w:pPr>
        <w:spacing w:line="360" w:lineRule="auto"/>
      </w:pPr>
      <w:r>
        <w:t xml:space="preserve">However, being a witcher did not truly stop Berengar from having children, friends and family, as Geralt essentially adopts Ciri, his Child of Surprise, has friends not only within the other witchers, but also in sorcerers and sorceresses, royalty, non-humans and even regular humans like Jaskier the bard. Additionally, Geralt has Yennefer the sorceress as his partner, who takes on a motherly role to Ciri, showing that having friends and family could have been possible for Berengar. Thus, Berengar became a victim of his own making, blaming the witchers for his luck (granted though, they did rob him of his chance to have a normal life through the Trial of the Grasses). Berengar also made himself into more of a monster than the other witchers by allying himself with an evil group who wished to eliminate the witchers (in a sense this could be called aiding </w:t>
      </w:r>
      <w:r>
        <w:lastRenderedPageBreak/>
        <w:t>genocide) and who were the mother crime group of several groups that went around making drugs, as well as killing and extorting people.</w:t>
      </w:r>
      <w:r>
        <w:rPr>
          <w:rStyle w:val="FootnoteReference"/>
        </w:rPr>
        <w:footnoteReference w:id="108"/>
      </w:r>
      <w:r>
        <w:t xml:space="preserve"> </w:t>
      </w:r>
    </w:p>
    <w:p w14:paraId="24E9D97D" w14:textId="77777777" w:rsidR="008B5C30" w:rsidRDefault="008B5C30" w:rsidP="00C93FE7">
      <w:pPr>
        <w:spacing w:line="360" w:lineRule="auto"/>
        <w:ind w:firstLine="360"/>
      </w:pPr>
      <w:r>
        <w:t>The witchers also fit into Bell’s statement that</w:t>
      </w:r>
    </w:p>
    <w:p w14:paraId="3A494EC0" w14:textId="77777777" w:rsidR="008B5C30" w:rsidRDefault="008B5C30" w:rsidP="00C93FE7">
      <w:pPr>
        <w:spacing w:line="240" w:lineRule="auto"/>
        <w:ind w:left="360" w:firstLine="45"/>
      </w:pPr>
      <w:r>
        <w:t>‘Because the victim is no longer sure of the humanity of those around him, or because he is no longer sure of his own humanity, a nearly unbridgeable divide is placed between the survivor and the inhabitants of his old life.’</w:t>
      </w:r>
      <w:r>
        <w:rPr>
          <w:rStyle w:val="FootnoteReference"/>
        </w:rPr>
        <w:footnoteReference w:id="109"/>
      </w:r>
    </w:p>
    <w:p w14:paraId="295EFA63" w14:textId="77777777" w:rsidR="008B5C30" w:rsidRDefault="008B5C30" w:rsidP="00C93FE7">
      <w:pPr>
        <w:spacing w:line="360" w:lineRule="auto"/>
      </w:pPr>
      <w:r>
        <w:t>However, Berengar would have gone through this twice, first when he went through the Trials of the Grasses and secondly when he aided the Professor in their attack on the other witchers. Thus, Berengar not only became a victim and a monster through being a witcher, he also became a victim and a monster through his own choices, a theme that will be explored thoroughly in the next segment.</w:t>
      </w:r>
    </w:p>
    <w:p w14:paraId="3BB86B40" w14:textId="77777777" w:rsidR="008B5C30" w:rsidRDefault="008B5C30" w:rsidP="00C93FE7">
      <w:pPr>
        <w:spacing w:line="360" w:lineRule="auto"/>
      </w:pPr>
      <w:r>
        <w:br w:type="page"/>
      </w:r>
    </w:p>
    <w:p w14:paraId="2CF75470" w14:textId="77777777" w:rsidR="008B5C30" w:rsidRPr="00010214" w:rsidRDefault="008B5C30" w:rsidP="00C93FE7">
      <w:pPr>
        <w:pStyle w:val="Heading3"/>
        <w:rPr>
          <w:color w:val="auto"/>
          <w:sz w:val="32"/>
          <w:szCs w:val="32"/>
        </w:rPr>
      </w:pPr>
      <w:bookmarkStart w:id="11" w:name="_Toc209167282"/>
      <w:r w:rsidRPr="00010214">
        <w:rPr>
          <w:color w:val="auto"/>
          <w:sz w:val="32"/>
          <w:szCs w:val="32"/>
        </w:rPr>
        <w:lastRenderedPageBreak/>
        <w:t>Monster as choice</w:t>
      </w:r>
      <w:r>
        <w:rPr>
          <w:color w:val="auto"/>
          <w:sz w:val="32"/>
          <w:szCs w:val="32"/>
        </w:rPr>
        <w:t xml:space="preserve"> (</w:t>
      </w:r>
      <w:r w:rsidRPr="00010214">
        <w:rPr>
          <w:color w:val="auto"/>
          <w:sz w:val="32"/>
          <w:szCs w:val="32"/>
        </w:rPr>
        <w:t>agency</w:t>
      </w:r>
      <w:r>
        <w:rPr>
          <w:color w:val="auto"/>
          <w:sz w:val="32"/>
          <w:szCs w:val="32"/>
        </w:rPr>
        <w:t xml:space="preserve"> in</w:t>
      </w:r>
      <w:r w:rsidRPr="00010214">
        <w:rPr>
          <w:color w:val="auto"/>
          <w:sz w:val="32"/>
          <w:szCs w:val="32"/>
        </w:rPr>
        <w:t xml:space="preserve"> monstrosity</w:t>
      </w:r>
      <w:r>
        <w:rPr>
          <w:color w:val="auto"/>
          <w:sz w:val="32"/>
          <w:szCs w:val="32"/>
        </w:rPr>
        <w:t>)</w:t>
      </w:r>
      <w:r w:rsidRPr="00010214">
        <w:rPr>
          <w:color w:val="auto"/>
          <w:sz w:val="32"/>
          <w:szCs w:val="32"/>
        </w:rPr>
        <w:t xml:space="preserve"> </w:t>
      </w:r>
      <w:bookmarkEnd w:id="11"/>
    </w:p>
    <w:p w14:paraId="276F0C87" w14:textId="77777777" w:rsidR="008B5C30" w:rsidRDefault="008B5C30" w:rsidP="001A7DA7">
      <w:pPr>
        <w:spacing w:line="360" w:lineRule="auto"/>
        <w:jc w:val="center"/>
      </w:pPr>
      <w:r>
        <w:t>‘The hero has to be a monster.’</w:t>
      </w:r>
      <w:r>
        <w:rPr>
          <w:rStyle w:val="FootnoteReference"/>
        </w:rPr>
        <w:footnoteReference w:id="110"/>
      </w:r>
    </w:p>
    <w:p w14:paraId="6A406797" w14:textId="6BE128AF" w:rsidR="008B5C30" w:rsidRDefault="008B5C30" w:rsidP="00C93FE7">
      <w:pPr>
        <w:spacing w:line="360" w:lineRule="auto"/>
      </w:pPr>
      <w:r>
        <w:t>Becoming a monster is not always a punishment or a result after becoming a victim; sometimes it is a choice they willingly make. It is evident from characters like Tolkein’s Sauron</w:t>
      </w:r>
      <w:r w:rsidR="00404E1A">
        <w:t>,</w:t>
      </w:r>
      <w:r w:rsidR="00A25686">
        <w:t xml:space="preserve"> </w:t>
      </w:r>
      <w:r>
        <w:t xml:space="preserve">and Anakin Skywalker (of </w:t>
      </w:r>
      <w:r w:rsidRPr="00FD6887">
        <w:rPr>
          <w:i/>
          <w:iCs/>
        </w:rPr>
        <w:t>Star Wars</w:t>
      </w:r>
      <w:r>
        <w:t>) that some people would do anything for more power, whether creating rings to enslave all other races in the world,</w:t>
      </w:r>
      <w:r>
        <w:rPr>
          <w:rStyle w:val="FootnoteReference"/>
        </w:rPr>
        <w:footnoteReference w:id="111"/>
      </w:r>
      <w:r>
        <w:t xml:space="preserve"> or betraying his group to gain the power to keep his secret wife alive (who still ultimately died).</w:t>
      </w:r>
      <w:r>
        <w:rPr>
          <w:rStyle w:val="FootnoteReference"/>
        </w:rPr>
        <w:footnoteReference w:id="112"/>
      </w:r>
      <w:r>
        <w:t xml:space="preserve"> It is also seen with the scientist Frankenstein’s creation (his so-called monster); so enraptured with being able to have the power to create life that he fails to realise it is a step he should not take, until it is too late.</w:t>
      </w:r>
      <w:r>
        <w:rPr>
          <w:rStyle w:val="FootnoteReference"/>
        </w:rPr>
        <w:footnoteReference w:id="113"/>
      </w:r>
      <w:r>
        <w:t xml:space="preserve"> On the other hand, Jordan Peterson says in a motivational speech that ‘The strength that you develop in your monstrousness is actually the best guarantee of peace.’</w:t>
      </w:r>
      <w:r>
        <w:rPr>
          <w:rStyle w:val="FootnoteReference"/>
        </w:rPr>
        <w:footnoteReference w:id="114"/>
      </w:r>
      <w:r>
        <w:t xml:space="preserve"> What he means is that by training to fight and look after oneself, and gaining a reputation for being able to do so, enemies and those who wish harm on others will generally leave you alone. Thus, this section looks at reasons why some of the case studies chose to become a monster, with a focus on modern necromancers and witchers. Another case study that will be featured once more is Medusa, for although she did not choose to become a monster, she is often seen as a symbol of female empowerment. </w:t>
      </w:r>
    </w:p>
    <w:p w14:paraId="43D2EFCF" w14:textId="77777777" w:rsidR="008B5C30" w:rsidRDefault="008B5C30" w:rsidP="00C93FE7">
      <w:pPr>
        <w:spacing w:line="360" w:lineRule="auto"/>
        <w:ind w:firstLine="720"/>
      </w:pPr>
      <w:r>
        <w:t xml:space="preserve">As explained in both the introduction of the dissertation and the previous section on victims, witchers are regarded as monsters to lots of the religious and common folk of the world of </w:t>
      </w:r>
      <w:r w:rsidRPr="00680594">
        <w:rPr>
          <w:i/>
          <w:iCs/>
        </w:rPr>
        <w:t>The Witcher</w:t>
      </w:r>
      <w:r>
        <w:t>. While some witchers came to their schools as Children of Surprise, a reward determined by the Law of Surprise through the fateful words of ‘“whatever windfall you return home to find would be mine,”’</w:t>
      </w:r>
      <w:r>
        <w:rPr>
          <w:rStyle w:val="FootnoteReference"/>
        </w:rPr>
        <w:footnoteReference w:id="115"/>
      </w:r>
      <w:r>
        <w:t xml:space="preserve"> with the religious and common folk crying out that these Children of Surprise were “stolen”, this was not always the case. Blacksmiths were noted to comment ‘“t</w:t>
      </w:r>
      <w:r w:rsidRPr="00DA7E39">
        <w:t>hey say you take on apprentices like we craftsmen do</w:t>
      </w:r>
      <w:r>
        <w:t xml:space="preserve">,”’ signifying that not all young boys going through the </w:t>
      </w:r>
      <w:r>
        <w:lastRenderedPageBreak/>
        <w:t>Trial of the Grasses were Children of Surprise and ‘“whisked away”’ from their families.</w:t>
      </w:r>
      <w:r>
        <w:rPr>
          <w:rStyle w:val="FootnoteReference"/>
        </w:rPr>
        <w:footnoteReference w:id="116"/>
      </w:r>
      <w:r>
        <w:t xml:space="preserve"> It also insinuates that the young boys were willing to go through the Trial of the Grasses and become a witcher, though whether the boys were aware of how lethal the Trial was, is unknown. </w:t>
      </w:r>
    </w:p>
    <w:p w14:paraId="0E46BDE1" w14:textId="77777777" w:rsidR="008B5C30" w:rsidRDefault="008B5C30" w:rsidP="00C93FE7">
      <w:pPr>
        <w:spacing w:line="360" w:lineRule="auto"/>
        <w:ind w:firstLine="720"/>
      </w:pPr>
      <w:r>
        <w:t>In addition, some children like Geralt of Rivia were given away or abandoned near the training schools; others were orphans on the streets.</w:t>
      </w:r>
      <w:r>
        <w:rPr>
          <w:rStyle w:val="FootnoteReference"/>
        </w:rPr>
        <w:footnoteReference w:id="117"/>
      </w:r>
      <w:r>
        <w:t xml:space="preserve"> Thus, these children had little chance of surviving on their own, perhaps even about the same survival rate as the Trial of the Grasses, so the option of becoming a witcher would not have been too unwelcome by the boys. This is even more so when a fully trained witcher’s fighting and magical abilities are factored in; the boys may have had to mutate their bodies and become ‘offspring of foul sorcery and witchcraft’,</w:t>
      </w:r>
      <w:r>
        <w:rPr>
          <w:rStyle w:val="FootnoteReference"/>
        </w:rPr>
        <w:footnoteReference w:id="118"/>
      </w:r>
      <w:r>
        <w:t xml:space="preserve"> but in exchange they gained invulnerability to poison and most diseases, sword mastery and some limited magic. The ability to be able to fight back meant that, in a world where true monsters were not only blood-sucking or flesh-eating creatures but also ‘hiding behind ideals, faith and the law’,</w:t>
      </w:r>
      <w:r>
        <w:rPr>
          <w:rStyle w:val="FootnoteReference"/>
        </w:rPr>
        <w:footnoteReference w:id="119"/>
      </w:r>
      <w:r>
        <w:t xml:space="preserve"> becoming a witcher was an honourable profession. </w:t>
      </w:r>
      <w:r w:rsidRPr="008A7271">
        <w:t xml:space="preserve">Through their feats of fighting incredibly dangerous monsters and surviving, witchers can be seen as some of the most dangerous creatures of the world of </w:t>
      </w:r>
      <w:r w:rsidRPr="008A7271">
        <w:rPr>
          <w:i/>
          <w:iCs/>
        </w:rPr>
        <w:t>The Witcher</w:t>
      </w:r>
      <w:r w:rsidRPr="008A7271">
        <w:t>, a reason they get ostracised by society</w:t>
      </w:r>
      <w:r>
        <w:t>.</w:t>
      </w:r>
      <w:r w:rsidRPr="008A7271">
        <w:t xml:space="preserve"> </w:t>
      </w:r>
      <w:r>
        <w:t>As the glossary for witchers, and the character Zoltan Chivay, state in the first game: ‘People need witchers but are simultaneously afraid of them.’</w:t>
      </w:r>
      <w:r>
        <w:rPr>
          <w:rStyle w:val="FootnoteReference"/>
        </w:rPr>
        <w:footnoteReference w:id="120"/>
      </w:r>
      <w:r>
        <w:t xml:space="preserve"> </w:t>
      </w:r>
    </w:p>
    <w:p w14:paraId="4AEF26DF" w14:textId="77777777" w:rsidR="008B5C30" w:rsidRDefault="008B5C30" w:rsidP="00C93FE7">
      <w:pPr>
        <w:spacing w:line="360" w:lineRule="auto"/>
        <w:ind w:firstLine="720"/>
      </w:pPr>
      <w:r>
        <w:t>In some , witchers are made into heroes like those of classical myths, who also fight dangerous monsters, such as Heracles (Roman name Hercules) who had to defeat the Lernaean hydra, Stymphalian birds and the Nemean lion; Theseus with the Minotaur; and Perseus with Medusa. This connection can be made even more apparent with the song ‘</w:t>
      </w:r>
      <w:r>
        <w:rPr>
          <w:i/>
          <w:iCs/>
        </w:rPr>
        <w:t>Toss a Coin to Your Witcher</w:t>
      </w:r>
      <w:r>
        <w:t xml:space="preserve">’ that featured in the Netflix show, with the lyrics </w:t>
      </w:r>
    </w:p>
    <w:p w14:paraId="53B31373" w14:textId="77777777" w:rsidR="008B5C30" w:rsidRDefault="008B5C30" w:rsidP="00955239">
      <w:pPr>
        <w:spacing w:after="0" w:line="240" w:lineRule="auto"/>
        <w:ind w:left="720"/>
        <w:jc w:val="center"/>
      </w:pPr>
      <w:r>
        <w:t>‘He wiped out your pest,</w:t>
      </w:r>
    </w:p>
    <w:p w14:paraId="17FE05D6" w14:textId="77777777" w:rsidR="008B5C30" w:rsidRDefault="008B5C30" w:rsidP="00955239">
      <w:pPr>
        <w:tabs>
          <w:tab w:val="left" w:pos="1494"/>
          <w:tab w:val="center" w:pos="4873"/>
        </w:tabs>
        <w:spacing w:after="0" w:line="240" w:lineRule="auto"/>
        <w:ind w:left="720"/>
        <w:jc w:val="center"/>
      </w:pPr>
      <w:r>
        <w:t>Got kicked in his chest,</w:t>
      </w:r>
    </w:p>
    <w:p w14:paraId="07329B2B" w14:textId="77777777" w:rsidR="008B5C30" w:rsidRDefault="008B5C30" w:rsidP="00955239">
      <w:pPr>
        <w:spacing w:after="0" w:line="240" w:lineRule="auto"/>
        <w:ind w:left="720"/>
        <w:jc w:val="center"/>
      </w:pPr>
      <w:r>
        <w:t>He’s a friend of humanity,</w:t>
      </w:r>
    </w:p>
    <w:p w14:paraId="3B776B7B" w14:textId="77777777" w:rsidR="008B5C30" w:rsidRDefault="008B5C30" w:rsidP="00955239">
      <w:pPr>
        <w:spacing w:after="0" w:line="240" w:lineRule="auto"/>
        <w:ind w:left="720"/>
        <w:jc w:val="center"/>
      </w:pPr>
      <w:r>
        <w:lastRenderedPageBreak/>
        <w:t>So give him the rest.</w:t>
      </w:r>
    </w:p>
    <w:p w14:paraId="6F6323A0" w14:textId="77777777" w:rsidR="008B5C30" w:rsidRDefault="008B5C30" w:rsidP="00955239">
      <w:pPr>
        <w:spacing w:after="0" w:line="240" w:lineRule="auto"/>
        <w:ind w:left="720"/>
        <w:jc w:val="center"/>
      </w:pPr>
      <w:r>
        <w:t>That’s my epic tale,</w:t>
      </w:r>
    </w:p>
    <w:p w14:paraId="495A9814" w14:textId="77777777" w:rsidR="008B5C30" w:rsidRDefault="008B5C30" w:rsidP="00955239">
      <w:pPr>
        <w:spacing w:after="0" w:line="240" w:lineRule="auto"/>
        <w:ind w:left="720"/>
        <w:jc w:val="center"/>
      </w:pPr>
      <w:r>
        <w:t>Our champion prevailed,</w:t>
      </w:r>
    </w:p>
    <w:p w14:paraId="338900EC" w14:textId="77777777" w:rsidR="008B5C30" w:rsidRDefault="008B5C30" w:rsidP="00955239">
      <w:pPr>
        <w:spacing w:after="0" w:line="240" w:lineRule="auto"/>
        <w:ind w:left="720"/>
        <w:jc w:val="center"/>
      </w:pPr>
      <w:r>
        <w:t>Defeated the villain,</w:t>
      </w:r>
    </w:p>
    <w:p w14:paraId="29F5266B" w14:textId="77777777" w:rsidR="008B5C30" w:rsidRDefault="008B5C30" w:rsidP="00955239">
      <w:pPr>
        <w:spacing w:after="0" w:line="240" w:lineRule="auto"/>
        <w:ind w:left="720"/>
        <w:jc w:val="center"/>
      </w:pPr>
      <w:r>
        <w:t>Now pour him some ale!’</w:t>
      </w:r>
      <w:r>
        <w:rPr>
          <w:rStyle w:val="FootnoteReference"/>
        </w:rPr>
        <w:footnoteReference w:id="121"/>
      </w:r>
    </w:p>
    <w:p w14:paraId="3CCF91B1" w14:textId="77777777" w:rsidR="008B5C30" w:rsidRDefault="008B5C30" w:rsidP="00C93FE7">
      <w:pPr>
        <w:spacing w:before="240" w:line="360" w:lineRule="auto"/>
      </w:pPr>
      <w:r>
        <w:t>which follow after a recollection of some of Geralt’s achievements. The lyrics appeal to audiences, mostly those drinking in a tavern, with the intention of improving relations with the witchers, idealising them as heroes and champions and calling them ‘friends of humanity.’</w:t>
      </w:r>
      <w:r>
        <w:rPr>
          <w:rStyle w:val="FootnoteReference"/>
        </w:rPr>
        <w:footnoteReference w:id="122"/>
      </w:r>
      <w:r>
        <w:t xml:space="preserve"> </w:t>
      </w:r>
    </w:p>
    <w:p w14:paraId="0214FD56" w14:textId="17031C3E" w:rsidR="008B5C30" w:rsidRDefault="008B5C30" w:rsidP="00C93FE7">
      <w:pPr>
        <w:spacing w:before="240" w:line="360" w:lineRule="auto"/>
        <w:ind w:firstLine="360"/>
      </w:pPr>
      <w:r>
        <w:t>Geralt and the other witchers also go through a hero’s journey (as coined by Joseph Campbell),</w:t>
      </w:r>
      <w:r>
        <w:rPr>
          <w:rStyle w:val="FootnoteReference"/>
        </w:rPr>
        <w:footnoteReference w:id="123"/>
      </w:r>
      <w:r>
        <w:t xml:space="preserve"> starting with being separated from the “normal” world as children to be taken to witcher strongholds to go through the Trial of the Grasses. The Trial of the Grasses starts the initiation section of the hero’s journey, where they adapt to the experiments and learn the knowledge of the witchers and how to survive in their new world. Then once they become a fully trained witcher, they go out into the world to take on requests and fight monsters for coin. Once winter is coming, the witchers make their last section of their hero’s journey back to their respective strongholds to rest for the season; hopefully one they will make every year. Their journeys are not unlike the classical hero’s journey, with Theseus as an example; Theseus’ journey starts when he was shipped out as a tribute to Crete to be food for the Minotaur. His initiation takes place both on the ship (preparing himself for inside the Labyrinth) and inside the Labyrinth itself, where Ariadne helped him with thread to learn the passages of the Minotaur’s prison. Then he made his return home after successfully killing the Minotaur, fulfilling the hero’s journey. Through these connections to classical heroes, the witchers can be both champions and monsters in the eyes of the citizens, and so choosing to become a witcher (and thus, choosing to be a monster) could be a valid choice, especially when that monster can be regarded as a hero and champion.</w:t>
      </w:r>
    </w:p>
    <w:p w14:paraId="7A476B09" w14:textId="77777777" w:rsidR="008B5C30" w:rsidRDefault="008B5C30" w:rsidP="00C93FE7">
      <w:pPr>
        <w:spacing w:before="240" w:line="360" w:lineRule="auto"/>
        <w:ind w:firstLine="360"/>
      </w:pPr>
      <w:r>
        <w:t xml:space="preserve">Similarly, some necromancers would be given the choice to become what they are. The original necromancers in classical times, while not considered monsters, were </w:t>
      </w:r>
      <w:r>
        <w:lastRenderedPageBreak/>
        <w:t xml:space="preserve">religious figures for Hades and Persephone, chthonic deities of the Greek Underworld, who could connect to ghosts to receive information. This likely would have been a religious office they could take up by choice, thus still warranting inclusion in this section of the dissertation. Their counterparts in modern fantasy can also be priests of the gods of death and the underworlds, however this is not always the case, and they do not always receive the luxury of choice. Some were born with the magical power of necromancy, and others became liches with death magic after their own death; neither of these types of necromancers would have had a choice in their magical affinity. Then there are characters like Seongwu from the webtoon </w:t>
      </w:r>
      <w:r>
        <w:rPr>
          <w:i/>
          <w:iCs/>
        </w:rPr>
        <w:t>The Lone Necromancer</w:t>
      </w:r>
      <w:r>
        <w:t>, who picked the necromancer card out of a vast, unknown number of cards when choosing character classes to survive in an apocalypse.</w:t>
      </w:r>
    </w:p>
    <w:p w14:paraId="20E22B37" w14:textId="0C321368" w:rsidR="008B5C30" w:rsidRDefault="008B5C30" w:rsidP="00C93FE7">
      <w:pPr>
        <w:spacing w:before="240" w:line="360" w:lineRule="auto"/>
        <w:ind w:firstLine="360"/>
      </w:pPr>
      <w:r>
        <w:t>But why would anyone in fantasy choose to become a necromancer, and how can a necromancer be considered monstrous? The answers to these questions are identical: the ability to raise the dead. Being able to create one’s own army of undead beings who never physically tire would be a clear advantage to most other characters in fantasy worlds. There are some exceptions: those who are massively “overpowered” (OP),</w:t>
      </w:r>
      <w:r>
        <w:rPr>
          <w:rStyle w:val="FootnoteReference"/>
        </w:rPr>
        <w:footnoteReference w:id="124"/>
      </w:r>
      <w:r>
        <w:t xml:space="preserve">  often referred to as monsters themselves due to how powerful they are, especially if they are not human or not fully human. There are also summoners and spiritualists (those who fight along with elemental spirits) who can similarly create large groups with their powers, though their summoned creatures and spirits would be more finite than the undead, and certainly be able to get exhausted unlike the undead. There would be limits on how many undead the necromancer would have, depending on the type of necromancer; do they summon spirits who disappear at the end of the summon, or are their undead always active after being summoned and only resummoned after death? Or are their undead unable to be resummoned once destroyed? These all determine how OP the necromancer can become, with the summons-always-active necromancers being the most OP, especially if they do not need to replace their undead after every battle if some get destroyed. Additionally, they could always get more powerful after every battle unless they have a summon limit. </w:t>
      </w:r>
    </w:p>
    <w:p w14:paraId="1FA0999A" w14:textId="61174A00" w:rsidR="008B5C30" w:rsidRDefault="004D74A2" w:rsidP="00C93FE7">
      <w:pPr>
        <w:spacing w:before="240" w:line="360" w:lineRule="auto"/>
        <w:ind w:firstLine="360"/>
      </w:pPr>
      <w:r>
        <w:lastRenderedPageBreak/>
        <w:t>D</w:t>
      </w:r>
      <w:r w:rsidR="008B5C30">
        <w:t>ue to the nature of necromancers using dead bodies, there is the stereotype that necromancers desecrate the dead to raise their armies; within fantasy usually this only happens with evil or antagonistic necromancers. Protagonists tend to use dead enemies, usually creatures like goblins and orcs, and rarely use human bodies unless they received consent from the individual. Therefore, unless one decides to go looting graves for an army, choosing to become a necromancer would be one of the best choices someone could make if they wished to become powerful in a fantasy world, regardless of whether they wish to be good or bad.</w:t>
      </w:r>
    </w:p>
    <w:p w14:paraId="6F315A65" w14:textId="77777777" w:rsidR="008B5C30" w:rsidRDefault="008B5C30" w:rsidP="00C93FE7">
      <w:pPr>
        <w:spacing w:before="240" w:line="360" w:lineRule="auto"/>
        <w:ind w:firstLine="360"/>
      </w:pPr>
      <w:r>
        <w:t xml:space="preserve">Another reason why someone may choose to be a necromancer is the ability to bring their loved ones back to life. This to some would be more important than gaining power and building an army; being able to ensure their loved ones cannot leave them. A clear example of this is Agnus from the Korean novel </w:t>
      </w:r>
      <w:r>
        <w:rPr>
          <w:i/>
          <w:iCs/>
        </w:rPr>
        <w:t>Overgeared</w:t>
      </w:r>
      <w:r>
        <w:t>, who becomes a necromancer to revive his dead lover after she committed suicide.</w:t>
      </w:r>
      <w:r>
        <w:rPr>
          <w:rStyle w:val="FootnoteReference"/>
        </w:rPr>
        <w:footnoteReference w:id="125"/>
      </w:r>
      <w:r>
        <w:t xml:space="preserve"> This motivation often creates necromancers who are more morally monstrous than others since they often stop at nothing to bring back their loved ones, and some would even say they desecrate the dead by not letting their loved ones rest. Nevertheless, being able to have the ability to bring their loved ones back, no matter the cost or what they have to do, is a reason why some wish to become a necromancer.</w:t>
      </w:r>
    </w:p>
    <w:p w14:paraId="5365D066" w14:textId="77777777" w:rsidR="008B5C30" w:rsidRPr="00480D97" w:rsidRDefault="008B5C30" w:rsidP="00897580">
      <w:pPr>
        <w:spacing w:line="360" w:lineRule="auto"/>
        <w:ind w:firstLine="360"/>
      </w:pPr>
      <w:r>
        <w:rPr>
          <w:noProof/>
        </w:rPr>
        <w:lastRenderedPageBreak/>
        <w:drawing>
          <wp:anchor distT="0" distB="0" distL="114300" distR="114300" simplePos="0" relativeHeight="251635712" behindDoc="1" locked="0" layoutInCell="1" allowOverlap="1" wp14:anchorId="0196CF4C" wp14:editId="7E7ACE6F">
            <wp:simplePos x="0" y="0"/>
            <wp:positionH relativeFrom="margin">
              <wp:align>left</wp:align>
            </wp:positionH>
            <wp:positionV relativeFrom="paragraph">
              <wp:posOffset>1637030</wp:posOffset>
            </wp:positionV>
            <wp:extent cx="3003550" cy="6118225"/>
            <wp:effectExtent l="0" t="0" r="6350" b="0"/>
            <wp:wrapTight wrapText="bothSides">
              <wp:wrapPolygon edited="0">
                <wp:start x="0" y="0"/>
                <wp:lineTo x="0" y="21522"/>
                <wp:lineTo x="21509" y="21522"/>
                <wp:lineTo x="21509" y="0"/>
                <wp:lineTo x="0" y="0"/>
              </wp:wrapPolygon>
            </wp:wrapTight>
            <wp:docPr id="1294062095" name="Picture 1" descr="A statue of a person holding a swo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062095" name="Picture 1" descr="A statue of a person holding a sword&#10;&#10;AI-generated content may be incorrect."/>
                    <pic:cNvPicPr/>
                  </pic:nvPicPr>
                  <pic:blipFill rotWithShape="1">
                    <a:blip r:embed="rId14" cstate="print">
                      <a:extLst>
                        <a:ext uri="{28A0092B-C50C-407E-A947-70E740481C1C}">
                          <a14:useLocalDpi xmlns:a14="http://schemas.microsoft.com/office/drawing/2010/main" val="0"/>
                        </a:ext>
                      </a:extLst>
                    </a:blip>
                    <a:srcRect t="4095"/>
                    <a:stretch>
                      <a:fillRect/>
                    </a:stretch>
                  </pic:blipFill>
                  <pic:spPr bwMode="auto">
                    <a:xfrm>
                      <a:off x="0" y="0"/>
                      <a:ext cx="3003550" cy="6118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For this last section on the choice to become a monster, we return to Medusa. Admittedly, she did </w:t>
      </w:r>
      <w:r>
        <w:rPr>
          <w:i/>
          <w:iCs/>
        </w:rPr>
        <w:t>not</w:t>
      </w:r>
      <w:r>
        <w:t xml:space="preserve"> choose to become a gorgon; she was either born as one or was turned into one after her rape in Athena’s temple. However, her ability to petrify people with her gaze is a power that could be used as protection, and as such there would be people who might choose to acquire it. Even Perseus uses Medusa’s decapitated head to protect his mother by turning her unwanted lover to stone through Medusa’s power, showing that even after death Medusa is still capable of protecting others. Medusa being able to protect herself and others though her power of petrification can tie into Athena being a symbol of power and protection, both ironically, if viewed as a punishment, and symbolically, if regarded as a gift. And now, with feminism taking the helm of Medusa’s myth, she can empower women with her story.  This is evident within the Disney+ show version of </w:t>
      </w:r>
      <w:r>
        <w:rPr>
          <w:i/>
          <w:iCs/>
        </w:rPr>
        <w:t>Percy Jackson and the Lightning Thief</w:t>
      </w:r>
      <w:r>
        <w:t>: Medusa says she is a survivor, and that the gift the gods gave her is ‘that I cannot be bullied anymore.’</w:t>
      </w:r>
      <w:r>
        <w:rPr>
          <w:rStyle w:val="FootnoteReference"/>
        </w:rPr>
        <w:footnoteReference w:id="126"/>
      </w:r>
    </w:p>
    <w:p w14:paraId="03F8AEB4" w14:textId="77777777" w:rsidR="008B5C30" w:rsidRDefault="008B5C30" w:rsidP="00C93FE7">
      <w:pPr>
        <w:spacing w:line="360" w:lineRule="auto"/>
        <w:ind w:firstLine="360"/>
      </w:pPr>
      <w:r>
        <w:rPr>
          <w:noProof/>
        </w:rPr>
        <mc:AlternateContent>
          <mc:Choice Requires="wps">
            <w:drawing>
              <wp:anchor distT="0" distB="0" distL="114300" distR="114300" simplePos="0" relativeHeight="251636736" behindDoc="0" locked="0" layoutInCell="1" allowOverlap="1" wp14:anchorId="0C790B0D" wp14:editId="1AA99B46">
                <wp:simplePos x="0" y="0"/>
                <wp:positionH relativeFrom="margin">
                  <wp:align>left</wp:align>
                </wp:positionH>
                <wp:positionV relativeFrom="paragraph">
                  <wp:posOffset>1229360</wp:posOffset>
                </wp:positionV>
                <wp:extent cx="3002915" cy="309880"/>
                <wp:effectExtent l="0" t="0" r="6985" b="0"/>
                <wp:wrapSquare wrapText="bothSides"/>
                <wp:docPr id="549913471" name="Text Box 1"/>
                <wp:cNvGraphicFramePr/>
                <a:graphic xmlns:a="http://schemas.openxmlformats.org/drawingml/2006/main">
                  <a:graphicData uri="http://schemas.microsoft.com/office/word/2010/wordprocessingShape">
                    <wps:wsp>
                      <wps:cNvSpPr txBox="1"/>
                      <wps:spPr>
                        <a:xfrm>
                          <a:off x="0" y="0"/>
                          <a:ext cx="3002915" cy="309880"/>
                        </a:xfrm>
                        <a:prstGeom prst="rect">
                          <a:avLst/>
                        </a:prstGeom>
                        <a:solidFill>
                          <a:prstClr val="white"/>
                        </a:solidFill>
                        <a:ln>
                          <a:noFill/>
                        </a:ln>
                      </wps:spPr>
                      <wps:txbx>
                        <w:txbxContent>
                          <w:p w14:paraId="0E140784" w14:textId="355170D9" w:rsidR="008B5C30" w:rsidRDefault="008B5C30" w:rsidP="00A30D97">
                            <w:pPr>
                              <w:pStyle w:val="Caption"/>
                              <w:rPr>
                                <w:noProof/>
                              </w:rPr>
                            </w:pPr>
                            <w:r>
                              <w:t xml:space="preserve">Figure </w:t>
                            </w:r>
                            <w:fldSimple w:instr=" SEQ Figure \* ARABIC ">
                              <w:r w:rsidR="0051659C">
                                <w:rPr>
                                  <w:noProof/>
                                </w:rPr>
                                <w:t>1</w:t>
                              </w:r>
                            </w:fldSimple>
                            <w:r>
                              <w:t xml:space="preserve"> Screenshot of a video unveiling Luciano Garbati's Medusa statue, taken from Luciano Garbati’s Instagram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C790B0D" id="_x0000_t202" coordsize="21600,21600" o:spt="202" path="m,l,21600r21600,l21600,xe">
                <v:stroke joinstyle="miter"/>
                <v:path gradientshapeok="t" o:connecttype="rect"/>
              </v:shapetype>
              <v:shape id="Text Box 1" o:spid="_x0000_s1026" type="#_x0000_t202" style="position:absolute;left:0;text-align:left;margin-left:0;margin-top:96.8pt;width:236.45pt;height:24.4pt;z-index:2516367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" stroked="f">
                <v:textbox inset="0,0,0,0">
                  <w:txbxContent>
                    <w:p w14:paraId="0E140784" w14:textId="355170D9" w:rsidR="008B5C30" w:rsidRDefault="008B5C30" w:rsidP="00A30D97">
                      <w:pPr>
                        <w:pStyle w:val="Caption"/>
                        <w:rPr>
                          <w:noProof/>
                        </w:rPr>
                      </w:pPr>
                      <w:r>
                        <w:t xml:space="preserve">Figure </w:t>
                      </w:r>
                      <w:r>
                        <w:fldChar w:fldCharType="begin"/>
                      </w:r>
                      <w:r>
                        <w:instrText xml:space="preserve"> SEQ Figure \* ARABIC </w:instrText>
                      </w:r>
                      <w:r>
                        <w:fldChar w:fldCharType="separate"/>
                      </w:r>
                      <w:r w:rsidR="0051659C">
                        <w:rPr>
                          <w:noProof/>
                        </w:rPr>
                        <w:t>1</w:t>
                      </w:r>
                      <w:r>
                        <w:rPr>
                          <w:noProof/>
                        </w:rPr>
                        <w:fldChar w:fldCharType="end"/>
                      </w:r>
                      <w:r>
                        <w:t xml:space="preserve"> Screenshot of a video unveiling Luciano Garbati's Medusa statue, taken from Luciano Garbati’s Instagram</w:t>
                      </w:r>
                    </w:p>
                  </w:txbxContent>
                </v:textbox>
                <w10:wrap type="square" anchorx="margin"/>
              </v:shape>
            </w:pict>
          </mc:Fallback>
        </mc:AlternateContent>
      </w:r>
      <w:r>
        <w:t>In the article ‘Anger: Embracing the Medusa Trope as an Act of Resistance’, Myisha Cherry encourages women to ‘embrace the Medusa trope’ and express their rage to fight against misogynists and rapists.</w:t>
      </w:r>
      <w:r>
        <w:rPr>
          <w:rStyle w:val="FootnoteReference"/>
        </w:rPr>
        <w:footnoteReference w:id="127"/>
      </w:r>
      <w:r>
        <w:t xml:space="preserve"> This allows women to control their own narrative and empower themselves with the image of </w:t>
      </w:r>
      <w:r>
        <w:lastRenderedPageBreak/>
        <w:t>Medusa, who became the ‘avatar for women’s rage in the wake of the #MeTooMovement’ in 2018.</w:t>
      </w:r>
      <w:r>
        <w:rPr>
          <w:rStyle w:val="FootnoteReference"/>
        </w:rPr>
        <w:footnoteReference w:id="128"/>
      </w:r>
      <w:r>
        <w:t xml:space="preserve"> There was even a statue of Medusa unveiled in 2020 at Collect Pond park in Manhattan, according to artist Luciano Garbati’s Instagram, depicting Medusa holding Perseus’ decapitated head, a direct inversion of the well-known image of Perseus. Created in 2008, the statue of Medusa holds Perseus’ head low, unlike the victorious demeanour Perseus uses to hold Medusa’s head high. In my opinion, Medusa keeping his decapitated head low evokes a feeling of revenge and retribution rather than the victory and cheer of Perseus’ statue; it is almost as if this Medusa is aiming for the vengeance of her mythic counterpart, and other rape survivors. This can also draw parallels to the image of the gorgon (the gorgoneion) being used as a symbol of protection on shields and architecture. The gorgoneion is used to ‘protect and ward off the negative’</w:t>
      </w:r>
      <w:r>
        <w:rPr>
          <w:rStyle w:val="FootnoteReference"/>
        </w:rPr>
        <w:footnoteReference w:id="129"/>
      </w:r>
      <w:r>
        <w:t xml:space="preserve"> and as ‘protection from danger on the battlefield,’</w:t>
      </w:r>
      <w:r>
        <w:rPr>
          <w:rStyle w:val="FootnoteReference"/>
        </w:rPr>
        <w:footnoteReference w:id="130"/>
      </w:r>
      <w:r>
        <w:t xml:space="preserve"> while Garbati’s statue resembles a female fury to protect other rape victims. The statue appears to be challenging anyone to come forth and fight her like Perseus did; she became the monster to protect others like her, and to stop people from becoming like her. This fits with Alban’s quote that</w:t>
      </w:r>
    </w:p>
    <w:p w14:paraId="7652D41A" w14:textId="77777777" w:rsidR="008B5C30" w:rsidRDefault="008B5C30" w:rsidP="00C93FE7">
      <w:pPr>
        <w:spacing w:line="240" w:lineRule="auto"/>
        <w:ind w:left="360"/>
      </w:pPr>
      <w:r>
        <w:t>‘</w:t>
      </w:r>
      <w:r w:rsidRPr="007D38B2">
        <w:t>Medusa’s power is thus both protective and destructive, fascinating and paralyzing, protecting those who access her force and destroying her enemies. Once crushed and made monstrous by patriarchy, her very monstrosity now comes full circle in her triumphant female gaze</w:t>
      </w:r>
      <w:r>
        <w:t>.’</w:t>
      </w:r>
      <w:r>
        <w:rPr>
          <w:rStyle w:val="FootnoteReference"/>
        </w:rPr>
        <w:footnoteReference w:id="131"/>
      </w:r>
    </w:p>
    <w:p w14:paraId="629FE9CC" w14:textId="77777777" w:rsidR="008B5C30" w:rsidRDefault="008B5C30" w:rsidP="00C93FE7">
      <w:pPr>
        <w:spacing w:line="360" w:lineRule="auto"/>
      </w:pPr>
      <w:r>
        <w:t>This is the exact Medusa that Garbati’s statue seems to embody; a ‘</w:t>
      </w:r>
      <w:r w:rsidRPr="00A443E5">
        <w:t>triumphant Medusa as protective evil eye or icon, turning her petrifying force against external harm, uncannily empowering her subject</w:t>
      </w:r>
      <w:r>
        <w:t>.’</w:t>
      </w:r>
      <w:r>
        <w:rPr>
          <w:rStyle w:val="FootnoteReference"/>
        </w:rPr>
        <w:footnoteReference w:id="132"/>
      </w:r>
    </w:p>
    <w:p w14:paraId="2BD916CB" w14:textId="77777777" w:rsidR="008B5C30" w:rsidRDefault="008B5C30" w:rsidP="00C93FE7">
      <w:pPr>
        <w:spacing w:line="360" w:lineRule="auto"/>
        <w:ind w:firstLine="360"/>
      </w:pPr>
      <w:r>
        <w:t>Medusa’s power of petrification could also be an example for any person wanting power to become a monster. There are several representations in fiction of people who become monsters to gain more power; people become vampires in ‘Weapon Creator’,</w:t>
      </w:r>
      <w:r>
        <w:rPr>
          <w:rStyle w:val="FootnoteReference"/>
        </w:rPr>
        <w:footnoteReference w:id="133"/>
      </w:r>
      <w:r>
        <w:t xml:space="preserve"> Hiro becomes a mammon in ‘Druid of Seoul Station’,</w:t>
      </w:r>
      <w:r>
        <w:rPr>
          <w:rStyle w:val="FootnoteReference"/>
        </w:rPr>
        <w:footnoteReference w:id="134"/>
      </w:r>
      <w:r>
        <w:t xml:space="preserve"> there is even a president of a </w:t>
      </w:r>
      <w:r>
        <w:lastRenderedPageBreak/>
        <w:t>company in ‘The Perfect Hybrid’ who turns into a black hole gate that releases many different types of monsters.</w:t>
      </w:r>
      <w:r>
        <w:rPr>
          <w:rStyle w:val="FootnoteReference"/>
        </w:rPr>
        <w:footnoteReference w:id="135"/>
      </w:r>
      <w:r>
        <w:t xml:space="preserve"> These few examples are primarily of those who choose to become a monster and turn evil in their quest for power, or were already evil, though Hiro was a proclaimed “saviour of the world” yet was antagonistic towards the protagonist (the main character) because the main character was better at saving the world.</w:t>
      </w:r>
      <w:r>
        <w:rPr>
          <w:rStyle w:val="FootnoteReference"/>
        </w:rPr>
        <w:footnoteReference w:id="136"/>
      </w:r>
      <w:r>
        <w:t xml:space="preserve"> This also fits with Anakin Skywalker from Star Wars, who turned to the dark side to gain more power so he could be with Padme and be able to protect her, yet turned evil in the process and ended up becoming the reason she died.</w:t>
      </w:r>
      <w:r>
        <w:rPr>
          <w:rStyle w:val="FootnoteReference"/>
        </w:rPr>
        <w:footnoteReference w:id="137"/>
      </w:r>
    </w:p>
    <w:p w14:paraId="424C41DD" w14:textId="77777777" w:rsidR="008B5C30" w:rsidRDefault="008B5C30" w:rsidP="00C93FE7">
      <w:pPr>
        <w:spacing w:line="360" w:lineRule="auto"/>
        <w:ind w:firstLine="360"/>
      </w:pPr>
      <w:r>
        <w:t>Thus, it is evident that there are several reasons why someone would choose to become a monster, though the main reasons are for power, for survival, and to be able to protect people. Becoming a monster for power alone is certainly more monstrous than wishing to protect others. While becoming a monster for survival is not inherently evil, it does have a great potential for survivors to become evil and monstrous.</w:t>
      </w:r>
    </w:p>
    <w:p w14:paraId="02878625" w14:textId="77777777" w:rsidR="008B5C30" w:rsidRDefault="008B5C30" w:rsidP="00C93FE7">
      <w:r>
        <w:br w:type="page"/>
      </w:r>
    </w:p>
    <w:p w14:paraId="2431D82A" w14:textId="77777777" w:rsidR="008B5C30" w:rsidRDefault="008B5C30" w:rsidP="00C93FE7">
      <w:pPr>
        <w:pStyle w:val="Heading1"/>
        <w:rPr>
          <w:color w:val="auto"/>
        </w:rPr>
      </w:pPr>
      <w:bookmarkStart w:id="12" w:name="_Toc209167283"/>
      <w:r w:rsidRPr="009326C3">
        <w:rPr>
          <w:color w:val="auto"/>
        </w:rPr>
        <w:lastRenderedPageBreak/>
        <w:t>Qualities of Monstrosity</w:t>
      </w:r>
      <w:bookmarkEnd w:id="12"/>
    </w:p>
    <w:p w14:paraId="273E88DF" w14:textId="77777777" w:rsidR="008B5C30" w:rsidRDefault="008B5C30" w:rsidP="00C93FE7">
      <w:pPr>
        <w:pStyle w:val="Heading3"/>
        <w:rPr>
          <w:color w:val="auto"/>
          <w:sz w:val="32"/>
          <w:szCs w:val="32"/>
        </w:rPr>
      </w:pPr>
      <w:bookmarkStart w:id="13" w:name="_Toc209167284"/>
      <w:r w:rsidRPr="00010214">
        <w:rPr>
          <w:color w:val="auto"/>
          <w:sz w:val="32"/>
          <w:szCs w:val="32"/>
        </w:rPr>
        <w:t>Monstrous Through Morality</w:t>
      </w:r>
      <w:bookmarkEnd w:id="13"/>
    </w:p>
    <w:p w14:paraId="251593AD" w14:textId="77777777" w:rsidR="008B5C30" w:rsidRPr="00D707E1" w:rsidRDefault="008B5C30" w:rsidP="00D707E1">
      <w:pPr>
        <w:jc w:val="center"/>
      </w:pPr>
      <w:r>
        <w:t xml:space="preserve">‘“In my experience, there are two types of monsters. The first can be redeemed, or more importantly </w:t>
      </w:r>
      <w:r>
        <w:rPr>
          <w:i/>
          <w:iCs/>
        </w:rPr>
        <w:t>wants</w:t>
      </w:r>
      <w:r>
        <w:t xml:space="preserve"> to be redeemed. The second is void of humanity.”’</w:t>
      </w:r>
      <w:r>
        <w:rPr>
          <w:rStyle w:val="FootnoteReference"/>
        </w:rPr>
        <w:footnoteReference w:id="138"/>
      </w:r>
    </w:p>
    <w:p w14:paraId="47CF2452" w14:textId="77777777" w:rsidR="008B5C30" w:rsidRDefault="008B5C30" w:rsidP="00C93FE7">
      <w:pPr>
        <w:spacing w:line="360" w:lineRule="auto"/>
      </w:pPr>
      <w:r>
        <w:t>Of the three main qualities (morality, appearance, otherness) that establish the boundary of monstrosity from the non-monstrous, morality is perhaps the most important as a boundary-marker. It is the fine line that can distinguish between a hero’s katabasis journey and a necromancer’s “whatever-it-takes” reviving of the dead; it can be all that separates a regular human from a sociopathic serial killer. Thus, the case studies examined within the lens of morality are once again necromancers, Medusa, werewolves, and witchers. Additionally, this essay will be mostly judging these cases by “modern morality”, for fair comparison, though the morals of the ancients will also be considered where applicable. Or to be more accurate, the moral perceptions of these case studies will be discussed through the relevant social contexts, as no one set of universally ascribed morals existed either in the ancient world or the present day.</w:t>
      </w:r>
    </w:p>
    <w:p w14:paraId="70B13AC6" w14:textId="77777777" w:rsidR="008B5C30" w:rsidRPr="00910479" w:rsidRDefault="008B5C30" w:rsidP="00C93FE7">
      <w:pPr>
        <w:spacing w:line="360" w:lineRule="auto"/>
        <w:ind w:firstLine="720"/>
      </w:pPr>
      <w:r>
        <w:t xml:space="preserve">As previously stated in chapter one, in the section on punishment, the first werewolf, Lycaon, was turned from human to wolf due to his lack of humanity and morality. It is important to note that not all werewolves are morally evil; the werewolves in </w:t>
      </w:r>
      <w:r w:rsidRPr="001E28BB">
        <w:rPr>
          <w:i/>
          <w:iCs/>
        </w:rPr>
        <w:t>Twilight</w:t>
      </w:r>
      <w:r>
        <w:t xml:space="preserve"> do their best to keep humans safe from vampires,</w:t>
      </w:r>
      <w:r>
        <w:rPr>
          <w:rStyle w:val="FootnoteReference"/>
        </w:rPr>
        <w:footnoteReference w:id="139"/>
      </w:r>
      <w:r>
        <w:t xml:space="preserve"> and the werewolf Lupin in </w:t>
      </w:r>
      <w:r>
        <w:rPr>
          <w:i/>
          <w:iCs/>
        </w:rPr>
        <w:t>Harry Potter</w:t>
      </w:r>
      <w:r>
        <w:t xml:space="preserve"> was a teacher who tried to keep his students safe, until his lupine form takes over on a full moon and he loses all reason.</w:t>
      </w:r>
      <w:r>
        <w:rPr>
          <w:rStyle w:val="FootnoteReference"/>
        </w:rPr>
        <w:footnoteReference w:id="140"/>
      </w:r>
    </w:p>
    <w:p w14:paraId="5A28A7BA" w14:textId="77777777" w:rsidR="008B5C30" w:rsidRPr="00F5547A" w:rsidRDefault="008B5C30" w:rsidP="00C93FE7">
      <w:pPr>
        <w:spacing w:line="360" w:lineRule="auto"/>
        <w:ind w:firstLine="720"/>
      </w:pPr>
      <w:r>
        <w:t>Nevertheless, not only did Lycaon attempt to kill Zeus (disguised in the form of a traveller) as he slept, as a test to see if it were truly Zeus, but he also attempted to serve Zeus human meat disguised as a regular meal.</w:t>
      </w:r>
      <w:r>
        <w:rPr>
          <w:rStyle w:val="FootnoteReference"/>
        </w:rPr>
        <w:footnoteReference w:id="141"/>
      </w:r>
      <w:r>
        <w:t xml:space="preserve"> Who Lycaon killed for the meat changes depending on the author: sometimes it is a Molossian hostage,</w:t>
      </w:r>
      <w:r>
        <w:rPr>
          <w:rStyle w:val="FootnoteReference"/>
        </w:rPr>
        <w:footnoteReference w:id="142"/>
      </w:r>
      <w:r>
        <w:t xml:space="preserve"> sometimes </w:t>
      </w:r>
      <w:r>
        <w:lastRenderedPageBreak/>
        <w:t>an unknown baby or child;</w:t>
      </w:r>
      <w:r>
        <w:rPr>
          <w:rStyle w:val="FootnoteReference"/>
        </w:rPr>
        <w:footnoteReference w:id="143"/>
      </w:r>
      <w:r>
        <w:t xml:space="preserve"> some even say Lycaon slaughtered his own son Nyctimus to be served up to Zeus.</w:t>
      </w:r>
      <w:r>
        <w:rPr>
          <w:rStyle w:val="FootnoteReference"/>
        </w:rPr>
        <w:footnoteReference w:id="144"/>
      </w:r>
      <w:r>
        <w:t xml:space="preserve"> While the act of killing is bad on its own, the acts of infanticide, pedocide </w:t>
      </w:r>
      <w:r w:rsidRPr="00AB566A">
        <w:t>or</w:t>
      </w:r>
      <w:r>
        <w:t xml:space="preserve"> filicide show just how deranged Lycaon was. What makes matters worse is that the charge of pedocide is not only against Lycaon but also all his sons other than Nyctimus, according to Pseudo-Apollodorus.</w:t>
      </w:r>
      <w:r>
        <w:rPr>
          <w:rStyle w:val="FootnoteReference"/>
        </w:rPr>
        <w:footnoteReference w:id="145"/>
      </w:r>
      <w:r>
        <w:t xml:space="preserve"> As Nivellen states in </w:t>
      </w:r>
      <w:r w:rsidRPr="00596485">
        <w:rPr>
          <w:i/>
          <w:iCs/>
        </w:rPr>
        <w:t>The Witcher</w:t>
      </w:r>
      <w:r>
        <w:t>, and as already quoted at the start of this essay, ‘Monsters are more than just horrid looks and claws and teeth. Monsters are born of deeds done. Unforgivable ones.’</w:t>
      </w:r>
      <w:r>
        <w:rPr>
          <w:rStyle w:val="FootnoteReference"/>
        </w:rPr>
        <w:footnoteReference w:id="146"/>
      </w:r>
      <w:r>
        <w:t xml:space="preserve"> Killing a baby, a child, a hostage or your own son are all unforgivable deeds through the act of murder, especially when giving the meat of that victim to the king of the gods and god of hospitality you are hosting in your home. Nowadays, killing a baby or a child is especially seen as abhorrent, due to the concept that babies and children are viewed as pure and innocent beings, so to kill one to test a god would be one of the worst things that could be done, at least by modern standards. However, there is a view that in Ancient Athens and the Homeric poems that ‘children’s lives held little value’</w:t>
      </w:r>
      <w:r>
        <w:rPr>
          <w:rStyle w:val="FootnoteReference"/>
        </w:rPr>
        <w:footnoteReference w:id="147"/>
      </w:r>
      <w:r>
        <w:t xml:space="preserve"> and infanticide would not have been quite as offensive as it would be today (though the exposure of unwanted newly-born children is not as common as the poems make it out to be). Even killing an adult male could have been seen as ‘a misfortune’ and could be typically resolved with the murderer giving </w:t>
      </w:r>
      <w:r>
        <w:rPr>
          <w:i/>
          <w:iCs/>
        </w:rPr>
        <w:t xml:space="preserve">wergeld </w:t>
      </w:r>
      <w:r>
        <w:t>to the victim's family, a form of compensation,</w:t>
      </w:r>
      <w:r>
        <w:rPr>
          <w:rStyle w:val="FootnoteReference"/>
        </w:rPr>
        <w:footnoteReference w:id="148"/>
      </w:r>
      <w:r>
        <w:t xml:space="preserve"> to avoid any revenge killing. This works similarly in modern courts of law, where the families of murder victims can claim compensation from their government.</w:t>
      </w:r>
      <w:r>
        <w:rPr>
          <w:rStyle w:val="FootnoteReference"/>
        </w:rPr>
        <w:footnoteReference w:id="149"/>
      </w:r>
      <w:r>
        <w:t xml:space="preserve"> </w:t>
      </w:r>
    </w:p>
    <w:p w14:paraId="64B776B1" w14:textId="77777777" w:rsidR="008B5C30" w:rsidRDefault="008B5C30" w:rsidP="00C93FE7">
      <w:pPr>
        <w:spacing w:line="360" w:lineRule="auto"/>
        <w:ind w:firstLine="720"/>
      </w:pPr>
      <w:r>
        <w:t xml:space="preserve"> In comparison to Lycaon and his sons, who all intentionally committed their crimes of murder, infanticide, pedocide or filicide, the mythical Medusa is included in this morality section due to the belief that her actions were not intentional. Though we </w:t>
      </w:r>
      <w:r>
        <w:lastRenderedPageBreak/>
        <w:t>can never know her motives since she is a mythical being, and the myths tend to focus more on her transformation and then death rather than the acts between those periods of her life, the fact that her power of petrification stays active even after her death gives the impression that she could not control her ability.</w:t>
      </w:r>
      <w:r>
        <w:rPr>
          <w:rStyle w:val="FootnoteReference"/>
        </w:rPr>
        <w:footnoteReference w:id="150"/>
      </w:r>
      <w:r>
        <w:t xml:space="preserve"> Thus, it could be argued that not all of her victims would have been petrified on purpose, perhaps even all of them, though the likelihood that some of the victims were caused by Medusa’s self-defence is high considering Perseus is sent to kill her,</w:t>
      </w:r>
      <w:r>
        <w:rPr>
          <w:rStyle w:val="FootnoteReference"/>
        </w:rPr>
        <w:footnoteReference w:id="151"/>
      </w:r>
      <w:r>
        <w:t xml:space="preserve"> and there may well have been other hunters who tried beforehand. This furthers the argument that Medusa is more victim than monster, with her only true monstrous feature being her gorgon appearance.</w:t>
      </w:r>
    </w:p>
    <w:p w14:paraId="6D514242" w14:textId="77777777" w:rsidR="008B5C30" w:rsidRDefault="008B5C30" w:rsidP="00C93FE7">
      <w:pPr>
        <w:spacing w:line="360" w:lineRule="auto"/>
        <w:ind w:firstLine="720"/>
      </w:pPr>
      <w:r>
        <w:t xml:space="preserve">In contrast, Medusa in modern media representations, such as film and video games, is often portrayed more as a villain than a victim. In </w:t>
      </w:r>
      <w:r w:rsidRPr="00BB6B59">
        <w:rPr>
          <w:i/>
          <w:iCs/>
        </w:rPr>
        <w:t>Assassin’s Creed: Odyssey</w:t>
      </w:r>
      <w:r>
        <w:t>, Medusa can not only petrify both men and women but also is able to control them as her minions to attack the main protagonist of the game.</w:t>
      </w:r>
      <w:r>
        <w:rPr>
          <w:rStyle w:val="FootnoteReference"/>
        </w:rPr>
        <w:footnoteReference w:id="152"/>
      </w:r>
      <w:r>
        <w:t xml:space="preserve"> She can also fire beams out of her eyes which slowly petrify her targets, as well as summoning beams of energy from the sky.</w:t>
      </w:r>
      <w:r>
        <w:rPr>
          <w:rStyle w:val="FootnoteReference"/>
        </w:rPr>
        <w:footnoteReference w:id="153"/>
      </w:r>
      <w:r>
        <w:t xml:space="preserve"> This Medusa was created to be a hard “boss fight” to the player of the game, so a Medusa who only knows how to fight and can petrify both men and women, regardless of age or how aggressive they were to her, makes for a perfect boss monster. She also has no awareness of the human she was before the transformation, petrifying the lover of her human body, then smashing the statue that was created.</w:t>
      </w:r>
      <w:r>
        <w:rPr>
          <w:rStyle w:val="FootnoteReference"/>
        </w:rPr>
        <w:footnoteReference w:id="154"/>
      </w:r>
      <w:r>
        <w:t xml:space="preserve"> Naturally, a creature with no awareness would have no morals, but also no idea of right or wrong, just instincts.</w:t>
      </w:r>
    </w:p>
    <w:p w14:paraId="6167D5A3" w14:textId="77777777" w:rsidR="008B5C30" w:rsidRDefault="008B5C30" w:rsidP="00C93FE7">
      <w:pPr>
        <w:spacing w:line="360" w:lineRule="auto"/>
        <w:ind w:firstLine="720"/>
      </w:pPr>
      <w:r>
        <w:t xml:space="preserve">In the film version of </w:t>
      </w:r>
      <w:r w:rsidRPr="00BB6B59">
        <w:rPr>
          <w:i/>
          <w:iCs/>
        </w:rPr>
        <w:t>Percy Jackson and the Lightning Thief</w:t>
      </w:r>
      <w:r>
        <w:t>, Medusa is portrayed as a vindictive ex-stepmother wanting revenge, as she says ‘“Son of Poseidon, I used to date your daddy,”’ while creating a domino effect of falling statues to trap Percy.</w:t>
      </w:r>
      <w:r>
        <w:rPr>
          <w:rStyle w:val="FootnoteReference"/>
        </w:rPr>
        <w:footnoteReference w:id="155"/>
      </w:r>
      <w:r>
        <w:t xml:space="preserve"> Unlike the Medusa in the myths, the Medusa in this film is shown to petrify women, and </w:t>
      </w:r>
      <w:r>
        <w:lastRenderedPageBreak/>
        <w:t xml:space="preserve">there are statues of satyrs, animals, men, women and even women holding babies, showing this particular Medusa has no morals. </w:t>
      </w:r>
    </w:p>
    <w:p w14:paraId="677BAB33" w14:textId="77777777" w:rsidR="008B5C30" w:rsidRDefault="008B5C30" w:rsidP="00C93FE7">
      <w:pPr>
        <w:spacing w:line="360" w:lineRule="auto"/>
        <w:ind w:firstLine="720"/>
      </w:pPr>
      <w:r>
        <w:t xml:space="preserve">In contrast, the Disney+ version of </w:t>
      </w:r>
      <w:r>
        <w:rPr>
          <w:i/>
          <w:iCs/>
        </w:rPr>
        <w:t>Percy Jackson and the Lightning Thief</w:t>
      </w:r>
      <w:r>
        <w:t xml:space="preserve"> has a Medusa who saves Percy and the party from a fury, and even when Annabeth declares that Medusa’s version of events surrounding her rape were wrong and Medusa is a liar, Medusa calmly just changes the subject to the lunch she is making for the kids.</w:t>
      </w:r>
      <w:r>
        <w:rPr>
          <w:rStyle w:val="FootnoteReference"/>
        </w:rPr>
        <w:footnoteReference w:id="156"/>
      </w:r>
      <w:r>
        <w:t xml:space="preserve"> However, Medusa </w:t>
      </w:r>
      <w:r>
        <w:rPr>
          <w:i/>
          <w:iCs/>
        </w:rPr>
        <w:t>does</w:t>
      </w:r>
      <w:r>
        <w:t xml:space="preserve"> make an offer to Percy, that if he is not sure his friends will help ensure his mother is safe, she can ‘remove them from the equation, if you ask me to.’</w:t>
      </w:r>
      <w:r>
        <w:rPr>
          <w:rStyle w:val="FootnoteReference"/>
        </w:rPr>
        <w:footnoteReference w:id="157"/>
      </w:r>
      <w:r>
        <w:t xml:space="preserve"> Even this version of Medusa, despite her story of being bullied and being given her gift of petrification to ensure she ‘cannot be bullied anymore’,</w:t>
      </w:r>
      <w:r>
        <w:rPr>
          <w:rStyle w:val="FootnoteReference"/>
        </w:rPr>
        <w:footnoteReference w:id="158"/>
      </w:r>
      <w:r>
        <w:t xml:space="preserve"> is willing to petrify two children to help the son of Poseidon, the god she claimed “bullied” her. Later on, she even says she would ship the statues of all three, Percy, Annabeth and Grover, and send them to the gods of Olympus.</w:t>
      </w:r>
      <w:r>
        <w:rPr>
          <w:rStyle w:val="FootnoteReference"/>
        </w:rPr>
        <w:footnoteReference w:id="159"/>
      </w:r>
      <w:r>
        <w:t xml:space="preserve"> So even though the Disney+ version of Medusa evokes a more sympathetic outlook and shows Medusa to be more of a victim than the film, in both she is still portrayed as a morally questionable antagonist. All three modern Medusas also fit Nivellen’s quote at the start of this essay, as she is treated less as a monster because of her snake hair than she is due to her morals.</w:t>
      </w:r>
    </w:p>
    <w:p w14:paraId="0E63AD54" w14:textId="77777777" w:rsidR="008B5C30" w:rsidRPr="00064300" w:rsidRDefault="008B5C30" w:rsidP="00C93FE7">
      <w:pPr>
        <w:spacing w:line="360" w:lineRule="auto"/>
        <w:ind w:firstLine="720"/>
      </w:pPr>
      <w:r>
        <w:t xml:space="preserve">Monsters with little morality do not just have to be inhuman creatures. Some fantasy necromancers can also be regarded as monstrous villains; primarily the human necromancers who are antagonistic, and are willing to desecrate the dead (whether human dead in graveyards and tombs, or the dead of other friendly races). They have no qualms with digging up the dead who have been laid to rest, and do not care if the dead or the loved ones of the dead would want to be brought back to life. There is a blatant lack of humanity and morality within those necromancers, since it is considered taboo to not only speak ill of the dead, but also to desecrate the dead who are buried or laid to rest. Similarly, witches could have been said to have desecrated the dead within Lucan’s </w:t>
      </w:r>
      <w:r>
        <w:rPr>
          <w:i/>
          <w:iCs/>
        </w:rPr>
        <w:t>Pharsalia</w:t>
      </w:r>
      <w:r>
        <w:t xml:space="preserve">, where a witch picked out her “victim” to be revived in a cave that </w:t>
      </w:r>
      <w:r>
        <w:lastRenderedPageBreak/>
        <w:t>seemed as though it were part of the underworld,</w:t>
      </w:r>
      <w:r>
        <w:rPr>
          <w:rStyle w:val="FootnoteReference"/>
        </w:rPr>
        <w:footnoteReference w:id="160"/>
      </w:r>
      <w:r>
        <w:t xml:space="preserve"> or in the Latin version, ‘</w:t>
      </w:r>
      <w:r w:rsidRPr="003D2B06">
        <w:rPr>
          <w:i/>
          <w:iCs/>
        </w:rPr>
        <w:t>illuc adspiciat Stygias</w:t>
      </w:r>
      <w:r>
        <w:t>.’</w:t>
      </w:r>
      <w:r>
        <w:rPr>
          <w:rStyle w:val="FootnoteReference"/>
        </w:rPr>
        <w:footnoteReference w:id="161"/>
      </w:r>
      <w:r>
        <w:t xml:space="preserve"> This not only signified the evilness of the witch, but also the lack of humanity and morality to bring someone back, even as a ghost, in a place that could be described as seeming to be part of the Underworld.</w:t>
      </w:r>
    </w:p>
    <w:p w14:paraId="20FD3547" w14:textId="77777777" w:rsidR="008B5C30" w:rsidRPr="005327A6" w:rsidRDefault="008B5C30" w:rsidP="00C93FE7">
      <w:pPr>
        <w:spacing w:line="360" w:lineRule="auto"/>
        <w:ind w:firstLine="720"/>
      </w:pPr>
      <w:r>
        <w:t xml:space="preserve">Antagonistic human necromancers who desecrate the dead are not the only necromancers who are regarded to have little humanity or morality. There are also those who have lost a loved one and would do anything to bring them back. A prominent example of this is Agnus from </w:t>
      </w:r>
      <w:r>
        <w:rPr>
          <w:i/>
          <w:iCs/>
        </w:rPr>
        <w:t>Overgeared</w:t>
      </w:r>
      <w:r>
        <w:t>,</w:t>
      </w:r>
      <w:r>
        <w:rPr>
          <w:rStyle w:val="FootnoteReference"/>
        </w:rPr>
        <w:footnoteReference w:id="162"/>
      </w:r>
      <w:r>
        <w:t xml:space="preserve"> who becomes a contractor to the demon Baal, slaughters thousands of people, tries to force a jeweller to create an item for him and enslaves several important characters ‘to be used as a tool for Agnus to commit slaughters of the human race for his own fulfilment.’</w:t>
      </w:r>
      <w:r>
        <w:rPr>
          <w:rStyle w:val="FootnoteReference"/>
        </w:rPr>
        <w:footnoteReference w:id="163"/>
      </w:r>
      <w:r>
        <w:t xml:space="preserve"> In contrast, both Sung Jinwoo from </w:t>
      </w:r>
      <w:r>
        <w:rPr>
          <w:i/>
          <w:iCs/>
        </w:rPr>
        <w:t>Solo Leveling</w:t>
      </w:r>
      <w:r>
        <w:t xml:space="preserve"> and Yu Seongwu from </w:t>
      </w:r>
      <w:r>
        <w:rPr>
          <w:i/>
          <w:iCs/>
        </w:rPr>
        <w:t>The Lone Necromancer</w:t>
      </w:r>
      <w:r>
        <w:t xml:space="preserve"> have companions who consent to becoming undead.</w:t>
      </w:r>
      <w:r>
        <w:rPr>
          <w:rStyle w:val="FootnoteReference"/>
        </w:rPr>
        <w:footnoteReference w:id="164"/>
      </w:r>
      <w:r>
        <w:t xml:space="preserve"> In </w:t>
      </w:r>
      <w:r>
        <w:rPr>
          <w:i/>
          <w:iCs/>
        </w:rPr>
        <w:t>Solo Leveling</w:t>
      </w:r>
      <w:r>
        <w:t>, the companion was a healer on the edge of death who agreed to the transformation, but only if Jinwoo released him as soon as the danger for everyone else was over. Jinwoo not only agreed to that condition, but fulfilled it, showing that he had far more humanity and morality than antagonistic necromancers.</w:t>
      </w:r>
      <w:r>
        <w:rPr>
          <w:rStyle w:val="FootnoteReference"/>
        </w:rPr>
        <w:footnoteReference w:id="165"/>
      </w:r>
      <w:r>
        <w:t xml:space="preserve"> </w:t>
      </w:r>
      <w:r w:rsidRPr="00E41299">
        <w:t>Similarly, Seongwu has a companion who before their death asked ‘“if a person becomes a skeleton… do they retain their consciousness?”’ clearly showing that he had been thinking about becoming one of Seongwu’s undead.</w:t>
      </w:r>
      <w:r>
        <w:rPr>
          <w:rStyle w:val="FootnoteReference"/>
        </w:rPr>
        <w:footnoteReference w:id="166"/>
      </w:r>
      <w:r w:rsidRPr="00E41299">
        <w:t xml:space="preserve"> As his companion was dying and asking Seongwu to protect his family, Seongwu turned him into an undead to ensure he can protect his own family in that momen</w:t>
      </w:r>
      <w:r>
        <w:t>t.</w:t>
      </w:r>
      <w:r>
        <w:rPr>
          <w:rStyle w:val="FootnoteReference"/>
        </w:rPr>
        <w:footnoteReference w:id="167"/>
      </w:r>
      <w:r>
        <w:t xml:space="preserve"> This showed empathy and humanity, and since Seongwu’s companion kept his consciousness, was the most humane and moral decision Seongwu could have made to honour the request made of him. This can be associated with another Jordan Peterson quote, ‘if you are a </w:t>
      </w:r>
      <w:r>
        <w:lastRenderedPageBreak/>
        <w:t>monster and you don’t act monstrously, then you’re virtuous,’</w:t>
      </w:r>
      <w:r>
        <w:rPr>
          <w:rStyle w:val="FootnoteReference"/>
        </w:rPr>
        <w:footnoteReference w:id="168"/>
      </w:r>
      <w:r>
        <w:t xml:space="preserve"> and also encapsulates the nickname given to Seongwu a couple of episodes earlier, ‘the symbol of justice and trust,’</w:t>
      </w:r>
      <w:r>
        <w:rPr>
          <w:rStyle w:val="FootnoteReference"/>
        </w:rPr>
        <w:footnoteReference w:id="169"/>
      </w:r>
      <w:r>
        <w:t xml:space="preserve"> despite being a necromancer who revives the dead. </w:t>
      </w:r>
    </w:p>
    <w:p w14:paraId="2CF19C64" w14:textId="77777777" w:rsidR="008B5C30" w:rsidRDefault="008B5C30" w:rsidP="00C93FE7">
      <w:pPr>
        <w:spacing w:line="360" w:lineRule="auto"/>
        <w:ind w:firstLine="720"/>
      </w:pPr>
      <w:r>
        <w:t xml:space="preserve">As mentioned in the previous paragraph, Agnus from </w:t>
      </w:r>
      <w:r w:rsidRPr="009812FA">
        <w:rPr>
          <w:i/>
          <w:iCs/>
        </w:rPr>
        <w:t>Overgeared</w:t>
      </w:r>
      <w:r>
        <w:t xml:space="preserve"> is a prominent example of going too far to revive a loved one. Instead of wanting power, he desires ‘the chance to recover his past’ after his lover, Luna, was raped in front of him, who then committed suicide.</w:t>
      </w:r>
      <w:r>
        <w:rPr>
          <w:rStyle w:val="FootnoteReference"/>
        </w:rPr>
        <w:footnoteReference w:id="170"/>
      </w:r>
      <w:r>
        <w:t xml:space="preserve"> Witnessing those events broke Agnus, and in his eyes, he needed to get revenge on those who defiled Luna before he could feel worthy enough to revive her. However, in the end he gave up on reviving her as he knew she would have hated the man he had become, showing he still had some humanity left in him, if only in relation to his lover. There is also a similar story of attempting (and failing) to revive a loved one in the myths; Orpheus also endeavoured to revive his lover Eurydice by undertaking a katabasis journey, an expedition to the underworld as a living human.</w:t>
      </w:r>
      <w:r>
        <w:rPr>
          <w:rStyle w:val="FootnoteReference"/>
        </w:rPr>
        <w:footnoteReference w:id="171"/>
      </w:r>
      <w:r>
        <w:t xml:space="preserve"> However, as Orpheus had no need to kill other humans, unlike Agnus who wished for revenge as well as bringing Luna back, his attempt at reviving a loved one is certainly far more humane, using music to please Hades and Persephone to persuade them to let him bring his lover back, showing that not everyone who attempts to revive a loved one has no morals or humanity.</w:t>
      </w:r>
    </w:p>
    <w:p w14:paraId="4C0979A0" w14:textId="77777777" w:rsidR="008B5C30" w:rsidRDefault="008B5C30" w:rsidP="00C93FE7">
      <w:pPr>
        <w:spacing w:line="360" w:lineRule="auto"/>
        <w:ind w:firstLine="720"/>
      </w:pPr>
      <w:r>
        <w:t>Orpheus is also not the only myth that includes a katabasis journey; Herakles is also known to have completed one, as well as several other heroes listed by Clark.</w:t>
      </w:r>
      <w:r>
        <w:rPr>
          <w:rStyle w:val="FootnoteReference"/>
        </w:rPr>
        <w:footnoteReference w:id="172"/>
      </w:r>
      <w:r>
        <w:t xml:space="preserve"> The </w:t>
      </w:r>
      <w:r w:rsidRPr="00BF557A">
        <w:t>general theme</w:t>
      </w:r>
      <w:r>
        <w:t xml:space="preserve"> of a katabasis includes going into the underworld while still alive and being able to return,</w:t>
      </w:r>
      <w:r>
        <w:rPr>
          <w:rStyle w:val="FootnoteReference"/>
        </w:rPr>
        <w:footnoteReference w:id="173"/>
      </w:r>
      <w:r>
        <w:t xml:space="preserve"> though Bernabé mentions that Gilgamesh did not go to the underworld and Peirithoos did not return, yet they are still included in Clark’s list of heroes who underwent a katabasis,</w:t>
      </w:r>
      <w:r>
        <w:rPr>
          <w:rStyle w:val="FootnoteReference"/>
        </w:rPr>
        <w:footnoteReference w:id="174"/>
      </w:r>
      <w:r>
        <w:t xml:space="preserve"> which could also be framed as a hero's journey. Within the ancient myths, bringing someone back from the dead was a huge ordeal: having to find a way into the Underworld while still alive, find the person they wished to </w:t>
      </w:r>
      <w:r>
        <w:lastRenderedPageBreak/>
        <w:t xml:space="preserve">bring back, and also negotiate with the god(s) of the underworld to be able to retrieve the person. Meanwhile, all a necromancer has to do is be in front of a dead body, whether freshly dead, decomposing, or just bones, and use their magic to either reanimate the body, or control the soul that has not yet left. For modern (fantasy) necromancers, the ease of bringing the dead back means they would have no issues with reviving countless people they have no relation to, while the heroes undergoing a katabasis would only do so for someone who they know and dearly want to bring back, or firmly believe should be brought back. While this may not necessarily mean </w:t>
      </w:r>
      <w:r w:rsidRPr="00B31C57">
        <w:t xml:space="preserve">necromancers are evil and monstrous, </w:t>
      </w:r>
      <w:r>
        <w:t xml:space="preserve">it would be very easy for necromancers to become so through the simplicity of their process of necromancy, while the heroes get lauded as heroes for the effort and harshness of their katabasis journeys. This would also mean that necromancers’ morals and humanity would get degraded each time, descending into a corrupted vessel of power, hubris, and arrogance, who are then regarded </w:t>
      </w:r>
      <w:r w:rsidRPr="001C1059">
        <w:t>as monstrous</w:t>
      </w:r>
      <w:r>
        <w:t>.</w:t>
      </w:r>
    </w:p>
    <w:p w14:paraId="228BCC0A" w14:textId="77777777" w:rsidR="008B5C30" w:rsidRDefault="008B5C30" w:rsidP="00C93FE7">
      <w:pPr>
        <w:spacing w:line="360" w:lineRule="auto"/>
        <w:ind w:firstLine="720"/>
      </w:pPr>
      <w:r>
        <w:t>As such, it can be deemed that morality is the most significant characteristic in determining the boundaries of monstrosity and what makes a monster. Nivellen’s quote perfectly encapsulates that actions and morality are more important in determining monstrosity than simply appearance alone.</w:t>
      </w:r>
    </w:p>
    <w:p w14:paraId="681F5819" w14:textId="77777777" w:rsidR="008B5C30" w:rsidRDefault="008B5C30" w:rsidP="00C93FE7">
      <w:r>
        <w:br w:type="page"/>
      </w:r>
    </w:p>
    <w:p w14:paraId="1583A754" w14:textId="77777777" w:rsidR="008B5C30" w:rsidRPr="00010214" w:rsidRDefault="008B5C30" w:rsidP="00C93FE7">
      <w:pPr>
        <w:pStyle w:val="Heading3"/>
        <w:rPr>
          <w:color w:val="auto"/>
          <w:sz w:val="32"/>
          <w:szCs w:val="32"/>
        </w:rPr>
      </w:pPr>
      <w:bookmarkStart w:id="14" w:name="_Toc209167285"/>
      <w:r w:rsidRPr="00010214">
        <w:rPr>
          <w:color w:val="auto"/>
          <w:sz w:val="32"/>
          <w:szCs w:val="32"/>
        </w:rPr>
        <w:lastRenderedPageBreak/>
        <w:t>Monstrous Though Appearance</w:t>
      </w:r>
      <w:bookmarkEnd w:id="14"/>
    </w:p>
    <w:p w14:paraId="76B6F8BC" w14:textId="77777777" w:rsidR="008B5C30" w:rsidRDefault="008B5C30" w:rsidP="00C93FE7">
      <w:pPr>
        <w:spacing w:line="360" w:lineRule="auto"/>
      </w:pPr>
      <w:r>
        <w:t>As quoted several times throughout this dissertation, ‘Monsters are more than just horrid looks and claws and teeth.’</w:t>
      </w:r>
      <w:r>
        <w:rPr>
          <w:rStyle w:val="FootnoteReference"/>
        </w:rPr>
        <w:footnoteReference w:id="175"/>
      </w:r>
      <w:r>
        <w:t xml:space="preserve"> However, the creature’s appearance also plays a large role in whether it is considered a monster or not; hence the subject matter for this section. Frankenstein’s monster truly became a monster due to </w:t>
      </w:r>
      <w:r w:rsidRPr="003E28AB">
        <w:t xml:space="preserve">how he was treated because of his appearance, making his morality and humanity match his </w:t>
      </w:r>
      <w:r>
        <w:t>outward looks. The case studies for exploring the boundaries of monstrosity through appearance include Medusa, werewolves, and undead necromancers, with the very human-looking witchers as honourable mentions.</w:t>
      </w:r>
    </w:p>
    <w:p w14:paraId="64713F7A" w14:textId="77777777" w:rsidR="008B5C30" w:rsidRDefault="008B5C30" w:rsidP="00C93FE7">
      <w:pPr>
        <w:spacing w:line="360" w:lineRule="auto"/>
      </w:pPr>
      <w:bookmarkStart w:id="15" w:name="_Hlk204760152"/>
      <w:bookmarkEnd w:id="15"/>
      <w:r>
        <w:tab/>
        <w:t>Of the creatures discussed in this section, the ancient mythical werewolves (Lycaon and his sons) are perhaps the least human in appearance, having taken on the form of a wolf for nine years until they can turn back if they have not eaten human flesh within those years.</w:t>
      </w:r>
      <w:r>
        <w:rPr>
          <w:rStyle w:val="FootnoteReference"/>
        </w:rPr>
        <w:footnoteReference w:id="176"/>
      </w:r>
      <w:r>
        <w:t xml:space="preserve"> Lycaon is similar to Frankenstein’s monster, in that appearance matches his (lack of) morality and humanity. However, unlike Frankenstein’s monster who looked monstrous first and became morally monstrous after, Lycaon started acting monstrously and thus became physically monstrous. Since the bestial appearance was forced upon Lycaon, as explained in the previous sections on punishment and morality, the judgement on Lycaon’s beastly form is truly a judgement on his acts as a human rather than his appearance as a werewolf. As such, Lycaon is not monstrous through his new appearance, though it reflects his monstrosity.</w:t>
      </w:r>
    </w:p>
    <w:p w14:paraId="679D1CD6" w14:textId="77777777" w:rsidR="008B5C30" w:rsidRDefault="008B5C30" w:rsidP="00C93FE7">
      <w:pPr>
        <w:spacing w:line="360" w:lineRule="auto"/>
      </w:pPr>
      <w:r>
        <w:rPr>
          <w:noProof/>
        </w:rPr>
        <mc:AlternateContent>
          <mc:Choice Requires="wps">
            <w:drawing>
              <wp:anchor distT="0" distB="0" distL="114300" distR="114300" simplePos="0" relativeHeight="251638784" behindDoc="1" locked="0" layoutInCell="1" allowOverlap="1" wp14:anchorId="77B68855" wp14:editId="30991A68">
                <wp:simplePos x="0" y="0"/>
                <wp:positionH relativeFrom="margin">
                  <wp:align>left</wp:align>
                </wp:positionH>
                <wp:positionV relativeFrom="paragraph">
                  <wp:posOffset>1820213</wp:posOffset>
                </wp:positionV>
                <wp:extent cx="2618105" cy="635"/>
                <wp:effectExtent l="0" t="0" r="0" b="0"/>
                <wp:wrapTight wrapText="bothSides">
                  <wp:wrapPolygon edited="0">
                    <wp:start x="0" y="0"/>
                    <wp:lineTo x="0" y="20057"/>
                    <wp:lineTo x="21375" y="20057"/>
                    <wp:lineTo x="21375" y="0"/>
                    <wp:lineTo x="0" y="0"/>
                  </wp:wrapPolygon>
                </wp:wrapTight>
                <wp:docPr id="154537120" name="Text Box 1"/>
                <wp:cNvGraphicFramePr/>
                <a:graphic xmlns:a="http://schemas.openxmlformats.org/drawingml/2006/main">
                  <a:graphicData uri="http://schemas.microsoft.com/office/word/2010/wordprocessingShape">
                    <wps:wsp>
                      <wps:cNvSpPr txBox="1"/>
                      <wps:spPr>
                        <a:xfrm>
                          <a:off x="0" y="0"/>
                          <a:ext cx="2618105" cy="635"/>
                        </a:xfrm>
                        <a:prstGeom prst="rect">
                          <a:avLst/>
                        </a:prstGeom>
                        <a:solidFill>
                          <a:prstClr val="white"/>
                        </a:solidFill>
                        <a:ln>
                          <a:noFill/>
                        </a:ln>
                      </wps:spPr>
                      <wps:txbx>
                        <w:txbxContent>
                          <w:p w14:paraId="59160FDD" w14:textId="7656D7BB" w:rsidR="008B5C30" w:rsidRDefault="008B5C30" w:rsidP="00FE52D0">
                            <w:pPr>
                              <w:pStyle w:val="Caption"/>
                            </w:pPr>
                            <w:r>
                              <w:t xml:space="preserve">Figure </w:t>
                            </w:r>
                            <w:fldSimple w:instr=" SEQ Figure \* ARABIC ">
                              <w:r w:rsidR="0051659C">
                                <w:rPr>
                                  <w:noProof/>
                                </w:rPr>
                                <w:t>2</w:t>
                              </w:r>
                            </w:fldSimple>
                            <w:r w:rsidR="008110E2">
                              <w:rPr>
                                <w:noProof/>
                              </w:rPr>
                              <w:t xml:space="preserve"> </w:t>
                            </w:r>
                            <w:r w:rsidR="008110E2" w:rsidRPr="008110E2">
                              <w:rPr>
                                <w:noProof/>
                              </w:rPr>
                              <w:t>https://www.namuseum.gr/en/monthly_artefact/the-fatal-look-of-medusa/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B68855" id="_x0000_s1027" type="#_x0000_t202" style="position:absolute;margin-left:0;margin-top:143.3pt;width:206.15pt;height:.05pt;z-index:-25167769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" stroked="f">
                <v:textbox style="mso-fit-shape-to-text:t" inset="0,0,0,0">
                  <w:txbxContent>
                    <w:p w14:paraId="59160FDD" w14:textId="7656D7BB" w:rsidR="008B5C30" w:rsidRDefault="008B5C30" w:rsidP="00FE52D0">
                      <w:pPr>
                        <w:pStyle w:val="Caption"/>
                      </w:pPr>
                      <w:r>
                        <w:t xml:space="preserve">Figure </w:t>
                      </w:r>
                      <w:r>
                        <w:fldChar w:fldCharType="begin"/>
                      </w:r>
                      <w:r>
                        <w:instrText xml:space="preserve"> SEQ Figure \* ARABIC </w:instrText>
                      </w:r>
                      <w:r>
                        <w:fldChar w:fldCharType="separate"/>
                      </w:r>
                      <w:r w:rsidR="0051659C">
                        <w:rPr>
                          <w:noProof/>
                        </w:rPr>
                        <w:t>2</w:t>
                      </w:r>
                      <w:r>
                        <w:rPr>
                          <w:noProof/>
                        </w:rPr>
                        <w:fldChar w:fldCharType="end"/>
                      </w:r>
                      <w:r w:rsidR="008110E2">
                        <w:rPr>
                          <w:noProof/>
                        </w:rPr>
                        <w:t xml:space="preserve"> </w:t>
                      </w:r>
                      <w:r w:rsidR="008110E2" w:rsidRPr="008110E2">
                        <w:rPr>
                          <w:noProof/>
                        </w:rPr>
                        <w:t>https://www.namuseum.gr/en/monthly_artefact/the-fatal-look-of-medusa/</w:t>
                      </w:r>
                    </w:p>
                  </w:txbxContent>
                </v:textbox>
                <w10:wrap type="tight" anchorx="margin"/>
              </v:shape>
            </w:pict>
          </mc:Fallback>
        </mc:AlternateContent>
      </w:r>
      <w:r>
        <w:tab/>
      </w:r>
      <w:r>
        <w:tab/>
        <w:t>However, Medusa is viewed as more monstrous due to her appearance than Lycaon. Despite there being some artistic depictions that originated around the late classical period where art of Medusa features a beautiful face (figures 2,</w:t>
      </w:r>
      <w:r w:rsidRPr="00FE52D0">
        <w:rPr>
          <w:noProof/>
        </w:rPr>
        <w:t xml:space="preserve"> </w:t>
      </w:r>
      <w:r>
        <w:rPr>
          <w:noProof/>
        </w:rPr>
        <w:drawing>
          <wp:anchor distT="0" distB="0" distL="114300" distR="114300" simplePos="0" relativeHeight="251637760" behindDoc="1" locked="0" layoutInCell="1" allowOverlap="1" wp14:anchorId="7C96CAD7" wp14:editId="3FF089C0">
            <wp:simplePos x="0" y="0"/>
            <wp:positionH relativeFrom="column">
              <wp:posOffset>0</wp:posOffset>
            </wp:positionH>
            <wp:positionV relativeFrom="paragraph">
              <wp:posOffset>-422910</wp:posOffset>
            </wp:positionV>
            <wp:extent cx="2618105" cy="2788920"/>
            <wp:effectExtent l="0" t="0" r="0" b="0"/>
            <wp:wrapTight wrapText="bothSides">
              <wp:wrapPolygon edited="0">
                <wp:start x="0" y="0"/>
                <wp:lineTo x="0" y="21393"/>
                <wp:lineTo x="21375" y="21393"/>
                <wp:lineTo x="21375" y="0"/>
                <wp:lineTo x="0" y="0"/>
              </wp:wrapPolygon>
            </wp:wrapTight>
            <wp:docPr id="864395870" name="Picture 1" descr="Head of Medusa | Greco-Roman mosa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ad of Medusa | Greco-Roman mosaic"/>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18105" cy="278892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 3, 8),</w:t>
      </w:r>
      <w:r>
        <w:rPr>
          <w:rStyle w:val="FootnoteReference"/>
        </w:rPr>
        <w:footnoteReference w:id="177"/>
      </w:r>
      <w:r>
        <w:t xml:space="preserve"> Pseudo-Apollodorus describes the gorgons (Medusa, </w:t>
      </w:r>
      <w:r>
        <w:rPr>
          <w:noProof/>
        </w:rPr>
        <w:lastRenderedPageBreak/>
        <mc:AlternateContent>
          <mc:Choice Requires="wps">
            <w:drawing>
              <wp:anchor distT="0" distB="0" distL="114300" distR="114300" simplePos="0" relativeHeight="251640832" behindDoc="1" locked="0" layoutInCell="1" allowOverlap="1" wp14:anchorId="09E1571B" wp14:editId="24D75DCF">
                <wp:simplePos x="0" y="0"/>
                <wp:positionH relativeFrom="column">
                  <wp:posOffset>0</wp:posOffset>
                </wp:positionH>
                <wp:positionV relativeFrom="paragraph">
                  <wp:posOffset>2595245</wp:posOffset>
                </wp:positionV>
                <wp:extent cx="2538095" cy="635"/>
                <wp:effectExtent l="0" t="0" r="0" b="0"/>
                <wp:wrapTight wrapText="bothSides">
                  <wp:wrapPolygon edited="0">
                    <wp:start x="0" y="0"/>
                    <wp:lineTo x="0" y="21600"/>
                    <wp:lineTo x="21600" y="21600"/>
                    <wp:lineTo x="21600" y="0"/>
                  </wp:wrapPolygon>
                </wp:wrapTight>
                <wp:docPr id="2076354166" name="Text Box 1"/>
                <wp:cNvGraphicFramePr/>
                <a:graphic xmlns:a="http://schemas.openxmlformats.org/drawingml/2006/main">
                  <a:graphicData uri="http://schemas.microsoft.com/office/word/2010/wordprocessingShape">
                    <wps:wsp>
                      <wps:cNvSpPr txBox="1"/>
                      <wps:spPr>
                        <a:xfrm>
                          <a:off x="0" y="0"/>
                          <a:ext cx="2538095" cy="635"/>
                        </a:xfrm>
                        <a:prstGeom prst="rect">
                          <a:avLst/>
                        </a:prstGeom>
                        <a:solidFill>
                          <a:prstClr val="white"/>
                        </a:solidFill>
                        <a:ln>
                          <a:noFill/>
                        </a:ln>
                      </wps:spPr>
                      <wps:txbx>
                        <w:txbxContent>
                          <w:p w14:paraId="3B32CE33" w14:textId="4C53775C" w:rsidR="008B5C30" w:rsidRDefault="008B5C30" w:rsidP="002F5E74">
                            <w:pPr>
                              <w:pStyle w:val="Caption"/>
                              <w:rPr>
                                <w:noProof/>
                              </w:rPr>
                            </w:pPr>
                            <w:r>
                              <w:t xml:space="preserve">Figure </w:t>
                            </w:r>
                            <w:fldSimple w:instr=" SEQ Figure \* ARABIC ">
                              <w:r w:rsidR="0051659C">
                                <w:rPr>
                                  <w:noProof/>
                                </w:rPr>
                                <w:t>3</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E1571B" id="_x0000_s1028" type="#_x0000_t202" style="position:absolute;margin-left:0;margin-top:204.35pt;width:199.8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" stroked="f">
                <v:textbox style="mso-fit-shape-to-text:t" inset="0,0,0,0">
                  <w:txbxContent>
                    <w:p w14:paraId="3B32CE33" w14:textId="4C53775C" w:rsidR="008B5C30" w:rsidRDefault="008B5C30" w:rsidP="002F5E74">
                      <w:pPr>
                        <w:pStyle w:val="Caption"/>
                        <w:rPr>
                          <w:noProof/>
                        </w:rPr>
                      </w:pPr>
                      <w:r>
                        <w:t xml:space="preserve">Figure </w:t>
                      </w:r>
                      <w:r>
                        <w:fldChar w:fldCharType="begin"/>
                      </w:r>
                      <w:r>
                        <w:instrText xml:space="preserve"> SEQ Figure \* ARABIC </w:instrText>
                      </w:r>
                      <w:r>
                        <w:fldChar w:fldCharType="separate"/>
                      </w:r>
                      <w:r w:rsidR="0051659C">
                        <w:rPr>
                          <w:noProof/>
                        </w:rPr>
                        <w:t>3</w:t>
                      </w:r>
                      <w:r>
                        <w:rPr>
                          <w:noProof/>
                        </w:rPr>
                        <w:fldChar w:fldCharType="end"/>
                      </w:r>
                    </w:p>
                  </w:txbxContent>
                </v:textbox>
                <w10:wrap type="tight"/>
              </v:shape>
            </w:pict>
          </mc:Fallback>
        </mc:AlternateContent>
      </w:r>
      <w:r>
        <w:rPr>
          <w:noProof/>
        </w:rPr>
        <w:drawing>
          <wp:anchor distT="0" distB="0" distL="114300" distR="114300" simplePos="0" relativeHeight="251639808" behindDoc="1" locked="0" layoutInCell="1" allowOverlap="1" wp14:anchorId="75368E1C" wp14:editId="48F6C60D">
            <wp:simplePos x="0" y="0"/>
            <wp:positionH relativeFrom="margin">
              <wp:align>left</wp:align>
            </wp:positionH>
            <wp:positionV relativeFrom="paragraph">
              <wp:posOffset>469</wp:posOffset>
            </wp:positionV>
            <wp:extent cx="2538484" cy="2538484"/>
            <wp:effectExtent l="0" t="0" r="0" b="0"/>
            <wp:wrapTight wrapText="bothSides">
              <wp:wrapPolygon edited="0">
                <wp:start x="0" y="0"/>
                <wp:lineTo x="0" y="21400"/>
                <wp:lineTo x="21400" y="21400"/>
                <wp:lineTo x="21400" y="0"/>
                <wp:lineTo x="0" y="0"/>
              </wp:wrapPolygon>
            </wp:wrapTight>
            <wp:docPr id="1160988796" name="Picture 1" descr="“Rondanini Medusa”. Marble, Roman copy after a fifth century BC Greek original by Phidias, which was set on the shield of Athena Parthen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ndanini Medusa”. Marble, Roman copy after a fifth century BC Greek original by Phidias, which was set on the shield of Athena Partheno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38484" cy="2538484"/>
                    </a:xfrm>
                    <a:prstGeom prst="rect">
                      <a:avLst/>
                    </a:prstGeom>
                    <a:noFill/>
                    <a:ln>
                      <a:noFill/>
                    </a:ln>
                  </pic:spPr>
                </pic:pic>
              </a:graphicData>
            </a:graphic>
          </wp:anchor>
        </w:drawing>
      </w:r>
      <w:r>
        <w:t>Stheno and Euryale) as having either ‘heads entwined with the horny scales of serpents, and they had big tusks like hogs, bronze hands and wings of gold,’</w:t>
      </w:r>
      <w:r>
        <w:rPr>
          <w:rStyle w:val="FootnoteReference"/>
        </w:rPr>
        <w:footnoteReference w:id="178"/>
      </w:r>
      <w:r>
        <w:t xml:space="preserve"> or ‘</w:t>
      </w:r>
      <w:r w:rsidRPr="00FE15E2">
        <w:t>heads twined about with scales of dragons, and great tusks like swine’s, and brazen hands and golden wings</w:t>
      </w:r>
      <w:r>
        <w:t>,’</w:t>
      </w:r>
      <w:r>
        <w:rPr>
          <w:rStyle w:val="FootnoteReference"/>
        </w:rPr>
        <w:footnoteReference w:id="179"/>
      </w:r>
      <w:r>
        <w:t xml:space="preserve"> depending on the translator. While essentially not very different in looks, the language used can give different feelings, for instance saying scales of dragons instead of scales of serpents </w:t>
      </w:r>
      <w:r>
        <w:rPr>
          <w:noProof/>
        </w:rPr>
        <w:drawing>
          <wp:anchor distT="0" distB="0" distL="114300" distR="114300" simplePos="0" relativeHeight="251641856" behindDoc="1" locked="0" layoutInCell="1" allowOverlap="1" wp14:anchorId="3E18C08E" wp14:editId="4A21670A">
            <wp:simplePos x="0" y="0"/>
            <wp:positionH relativeFrom="margin">
              <wp:align>left</wp:align>
            </wp:positionH>
            <wp:positionV relativeFrom="paragraph">
              <wp:posOffset>2798280</wp:posOffset>
            </wp:positionV>
            <wp:extent cx="2527300" cy="2226310"/>
            <wp:effectExtent l="0" t="0" r="6350" b="2540"/>
            <wp:wrapTight wrapText="bothSides">
              <wp:wrapPolygon edited="0">
                <wp:start x="0" y="0"/>
                <wp:lineTo x="0" y="21440"/>
                <wp:lineTo x="21491" y="21440"/>
                <wp:lineTo x="21491" y="0"/>
                <wp:lineTo x="0" y="0"/>
              </wp:wrapPolygon>
            </wp:wrapTight>
            <wp:docPr id="171353549" name="Picture 2" descr="Gorgon Medusa | Athenian red-figure amphora C5th B.C. | Staatliche Antikensammlungen, Muni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orgon Medusa | Athenian red-figure amphora C5th B.C. | Staatliche Antikensammlungen, Munich"/>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527300" cy="2226310"/>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creates a more mystical and intimidating impression to a modern audience. Likewise, tusks of hogs can make one think of large tusks from sizeable, bulky pigs while swine gives the impression of smaller pigs, with lesser or no tusks. This appearance Apollodorus describes can be seen in figures 4 and 5, with figure 5 </w:t>
      </w:r>
      <w:r>
        <w:rPr>
          <w:noProof/>
        </w:rPr>
        <mc:AlternateContent>
          <mc:Choice Requires="wps">
            <w:drawing>
              <wp:anchor distT="0" distB="0" distL="114300" distR="114300" simplePos="0" relativeHeight="251642880" behindDoc="1" locked="0" layoutInCell="1" allowOverlap="1" wp14:anchorId="506C6F30" wp14:editId="6AF270A2">
                <wp:simplePos x="0" y="0"/>
                <wp:positionH relativeFrom="margin">
                  <wp:align>left</wp:align>
                </wp:positionH>
                <wp:positionV relativeFrom="paragraph">
                  <wp:posOffset>5026025</wp:posOffset>
                </wp:positionV>
                <wp:extent cx="2527300" cy="635"/>
                <wp:effectExtent l="0" t="0" r="6350" b="0"/>
                <wp:wrapTight wrapText="bothSides">
                  <wp:wrapPolygon edited="0">
                    <wp:start x="0" y="0"/>
                    <wp:lineTo x="0" y="20057"/>
                    <wp:lineTo x="21491" y="20057"/>
                    <wp:lineTo x="21491" y="0"/>
                    <wp:lineTo x="0" y="0"/>
                  </wp:wrapPolygon>
                </wp:wrapTight>
                <wp:docPr id="430892124" name="Text Box 1"/>
                <wp:cNvGraphicFramePr/>
                <a:graphic xmlns:a="http://schemas.openxmlformats.org/drawingml/2006/main">
                  <a:graphicData uri="http://schemas.microsoft.com/office/word/2010/wordprocessingShape">
                    <wps:wsp>
                      <wps:cNvSpPr txBox="1"/>
                      <wps:spPr>
                        <a:xfrm>
                          <a:off x="0" y="0"/>
                          <a:ext cx="2527300" cy="635"/>
                        </a:xfrm>
                        <a:prstGeom prst="rect">
                          <a:avLst/>
                        </a:prstGeom>
                        <a:solidFill>
                          <a:prstClr val="white"/>
                        </a:solidFill>
                        <a:ln>
                          <a:noFill/>
                        </a:ln>
                      </wps:spPr>
                      <wps:txbx>
                        <w:txbxContent>
                          <w:p w14:paraId="2CD57954" w14:textId="0B281EBC" w:rsidR="008B5C30" w:rsidRDefault="008B5C30" w:rsidP="00BE5B6E">
                            <w:pPr>
                              <w:pStyle w:val="Caption"/>
                              <w:rPr>
                                <w:noProof/>
                              </w:rPr>
                            </w:pPr>
                            <w:r>
                              <w:t xml:space="preserve">Figure </w:t>
                            </w:r>
                            <w:fldSimple w:instr=" SEQ Figure \* ARABIC ">
                              <w:r w:rsidR="0051659C">
                                <w:rPr>
                                  <w:noProof/>
                                </w:rPr>
                                <w:t>4</w:t>
                              </w:r>
                            </w:fldSimple>
                            <w:r w:rsidR="00A94D81">
                              <w:rPr>
                                <w:noProof/>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6C6F30" id="_x0000_s1029" type="#_x0000_t202" style="position:absolute;margin-left:0;margin-top:395.75pt;width:199pt;height:.05pt;z-index:-25167360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" stroked="f">
                <v:textbox style="mso-fit-shape-to-text:t" inset="0,0,0,0">
                  <w:txbxContent>
                    <w:p w14:paraId="2CD57954" w14:textId="0B281EBC" w:rsidR="008B5C30" w:rsidRDefault="008B5C30" w:rsidP="00BE5B6E">
                      <w:pPr>
                        <w:pStyle w:val="Caption"/>
                        <w:rPr>
                          <w:noProof/>
                        </w:rPr>
                      </w:pPr>
                      <w:r>
                        <w:t xml:space="preserve">Figure </w:t>
                      </w:r>
                      <w:r>
                        <w:fldChar w:fldCharType="begin"/>
                      </w:r>
                      <w:r>
                        <w:instrText xml:space="preserve"> SEQ Figure \* ARABIC </w:instrText>
                      </w:r>
                      <w:r>
                        <w:fldChar w:fldCharType="separate"/>
                      </w:r>
                      <w:r w:rsidR="0051659C">
                        <w:rPr>
                          <w:noProof/>
                        </w:rPr>
                        <w:t>4</w:t>
                      </w:r>
                      <w:r>
                        <w:rPr>
                          <w:noProof/>
                        </w:rPr>
                        <w:fldChar w:fldCharType="end"/>
                      </w:r>
                      <w:r w:rsidR="00A94D81">
                        <w:rPr>
                          <w:noProof/>
                        </w:rPr>
                        <w:t xml:space="preserve"> </w:t>
                      </w:r>
                    </w:p>
                  </w:txbxContent>
                </v:textbox>
                <w10:wrap type="tight" anchorx="margin"/>
              </v:shape>
            </w:pict>
          </mc:Fallback>
        </mc:AlternateContent>
      </w:r>
      <w:r>
        <w:t xml:space="preserve">(though a different piece of art) representing a </w:t>
      </w:r>
      <w:r>
        <w:rPr>
          <w:noProof/>
        </w:rPr>
        <w:drawing>
          <wp:anchor distT="0" distB="0" distL="114300" distR="114300" simplePos="0" relativeHeight="251643904" behindDoc="1" locked="0" layoutInCell="1" allowOverlap="1" wp14:anchorId="71D7DBC7" wp14:editId="011754E9">
            <wp:simplePos x="0" y="0"/>
            <wp:positionH relativeFrom="margin">
              <wp:align>left</wp:align>
            </wp:positionH>
            <wp:positionV relativeFrom="paragraph">
              <wp:posOffset>5256309</wp:posOffset>
            </wp:positionV>
            <wp:extent cx="2520563" cy="2315310"/>
            <wp:effectExtent l="0" t="0" r="0" b="8890"/>
            <wp:wrapTight wrapText="bothSides">
              <wp:wrapPolygon edited="0">
                <wp:start x="0" y="0"/>
                <wp:lineTo x="0" y="21505"/>
                <wp:lineTo x="21388" y="21505"/>
                <wp:lineTo x="21388" y="0"/>
                <wp:lineTo x="0" y="0"/>
              </wp:wrapPolygon>
            </wp:wrapTight>
            <wp:docPr id="145674667" name="Picture 1" descr="Gorgoneion | Athenian red-figure hydria C5th B.C. | British Museum,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orgoneion | Athenian red-figure hydria C5th B.C. | British Museum, London"/>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520563" cy="2315310"/>
                    </a:xfrm>
                    <a:prstGeom prst="rect">
                      <a:avLst/>
                    </a:prstGeom>
                    <a:noFill/>
                    <a:ln>
                      <a:noFill/>
                    </a:ln>
                  </pic:spPr>
                </pic:pic>
              </a:graphicData>
            </a:graphic>
          </wp:anchor>
        </w:drawing>
      </w:r>
      <w:r>
        <w:t>zoomed in look at Medusa’s head in figure 4. Figures 4 and 5 also show that, despite a fairly human body, her face is ugly and monstrous which perfectly fits several definitions of “monster”,</w:t>
      </w:r>
      <w:r>
        <w:rPr>
          <w:rStyle w:val="FootnoteReference"/>
        </w:rPr>
        <w:footnoteReference w:id="180"/>
      </w:r>
      <w:r>
        <w:t xml:space="preserve"> “monstrous”,</w:t>
      </w:r>
      <w:r>
        <w:rPr>
          <w:rStyle w:val="FootnoteReference"/>
        </w:rPr>
        <w:footnoteReference w:id="181"/>
      </w:r>
      <w:r>
        <w:t xml:space="preserve"> and “monstrosity”.</w:t>
      </w:r>
      <w:r>
        <w:rPr>
          <w:rStyle w:val="FootnoteReference"/>
        </w:rPr>
        <w:footnoteReference w:id="182"/>
      </w:r>
      <w:r>
        <w:t xml:space="preserve"> </w:t>
      </w:r>
    </w:p>
    <w:p w14:paraId="11681EB4" w14:textId="77777777" w:rsidR="008B5C30" w:rsidRDefault="008B5C30" w:rsidP="00C93FE7">
      <w:pPr>
        <w:spacing w:line="360" w:lineRule="auto"/>
        <w:ind w:firstLine="720"/>
      </w:pPr>
      <w:r>
        <w:t xml:space="preserve">Medusa’s appearance according to Apollodorus is drastically different compared </w:t>
      </w:r>
      <w:r>
        <w:rPr>
          <w:noProof/>
        </w:rPr>
        <mc:AlternateContent>
          <mc:Choice Requires="wps">
            <w:drawing>
              <wp:anchor distT="0" distB="0" distL="114300" distR="114300" simplePos="0" relativeHeight="251644928" behindDoc="1" locked="0" layoutInCell="1" allowOverlap="1" wp14:anchorId="77212C9B" wp14:editId="4EB93ED4">
                <wp:simplePos x="0" y="0"/>
                <wp:positionH relativeFrom="column">
                  <wp:posOffset>0</wp:posOffset>
                </wp:positionH>
                <wp:positionV relativeFrom="paragraph">
                  <wp:posOffset>719455</wp:posOffset>
                </wp:positionV>
                <wp:extent cx="2520315" cy="635"/>
                <wp:effectExtent l="0" t="0" r="0" b="0"/>
                <wp:wrapTight wrapText="bothSides">
                  <wp:wrapPolygon edited="0">
                    <wp:start x="0" y="0"/>
                    <wp:lineTo x="0" y="21600"/>
                    <wp:lineTo x="21600" y="21600"/>
                    <wp:lineTo x="21600" y="0"/>
                  </wp:wrapPolygon>
                </wp:wrapTight>
                <wp:docPr id="1692244786" name="Text Box 1"/>
                <wp:cNvGraphicFramePr/>
                <a:graphic xmlns:a="http://schemas.openxmlformats.org/drawingml/2006/main">
                  <a:graphicData uri="http://schemas.microsoft.com/office/word/2010/wordprocessingShape">
                    <wps:wsp>
                      <wps:cNvSpPr txBox="1"/>
                      <wps:spPr>
                        <a:xfrm>
                          <a:off x="0" y="0"/>
                          <a:ext cx="2520315" cy="635"/>
                        </a:xfrm>
                        <a:prstGeom prst="rect">
                          <a:avLst/>
                        </a:prstGeom>
                        <a:solidFill>
                          <a:prstClr val="white"/>
                        </a:solidFill>
                        <a:ln>
                          <a:noFill/>
                        </a:ln>
                      </wps:spPr>
                      <wps:txbx>
                        <w:txbxContent>
                          <w:p w14:paraId="4CC41E6E" w14:textId="5CEC92D4" w:rsidR="008B5C30" w:rsidRDefault="008B5C30" w:rsidP="004D574D">
                            <w:pPr>
                              <w:pStyle w:val="Caption"/>
                            </w:pPr>
                            <w:r>
                              <w:t xml:space="preserve">Figure </w:t>
                            </w:r>
                            <w:fldSimple w:instr=" SEQ Figure \* ARABIC ">
                              <w:r w:rsidR="0051659C">
                                <w:rPr>
                                  <w:noProof/>
                                </w:rPr>
                                <w:t>5</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212C9B" id="_x0000_s1030" type="#_x0000_t202" style="position:absolute;left:0;text-align:left;margin-left:0;margin-top:56.65pt;width:198.4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vdnQGgIAAD8EAAAOAAAAZHJzL2Uyb0RvYy54bWysU8Fu2zAMvQ/YPwi6L07SpRi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" stroked="f">
                <v:textbox style="mso-fit-shape-to-text:t" inset="0,0,0,0">
                  <w:txbxContent>
                    <w:p w14:paraId="4CC41E6E" w14:textId="5CEC92D4" w:rsidR="008B5C30" w:rsidRDefault="008B5C30" w:rsidP="004D574D">
                      <w:pPr>
                        <w:pStyle w:val="Caption"/>
                      </w:pPr>
                      <w:r>
                        <w:t xml:space="preserve">Figure </w:t>
                      </w:r>
                      <w:r>
                        <w:fldChar w:fldCharType="begin"/>
                      </w:r>
                      <w:r>
                        <w:instrText xml:space="preserve"> SEQ Figure \* ARABIC </w:instrText>
                      </w:r>
                      <w:r>
                        <w:fldChar w:fldCharType="separate"/>
                      </w:r>
                      <w:r w:rsidR="0051659C">
                        <w:rPr>
                          <w:noProof/>
                        </w:rPr>
                        <w:t>5</w:t>
                      </w:r>
                      <w:r>
                        <w:rPr>
                          <w:noProof/>
                        </w:rPr>
                        <w:fldChar w:fldCharType="end"/>
                      </w:r>
                    </w:p>
                  </w:txbxContent>
                </v:textbox>
                <w10:wrap type="tight"/>
              </v:shape>
            </w:pict>
          </mc:Fallback>
        </mc:AlternateContent>
      </w:r>
      <w:r>
        <w:t xml:space="preserve">to how she is depicted nowadays within media </w:t>
      </w:r>
      <w:r>
        <w:rPr>
          <w:noProof/>
        </w:rPr>
        <w:lastRenderedPageBreak/>
        <mc:AlternateContent>
          <mc:Choice Requires="wps">
            <w:drawing>
              <wp:anchor distT="0" distB="0" distL="114300" distR="114300" simplePos="0" relativeHeight="251648000" behindDoc="1" locked="0" layoutInCell="1" allowOverlap="1" wp14:anchorId="33AC2E72" wp14:editId="6F7EA6AD">
                <wp:simplePos x="0" y="0"/>
                <wp:positionH relativeFrom="column">
                  <wp:posOffset>0</wp:posOffset>
                </wp:positionH>
                <wp:positionV relativeFrom="paragraph">
                  <wp:posOffset>5308600</wp:posOffset>
                </wp:positionV>
                <wp:extent cx="2239010" cy="635"/>
                <wp:effectExtent l="0" t="0" r="0" b="0"/>
                <wp:wrapTight wrapText="bothSides">
                  <wp:wrapPolygon edited="0">
                    <wp:start x="0" y="0"/>
                    <wp:lineTo x="0" y="21600"/>
                    <wp:lineTo x="21600" y="21600"/>
                    <wp:lineTo x="21600" y="0"/>
                  </wp:wrapPolygon>
                </wp:wrapTight>
                <wp:docPr id="299087027" name="Text Box 1"/>
                <wp:cNvGraphicFramePr/>
                <a:graphic xmlns:a="http://schemas.openxmlformats.org/drawingml/2006/main">
                  <a:graphicData uri="http://schemas.microsoft.com/office/word/2010/wordprocessingShape">
                    <wps:wsp>
                      <wps:cNvSpPr txBox="1"/>
                      <wps:spPr>
                        <a:xfrm>
                          <a:off x="0" y="0"/>
                          <a:ext cx="2239010" cy="635"/>
                        </a:xfrm>
                        <a:prstGeom prst="rect">
                          <a:avLst/>
                        </a:prstGeom>
                        <a:solidFill>
                          <a:prstClr val="white"/>
                        </a:solidFill>
                        <a:ln>
                          <a:noFill/>
                        </a:ln>
                      </wps:spPr>
                      <wps:txbx>
                        <w:txbxContent>
                          <w:p w14:paraId="447B77A6" w14:textId="465DF878" w:rsidR="008B5C30" w:rsidRDefault="008B5C30" w:rsidP="00A528D4">
                            <w:pPr>
                              <w:pStyle w:val="Caption"/>
                            </w:pPr>
                            <w:r>
                              <w:t xml:space="preserve">Figure </w:t>
                            </w:r>
                            <w:fldSimple w:instr=" SEQ Figure \* ARABIC ">
                              <w:r w:rsidR="0051659C">
                                <w:rPr>
                                  <w:noProof/>
                                </w:rPr>
                                <w:t>6</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AC2E72" id="_x0000_s1031" type="#_x0000_t202" style="position:absolute;left:0;text-align:left;margin-left:0;margin-top:418pt;width:176.3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" stroked="f">
                <v:textbox style="mso-fit-shape-to-text:t" inset="0,0,0,0">
                  <w:txbxContent>
                    <w:p w14:paraId="447B77A6" w14:textId="465DF878" w:rsidR="008B5C30" w:rsidRDefault="008B5C30" w:rsidP="00A528D4">
                      <w:pPr>
                        <w:pStyle w:val="Caption"/>
                      </w:pPr>
                      <w:r>
                        <w:t xml:space="preserve">Figure </w:t>
                      </w:r>
                      <w:r>
                        <w:fldChar w:fldCharType="begin"/>
                      </w:r>
                      <w:r>
                        <w:instrText xml:space="preserve"> SEQ Figure \* ARABIC </w:instrText>
                      </w:r>
                      <w:r>
                        <w:fldChar w:fldCharType="separate"/>
                      </w:r>
                      <w:r w:rsidR="0051659C">
                        <w:rPr>
                          <w:noProof/>
                        </w:rPr>
                        <w:t>6</w:t>
                      </w:r>
                      <w:r>
                        <w:rPr>
                          <w:noProof/>
                        </w:rPr>
                        <w:fldChar w:fldCharType="end"/>
                      </w:r>
                    </w:p>
                  </w:txbxContent>
                </v:textbox>
                <w10:wrap type="tight"/>
              </v:shape>
            </w:pict>
          </mc:Fallback>
        </mc:AlternateContent>
      </w:r>
      <w:r>
        <w:rPr>
          <w:noProof/>
        </w:rPr>
        <w:drawing>
          <wp:anchor distT="0" distB="0" distL="114300" distR="114300" simplePos="0" relativeHeight="251645952" behindDoc="1" locked="0" layoutInCell="1" allowOverlap="1" wp14:anchorId="68CD1DD3" wp14:editId="1FFE25E9">
            <wp:simplePos x="0" y="0"/>
            <wp:positionH relativeFrom="margin">
              <wp:align>left</wp:align>
            </wp:positionH>
            <wp:positionV relativeFrom="paragraph">
              <wp:posOffset>7785</wp:posOffset>
            </wp:positionV>
            <wp:extent cx="2239010" cy="5243830"/>
            <wp:effectExtent l="0" t="0" r="8890" b="0"/>
            <wp:wrapTight wrapText="bothSides">
              <wp:wrapPolygon edited="0">
                <wp:start x="0" y="0"/>
                <wp:lineTo x="0" y="21501"/>
                <wp:lineTo x="21502" y="21501"/>
                <wp:lineTo x="21502" y="0"/>
                <wp:lineTo x="0" y="0"/>
              </wp:wrapPolygon>
            </wp:wrapTight>
            <wp:docPr id="1460519901" name="Picture 2" descr="A statue of a person with a snake on her he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519901" name="Picture 2" descr="A statue of a person with a snake on her head&#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239010" cy="5243830"/>
                    </a:xfrm>
                    <a:prstGeom prst="rect">
                      <a:avLst/>
                    </a:prstGeom>
                  </pic:spPr>
                </pic:pic>
              </a:graphicData>
            </a:graphic>
            <wp14:sizeRelH relativeFrom="margin">
              <wp14:pctWidth>0</wp14:pctWidth>
            </wp14:sizeRelH>
            <wp14:sizeRelV relativeFrom="margin">
              <wp14:pctHeight>0</wp14:pctHeight>
            </wp14:sizeRelV>
          </wp:anchor>
        </w:drawing>
      </w:r>
      <w:r>
        <w:t>like movies and games. For example, Medusa no longer has the wings Apollodorus described, as shown in Figures 6, 7, 8 and 9. Medusa generally also has no tusks, as depicted in Figures 8 and 9, since she is usually just described as a woman with snake hair, without any mention of wings, tusks or anything different with her hands. A simple Google Image search of “Medusa” results in various headshots, with a few full depictions of her entire body; a woman with snakes for hair, with varying degrees of beauty, but with no wings in sight.</w:t>
      </w:r>
    </w:p>
    <w:p w14:paraId="626E9483" w14:textId="77777777" w:rsidR="008B5C30" w:rsidRDefault="008B5C30" w:rsidP="00C93FE7">
      <w:pPr>
        <w:spacing w:line="360" w:lineRule="auto"/>
      </w:pPr>
      <w:r>
        <w:rPr>
          <w:noProof/>
        </w:rPr>
        <mc:AlternateContent>
          <mc:Choice Requires="wps">
            <w:drawing>
              <wp:anchor distT="0" distB="0" distL="114300" distR="114300" simplePos="0" relativeHeight="251649024" behindDoc="1" locked="0" layoutInCell="1" allowOverlap="1" wp14:anchorId="74011197" wp14:editId="680CC5AA">
                <wp:simplePos x="0" y="0"/>
                <wp:positionH relativeFrom="column">
                  <wp:posOffset>0</wp:posOffset>
                </wp:positionH>
                <wp:positionV relativeFrom="paragraph">
                  <wp:posOffset>4739640</wp:posOffset>
                </wp:positionV>
                <wp:extent cx="2198370" cy="635"/>
                <wp:effectExtent l="0" t="0" r="0" b="0"/>
                <wp:wrapTight wrapText="bothSides">
                  <wp:wrapPolygon edited="0">
                    <wp:start x="0" y="0"/>
                    <wp:lineTo x="0" y="21600"/>
                    <wp:lineTo x="21600" y="21600"/>
                    <wp:lineTo x="21600" y="0"/>
                  </wp:wrapPolygon>
                </wp:wrapTight>
                <wp:docPr id="1466842279" name="Text Box 1"/>
                <wp:cNvGraphicFramePr/>
                <a:graphic xmlns:a="http://schemas.openxmlformats.org/drawingml/2006/main">
                  <a:graphicData uri="http://schemas.microsoft.com/office/word/2010/wordprocessingShape">
                    <wps:wsp>
                      <wps:cNvSpPr txBox="1"/>
                      <wps:spPr>
                        <a:xfrm>
                          <a:off x="0" y="0"/>
                          <a:ext cx="2198370" cy="635"/>
                        </a:xfrm>
                        <a:prstGeom prst="rect">
                          <a:avLst/>
                        </a:prstGeom>
                        <a:solidFill>
                          <a:prstClr val="white"/>
                        </a:solidFill>
                        <a:ln>
                          <a:noFill/>
                        </a:ln>
                      </wps:spPr>
                      <wps:txbx>
                        <w:txbxContent>
                          <w:p w14:paraId="4722B31F" w14:textId="0C1EEAF9" w:rsidR="008B5C30" w:rsidRDefault="008B5C30" w:rsidP="00F149D1">
                            <w:pPr>
                              <w:pStyle w:val="Caption"/>
                              <w:rPr>
                                <w:noProof/>
                              </w:rPr>
                            </w:pPr>
                            <w:r>
                              <w:t xml:space="preserve">Figure </w:t>
                            </w:r>
                            <w:fldSimple w:instr=" SEQ Figure \* ARABIC ">
                              <w:r w:rsidR="0051659C">
                                <w:rPr>
                                  <w:noProof/>
                                </w:rPr>
                                <w:t>7</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011197" id="_x0000_s1032" type="#_x0000_t202" style="position:absolute;margin-left:0;margin-top:373.2pt;width:173.1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" stroked="f">
                <v:textbox style="mso-fit-shape-to-text:t" inset="0,0,0,0">
                  <w:txbxContent>
                    <w:p w14:paraId="4722B31F" w14:textId="0C1EEAF9" w:rsidR="008B5C30" w:rsidRDefault="008B5C30" w:rsidP="00F149D1">
                      <w:pPr>
                        <w:pStyle w:val="Caption"/>
                        <w:rPr>
                          <w:noProof/>
                        </w:rPr>
                      </w:pPr>
                      <w:r>
                        <w:t xml:space="preserve">Figure </w:t>
                      </w:r>
                      <w:r>
                        <w:fldChar w:fldCharType="begin"/>
                      </w:r>
                      <w:r>
                        <w:instrText xml:space="preserve"> SEQ Figure \* ARABIC </w:instrText>
                      </w:r>
                      <w:r>
                        <w:fldChar w:fldCharType="separate"/>
                      </w:r>
                      <w:r w:rsidR="0051659C">
                        <w:rPr>
                          <w:noProof/>
                        </w:rPr>
                        <w:t>7</w:t>
                      </w:r>
                      <w:r>
                        <w:rPr>
                          <w:noProof/>
                        </w:rPr>
                        <w:fldChar w:fldCharType="end"/>
                      </w:r>
                    </w:p>
                  </w:txbxContent>
                </v:textbox>
                <w10:wrap type="tight"/>
              </v:shape>
            </w:pict>
          </mc:Fallback>
        </mc:AlternateContent>
      </w:r>
      <w:r>
        <w:rPr>
          <w:noProof/>
        </w:rPr>
        <w:drawing>
          <wp:anchor distT="0" distB="0" distL="114300" distR="114300" simplePos="0" relativeHeight="251646976" behindDoc="1" locked="0" layoutInCell="1" allowOverlap="1" wp14:anchorId="4D07F5AE" wp14:editId="4568F5C4">
            <wp:simplePos x="0" y="0"/>
            <wp:positionH relativeFrom="margin">
              <wp:align>left</wp:align>
            </wp:positionH>
            <wp:positionV relativeFrom="paragraph">
              <wp:posOffset>2433927</wp:posOffset>
            </wp:positionV>
            <wp:extent cx="2198370" cy="2249170"/>
            <wp:effectExtent l="0" t="0" r="0" b="0"/>
            <wp:wrapTight wrapText="bothSides">
              <wp:wrapPolygon edited="0">
                <wp:start x="0" y="0"/>
                <wp:lineTo x="0" y="21405"/>
                <wp:lineTo x="21338" y="21405"/>
                <wp:lineTo x="21338" y="0"/>
                <wp:lineTo x="0" y="0"/>
              </wp:wrapPolygon>
            </wp:wrapTight>
            <wp:docPr id="1030010934" name="Picture 1" descr="A person with a mask and hair wrapped around their he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010934" name="Picture 1" descr="A person with a mask and hair wrapped around their head&#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198370" cy="2249170"/>
                    </a:xfrm>
                    <a:prstGeom prst="rect">
                      <a:avLst/>
                    </a:prstGeom>
                  </pic:spPr>
                </pic:pic>
              </a:graphicData>
            </a:graphic>
            <wp14:sizeRelH relativeFrom="margin">
              <wp14:pctWidth>0</wp14:pctWidth>
            </wp14:sizeRelH>
            <wp14:sizeRelV relativeFrom="margin">
              <wp14:pctHeight>0</wp14:pctHeight>
            </wp14:sizeRelV>
          </wp:anchor>
        </w:drawing>
      </w:r>
      <w:r>
        <w:tab/>
        <w:t xml:space="preserve">Figures 6 and 7 are from </w:t>
      </w:r>
      <w:r w:rsidRPr="004C5B98">
        <w:rPr>
          <w:i/>
          <w:iCs/>
        </w:rPr>
        <w:t>Assassin’s Creed: Odyssey</w:t>
      </w:r>
      <w:r>
        <w:t>, set in Ancient Greece around the time of the Peloponnesian War. The creators of the game stayed closer to ancient depictions of Medusa while still making her unmistakeable for those who do not know the ancient descriptions, and only know her as a woman with snake hair. Hence, Medusa has tusks, though she still does not have wings. Incidentally, she also looks more attractive compared to the ancient artwork she is depicted in, though not necessarily beautiful; she looks more like a regular human rather than a monster in the face and the body. The only monstrous aspects of her appearance in Figures 6 and 7 are her snakes, her scaly skin, her eyes that glow when she tries to petrify her opponent, and her small tusks that are more visible in Figure 7. While this Medusa would not necessarily fit the definitions of “monster”, “monstrous” and “monstrosity” that include being ugly,</w:t>
      </w:r>
      <w:r>
        <w:rPr>
          <w:rStyle w:val="FootnoteReference"/>
        </w:rPr>
        <w:footnoteReference w:id="183"/>
      </w:r>
      <w:r>
        <w:t xml:space="preserve"> she would certainly fit ones </w:t>
      </w:r>
      <w:r>
        <w:rPr>
          <w:noProof/>
        </w:rPr>
        <w:lastRenderedPageBreak/>
        <w:drawing>
          <wp:anchor distT="0" distB="0" distL="114300" distR="114300" simplePos="0" relativeHeight="251650048" behindDoc="1" locked="0" layoutInCell="1" allowOverlap="1" wp14:anchorId="66A94D12" wp14:editId="07FEA8D3">
            <wp:simplePos x="0" y="0"/>
            <wp:positionH relativeFrom="margin">
              <wp:align>left</wp:align>
            </wp:positionH>
            <wp:positionV relativeFrom="paragraph">
              <wp:posOffset>3175</wp:posOffset>
            </wp:positionV>
            <wp:extent cx="3410585" cy="3777615"/>
            <wp:effectExtent l="0" t="0" r="0" b="0"/>
            <wp:wrapTight wrapText="bothSides">
              <wp:wrapPolygon edited="0">
                <wp:start x="0" y="0"/>
                <wp:lineTo x="0" y="21458"/>
                <wp:lineTo x="21475" y="21458"/>
                <wp:lineTo x="21475" y="0"/>
                <wp:lineTo x="0" y="0"/>
              </wp:wrapPolygon>
            </wp:wrapTight>
            <wp:docPr id="2030729143" name="Picture 1" descr="A person in a garment holding a bow and arr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729143" name="Picture 1" descr="A person in a garment holding a bow and arrow&#10;&#10;AI-generated content may be incorrect."/>
                    <pic:cNvPicPr/>
                  </pic:nvPicPr>
                  <pic:blipFill>
                    <a:blip r:embed="rId21"/>
                    <a:stretch>
                      <a:fillRect/>
                    </a:stretch>
                  </pic:blipFill>
                  <pic:spPr>
                    <a:xfrm>
                      <a:off x="0" y="0"/>
                      <a:ext cx="3410585" cy="3777615"/>
                    </a:xfrm>
                    <a:prstGeom prst="rect">
                      <a:avLst/>
                    </a:prstGeom>
                  </pic:spPr>
                </pic:pic>
              </a:graphicData>
            </a:graphic>
            <wp14:sizeRelH relativeFrom="margin">
              <wp14:pctWidth>0</wp14:pctWidth>
            </wp14:sizeRelH>
            <wp14:sizeRelV relativeFrom="margin">
              <wp14:pctHeight>0</wp14:pctHeight>
            </wp14:sizeRelV>
          </wp:anchor>
        </w:drawing>
      </w:r>
      <w:r>
        <w:t>that include the keywords “abnormal” and “strange” for appearance,</w:t>
      </w:r>
      <w:r>
        <w:rPr>
          <w:rStyle w:val="FootnoteReference"/>
        </w:rPr>
        <w:footnoteReference w:id="184"/>
      </w:r>
      <w:r>
        <w:t xml:space="preserve"> as well as ‘a mythical creature which is part animal and part human.’</w:t>
      </w:r>
      <w:r>
        <w:rPr>
          <w:rStyle w:val="FootnoteReference"/>
        </w:rPr>
        <w:footnoteReference w:id="185"/>
      </w:r>
      <w:r w:rsidRPr="008B5BF7">
        <w:rPr>
          <w:noProof/>
        </w:rPr>
        <w:t xml:space="preserve"> </w:t>
      </w:r>
    </w:p>
    <w:p w14:paraId="47445D7A" w14:textId="77777777" w:rsidR="008B5C30" w:rsidRDefault="008B5C30" w:rsidP="00C93FE7">
      <w:pPr>
        <w:keepNext/>
        <w:spacing w:line="360" w:lineRule="auto"/>
      </w:pPr>
      <w:r>
        <w:rPr>
          <w:noProof/>
        </w:rPr>
        <mc:AlternateContent>
          <mc:Choice Requires="wps">
            <w:drawing>
              <wp:anchor distT="0" distB="0" distL="114300" distR="114300" simplePos="0" relativeHeight="251666432" behindDoc="1" locked="0" layoutInCell="1" allowOverlap="1" wp14:anchorId="4F9F4EBD" wp14:editId="2D9C8952">
                <wp:simplePos x="0" y="0"/>
                <wp:positionH relativeFrom="margin">
                  <wp:align>left</wp:align>
                </wp:positionH>
                <wp:positionV relativeFrom="paragraph">
                  <wp:posOffset>6392305</wp:posOffset>
                </wp:positionV>
                <wp:extent cx="5563870" cy="635"/>
                <wp:effectExtent l="0" t="0" r="0" b="0"/>
                <wp:wrapTight wrapText="bothSides">
                  <wp:wrapPolygon edited="0">
                    <wp:start x="0" y="0"/>
                    <wp:lineTo x="0" y="17673"/>
                    <wp:lineTo x="21521" y="17673"/>
                    <wp:lineTo x="21521" y="0"/>
                    <wp:lineTo x="0" y="0"/>
                  </wp:wrapPolygon>
                </wp:wrapTight>
                <wp:docPr id="1370681883" name="Text Box 1"/>
                <wp:cNvGraphicFramePr/>
                <a:graphic xmlns:a="http://schemas.openxmlformats.org/drawingml/2006/main">
                  <a:graphicData uri="http://schemas.microsoft.com/office/word/2010/wordprocessingShape">
                    <wps:wsp>
                      <wps:cNvSpPr txBox="1"/>
                      <wps:spPr>
                        <a:xfrm>
                          <a:off x="0" y="0"/>
                          <a:ext cx="5563870" cy="635"/>
                        </a:xfrm>
                        <a:prstGeom prst="rect">
                          <a:avLst/>
                        </a:prstGeom>
                        <a:solidFill>
                          <a:prstClr val="white"/>
                        </a:solidFill>
                        <a:ln>
                          <a:noFill/>
                        </a:ln>
                      </wps:spPr>
                      <wps:txbx>
                        <w:txbxContent>
                          <w:p w14:paraId="0DD98E90" w14:textId="02F40120" w:rsidR="008B5C30" w:rsidRDefault="008B5C30" w:rsidP="006A6FFF">
                            <w:pPr>
                              <w:pStyle w:val="Caption"/>
                              <w:rPr>
                                <w:noProof/>
                              </w:rPr>
                            </w:pPr>
                            <w:r>
                              <w:t xml:space="preserve">Figure </w:t>
                            </w:r>
                            <w:fldSimple w:instr=" SEQ Figure \* ARABIC ">
                              <w:r w:rsidR="0051659C">
                                <w:rPr>
                                  <w:noProof/>
                                </w:rPr>
                                <w:t>8</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9F4EBD" id="_x0000_s1033" type="#_x0000_t202" style="position:absolute;margin-left:0;margin-top:503.35pt;width:438.1pt;height:.05pt;z-index:-25165004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" stroked="f">
                <v:textbox style="mso-fit-shape-to-text:t" inset="0,0,0,0">
                  <w:txbxContent>
                    <w:p w14:paraId="0DD98E90" w14:textId="02F40120" w:rsidR="008B5C30" w:rsidRDefault="008B5C30" w:rsidP="006A6FFF">
                      <w:pPr>
                        <w:pStyle w:val="Caption"/>
                        <w:rPr>
                          <w:noProof/>
                        </w:rPr>
                      </w:pPr>
                      <w:r>
                        <w:t xml:space="preserve">Figure </w:t>
                      </w:r>
                      <w:r>
                        <w:fldChar w:fldCharType="begin"/>
                      </w:r>
                      <w:r>
                        <w:instrText xml:space="preserve"> SEQ Figure \* ARABIC </w:instrText>
                      </w:r>
                      <w:r>
                        <w:fldChar w:fldCharType="separate"/>
                      </w:r>
                      <w:r w:rsidR="0051659C">
                        <w:rPr>
                          <w:noProof/>
                        </w:rPr>
                        <w:t>8</w:t>
                      </w:r>
                      <w:r>
                        <w:rPr>
                          <w:noProof/>
                        </w:rPr>
                        <w:fldChar w:fldCharType="end"/>
                      </w:r>
                    </w:p>
                  </w:txbxContent>
                </v:textbox>
                <w10:wrap type="tight" anchorx="margin"/>
              </v:shape>
            </w:pict>
          </mc:Fallback>
        </mc:AlternateContent>
      </w:r>
      <w:r>
        <w:rPr>
          <w:noProof/>
        </w:rPr>
        <mc:AlternateContent>
          <mc:Choice Requires="wps">
            <w:drawing>
              <wp:anchor distT="0" distB="0" distL="114300" distR="114300" simplePos="0" relativeHeight="251665408" behindDoc="1" locked="0" layoutInCell="1" allowOverlap="1" wp14:anchorId="694CCE67" wp14:editId="4297276D">
                <wp:simplePos x="0" y="0"/>
                <wp:positionH relativeFrom="margin">
                  <wp:align>left</wp:align>
                </wp:positionH>
                <wp:positionV relativeFrom="paragraph">
                  <wp:posOffset>2254981</wp:posOffset>
                </wp:positionV>
                <wp:extent cx="3410585" cy="635"/>
                <wp:effectExtent l="0" t="0" r="0" b="0"/>
                <wp:wrapTight wrapText="bothSides">
                  <wp:wrapPolygon edited="0">
                    <wp:start x="0" y="0"/>
                    <wp:lineTo x="0" y="17673"/>
                    <wp:lineTo x="21475" y="17673"/>
                    <wp:lineTo x="21475" y="0"/>
                    <wp:lineTo x="0" y="0"/>
                  </wp:wrapPolygon>
                </wp:wrapTight>
                <wp:docPr id="396649222" name="Text Box 1"/>
                <wp:cNvGraphicFramePr/>
                <a:graphic xmlns:a="http://schemas.openxmlformats.org/drawingml/2006/main">
                  <a:graphicData uri="http://schemas.microsoft.com/office/word/2010/wordprocessingShape">
                    <wps:wsp>
                      <wps:cNvSpPr txBox="1"/>
                      <wps:spPr>
                        <a:xfrm>
                          <a:off x="0" y="0"/>
                          <a:ext cx="3410585" cy="635"/>
                        </a:xfrm>
                        <a:prstGeom prst="rect">
                          <a:avLst/>
                        </a:prstGeom>
                        <a:solidFill>
                          <a:prstClr val="white"/>
                        </a:solidFill>
                        <a:ln>
                          <a:noFill/>
                        </a:ln>
                      </wps:spPr>
                      <wps:txbx>
                        <w:txbxContent>
                          <w:p w14:paraId="7BD54B4D" w14:textId="07884D2A" w:rsidR="008B5C30" w:rsidRDefault="008B5C30" w:rsidP="006A6FFF">
                            <w:pPr>
                              <w:pStyle w:val="Caption"/>
                              <w:rPr>
                                <w:noProof/>
                              </w:rPr>
                            </w:pPr>
                            <w:r>
                              <w:t xml:space="preserve">Figure </w:t>
                            </w:r>
                            <w:fldSimple w:instr=" SEQ Figure \* ARABIC ">
                              <w:r w:rsidR="0051659C">
                                <w:rPr>
                                  <w:noProof/>
                                </w:rPr>
                                <w:t>9</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4CCE67" id="_x0000_s1034" type="#_x0000_t202" style="position:absolute;margin-left:0;margin-top:177.55pt;width:268.55pt;height:.05pt;z-index:-25165107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" stroked="f">
                <v:textbox style="mso-fit-shape-to-text:t" inset="0,0,0,0">
                  <w:txbxContent>
                    <w:p w14:paraId="7BD54B4D" w14:textId="07884D2A" w:rsidR="008B5C30" w:rsidRDefault="008B5C30" w:rsidP="006A6FFF">
                      <w:pPr>
                        <w:pStyle w:val="Caption"/>
                        <w:rPr>
                          <w:noProof/>
                        </w:rPr>
                      </w:pPr>
                      <w:r>
                        <w:t xml:space="preserve">Figure </w:t>
                      </w:r>
                      <w:r>
                        <w:fldChar w:fldCharType="begin"/>
                      </w:r>
                      <w:r>
                        <w:instrText xml:space="preserve"> SEQ Figure \* ARABIC </w:instrText>
                      </w:r>
                      <w:r>
                        <w:fldChar w:fldCharType="separate"/>
                      </w:r>
                      <w:r w:rsidR="0051659C">
                        <w:rPr>
                          <w:noProof/>
                        </w:rPr>
                        <w:t>9</w:t>
                      </w:r>
                      <w:r>
                        <w:rPr>
                          <w:noProof/>
                        </w:rPr>
                        <w:fldChar w:fldCharType="end"/>
                      </w:r>
                    </w:p>
                  </w:txbxContent>
                </v:textbox>
                <w10:wrap type="tight" anchorx="margin"/>
              </v:shape>
            </w:pict>
          </mc:Fallback>
        </mc:AlternateContent>
      </w:r>
      <w:r>
        <w:rPr>
          <w:noProof/>
        </w:rPr>
        <w:drawing>
          <wp:anchor distT="0" distB="0" distL="114300" distR="114300" simplePos="0" relativeHeight="251651072" behindDoc="1" locked="0" layoutInCell="1" allowOverlap="1" wp14:anchorId="3BD04A8D" wp14:editId="40C8E7C7">
            <wp:simplePos x="0" y="0"/>
            <wp:positionH relativeFrom="margin">
              <wp:align>left</wp:align>
            </wp:positionH>
            <wp:positionV relativeFrom="paragraph">
              <wp:posOffset>4265295</wp:posOffset>
            </wp:positionV>
            <wp:extent cx="5563870" cy="2258060"/>
            <wp:effectExtent l="0" t="0" r="0" b="8890"/>
            <wp:wrapTight wrapText="bothSides">
              <wp:wrapPolygon edited="0">
                <wp:start x="0" y="0"/>
                <wp:lineTo x="0" y="21503"/>
                <wp:lineTo x="21521" y="21503"/>
                <wp:lineTo x="21521" y="0"/>
                <wp:lineTo x="0" y="0"/>
              </wp:wrapPolygon>
            </wp:wrapTight>
            <wp:docPr id="624474165"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474165" name="Picture 1" descr="A screenshot of a video game&#10;&#10;AI-generated content may be incorrect."/>
                    <pic:cNvPicPr/>
                  </pic:nvPicPr>
                  <pic:blipFill rotWithShape="1">
                    <a:blip r:embed="rId22" cstate="print">
                      <a:extLst>
                        <a:ext uri="{28A0092B-C50C-407E-A947-70E740481C1C}">
                          <a14:useLocalDpi xmlns:a14="http://schemas.microsoft.com/office/drawing/2010/main" val="0"/>
                        </a:ext>
                      </a:extLst>
                    </a:blip>
                    <a:srcRect l="27892" t="7400" b="6031"/>
                    <a:stretch>
                      <a:fillRect/>
                    </a:stretch>
                  </pic:blipFill>
                  <pic:spPr bwMode="auto">
                    <a:xfrm>
                      <a:off x="0" y="0"/>
                      <a:ext cx="5567758" cy="22595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ab/>
      </w:r>
      <w:r>
        <w:tab/>
        <w:t>Figure 8 better fits the description of ‘a mythical creature which is part animal and part human,’</w:t>
      </w:r>
      <w:r>
        <w:rPr>
          <w:rStyle w:val="FootnoteReference"/>
        </w:rPr>
        <w:footnoteReference w:id="186"/>
      </w:r>
      <w:r>
        <w:t xml:space="preserve"> since it represents Medusa very differently to Figures 4, 5, 6 and 7. Not only is this Medusa more beautiful (and rather sexualised with the breast armour and no other clothing), but she is also far more snake-like, with only her face and upper torso looking vaguely human, though she also appears to have scales all over her skin except her face. Both her beauty and the lack of scales on her face change when she attempts to petrify; her face becomes far more snake-like, with her teeth and jaws protruding like snakes and scales, as shown in figure 9. For her to become more bestial and monstrous when using her power to petrify, it alludes to Medusa luring her enemies with her beautiful face, to </w:t>
      </w:r>
      <w:r>
        <w:lastRenderedPageBreak/>
        <w:t>then turn fully into a monster to petrify and kill them. So, while Figure 8 may not fit the “ugly” definitions of “monster”, “monstrous” and “monstrosity”,</w:t>
      </w:r>
      <w:r>
        <w:rPr>
          <w:rStyle w:val="FootnoteReference"/>
        </w:rPr>
        <w:footnoteReference w:id="187"/>
      </w:r>
      <w:r>
        <w:t xml:space="preserve"> Figure 9 certainly does. </w:t>
      </w:r>
    </w:p>
    <w:p w14:paraId="24C2DCC6" w14:textId="59BD2F52" w:rsidR="008B5C30" w:rsidRDefault="00104CAB" w:rsidP="00C93FE7">
      <w:pPr>
        <w:spacing w:line="360" w:lineRule="auto"/>
      </w:pPr>
      <w:r>
        <w:rPr>
          <w:noProof/>
        </w:rPr>
        <mc:AlternateContent>
          <mc:Choice Requires="wps">
            <w:drawing>
              <wp:anchor distT="0" distB="0" distL="114300" distR="114300" simplePos="0" relativeHeight="251676672" behindDoc="1" locked="0" layoutInCell="1" allowOverlap="1" wp14:anchorId="6009D97F" wp14:editId="49CD46E4">
                <wp:simplePos x="0" y="0"/>
                <wp:positionH relativeFrom="margin">
                  <wp:posOffset>-635</wp:posOffset>
                </wp:positionH>
                <wp:positionV relativeFrom="paragraph">
                  <wp:posOffset>7049135</wp:posOffset>
                </wp:positionV>
                <wp:extent cx="3306445" cy="139700"/>
                <wp:effectExtent l="0" t="0" r="8255" b="0"/>
                <wp:wrapTight wrapText="bothSides">
                  <wp:wrapPolygon edited="0">
                    <wp:start x="0" y="0"/>
                    <wp:lineTo x="0" y="17673"/>
                    <wp:lineTo x="21529" y="17673"/>
                    <wp:lineTo x="21529" y="0"/>
                    <wp:lineTo x="0" y="0"/>
                  </wp:wrapPolygon>
                </wp:wrapTight>
                <wp:docPr id="624719003" name="Text Box 1"/>
                <wp:cNvGraphicFramePr/>
                <a:graphic xmlns:a="http://schemas.openxmlformats.org/drawingml/2006/main">
                  <a:graphicData uri="http://schemas.microsoft.com/office/word/2010/wordprocessingShape">
                    <wps:wsp>
                      <wps:cNvSpPr txBox="1"/>
                      <wps:spPr>
                        <a:xfrm>
                          <a:off x="0" y="0"/>
                          <a:ext cx="3306445" cy="139700"/>
                        </a:xfrm>
                        <a:prstGeom prst="rect">
                          <a:avLst/>
                        </a:prstGeom>
                        <a:solidFill>
                          <a:prstClr val="white"/>
                        </a:solidFill>
                        <a:ln>
                          <a:noFill/>
                        </a:ln>
                      </wps:spPr>
                      <wps:txbx>
                        <w:txbxContent>
                          <w:p w14:paraId="43712904" w14:textId="69D8FF3F" w:rsidR="00DB0617" w:rsidRDefault="00DB0617" w:rsidP="00DB0617">
                            <w:pPr>
                              <w:pStyle w:val="Caption"/>
                              <w:rPr>
                                <w:noProof/>
                              </w:rPr>
                            </w:pPr>
                            <w:r>
                              <w:t xml:space="preserve">Figure </w:t>
                            </w:r>
                            <w:fldSimple w:instr=" SEQ Figure \* ARABIC ">
                              <w:r w:rsidR="0051659C">
                                <w:rPr>
                                  <w:noProof/>
                                </w:rPr>
                                <w:t>10</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009D97F" id="_x0000_s1035" type="#_x0000_t202" style="position:absolute;margin-left:-.05pt;margin-top:555.05pt;width:260.35pt;height:11pt;z-index:-2516398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" stroked="f">
                <v:textbox style="mso-fit-shape-to-text:t" inset="0,0,0,0">
                  <w:txbxContent>
                    <w:p w14:paraId="43712904" w14:textId="69D8FF3F" w:rsidR="00DB0617" w:rsidRDefault="00DB0617" w:rsidP="00DB0617">
                      <w:pPr>
                        <w:pStyle w:val="Caption"/>
                        <w:rPr>
                          <w:noProof/>
                        </w:rPr>
                      </w:pPr>
                      <w:r>
                        <w:t xml:space="preserve">Figure </w:t>
                      </w:r>
                      <w:r>
                        <w:fldChar w:fldCharType="begin"/>
                      </w:r>
                      <w:r>
                        <w:instrText xml:space="preserve"> SEQ Figure \* ARABIC </w:instrText>
                      </w:r>
                      <w:r>
                        <w:fldChar w:fldCharType="separate"/>
                      </w:r>
                      <w:r w:rsidR="0051659C">
                        <w:rPr>
                          <w:noProof/>
                        </w:rPr>
                        <w:t>10</w:t>
                      </w:r>
                      <w:r>
                        <w:fldChar w:fldCharType="end"/>
                      </w:r>
                    </w:p>
                  </w:txbxContent>
                </v:textbox>
                <w10:wrap type="tight" anchorx="margin"/>
              </v:shape>
            </w:pict>
          </mc:Fallback>
        </mc:AlternateContent>
      </w:r>
      <w:r>
        <w:rPr>
          <w:noProof/>
        </w:rPr>
        <w:drawing>
          <wp:anchor distT="0" distB="0" distL="114300" distR="114300" simplePos="0" relativeHeight="251661312" behindDoc="1" locked="0" layoutInCell="1" allowOverlap="1" wp14:anchorId="529ED9E8" wp14:editId="06FEDEAD">
            <wp:simplePos x="0" y="0"/>
            <wp:positionH relativeFrom="margin">
              <wp:align>left</wp:align>
            </wp:positionH>
            <wp:positionV relativeFrom="paragraph">
              <wp:posOffset>4053121</wp:posOffset>
            </wp:positionV>
            <wp:extent cx="3306445" cy="3105150"/>
            <wp:effectExtent l="0" t="0" r="8255" b="0"/>
            <wp:wrapTight wrapText="bothSides">
              <wp:wrapPolygon edited="0">
                <wp:start x="0" y="0"/>
                <wp:lineTo x="0" y="21467"/>
                <wp:lineTo x="21529" y="21467"/>
                <wp:lineTo x="21529" y="0"/>
                <wp:lineTo x="0" y="0"/>
              </wp:wrapPolygon>
            </wp:wrapTight>
            <wp:docPr id="1114239020" name="Picture 3" descr="A person with yellow ey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239020" name="Picture 3" descr="A person with yellow eyes&#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3309680" cy="3108188"/>
                    </a:xfrm>
                    <a:prstGeom prst="rect">
                      <a:avLst/>
                    </a:prstGeom>
                  </pic:spPr>
                </pic:pic>
              </a:graphicData>
            </a:graphic>
            <wp14:sizeRelH relativeFrom="margin">
              <wp14:pctWidth>0</wp14:pctWidth>
            </wp14:sizeRelH>
            <wp14:sizeRelV relativeFrom="margin">
              <wp14:pctHeight>0</wp14:pctHeight>
            </wp14:sizeRelV>
          </wp:anchor>
        </w:drawing>
      </w:r>
      <w:r w:rsidR="00DB0617">
        <w:rPr>
          <w:noProof/>
        </w:rPr>
        <mc:AlternateContent>
          <mc:Choice Requires="wps">
            <w:drawing>
              <wp:anchor distT="0" distB="0" distL="114300" distR="114300" simplePos="0" relativeHeight="251671552" behindDoc="1" locked="0" layoutInCell="1" allowOverlap="1" wp14:anchorId="12613F85" wp14:editId="786E7FC8">
                <wp:simplePos x="0" y="0"/>
                <wp:positionH relativeFrom="column">
                  <wp:posOffset>0</wp:posOffset>
                </wp:positionH>
                <wp:positionV relativeFrom="paragraph">
                  <wp:posOffset>3931920</wp:posOffset>
                </wp:positionV>
                <wp:extent cx="3306445" cy="635"/>
                <wp:effectExtent l="0" t="0" r="0" b="0"/>
                <wp:wrapTight wrapText="bothSides">
                  <wp:wrapPolygon edited="0">
                    <wp:start x="0" y="0"/>
                    <wp:lineTo x="0" y="21600"/>
                    <wp:lineTo x="21600" y="21600"/>
                    <wp:lineTo x="21600" y="0"/>
                  </wp:wrapPolygon>
                </wp:wrapTight>
                <wp:docPr id="1508555746" name="Text Box 1"/>
                <wp:cNvGraphicFramePr/>
                <a:graphic xmlns:a="http://schemas.openxmlformats.org/drawingml/2006/main">
                  <a:graphicData uri="http://schemas.microsoft.com/office/word/2010/wordprocessingShape">
                    <wps:wsp>
                      <wps:cNvSpPr txBox="1"/>
                      <wps:spPr>
                        <a:xfrm>
                          <a:off x="0" y="0"/>
                          <a:ext cx="3306445" cy="635"/>
                        </a:xfrm>
                        <a:prstGeom prst="rect">
                          <a:avLst/>
                        </a:prstGeom>
                        <a:solidFill>
                          <a:prstClr val="white"/>
                        </a:solidFill>
                        <a:ln>
                          <a:noFill/>
                        </a:ln>
                      </wps:spPr>
                      <wps:txbx>
                        <w:txbxContent>
                          <w:p w14:paraId="3580D77C" w14:textId="6E27BB56" w:rsidR="00DB0617" w:rsidRDefault="00DB0617" w:rsidP="00DB0617">
                            <w:pPr>
                              <w:pStyle w:val="Caption"/>
                              <w:rPr>
                                <w:noProof/>
                              </w:rPr>
                            </w:pPr>
                            <w:r>
                              <w:t xml:space="preserve">Figure </w:t>
                            </w:r>
                            <w:fldSimple w:instr=" SEQ Figure \* ARABIC ">
                              <w:r w:rsidR="0051659C">
                                <w:rPr>
                                  <w:noProof/>
                                </w:rPr>
                                <w:t>11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613F85" id="_x0000_s1036" type="#_x0000_t202" style="position:absolute;margin-left:0;margin-top:309.6pt;width:260.35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" stroked="f">
                <v:textbox style="mso-fit-shape-to-text:t" inset="0,0,0,0">
                  <w:txbxContent>
                    <w:p w14:paraId="3580D77C" w14:textId="6E27BB56" w:rsidR="00DB0617" w:rsidRDefault="00DB0617" w:rsidP="00DB0617">
                      <w:pPr>
                        <w:pStyle w:val="Caption"/>
                        <w:rPr>
                          <w:noProof/>
                        </w:rPr>
                      </w:pPr>
                      <w:r>
                        <w:t xml:space="preserve">Figure </w:t>
                      </w:r>
                      <w:r>
                        <w:fldChar w:fldCharType="begin"/>
                      </w:r>
                      <w:r>
                        <w:instrText xml:space="preserve"> SEQ Figure \* ARABIC </w:instrText>
                      </w:r>
                      <w:r>
                        <w:fldChar w:fldCharType="separate"/>
                      </w:r>
                      <w:r w:rsidR="0051659C">
                        <w:rPr>
                          <w:noProof/>
                        </w:rPr>
                        <w:t>11</w:t>
                      </w:r>
                      <w:r>
                        <w:fldChar w:fldCharType="end"/>
                      </w:r>
                    </w:p>
                  </w:txbxContent>
                </v:textbox>
                <w10:wrap type="tight"/>
              </v:shape>
            </w:pict>
          </mc:Fallback>
        </mc:AlternateContent>
      </w:r>
      <w:r w:rsidR="008B5C30">
        <w:rPr>
          <w:noProof/>
        </w:rPr>
        <w:drawing>
          <wp:anchor distT="0" distB="0" distL="114300" distR="114300" simplePos="0" relativeHeight="251656192" behindDoc="1" locked="0" layoutInCell="1" allowOverlap="1" wp14:anchorId="76708DFD" wp14:editId="2D08EAB8">
            <wp:simplePos x="0" y="0"/>
            <wp:positionH relativeFrom="margin">
              <wp:align>left</wp:align>
            </wp:positionH>
            <wp:positionV relativeFrom="paragraph">
              <wp:posOffset>605155</wp:posOffset>
            </wp:positionV>
            <wp:extent cx="3306445" cy="3269615"/>
            <wp:effectExtent l="0" t="0" r="8255" b="6985"/>
            <wp:wrapTight wrapText="bothSides">
              <wp:wrapPolygon edited="0">
                <wp:start x="0" y="0"/>
                <wp:lineTo x="0" y="21520"/>
                <wp:lineTo x="21529" y="21520"/>
                <wp:lineTo x="21529" y="0"/>
                <wp:lineTo x="0" y="0"/>
              </wp:wrapPolygon>
            </wp:wrapTight>
            <wp:docPr id="416495381" name="Picture 2" descr="Henry Cavill As Geralt In Witcher Netflix Series. : r/gam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enry Cavill As Geralt In Witcher Netflix Series. : r/gamin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306445" cy="32696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B5C30">
        <w:tab/>
      </w:r>
      <w:bookmarkStart w:id="16" w:name="_Hlk209116340"/>
      <w:r w:rsidR="008B5C30">
        <w:t xml:space="preserve">In contrast to Lycaon’s werewolf form and Medusa, where the physical nonhuman features are obvious, the only nonhuman physical feature of the witchers is far less conspicuous. While witchers were born human and retained the majority of their human form after their mutation (as seen in Figure 10), their slitted pupils, as depicted in Figure 11, marked the witchers as nonhumans. The other nonhumans in the world of </w:t>
      </w:r>
      <w:r w:rsidR="008B5C30">
        <w:rPr>
          <w:i/>
          <w:iCs/>
        </w:rPr>
        <w:t>The Witcher</w:t>
      </w:r>
      <w:r w:rsidR="008B5C30">
        <w:t xml:space="preserve"> (dwarves, elves and gnomes) are separate races/species from humans yet look similar to humans with their anthropomorphic bodies and features. While the only nonhuman traits of witchers include slitted pupils, enhanced senses and reflexes, and resistance to poisons, in the world of The Witcher, witchers are treated the same as the nonhumans by other humans, essentially regarded as second-class citizens at best. In fact, it could be said that witchers are considered worse than </w:t>
      </w:r>
      <w:r w:rsidR="008B5C30">
        <w:lastRenderedPageBreak/>
        <w:t xml:space="preserve">nonhumans since even those races (except for those in the </w:t>
      </w:r>
      <w:r w:rsidR="008B5C30" w:rsidRPr="002316CC">
        <w:rPr>
          <w:i/>
          <w:iCs/>
        </w:rPr>
        <w:t>S</w:t>
      </w:r>
      <w:r w:rsidR="008B5C30" w:rsidRPr="00604C67">
        <w:rPr>
          <w:i/>
          <w:iCs/>
        </w:rPr>
        <w:t>coia’tael</w:t>
      </w:r>
      <w:r w:rsidR="008B5C30">
        <w:rPr>
          <w:rStyle w:val="FootnoteReference"/>
          <w:i/>
          <w:iCs/>
        </w:rPr>
        <w:footnoteReference w:id="188"/>
      </w:r>
      <w:r w:rsidR="008B5C30">
        <w:t>) are often treated with less hostility than the witchers. Elves and dwarves, while segregated, are allowed to live in human cities. Meanwhile, even though witchers are allowed to travel between cities and villages to help fight against monster populations, they are still heavily discriminated against and often treated as a bad omen, encouraged to leave cities and villages as soon as possible.</w:t>
      </w:r>
    </w:p>
    <w:p w14:paraId="629C6E65" w14:textId="14AA3B6C" w:rsidR="008B5C30" w:rsidRDefault="008B5C30" w:rsidP="00C93FE7">
      <w:pPr>
        <w:spacing w:line="360" w:lineRule="auto"/>
        <w:ind w:firstLine="720"/>
      </w:pPr>
      <w:r>
        <w:t>Additionally, witchers are discriminated against by the nonhuman races too, as the witchers were originally born human and magically mutated in the Trial of the Grasses to become a nonhuman to humans, yet while still being too human for some nonhumans to truly accept them. Thus, the witchers were often shunned by the superstitious, religious and racists, though some witchers (like Geralt of Rivia) were able to befriend humans and nonhumans alike. Thus, witchers are ‘othered’ by both humans and nonhumans, and even called monsters by the humans, showing how being different to others can unfortunately be a reason to be seen as monstrous, especially since in the dictionary definitions of ‘monster’ and ‘monstrous’ there is the reoccurring statement of ‘deviating grotesquely from the natural or normal form or type,’ in some form,</w:t>
      </w:r>
      <w:r w:rsidRPr="005E29E5">
        <w:rPr>
          <w:rStyle w:val="FootnoteReference"/>
        </w:rPr>
        <w:t xml:space="preserve"> </w:t>
      </w:r>
      <w:r>
        <w:rPr>
          <w:rStyle w:val="FootnoteReference"/>
        </w:rPr>
        <w:footnoteReference w:id="189"/>
      </w:r>
      <w:r>
        <w:t xml:space="preserve"> which </w:t>
      </w:r>
      <w:r w:rsidR="002F25D9">
        <w:rPr>
          <w:noProof/>
        </w:rPr>
        <mc:AlternateContent>
          <mc:Choice Requires="wps">
            <w:drawing>
              <wp:anchor distT="0" distB="0" distL="114300" distR="114300" simplePos="0" relativeHeight="251677696" behindDoc="1" locked="0" layoutInCell="1" allowOverlap="1" wp14:anchorId="61B66CC2" wp14:editId="3B9CF27E">
                <wp:simplePos x="0" y="0"/>
                <wp:positionH relativeFrom="column">
                  <wp:posOffset>0</wp:posOffset>
                </wp:positionH>
                <wp:positionV relativeFrom="paragraph">
                  <wp:posOffset>6207760</wp:posOffset>
                </wp:positionV>
                <wp:extent cx="5831205" cy="635"/>
                <wp:effectExtent l="0" t="0" r="0" b="0"/>
                <wp:wrapTight wrapText="bothSides">
                  <wp:wrapPolygon edited="0">
                    <wp:start x="0" y="0"/>
                    <wp:lineTo x="0" y="21600"/>
                    <wp:lineTo x="21600" y="21600"/>
                    <wp:lineTo x="21600" y="0"/>
                  </wp:wrapPolygon>
                </wp:wrapTight>
                <wp:docPr id="966106226" name="Text Box 1"/>
                <wp:cNvGraphicFramePr/>
                <a:graphic xmlns:a="http://schemas.openxmlformats.org/drawingml/2006/main">
                  <a:graphicData uri="http://schemas.microsoft.com/office/word/2010/wordprocessingShape">
                    <wps:wsp>
                      <wps:cNvSpPr txBox="1"/>
                      <wps:spPr>
                        <a:xfrm>
                          <a:off x="0" y="0"/>
                          <a:ext cx="5831205" cy="635"/>
                        </a:xfrm>
                        <a:prstGeom prst="rect">
                          <a:avLst/>
                        </a:prstGeom>
                        <a:solidFill>
                          <a:prstClr val="white"/>
                        </a:solidFill>
                        <a:ln>
                          <a:noFill/>
                        </a:ln>
                      </wps:spPr>
                      <wps:txbx>
                        <w:txbxContent>
                          <w:p w14:paraId="1FAEC605" w14:textId="24A56D08" w:rsidR="002F25D9" w:rsidRDefault="002F25D9" w:rsidP="002F25D9">
                            <w:pPr>
                              <w:pStyle w:val="Caption"/>
                            </w:pPr>
                            <w:r>
                              <w:t xml:space="preserve">Figure </w:t>
                            </w:r>
                            <w:fldSimple w:instr=" SEQ Figure \* ARABIC ">
                              <w:r w:rsidR="0051659C">
                                <w:rPr>
                                  <w:noProof/>
                                </w:rPr>
                                <w:t>12</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B66CC2" id="_x0000_s1037" type="#_x0000_t202" style="position:absolute;left:0;text-align:left;margin-left:0;margin-top:488.8pt;width:459.15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" stroked="f">
                <v:textbox style="mso-fit-shape-to-text:t" inset="0,0,0,0">
                  <w:txbxContent>
                    <w:p w14:paraId="1FAEC605" w14:textId="24A56D08" w:rsidR="002F25D9" w:rsidRDefault="002F25D9" w:rsidP="002F25D9">
                      <w:pPr>
                        <w:pStyle w:val="Caption"/>
                      </w:pPr>
                      <w:r>
                        <w:t xml:space="preserve">Figure </w:t>
                      </w:r>
                      <w:r>
                        <w:fldChar w:fldCharType="begin"/>
                      </w:r>
                      <w:r>
                        <w:instrText xml:space="preserve"> SEQ Figure \* ARABIC </w:instrText>
                      </w:r>
                      <w:r>
                        <w:fldChar w:fldCharType="separate"/>
                      </w:r>
                      <w:r w:rsidR="0051659C">
                        <w:rPr>
                          <w:noProof/>
                        </w:rPr>
                        <w:t>12</w:t>
                      </w:r>
                      <w:r>
                        <w:fldChar w:fldCharType="end"/>
                      </w:r>
                    </w:p>
                  </w:txbxContent>
                </v:textbox>
                <w10:wrap type="tight"/>
              </v:shape>
            </w:pict>
          </mc:Fallback>
        </mc:AlternateContent>
      </w:r>
      <w:r>
        <w:rPr>
          <w:noProof/>
        </w:rPr>
        <w:drawing>
          <wp:anchor distT="0" distB="0" distL="114300" distR="114300" simplePos="0" relativeHeight="251663360" behindDoc="1" locked="0" layoutInCell="1" allowOverlap="1" wp14:anchorId="1BA7BC71" wp14:editId="0CF4F4E6">
            <wp:simplePos x="0" y="0"/>
            <wp:positionH relativeFrom="margin">
              <wp:posOffset>0</wp:posOffset>
            </wp:positionH>
            <wp:positionV relativeFrom="paragraph">
              <wp:posOffset>3169920</wp:posOffset>
            </wp:positionV>
            <wp:extent cx="5831205" cy="3011805"/>
            <wp:effectExtent l="0" t="0" r="0" b="0"/>
            <wp:wrapTight wrapText="bothSides">
              <wp:wrapPolygon edited="0">
                <wp:start x="0" y="0"/>
                <wp:lineTo x="0" y="21450"/>
                <wp:lineTo x="21522" y="21450"/>
                <wp:lineTo x="21522" y="0"/>
                <wp:lineTo x="0" y="0"/>
              </wp:wrapPolygon>
            </wp:wrapTight>
            <wp:docPr id="1328298204" name="Picture 4" descr="A person with long hair and white 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298204" name="Picture 4" descr="A person with long hair and white face&#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5831205" cy="3011805"/>
                    </a:xfrm>
                    <a:prstGeom prst="rect">
                      <a:avLst/>
                    </a:prstGeom>
                  </pic:spPr>
                </pic:pic>
              </a:graphicData>
            </a:graphic>
            <wp14:sizeRelH relativeFrom="margin">
              <wp14:pctWidth>0</wp14:pctWidth>
            </wp14:sizeRelH>
            <wp14:sizeRelV relativeFrom="margin">
              <wp14:pctHeight>0</wp14:pctHeight>
            </wp14:sizeRelV>
          </wp:anchor>
        </w:drawing>
      </w:r>
      <w:r>
        <w:t>witchers do with every other humanoid species in their world.</w:t>
      </w:r>
    </w:p>
    <w:p w14:paraId="26440A0F" w14:textId="77777777" w:rsidR="008B5C30" w:rsidRDefault="008B5C30" w:rsidP="00C93FE7">
      <w:pPr>
        <w:spacing w:line="360" w:lineRule="auto"/>
        <w:ind w:firstLine="720"/>
      </w:pPr>
      <w:r>
        <w:lastRenderedPageBreak/>
        <w:t>While figure 11 can also adhere to the “abnormal”, “strange” and “part human part animal” definitions though the slitted pupils found in ambush predators like cats and vipers,</w:t>
      </w:r>
      <w:r>
        <w:rPr>
          <w:rStyle w:val="FootnoteReference"/>
        </w:rPr>
        <w:footnoteReference w:id="190"/>
      </w:r>
      <w:r>
        <w:t xml:space="preserve"> it is not something that is “large”, “ugly” or “frightening”.</w:t>
      </w:r>
      <w:r>
        <w:rPr>
          <w:rStyle w:val="FootnoteReference"/>
        </w:rPr>
        <w:footnoteReference w:id="191"/>
      </w:r>
      <w:r>
        <w:t xml:space="preserve"> On the other hand, figure 12 shows the eyes of a witcher (Geralt of Rivia) in the Netflix show after he had taken an unknown (to the viewers) decoction during a fight with a monster. This image is more frightening, especially with the veins appearing around the eyes due to the toxic nature of the decoction, and perhaps can be seen as evil to those who are unaware of how the witcher decoctions work. If any religious man saw a witcher with the eyes of figure 12, there is no doubt he would call the witcher a ‘devil’s breed.’</w:t>
      </w:r>
      <w:r>
        <w:rPr>
          <w:rStyle w:val="FootnoteReference"/>
        </w:rPr>
        <w:footnoteReference w:id="192"/>
      </w:r>
      <w:r>
        <w:t xml:space="preserve"> So while the pupils of figure 11 mark the witcher as a nonhuman, the eyes of Figure 12 would mark the witcher as something physically monstrous, thus since figures 11 and 12 are both of witchers, both would end up marking witchers as monstrous through appearance.</w:t>
      </w:r>
      <w:bookmarkEnd w:id="16"/>
    </w:p>
    <w:p w14:paraId="1B42B479" w14:textId="79C8742D" w:rsidR="008B5C30" w:rsidRDefault="00C15669" w:rsidP="00C93FE7">
      <w:pPr>
        <w:spacing w:line="360" w:lineRule="auto"/>
      </w:pPr>
      <w:r>
        <w:rPr>
          <w:noProof/>
        </w:rPr>
        <mc:AlternateContent>
          <mc:Choice Requires="wps">
            <w:drawing>
              <wp:anchor distT="0" distB="0" distL="114300" distR="114300" simplePos="0" relativeHeight="251678720" behindDoc="1" locked="0" layoutInCell="1" allowOverlap="1" wp14:anchorId="1A1DC88D" wp14:editId="4CFD11C5">
                <wp:simplePos x="0" y="0"/>
                <wp:positionH relativeFrom="column">
                  <wp:posOffset>0</wp:posOffset>
                </wp:positionH>
                <wp:positionV relativeFrom="paragraph">
                  <wp:posOffset>3943985</wp:posOffset>
                </wp:positionV>
                <wp:extent cx="3490595" cy="635"/>
                <wp:effectExtent l="0" t="0" r="0" b="0"/>
                <wp:wrapTight wrapText="bothSides">
                  <wp:wrapPolygon edited="0">
                    <wp:start x="0" y="0"/>
                    <wp:lineTo x="0" y="21600"/>
                    <wp:lineTo x="21600" y="21600"/>
                    <wp:lineTo x="21600" y="0"/>
                  </wp:wrapPolygon>
                </wp:wrapTight>
                <wp:docPr id="1805031988" name="Text Box 1"/>
                <wp:cNvGraphicFramePr/>
                <a:graphic xmlns:a="http://schemas.openxmlformats.org/drawingml/2006/main">
                  <a:graphicData uri="http://schemas.microsoft.com/office/word/2010/wordprocessingShape">
                    <wps:wsp>
                      <wps:cNvSpPr txBox="1"/>
                      <wps:spPr>
                        <a:xfrm>
                          <a:off x="0" y="0"/>
                          <a:ext cx="3490595" cy="635"/>
                        </a:xfrm>
                        <a:prstGeom prst="rect">
                          <a:avLst/>
                        </a:prstGeom>
                        <a:solidFill>
                          <a:prstClr val="white"/>
                        </a:solidFill>
                        <a:ln>
                          <a:noFill/>
                        </a:ln>
                      </wps:spPr>
                      <wps:txbx>
                        <w:txbxContent>
                          <w:p w14:paraId="2CC62331" w14:textId="61E829BB" w:rsidR="00C15669" w:rsidRDefault="00C15669" w:rsidP="00C15669">
                            <w:pPr>
                              <w:pStyle w:val="Caption"/>
                              <w:rPr>
                                <w:noProof/>
                              </w:rPr>
                            </w:pPr>
                            <w:r>
                              <w:t xml:space="preserve">Figure </w:t>
                            </w:r>
                            <w:fldSimple w:instr=" SEQ Figure \* ARABIC ">
                              <w:r w:rsidR="0051659C">
                                <w:rPr>
                                  <w:noProof/>
                                </w:rPr>
                                <w:t>13</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1DC88D" id="_x0000_s1038" type="#_x0000_t202" style="position:absolute;margin-left:0;margin-top:310.55pt;width:274.85pt;height:.05pt;z-index:-251637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" stroked="f">
                <v:textbox style="mso-fit-shape-to-text:t" inset="0,0,0,0">
                  <w:txbxContent>
                    <w:p w14:paraId="2CC62331" w14:textId="61E829BB" w:rsidR="00C15669" w:rsidRDefault="00C15669" w:rsidP="00C15669">
                      <w:pPr>
                        <w:pStyle w:val="Caption"/>
                        <w:rPr>
                          <w:noProof/>
                        </w:rPr>
                      </w:pPr>
                      <w:r>
                        <w:t xml:space="preserve">Figure </w:t>
                      </w:r>
                      <w:r>
                        <w:fldChar w:fldCharType="begin"/>
                      </w:r>
                      <w:r>
                        <w:instrText xml:space="preserve"> SEQ Figure \* ARABIC </w:instrText>
                      </w:r>
                      <w:r>
                        <w:fldChar w:fldCharType="separate"/>
                      </w:r>
                      <w:r w:rsidR="0051659C">
                        <w:rPr>
                          <w:noProof/>
                        </w:rPr>
                        <w:t>13</w:t>
                      </w:r>
                      <w:r>
                        <w:fldChar w:fldCharType="end"/>
                      </w:r>
                    </w:p>
                  </w:txbxContent>
                </v:textbox>
                <w10:wrap type="tight"/>
              </v:shape>
            </w:pict>
          </mc:Fallback>
        </mc:AlternateContent>
      </w:r>
      <w:r w:rsidR="008B5C30">
        <w:rPr>
          <w:noProof/>
        </w:rPr>
        <w:drawing>
          <wp:anchor distT="0" distB="0" distL="114300" distR="114300" simplePos="0" relativeHeight="251662336" behindDoc="1" locked="0" layoutInCell="1" allowOverlap="1" wp14:anchorId="2C63D7B9" wp14:editId="6C8B09EE">
            <wp:simplePos x="0" y="0"/>
            <wp:positionH relativeFrom="margin">
              <wp:align>left</wp:align>
            </wp:positionH>
            <wp:positionV relativeFrom="paragraph">
              <wp:posOffset>7152</wp:posOffset>
            </wp:positionV>
            <wp:extent cx="3490595" cy="4096385"/>
            <wp:effectExtent l="0" t="0" r="0" b="0"/>
            <wp:wrapTight wrapText="bothSides">
              <wp:wrapPolygon edited="0">
                <wp:start x="0" y="0"/>
                <wp:lineTo x="0" y="21496"/>
                <wp:lineTo x="21455" y="21496"/>
                <wp:lineTo x="21455" y="0"/>
                <wp:lineTo x="0" y="0"/>
              </wp:wrapPolygon>
            </wp:wrapTight>
            <wp:docPr id="1843996393" name="Picture 5" descr="A person in a red rob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996393" name="Picture 5" descr="A person in a red robe&#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490595" cy="4096385"/>
                    </a:xfrm>
                    <a:prstGeom prst="rect">
                      <a:avLst/>
                    </a:prstGeom>
                  </pic:spPr>
                </pic:pic>
              </a:graphicData>
            </a:graphic>
            <wp14:sizeRelH relativeFrom="margin">
              <wp14:pctWidth>0</wp14:pctWidth>
            </wp14:sizeRelH>
            <wp14:sizeRelV relativeFrom="margin">
              <wp14:pctHeight>0</wp14:pctHeight>
            </wp14:sizeRelV>
          </wp:anchor>
        </w:drawing>
      </w:r>
      <w:r w:rsidR="008B5C30">
        <w:tab/>
      </w:r>
      <w:r w:rsidR="008B5C30">
        <w:tab/>
        <w:t>The last case study for appearance is undead necromancers and liches, as seen in figures 13 and 14. These are creatures that have died, have been brought back to life though the body stays dead, and can summon other undead. Since they too have died, and are left as magical skeletons like Figure 14, or like a skeleton with skin in Figure 11, they fit a lot of the definitions of “monster”, “monstrous” and “monstrosity”. They can be classed as ‘ugly,’</w:t>
      </w:r>
      <w:r w:rsidR="008B5C30">
        <w:rPr>
          <w:rStyle w:val="FootnoteReference"/>
        </w:rPr>
        <w:footnoteReference w:id="193"/>
      </w:r>
      <w:r w:rsidR="008B5C30">
        <w:t xml:space="preserve"> </w:t>
      </w:r>
      <w:r w:rsidR="008B5C30">
        <w:lastRenderedPageBreak/>
        <w:t>‘abnormal,’</w:t>
      </w:r>
      <w:r w:rsidR="008B5C30">
        <w:rPr>
          <w:rStyle w:val="FootnoteReference"/>
        </w:rPr>
        <w:footnoteReference w:id="194"/>
      </w:r>
      <w:r w:rsidR="008B5C30">
        <w:t xml:space="preserve"> ‘frightening,’</w:t>
      </w:r>
      <w:r w:rsidR="008B5C30">
        <w:rPr>
          <w:rStyle w:val="FootnoteReference"/>
        </w:rPr>
        <w:footnoteReference w:id="195"/>
      </w:r>
      <w:r w:rsidR="008B5C30">
        <w:t xml:space="preserve"> and ‘shockingly wrong.’</w:t>
      </w:r>
      <w:r w:rsidR="008B5C30">
        <w:rPr>
          <w:rStyle w:val="FootnoteReference"/>
        </w:rPr>
        <w:footnoteReference w:id="196"/>
      </w:r>
      <w:r w:rsidR="008B5C30">
        <w:t xml:space="preserve"> Thus, it is easy to see how undead necromancers can be called monstrous because of their appearance.</w:t>
      </w:r>
      <w:r w:rsidR="008B5C30" w:rsidRPr="008A0964">
        <w:rPr>
          <w:noProof/>
        </w:rPr>
        <w:t xml:space="preserve"> </w:t>
      </w:r>
    </w:p>
    <w:p w14:paraId="69124352" w14:textId="4521D703" w:rsidR="008B5C30" w:rsidRDefault="0051659C" w:rsidP="00C93FE7">
      <w:pPr>
        <w:spacing w:line="360" w:lineRule="auto"/>
      </w:pPr>
      <w:r>
        <w:rPr>
          <w:noProof/>
        </w:rPr>
        <mc:AlternateContent>
          <mc:Choice Requires="wps">
            <w:drawing>
              <wp:anchor distT="0" distB="0" distL="114300" distR="114300" simplePos="0" relativeHeight="251679744" behindDoc="1" locked="0" layoutInCell="1" allowOverlap="1" wp14:anchorId="3E425C8A" wp14:editId="019C09EB">
                <wp:simplePos x="0" y="0"/>
                <wp:positionH relativeFrom="column">
                  <wp:posOffset>0</wp:posOffset>
                </wp:positionH>
                <wp:positionV relativeFrom="paragraph">
                  <wp:posOffset>3108960</wp:posOffset>
                </wp:positionV>
                <wp:extent cx="2220595" cy="635"/>
                <wp:effectExtent l="0" t="0" r="0" b="0"/>
                <wp:wrapTight wrapText="bothSides">
                  <wp:wrapPolygon edited="0">
                    <wp:start x="0" y="0"/>
                    <wp:lineTo x="0" y="21600"/>
                    <wp:lineTo x="21600" y="21600"/>
                    <wp:lineTo x="21600" y="0"/>
                  </wp:wrapPolygon>
                </wp:wrapTight>
                <wp:docPr id="1726673072" name="Text Box 1"/>
                <wp:cNvGraphicFramePr/>
                <a:graphic xmlns:a="http://schemas.openxmlformats.org/drawingml/2006/main">
                  <a:graphicData uri="http://schemas.microsoft.com/office/word/2010/wordprocessingShape">
                    <wps:wsp>
                      <wps:cNvSpPr txBox="1"/>
                      <wps:spPr>
                        <a:xfrm>
                          <a:off x="0" y="0"/>
                          <a:ext cx="2220595" cy="635"/>
                        </a:xfrm>
                        <a:prstGeom prst="rect">
                          <a:avLst/>
                        </a:prstGeom>
                        <a:solidFill>
                          <a:prstClr val="white"/>
                        </a:solidFill>
                        <a:ln>
                          <a:noFill/>
                        </a:ln>
                      </wps:spPr>
                      <wps:txbx>
                        <w:txbxContent>
                          <w:p w14:paraId="30D1DC01" w14:textId="068BEBFD" w:rsidR="0051659C" w:rsidRDefault="0051659C" w:rsidP="0051659C">
                            <w:pPr>
                              <w:pStyle w:val="Caption"/>
                              <w:rPr>
                                <w:noProof/>
                              </w:rPr>
                            </w:pPr>
                            <w:r>
                              <w:t xml:space="preserve">Figure </w:t>
                            </w:r>
                            <w:fldSimple w:instr=" SEQ Figure \* ARABIC ">
                              <w:r>
                                <w:rPr>
                                  <w:noProof/>
                                </w:rPr>
                                <w:t>14</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425C8A" id="_x0000_s1039" type="#_x0000_t202" style="position:absolute;margin-left:0;margin-top:244.8pt;width:174.85pt;height:.05pt;z-index:-251636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" stroked="f">
                <v:textbox style="mso-fit-shape-to-text:t" inset="0,0,0,0">
                  <w:txbxContent>
                    <w:p w14:paraId="30D1DC01" w14:textId="068BEBFD" w:rsidR="0051659C" w:rsidRDefault="0051659C" w:rsidP="0051659C">
                      <w:pPr>
                        <w:pStyle w:val="Caption"/>
                        <w:rPr>
                          <w:noProof/>
                        </w:rPr>
                      </w:pPr>
                      <w:r>
                        <w:t xml:space="preserve">Figure </w:t>
                      </w:r>
                      <w:r>
                        <w:fldChar w:fldCharType="begin"/>
                      </w:r>
                      <w:r>
                        <w:instrText xml:space="preserve"> SEQ Figure \* ARABIC </w:instrText>
                      </w:r>
                      <w:r>
                        <w:fldChar w:fldCharType="separate"/>
                      </w:r>
                      <w:r>
                        <w:rPr>
                          <w:noProof/>
                        </w:rPr>
                        <w:t>14</w:t>
                      </w:r>
                      <w:r>
                        <w:fldChar w:fldCharType="end"/>
                      </w:r>
                    </w:p>
                  </w:txbxContent>
                </v:textbox>
                <w10:wrap type="tight"/>
              </v:shape>
            </w:pict>
          </mc:Fallback>
        </mc:AlternateContent>
      </w:r>
      <w:r w:rsidR="008B5C30">
        <w:rPr>
          <w:noProof/>
        </w:rPr>
        <w:drawing>
          <wp:anchor distT="0" distB="0" distL="114300" distR="114300" simplePos="0" relativeHeight="251664384" behindDoc="1" locked="0" layoutInCell="1" allowOverlap="1" wp14:anchorId="76EAFD78" wp14:editId="300ADE47">
            <wp:simplePos x="0" y="0"/>
            <wp:positionH relativeFrom="margin">
              <wp:align>left</wp:align>
            </wp:positionH>
            <wp:positionV relativeFrom="paragraph">
              <wp:posOffset>7357</wp:posOffset>
            </wp:positionV>
            <wp:extent cx="2220595" cy="3044825"/>
            <wp:effectExtent l="0" t="0" r="8255" b="3175"/>
            <wp:wrapTight wrapText="bothSides">
              <wp:wrapPolygon edited="0">
                <wp:start x="0" y="0"/>
                <wp:lineTo x="0" y="21487"/>
                <wp:lineTo x="21495" y="21487"/>
                <wp:lineTo x="21495" y="0"/>
                <wp:lineTo x="0" y="0"/>
              </wp:wrapPolygon>
            </wp:wrapTight>
            <wp:docPr id="1836131694" name="Picture 1" descr="A close-up of a skelet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131694" name="Picture 1" descr="A close-up of a skeleton&#10;&#10;AI-generated content may be incorrect."/>
                    <pic:cNvPicPr/>
                  </pic:nvPicPr>
                  <pic:blipFill>
                    <a:blip r:embed="rId27"/>
                    <a:stretch>
                      <a:fillRect/>
                    </a:stretch>
                  </pic:blipFill>
                  <pic:spPr>
                    <a:xfrm>
                      <a:off x="0" y="0"/>
                      <a:ext cx="2220595" cy="3044825"/>
                    </a:xfrm>
                    <a:prstGeom prst="rect">
                      <a:avLst/>
                    </a:prstGeom>
                  </pic:spPr>
                </pic:pic>
              </a:graphicData>
            </a:graphic>
            <wp14:sizeRelH relativeFrom="margin">
              <wp14:pctWidth>0</wp14:pctWidth>
            </wp14:sizeRelH>
            <wp14:sizeRelV relativeFrom="margin">
              <wp14:pctHeight>0</wp14:pctHeight>
            </wp14:sizeRelV>
          </wp:anchor>
        </w:drawing>
      </w:r>
      <w:r w:rsidR="008B5C30">
        <w:tab/>
        <w:t>In summary, while not truly an indicator of being a monster, unlike morality, when combined with other factors, like morality and otherness, appearance can be a good indicator at first glance on whether something could be monstrous. However, as in the case of Frankenstein’s monster, if the creature is judged solely because of its appearance, there is a risk of the creature becoming the monster it was already thought to be.</w:t>
      </w:r>
    </w:p>
    <w:p w14:paraId="7CAD97EC" w14:textId="77777777" w:rsidR="008B5C30" w:rsidRDefault="008B5C30" w:rsidP="00C93FE7">
      <w:r>
        <w:br w:type="page"/>
      </w:r>
    </w:p>
    <w:p w14:paraId="2AAA3198" w14:textId="77777777" w:rsidR="008B5C30" w:rsidRPr="00010214" w:rsidRDefault="008B5C30" w:rsidP="00C93FE7">
      <w:pPr>
        <w:pStyle w:val="Heading3"/>
        <w:rPr>
          <w:color w:val="auto"/>
          <w:sz w:val="32"/>
          <w:szCs w:val="32"/>
        </w:rPr>
      </w:pPr>
      <w:bookmarkStart w:id="17" w:name="_Toc209167286"/>
      <w:r w:rsidRPr="00010214">
        <w:rPr>
          <w:color w:val="auto"/>
          <w:sz w:val="32"/>
          <w:szCs w:val="32"/>
        </w:rPr>
        <w:lastRenderedPageBreak/>
        <w:t>Monstrosity Through Otherness</w:t>
      </w:r>
      <w:bookmarkEnd w:id="17"/>
    </w:p>
    <w:p w14:paraId="5E3D6D9B" w14:textId="77777777" w:rsidR="008B5C30" w:rsidRPr="00065159" w:rsidRDefault="008B5C30" w:rsidP="00C93FE7">
      <w:pPr>
        <w:spacing w:line="360" w:lineRule="auto"/>
      </w:pPr>
      <w:r w:rsidRPr="00065159">
        <w:t>Morality and appearance are often identified as the two main criteria for monstrosity, however there is a third category, which can encapsulate morality and appearance: otherness. Someone, like the witchers, can be othered for their appearance, and some, like Lycaon, can be othered for their beastly intentions. In this section, the main case study is modern fantasy necromancers, who are usually othered for having death magic, or the ability to reanimate the dead.</w:t>
      </w:r>
    </w:p>
    <w:p w14:paraId="75A2C7E5" w14:textId="77777777" w:rsidR="008B5C30" w:rsidRPr="00065159" w:rsidRDefault="008B5C30" w:rsidP="00C93FE7">
      <w:pPr>
        <w:spacing w:line="360" w:lineRule="auto"/>
      </w:pPr>
      <w:r w:rsidRPr="00065159">
        <w:tab/>
        <w:t xml:space="preserve">Necromancers are also usually classed as ‘others’ within their fantasy worlds. Not only are they magic wielders, but they wield ‘death magic’ which is often classed as ‘black magic’, ‘dark magic’ or ‘evil magic’ and </w:t>
      </w:r>
      <w:r>
        <w:t xml:space="preserve">are </w:t>
      </w:r>
      <w:r w:rsidRPr="00065159">
        <w:t xml:space="preserve">thus shunned against in several fantasy works, including the games </w:t>
      </w:r>
      <w:r w:rsidRPr="00065159">
        <w:rPr>
          <w:i/>
          <w:iCs/>
        </w:rPr>
        <w:t>Skyrim</w:t>
      </w:r>
      <w:r w:rsidRPr="00065159">
        <w:t xml:space="preserve"> and </w:t>
      </w:r>
      <w:r w:rsidRPr="00065159">
        <w:rPr>
          <w:i/>
          <w:iCs/>
        </w:rPr>
        <w:t>Oblivion</w:t>
      </w:r>
      <w:r w:rsidRPr="00065159">
        <w:t xml:space="preserve"> from the game series </w:t>
      </w:r>
      <w:r w:rsidRPr="00065159">
        <w:rPr>
          <w:i/>
          <w:iCs/>
        </w:rPr>
        <w:t>The Elder Scrolls</w:t>
      </w:r>
      <w:r w:rsidRPr="00065159">
        <w:t>.</w:t>
      </w:r>
      <w:r w:rsidRPr="00065159">
        <w:rPr>
          <w:rStyle w:val="FootnoteReference"/>
        </w:rPr>
        <w:footnoteReference w:id="197"/>
      </w:r>
      <w:r w:rsidRPr="00065159">
        <w:t xml:space="preserve"> In the game </w:t>
      </w:r>
      <w:r w:rsidRPr="00065159">
        <w:rPr>
          <w:i/>
          <w:iCs/>
        </w:rPr>
        <w:t>Black Desert Mobile</w:t>
      </w:r>
      <w:r w:rsidRPr="00065159">
        <w:t>, there is a piece of knowledge that explains why two gods are considered evil for their powers of bringing the dead back:</w:t>
      </w:r>
    </w:p>
    <w:p w14:paraId="00DB8E50" w14:textId="77777777" w:rsidR="008B5C30" w:rsidRPr="00065159" w:rsidRDefault="008B5C30" w:rsidP="00C93FE7">
      <w:pPr>
        <w:spacing w:line="240" w:lineRule="auto"/>
        <w:ind w:left="720"/>
        <w:rPr>
          <w:rFonts w:eastAsia="Times New Roman" w:cs="Arial"/>
          <w:color w:val="000000"/>
        </w:rPr>
      </w:pPr>
      <w:r w:rsidRPr="00065159">
        <w:rPr>
          <w:rFonts w:eastAsia="Times New Roman" w:cs="Arial"/>
          <w:color w:val="000000"/>
        </w:rPr>
        <w:t>‘Why are Kzarka and his watchman Muskan considered evil gods even though they possess the ability to resurrect the dead? The answer lies in the fact that both have an ability to bring back the dead that is not quite the same as resurrection. In actuality, both simply reanimate the dead to something akin to the living that has been corrupted to a point of no return.’</w:t>
      </w:r>
      <w:r w:rsidRPr="00065159">
        <w:rPr>
          <w:rStyle w:val="FootnoteReference"/>
          <w:rFonts w:eastAsia="Times New Roman" w:cs="Arial"/>
          <w:color w:val="000000"/>
        </w:rPr>
        <w:footnoteReference w:id="198"/>
      </w:r>
    </w:p>
    <w:p w14:paraId="01EF38C1" w14:textId="77777777" w:rsidR="008B5C30" w:rsidRPr="00065159" w:rsidRDefault="008B5C30" w:rsidP="00C93FE7">
      <w:pPr>
        <w:spacing w:line="360" w:lineRule="auto"/>
      </w:pPr>
      <w:r w:rsidRPr="00065159">
        <w:t xml:space="preserve">This can also be related to most necromancers, as most will only be reanimating the body of the deceased and not preserving the soul/consciousness. There are exceptions, like Sung Jinwoo in </w:t>
      </w:r>
      <w:r w:rsidRPr="005B4E57">
        <w:rPr>
          <w:i/>
          <w:iCs/>
        </w:rPr>
        <w:t>Solo Leveling</w:t>
      </w:r>
      <w:r w:rsidRPr="00065159">
        <w:t>, as several of his undead are known to retain their consciousness and souls, like Igris, Bellion and Beru.</w:t>
      </w:r>
      <w:r w:rsidRPr="00065159">
        <w:rPr>
          <w:rStyle w:val="FootnoteReference"/>
        </w:rPr>
        <w:footnoteReference w:id="199"/>
      </w:r>
      <w:r w:rsidRPr="00065159">
        <w:t xml:space="preserve"> This is also the case for Seongwu, as the undead Kim Minseok and the goblin skeleton Righty either kept their consciousness, or developed one.</w:t>
      </w:r>
      <w:r w:rsidRPr="00065159">
        <w:rPr>
          <w:rStyle w:val="FootnoteReference"/>
        </w:rPr>
        <w:footnoteReference w:id="200"/>
      </w:r>
      <w:r w:rsidRPr="00065159">
        <w:t xml:space="preserve"> This illustrates a key aspect of necromancy being either good or evil: if the undead has a soul/consciousness, do they agree with what their summoner is doing? And did the necromancer require force when they transformed the undead or put the undead under their contract? Nevertheless, both Seongwu and Jinwoo get referred to as monsters, primarily for the speed of the growth of their power, by both their enemies and allies. Naturally though, their enemies would </w:t>
      </w:r>
      <w:r w:rsidRPr="00065159">
        <w:lastRenderedPageBreak/>
        <w:t>mean monster as in ‘a threatening force’,</w:t>
      </w:r>
      <w:r w:rsidRPr="00065159">
        <w:rPr>
          <w:rStyle w:val="FootnoteReference"/>
        </w:rPr>
        <w:footnoteReference w:id="201"/>
      </w:r>
      <w:r w:rsidRPr="00065159">
        <w:t xml:space="preserve"> ‘one who deviates from normal or acceptable behaviour or character’,</w:t>
      </w:r>
      <w:r w:rsidRPr="00065159">
        <w:rPr>
          <w:rStyle w:val="FootnoteReference"/>
        </w:rPr>
        <w:footnoteReference w:id="202"/>
      </w:r>
      <w:r w:rsidRPr="00065159">
        <w:t xml:space="preserve"> ‘anything unnatural or monstrous’</w:t>
      </w:r>
      <w:r w:rsidRPr="00065159">
        <w:rPr>
          <w:rStyle w:val="FootnoteReference"/>
        </w:rPr>
        <w:footnoteReference w:id="203"/>
      </w:r>
      <w:r w:rsidRPr="00065159">
        <w:t xml:space="preserve"> and ‘one unusually large for its kind’</w:t>
      </w:r>
      <w:r w:rsidRPr="00065159">
        <w:rPr>
          <w:rStyle w:val="FootnoteReference"/>
        </w:rPr>
        <w:footnoteReference w:id="204"/>
      </w:r>
      <w:r w:rsidRPr="00065159">
        <w:t xml:space="preserve"> (in terms of large power capabilities rather than size). Meanwhile, their allies would mean the more positive definitions of ‘one that is highly successful’</w:t>
      </w:r>
      <w:r w:rsidRPr="00065159">
        <w:rPr>
          <w:rStyle w:val="FootnoteReference"/>
        </w:rPr>
        <w:footnoteReference w:id="205"/>
      </w:r>
      <w:r w:rsidRPr="00065159">
        <w:t xml:space="preserve"> and ‘something extraordinary or unnatural; an amazing event or occurrence; a prodigy; a marvel.’</w:t>
      </w:r>
      <w:r w:rsidRPr="00065159">
        <w:rPr>
          <w:rStyle w:val="FootnoteReference"/>
        </w:rPr>
        <w:footnoteReference w:id="206"/>
      </w:r>
    </w:p>
    <w:p w14:paraId="5161059A" w14:textId="77777777" w:rsidR="008B5C30" w:rsidRPr="00065159" w:rsidRDefault="008B5C30" w:rsidP="00C93FE7">
      <w:pPr>
        <w:spacing w:line="360" w:lineRule="auto"/>
        <w:rPr>
          <w:rFonts w:eastAsia="Times New Roman" w:cs="Arial"/>
          <w:color w:val="000000"/>
        </w:rPr>
      </w:pPr>
      <w:r w:rsidRPr="00065159">
        <w:tab/>
        <w:t xml:space="preserve">The quote from </w:t>
      </w:r>
      <w:r w:rsidRPr="00065159">
        <w:rPr>
          <w:i/>
          <w:iCs/>
        </w:rPr>
        <w:t>Black Desert Mobile</w:t>
      </w:r>
      <w:r w:rsidRPr="00065159">
        <w:t xml:space="preserve"> also shows the similarities between necromancers and gods, especially those two evil gods Kzarka and Muskan. Both the gods and the necromancers can reanimate the dead, with necromancers like Seongwu and Jinwoo even being better than the two gods, as Seongwu and Jinwoo have been able to retain the consciousness/soul of their undead, while the two gods are said to ‘simply reanimate the dead </w:t>
      </w:r>
      <w:r w:rsidRPr="00065159">
        <w:rPr>
          <w:rFonts w:eastAsia="Times New Roman" w:cs="Arial"/>
          <w:color w:val="000000"/>
        </w:rPr>
        <w:t>to something akin to the living that has been corrupted to a point of no return.’</w:t>
      </w:r>
      <w:r w:rsidRPr="00065159">
        <w:rPr>
          <w:rStyle w:val="FootnoteReference"/>
          <w:rFonts w:eastAsia="Times New Roman" w:cs="Arial"/>
          <w:color w:val="000000"/>
        </w:rPr>
        <w:footnoteReference w:id="207"/>
      </w:r>
      <w:r w:rsidRPr="00065159">
        <w:rPr>
          <w:rFonts w:eastAsia="Times New Roman" w:cs="Arial"/>
          <w:color w:val="000000"/>
        </w:rPr>
        <w:t xml:space="preserve"> This illustrates the fact that necromancers can play god with how they can resurrect the dead, and can give some necromancers the idea</w:t>
      </w:r>
      <w:r>
        <w:rPr>
          <w:rFonts w:eastAsia="Times New Roman" w:cs="Arial"/>
          <w:color w:val="000000"/>
        </w:rPr>
        <w:t>, arrogance and hubris</w:t>
      </w:r>
      <w:r w:rsidRPr="00065159">
        <w:rPr>
          <w:rFonts w:eastAsia="Times New Roman" w:cs="Arial"/>
          <w:color w:val="000000"/>
        </w:rPr>
        <w:t xml:space="preserve"> that they are actually gods. This can also be attributed to Lycaon, as he tries to test Zeus, believing he is as good as the deity. </w:t>
      </w:r>
    </w:p>
    <w:p w14:paraId="1220C0D8" w14:textId="77777777" w:rsidR="008B5C30" w:rsidRPr="00065159" w:rsidRDefault="008B5C30" w:rsidP="00C93FE7">
      <w:pPr>
        <w:spacing w:line="360" w:lineRule="auto"/>
        <w:ind w:firstLine="360"/>
        <w:rPr>
          <w:rFonts w:eastAsia="Times New Roman" w:cs="Arial"/>
          <w:color w:val="000000"/>
        </w:rPr>
      </w:pPr>
      <w:r w:rsidRPr="00065159">
        <w:rPr>
          <w:rFonts w:eastAsia="Times New Roman" w:cs="Arial"/>
          <w:color w:val="000000"/>
        </w:rPr>
        <w:t>However, there are two necromancers who do achieve divine status, like Kzarka and Muskan. Seongwu receives the divine status</w:t>
      </w:r>
      <w:r>
        <w:rPr>
          <w:rFonts w:eastAsia="Times New Roman" w:cs="Arial"/>
          <w:color w:val="000000"/>
        </w:rPr>
        <w:t>es</w:t>
      </w:r>
      <w:r w:rsidRPr="00065159">
        <w:rPr>
          <w:rFonts w:eastAsia="Times New Roman" w:cs="Arial"/>
          <w:color w:val="000000"/>
        </w:rPr>
        <w:t xml:space="preserve"> of Anubis and Yama,</w:t>
      </w:r>
      <w:r w:rsidRPr="00065159">
        <w:rPr>
          <w:rStyle w:val="FootnoteReference"/>
          <w:rFonts w:eastAsia="Times New Roman" w:cs="Arial"/>
          <w:color w:val="000000"/>
        </w:rPr>
        <w:footnoteReference w:id="208"/>
      </w:r>
      <w:r w:rsidRPr="00065159">
        <w:rPr>
          <w:rFonts w:eastAsia="Times New Roman" w:cs="Arial"/>
          <w:color w:val="000000"/>
        </w:rPr>
        <w:t xml:space="preserve"> with it still being possible that he could receive the divine status of other death gods, meanwhile Jinwoo becomes the Monarch of Shadows, which in his world is on the same level as a deity.</w:t>
      </w:r>
      <w:r w:rsidRPr="00065159">
        <w:rPr>
          <w:rStyle w:val="FootnoteReference"/>
          <w:rFonts w:eastAsia="Times New Roman" w:cs="Arial"/>
          <w:color w:val="000000"/>
        </w:rPr>
        <w:footnoteReference w:id="209"/>
      </w:r>
      <w:r w:rsidRPr="00065159">
        <w:rPr>
          <w:rFonts w:eastAsia="Times New Roman" w:cs="Arial"/>
          <w:color w:val="000000"/>
        </w:rPr>
        <w:t xml:space="preserve"> Necromancers being similar to gods, or even becoming gods, naturally would cause some disconnect to other magic users, who are unable to create life or return life to the dead. This would especially be the case if the necromancers became arrogant and declared that other forms of magic are insignificant. This self-deification from the necromancers would be treated the same way Mikayla Kim </w:t>
      </w:r>
      <w:r>
        <w:rPr>
          <w:rFonts w:eastAsia="Times New Roman" w:cs="Arial"/>
          <w:color w:val="000000"/>
        </w:rPr>
        <w:t>describes</w:t>
      </w:r>
      <w:r w:rsidRPr="00065159">
        <w:rPr>
          <w:rFonts w:eastAsia="Times New Roman" w:cs="Arial"/>
          <w:color w:val="000000"/>
        </w:rPr>
        <w:t xml:space="preserve"> the character of </w:t>
      </w:r>
      <w:r w:rsidRPr="00065159">
        <w:rPr>
          <w:rFonts w:eastAsia="Times New Roman" w:cs="Arial"/>
          <w:color w:val="000000"/>
        </w:rPr>
        <w:lastRenderedPageBreak/>
        <w:t xml:space="preserve">Alexander in </w:t>
      </w:r>
      <w:r w:rsidRPr="00065159">
        <w:rPr>
          <w:rFonts w:eastAsia="Times New Roman" w:cs="Arial"/>
          <w:i/>
          <w:iCs/>
          <w:color w:val="000000"/>
        </w:rPr>
        <w:t>The Letter of Alexander to Aristotle</w:t>
      </w:r>
      <w:r w:rsidRPr="00065159">
        <w:rPr>
          <w:rFonts w:eastAsia="Times New Roman" w:cs="Arial"/>
          <w:color w:val="000000"/>
        </w:rPr>
        <w:t xml:space="preserve"> and </w:t>
      </w:r>
      <w:r w:rsidRPr="00065159">
        <w:rPr>
          <w:rFonts w:eastAsia="Times New Roman" w:cs="Arial"/>
          <w:i/>
          <w:iCs/>
          <w:color w:val="000000"/>
        </w:rPr>
        <w:t>The Wonders of the East</w:t>
      </w:r>
      <w:r w:rsidRPr="00065159">
        <w:rPr>
          <w:rFonts w:eastAsia="Times New Roman" w:cs="Arial"/>
          <w:color w:val="000000"/>
        </w:rPr>
        <w:t>, saying ‘his blasphemous self-deification advances him into the realm of the monstrous.’</w:t>
      </w:r>
      <w:r w:rsidRPr="00065159">
        <w:rPr>
          <w:rStyle w:val="FootnoteReference"/>
          <w:rFonts w:eastAsia="Times New Roman" w:cs="Arial"/>
          <w:color w:val="000000"/>
        </w:rPr>
        <w:footnoteReference w:id="210"/>
      </w:r>
      <w:r w:rsidRPr="00065159">
        <w:rPr>
          <w:rFonts w:eastAsia="Times New Roman" w:cs="Arial"/>
          <w:color w:val="000000"/>
        </w:rPr>
        <w:t xml:space="preserve"> </w:t>
      </w:r>
    </w:p>
    <w:p w14:paraId="0D92EC2C" w14:textId="77777777" w:rsidR="008B5C30" w:rsidRDefault="008B5C30" w:rsidP="00C93FE7">
      <w:pPr>
        <w:spacing w:line="360" w:lineRule="auto"/>
        <w:ind w:firstLine="360"/>
        <w:rPr>
          <w:rFonts w:eastAsia="Times New Roman" w:cs="Arial"/>
          <w:color w:val="000000"/>
        </w:rPr>
      </w:pPr>
      <w:r w:rsidRPr="00065159">
        <w:rPr>
          <w:rFonts w:eastAsia="Times New Roman" w:cs="Arial"/>
          <w:color w:val="000000"/>
        </w:rPr>
        <w:t xml:space="preserve">As such, being othered from society can result in being seen as monstrous. Being othered could be as simple as looking different, </w:t>
      </w:r>
      <w:r>
        <w:rPr>
          <w:rFonts w:eastAsia="Times New Roman" w:cs="Arial"/>
          <w:color w:val="000000"/>
        </w:rPr>
        <w:t>as discussed</w:t>
      </w:r>
      <w:r w:rsidRPr="00065159">
        <w:rPr>
          <w:rFonts w:eastAsia="Times New Roman" w:cs="Arial"/>
          <w:color w:val="000000"/>
        </w:rPr>
        <w:t xml:space="preserve"> in the appearance section, or being morally ambiguous, as both looks and morality can be seen as deviating from the norm.</w:t>
      </w:r>
      <w:r w:rsidRPr="00065159">
        <w:rPr>
          <w:rStyle w:val="FootnoteReference"/>
          <w:rFonts w:eastAsia="Times New Roman" w:cs="Arial"/>
          <w:color w:val="000000"/>
        </w:rPr>
        <w:footnoteReference w:id="211"/>
      </w:r>
      <w:r w:rsidRPr="00065159">
        <w:rPr>
          <w:rFonts w:eastAsia="Times New Roman" w:cs="Arial"/>
          <w:color w:val="000000"/>
        </w:rPr>
        <w:t xml:space="preserve"> Or it could be difference in having magic, or the type of magic being wielded, like the necromancers with their death magic that revives the dead.</w:t>
      </w:r>
    </w:p>
    <w:p w14:paraId="587B1552" w14:textId="77777777" w:rsidR="008B5C30" w:rsidRDefault="008B5C30" w:rsidP="00C93FE7">
      <w:pPr>
        <w:rPr>
          <w:rFonts w:eastAsia="Times New Roman" w:cs="Arial"/>
          <w:color w:val="000000"/>
        </w:rPr>
      </w:pPr>
      <w:r>
        <w:rPr>
          <w:rFonts w:eastAsia="Times New Roman" w:cs="Arial"/>
          <w:color w:val="000000"/>
        </w:rPr>
        <w:br w:type="page"/>
      </w:r>
    </w:p>
    <w:p w14:paraId="04EDD39E" w14:textId="77777777" w:rsidR="008B5C30" w:rsidRDefault="008B5C30" w:rsidP="00C93FE7">
      <w:pPr>
        <w:pStyle w:val="Heading1"/>
        <w:rPr>
          <w:color w:val="auto"/>
        </w:rPr>
      </w:pPr>
      <w:bookmarkStart w:id="18" w:name="_Toc209167287"/>
      <w:r w:rsidRPr="00065159">
        <w:rPr>
          <w:color w:val="auto"/>
        </w:rPr>
        <w:lastRenderedPageBreak/>
        <w:t>Conclusion</w:t>
      </w:r>
      <w:bookmarkEnd w:id="18"/>
    </w:p>
    <w:p w14:paraId="32DC0C4C" w14:textId="77777777" w:rsidR="008B5C30" w:rsidRDefault="008B5C30" w:rsidP="00C93FE7">
      <w:pPr>
        <w:spacing w:line="360" w:lineRule="auto"/>
        <w:ind w:firstLine="720"/>
      </w:pPr>
      <w:r>
        <w:t>The criteria for what makes a monster and the boundaries of monstrosity are not as clearcut as one may think. As explained throughout the dissertation, ‘Monsters are more than just horrid looks and claws and teeth.’</w:t>
      </w:r>
      <w:r>
        <w:rPr>
          <w:rStyle w:val="FootnoteReference"/>
        </w:rPr>
        <w:footnoteReference w:id="212"/>
      </w:r>
      <w:r>
        <w:t xml:space="preserve"> But they can also be more than horrid deeds done. Monsters are complex creatures, even more so when monsters become human-like and the morals of humanity are attributed. Nevertheless, following the definition of a monster decided on within this essay, </w:t>
      </w:r>
      <w:r w:rsidRPr="00F8171E">
        <w:t>a mythical creature that is partly human and partly non-human (as animal or undead) whose actions are evil and stem from their morality (or lack of)</w:t>
      </w:r>
      <w:r>
        <w:t xml:space="preserve">, both looks and morality are criteria that are required to be classed as a monster. </w:t>
      </w:r>
    </w:p>
    <w:p w14:paraId="3ED0866B" w14:textId="77777777" w:rsidR="008B5C30" w:rsidRDefault="008B5C30" w:rsidP="00C93FE7">
      <w:pPr>
        <w:spacing w:line="360" w:lineRule="auto"/>
        <w:ind w:firstLine="720"/>
      </w:pPr>
      <w:r>
        <w:t xml:space="preserve">However, as explained within the dissertation, morality is far more of a factor for monstrosity than appearance, as shown through examples of Lycaon, Medusa when she is used as a villain in games and modern media, and human antagonistic necromancers. Lycaon himself has no redeeming features, though modern werewolves as a fantasy species have been liberated from his monstrous grip. </w:t>
      </w:r>
    </w:p>
    <w:p w14:paraId="60C1834C" w14:textId="77777777" w:rsidR="008B5C30" w:rsidRDefault="008B5C30" w:rsidP="00C93FE7">
      <w:pPr>
        <w:spacing w:line="360" w:lineRule="auto"/>
        <w:ind w:firstLine="720"/>
      </w:pPr>
      <w:r>
        <w:t>Meanwhile Medusa can be classed as a monster depending on how she is being viewed. While some media representations give Medusa a backstory as a victim, she still ends up being the villain. Yet she is still being reclaimed as a symbol of protection and an icon of female rage, neither of which are monstrous. Medusa truly has some monstrous aspects, and those have been a part of her story since the ancient times. Thus, it can be decided that historically, Medusa’s monstrosity through morality and appearance makes her more of a monster than the modern feminist readings’ attempts to protect her from the monstrosity that was forced upon her.</w:t>
      </w:r>
    </w:p>
    <w:p w14:paraId="7AD6DEEF" w14:textId="77777777" w:rsidR="008B5C30" w:rsidRDefault="008B5C30" w:rsidP="00E40DC3">
      <w:pPr>
        <w:spacing w:line="360" w:lineRule="auto"/>
        <w:ind w:firstLine="720"/>
      </w:pPr>
      <w:r>
        <w:t xml:space="preserve">It is similar for necromancers, as protagonist necromancers are usually defenders of mankind, yet the antagonistic necromancers have no qualms with desecrating the dead to build their armies. However, due to the modern stigma that comes with the word necromancer, this essay deems them as more monstrous as they use the dead regardless of what intentions they have. This stigma did not affect the </w:t>
      </w:r>
      <w:r>
        <w:lastRenderedPageBreak/>
        <w:t>ancient necromancers, who were not seen as monstrous as they were religious officials talking to ghosts for information.</w:t>
      </w:r>
    </w:p>
    <w:p w14:paraId="20337F59" w14:textId="77777777" w:rsidR="008B5C30" w:rsidRDefault="008B5C30" w:rsidP="00C93FE7">
      <w:pPr>
        <w:spacing w:line="360" w:lineRule="auto"/>
        <w:ind w:firstLine="720"/>
      </w:pPr>
      <w:r>
        <w:t xml:space="preserve">Despite being called monsters by the religious and common citizens of the world of </w:t>
      </w:r>
      <w:r>
        <w:rPr>
          <w:i/>
          <w:iCs/>
        </w:rPr>
        <w:t>The Witcher</w:t>
      </w:r>
      <w:r>
        <w:t xml:space="preserve"> due to their otherness of using magic and having slitted pupils like animals, realistically the witchers are not monsters. They do have aspects of monstrousness, as they can be dangerous and their appearance is not fully human, but their morals of helping fight actual monsters for those in need for little or no payment, despite the stigma they receive, outweigh those monstrous aspects.</w:t>
      </w:r>
    </w:p>
    <w:p w14:paraId="72A92B02" w14:textId="77777777" w:rsidR="008B5C30" w:rsidRDefault="008B5C30" w:rsidP="00C93FE7">
      <w:pPr>
        <w:spacing w:line="360" w:lineRule="auto"/>
      </w:pPr>
      <w:r>
        <w:tab/>
        <w:t>In conclusion, the boundary between monster and non-monster for these case studies is a very thin line that balances history, morality, cultural reception and appearance.</w:t>
      </w:r>
    </w:p>
    <w:p w14:paraId="5EE3D5F9" w14:textId="77777777" w:rsidR="008B5C30" w:rsidRDefault="008B5C30">
      <w:r>
        <w:br w:type="page"/>
      </w:r>
    </w:p>
    <w:p w14:paraId="6594A12C" w14:textId="77777777" w:rsidR="008B5C30" w:rsidRPr="003851A6" w:rsidRDefault="008B5C30" w:rsidP="003851A6">
      <w:pPr>
        <w:pStyle w:val="Heading1"/>
        <w:rPr>
          <w:color w:val="auto"/>
        </w:rPr>
      </w:pPr>
      <w:r w:rsidRPr="003851A6">
        <w:rPr>
          <w:color w:val="auto"/>
        </w:rPr>
        <w:lastRenderedPageBreak/>
        <w:t>Bibliography</w:t>
      </w:r>
    </w:p>
    <w:p w14:paraId="0561903F" w14:textId="77777777" w:rsidR="000E07D5" w:rsidRDefault="000E07D5" w:rsidP="000E07D5">
      <w:pPr>
        <w:pStyle w:val="Heading1"/>
        <w:spacing w:line="240" w:lineRule="auto"/>
      </w:pPr>
      <w:r>
        <w:t>Classical</w:t>
      </w:r>
    </w:p>
    <w:p w14:paraId="0AE77AE3" w14:textId="77777777" w:rsidR="000E07D5" w:rsidRPr="004648DC" w:rsidRDefault="000E07D5" w:rsidP="000E07D5">
      <w:pPr>
        <w:pStyle w:val="ListParagraph"/>
        <w:numPr>
          <w:ilvl w:val="0"/>
          <w:numId w:val="6"/>
        </w:numPr>
        <w:spacing w:line="240" w:lineRule="auto"/>
        <w:rPr>
          <w:rFonts w:ascii="Aptos" w:hAnsi="Aptos" w:cstheme="minorHAnsi"/>
        </w:rPr>
      </w:pPr>
      <w:r w:rsidRPr="004648DC">
        <w:rPr>
          <w:rFonts w:ascii="Aptos" w:hAnsi="Aptos" w:cstheme="minorHAnsi"/>
        </w:rPr>
        <w:t xml:space="preserve">Diodorus Siculus, </w:t>
      </w:r>
      <w:r w:rsidRPr="004648DC">
        <w:rPr>
          <w:rFonts w:ascii="Aptos" w:hAnsi="Aptos" w:cstheme="minorHAnsi"/>
          <w:i/>
          <w:iCs/>
        </w:rPr>
        <w:t>Library</w:t>
      </w:r>
      <w:r w:rsidRPr="004648DC">
        <w:rPr>
          <w:rFonts w:ascii="Aptos" w:hAnsi="Aptos" w:cstheme="minorHAnsi"/>
        </w:rPr>
        <w:t xml:space="preserve">, Oldfather, C.H., (trans) 1989, </w:t>
      </w:r>
      <w:r w:rsidRPr="004648DC">
        <w:rPr>
          <w:rFonts w:ascii="Aptos" w:hAnsi="Aptos" w:cstheme="minorHAnsi"/>
          <w:color w:val="000000"/>
        </w:rPr>
        <w:t>Cambridge, MA, Harvard University Press</w:t>
      </w:r>
    </w:p>
    <w:p w14:paraId="6D61FA34" w14:textId="77777777" w:rsidR="000E07D5" w:rsidRPr="004648DC" w:rsidRDefault="000E07D5" w:rsidP="000E07D5">
      <w:pPr>
        <w:pStyle w:val="ListParagraph"/>
        <w:numPr>
          <w:ilvl w:val="0"/>
          <w:numId w:val="6"/>
        </w:numPr>
        <w:spacing w:line="240" w:lineRule="auto"/>
        <w:rPr>
          <w:rFonts w:ascii="Aptos" w:hAnsi="Aptos"/>
        </w:rPr>
      </w:pPr>
      <w:r w:rsidRPr="004648DC">
        <w:rPr>
          <w:rFonts w:ascii="Aptos" w:hAnsi="Aptos"/>
        </w:rPr>
        <w:t>Herodotus, The Histories, A. D. Godley (trans), 1920, Cambridge: Harvard University Press</w:t>
      </w:r>
    </w:p>
    <w:p w14:paraId="62C88F61" w14:textId="77777777" w:rsidR="000E07D5" w:rsidRPr="004648DC" w:rsidRDefault="000E07D5" w:rsidP="000E07D5">
      <w:pPr>
        <w:pStyle w:val="ListParagraph"/>
        <w:numPr>
          <w:ilvl w:val="0"/>
          <w:numId w:val="6"/>
        </w:numPr>
        <w:spacing w:line="240" w:lineRule="auto"/>
        <w:rPr>
          <w:rFonts w:ascii="Aptos" w:hAnsi="Aptos"/>
        </w:rPr>
      </w:pPr>
      <w:r w:rsidRPr="004648DC">
        <w:rPr>
          <w:rFonts w:ascii="Aptos" w:hAnsi="Aptos"/>
        </w:rPr>
        <w:t>Hesiod, Shield of Heracles, Hugh G., Evelyn-White (trans), 1914, Cambridge: Harvard University Press</w:t>
      </w:r>
    </w:p>
    <w:p w14:paraId="43316B0F" w14:textId="77777777" w:rsidR="000E07D5" w:rsidRPr="004648DC" w:rsidRDefault="000E07D5" w:rsidP="000E07D5">
      <w:pPr>
        <w:pStyle w:val="ListParagraph"/>
        <w:numPr>
          <w:ilvl w:val="0"/>
          <w:numId w:val="6"/>
        </w:numPr>
        <w:spacing w:line="240" w:lineRule="auto"/>
        <w:rPr>
          <w:rFonts w:ascii="Aptos" w:hAnsi="Aptos" w:cstheme="minorHAnsi"/>
        </w:rPr>
      </w:pPr>
      <w:r w:rsidRPr="004648DC">
        <w:rPr>
          <w:rFonts w:ascii="Aptos" w:hAnsi="Aptos"/>
        </w:rPr>
        <w:t>Hesiod, Theogony, Hugh G. Evelyn-White (trans), 1914, Cambridge: Harvard University Press</w:t>
      </w:r>
    </w:p>
    <w:p w14:paraId="59E4EABA" w14:textId="77777777" w:rsidR="000E07D5" w:rsidRPr="004648DC" w:rsidRDefault="000E07D5" w:rsidP="000E07D5">
      <w:pPr>
        <w:pStyle w:val="ListParagraph"/>
        <w:numPr>
          <w:ilvl w:val="0"/>
          <w:numId w:val="6"/>
        </w:numPr>
        <w:spacing w:line="240" w:lineRule="auto"/>
        <w:rPr>
          <w:rFonts w:ascii="Aptos" w:hAnsi="Aptos" w:cstheme="minorHAnsi"/>
        </w:rPr>
      </w:pPr>
      <w:r w:rsidRPr="004648DC">
        <w:rPr>
          <w:rFonts w:ascii="Aptos" w:hAnsi="Aptos" w:cstheme="minorHAnsi"/>
        </w:rPr>
        <w:t xml:space="preserve">Homer, </w:t>
      </w:r>
      <w:r w:rsidRPr="004648DC">
        <w:rPr>
          <w:rFonts w:ascii="Aptos" w:hAnsi="Aptos" w:cstheme="minorHAnsi"/>
          <w:i/>
          <w:iCs/>
        </w:rPr>
        <w:t>Iliad</w:t>
      </w:r>
      <w:r w:rsidRPr="004648DC">
        <w:rPr>
          <w:rFonts w:ascii="Aptos" w:hAnsi="Aptos" w:cstheme="minorHAnsi"/>
        </w:rPr>
        <w:t>, Lattimore, R., (trans) 1951, Chicago: University of Chicago Press</w:t>
      </w:r>
    </w:p>
    <w:p w14:paraId="3E0DB7F7" w14:textId="77777777" w:rsidR="000E07D5" w:rsidRPr="004648DC" w:rsidRDefault="000E07D5" w:rsidP="000E07D5">
      <w:pPr>
        <w:pStyle w:val="ListParagraph"/>
        <w:numPr>
          <w:ilvl w:val="0"/>
          <w:numId w:val="6"/>
        </w:numPr>
        <w:spacing w:line="240" w:lineRule="auto"/>
        <w:rPr>
          <w:rFonts w:ascii="Aptos" w:hAnsi="Aptos" w:cstheme="minorHAnsi"/>
        </w:rPr>
      </w:pPr>
      <w:r w:rsidRPr="004648DC">
        <w:rPr>
          <w:rFonts w:ascii="Aptos" w:hAnsi="Aptos" w:cstheme="minorHAnsi"/>
        </w:rPr>
        <w:t xml:space="preserve">Homer, </w:t>
      </w:r>
      <w:r w:rsidRPr="004648DC">
        <w:rPr>
          <w:rFonts w:ascii="Aptos" w:hAnsi="Aptos" w:cstheme="minorHAnsi"/>
          <w:i/>
          <w:iCs/>
        </w:rPr>
        <w:t>Iliad</w:t>
      </w:r>
      <w:r w:rsidRPr="004648DC">
        <w:rPr>
          <w:rFonts w:ascii="Aptos" w:hAnsi="Aptos" w:cstheme="minorHAnsi"/>
        </w:rPr>
        <w:t xml:space="preserve">, Murray, A.T., (trans), 1924, </w:t>
      </w:r>
      <w:r w:rsidRPr="004648DC">
        <w:rPr>
          <w:rFonts w:ascii="Aptos" w:hAnsi="Aptos" w:cstheme="minorHAnsi"/>
          <w:color w:val="000000"/>
        </w:rPr>
        <w:t>Cambridge, MA, Harvard University Press</w:t>
      </w:r>
    </w:p>
    <w:p w14:paraId="2F5742C4" w14:textId="77777777" w:rsidR="000E07D5" w:rsidRPr="004648DC" w:rsidRDefault="000E07D5" w:rsidP="000E07D5">
      <w:pPr>
        <w:pStyle w:val="ListParagraph"/>
        <w:numPr>
          <w:ilvl w:val="0"/>
          <w:numId w:val="6"/>
        </w:numPr>
        <w:spacing w:line="240" w:lineRule="auto"/>
        <w:rPr>
          <w:rFonts w:ascii="Aptos" w:hAnsi="Aptos" w:cstheme="minorHAnsi"/>
        </w:rPr>
      </w:pPr>
      <w:r w:rsidRPr="004648DC">
        <w:rPr>
          <w:rFonts w:ascii="Aptos" w:hAnsi="Aptos" w:cstheme="minorHAnsi"/>
        </w:rPr>
        <w:t xml:space="preserve">Homer, </w:t>
      </w:r>
      <w:r w:rsidRPr="004648DC">
        <w:rPr>
          <w:rFonts w:ascii="Aptos" w:hAnsi="Aptos" w:cstheme="minorHAnsi"/>
          <w:i/>
          <w:iCs/>
        </w:rPr>
        <w:t>Odyssey</w:t>
      </w:r>
      <w:r w:rsidRPr="004648DC">
        <w:rPr>
          <w:rFonts w:ascii="Aptos" w:hAnsi="Aptos" w:cstheme="minorHAnsi"/>
        </w:rPr>
        <w:t xml:space="preserve">, Murray, A.T., (trans) 1919, </w:t>
      </w:r>
      <w:r w:rsidRPr="004648DC">
        <w:rPr>
          <w:rFonts w:ascii="Aptos" w:hAnsi="Aptos" w:cstheme="minorHAnsi"/>
          <w:color w:val="000000"/>
        </w:rPr>
        <w:t>Cambridge, MA, Harvard University Press</w:t>
      </w:r>
    </w:p>
    <w:p w14:paraId="41A93058" w14:textId="77777777" w:rsidR="000E07D5" w:rsidRPr="004648DC" w:rsidRDefault="000E07D5" w:rsidP="000E07D5">
      <w:pPr>
        <w:pStyle w:val="ListParagraph"/>
        <w:numPr>
          <w:ilvl w:val="0"/>
          <w:numId w:val="6"/>
        </w:numPr>
        <w:spacing w:line="240" w:lineRule="auto"/>
        <w:rPr>
          <w:rFonts w:ascii="Aptos" w:hAnsi="Aptos"/>
        </w:rPr>
      </w:pPr>
      <w:r w:rsidRPr="004648DC">
        <w:rPr>
          <w:rFonts w:ascii="Aptos" w:hAnsi="Aptos"/>
        </w:rPr>
        <w:t xml:space="preserve">Lucan </w:t>
      </w:r>
      <w:r w:rsidRPr="004648DC">
        <w:rPr>
          <w:rFonts w:ascii="Aptos" w:hAnsi="Aptos"/>
          <w:i/>
          <w:iCs/>
        </w:rPr>
        <w:t>Pharsalia</w:t>
      </w:r>
      <w:r w:rsidRPr="004648DC">
        <w:rPr>
          <w:rFonts w:ascii="Aptos" w:hAnsi="Aptos"/>
        </w:rPr>
        <w:t>, Carolus Hermannus Weise (trans) 1835, Leipzig, G. Bassus</w:t>
      </w:r>
    </w:p>
    <w:p w14:paraId="12B08354" w14:textId="77777777" w:rsidR="000E07D5" w:rsidRPr="004648DC" w:rsidRDefault="000E07D5" w:rsidP="000E07D5">
      <w:pPr>
        <w:pStyle w:val="ListParagraph"/>
        <w:numPr>
          <w:ilvl w:val="0"/>
          <w:numId w:val="6"/>
        </w:numPr>
        <w:spacing w:line="240" w:lineRule="auto"/>
        <w:rPr>
          <w:rFonts w:ascii="Aptos" w:hAnsi="Aptos"/>
        </w:rPr>
      </w:pPr>
      <w:r w:rsidRPr="004648DC">
        <w:rPr>
          <w:rFonts w:ascii="Aptos" w:hAnsi="Aptos"/>
        </w:rPr>
        <w:t xml:space="preserve">Lucan </w:t>
      </w:r>
      <w:r w:rsidRPr="004648DC">
        <w:rPr>
          <w:rFonts w:ascii="Aptos" w:hAnsi="Aptos"/>
          <w:i/>
          <w:iCs/>
        </w:rPr>
        <w:t>Pharsalia</w:t>
      </w:r>
      <w:r w:rsidRPr="004648DC">
        <w:rPr>
          <w:rFonts w:ascii="Aptos" w:hAnsi="Aptos"/>
        </w:rPr>
        <w:t>, Sir Edward Ridley (trans) 1905, Longmans, Green and Co</w:t>
      </w:r>
    </w:p>
    <w:p w14:paraId="18AADB73" w14:textId="77777777" w:rsidR="000E07D5" w:rsidRPr="004648DC" w:rsidRDefault="000E07D5" w:rsidP="000E07D5">
      <w:pPr>
        <w:pStyle w:val="ListParagraph"/>
        <w:numPr>
          <w:ilvl w:val="0"/>
          <w:numId w:val="6"/>
        </w:numPr>
        <w:spacing w:line="240" w:lineRule="auto"/>
        <w:rPr>
          <w:rFonts w:ascii="Aptos" w:hAnsi="Aptos"/>
        </w:rPr>
      </w:pPr>
      <w:r w:rsidRPr="004648DC">
        <w:rPr>
          <w:rFonts w:ascii="Aptos" w:hAnsi="Aptos" w:cstheme="minorHAnsi"/>
        </w:rPr>
        <w:t xml:space="preserve">Ovid, </w:t>
      </w:r>
      <w:r w:rsidRPr="004648DC">
        <w:rPr>
          <w:rFonts w:ascii="Aptos" w:hAnsi="Aptos" w:cstheme="minorHAnsi"/>
          <w:i/>
          <w:iCs/>
        </w:rPr>
        <w:t>Metamorphoses</w:t>
      </w:r>
      <w:r w:rsidRPr="004648DC">
        <w:rPr>
          <w:rFonts w:ascii="Aptos" w:hAnsi="Aptos" w:cstheme="minorHAnsi"/>
        </w:rPr>
        <w:t>, A., Golding (trans), 1567 London: W. Seres</w:t>
      </w:r>
    </w:p>
    <w:p w14:paraId="6DB18B83" w14:textId="77777777" w:rsidR="000E07D5" w:rsidRPr="004648DC" w:rsidRDefault="000E07D5" w:rsidP="000E07D5">
      <w:pPr>
        <w:numPr>
          <w:ilvl w:val="0"/>
          <w:numId w:val="6"/>
        </w:numPr>
        <w:spacing w:after="0" w:line="240" w:lineRule="auto"/>
        <w:rPr>
          <w:rFonts w:ascii="Aptos" w:hAnsi="Aptos" w:cstheme="minorHAnsi"/>
        </w:rPr>
      </w:pPr>
      <w:r w:rsidRPr="004648DC">
        <w:rPr>
          <w:rFonts w:ascii="Aptos" w:hAnsi="Aptos" w:cstheme="minorHAnsi"/>
        </w:rPr>
        <w:t xml:space="preserve">Ovid, </w:t>
      </w:r>
      <w:r w:rsidRPr="004648DC">
        <w:rPr>
          <w:rFonts w:ascii="Aptos" w:hAnsi="Aptos" w:cstheme="minorHAnsi"/>
          <w:i/>
          <w:iCs/>
        </w:rPr>
        <w:t>Metamorphoses</w:t>
      </w:r>
      <w:r w:rsidRPr="004648DC">
        <w:rPr>
          <w:rFonts w:ascii="Aptos" w:hAnsi="Aptos" w:cstheme="minorHAnsi"/>
        </w:rPr>
        <w:t>, A.D., Melville (trans), 1998, Oxford: Oxford University Press</w:t>
      </w:r>
    </w:p>
    <w:p w14:paraId="4F421E65" w14:textId="77777777" w:rsidR="000E07D5" w:rsidRPr="004648DC" w:rsidRDefault="000E07D5" w:rsidP="000E07D5">
      <w:pPr>
        <w:numPr>
          <w:ilvl w:val="0"/>
          <w:numId w:val="6"/>
        </w:numPr>
        <w:spacing w:after="0" w:line="240" w:lineRule="auto"/>
        <w:rPr>
          <w:rFonts w:ascii="Aptos" w:hAnsi="Aptos" w:cstheme="minorHAnsi"/>
        </w:rPr>
      </w:pPr>
      <w:r w:rsidRPr="004648DC">
        <w:rPr>
          <w:rFonts w:ascii="Aptos" w:hAnsi="Aptos" w:cstheme="minorHAnsi"/>
        </w:rPr>
        <w:t xml:space="preserve">Ovid, </w:t>
      </w:r>
      <w:r w:rsidRPr="004648DC">
        <w:rPr>
          <w:rFonts w:ascii="Aptos" w:hAnsi="Aptos" w:cstheme="minorHAnsi"/>
          <w:i/>
          <w:iCs/>
        </w:rPr>
        <w:t>Metamorphoses</w:t>
      </w:r>
      <w:r w:rsidRPr="004648DC">
        <w:rPr>
          <w:rFonts w:ascii="Aptos" w:hAnsi="Aptos" w:cstheme="minorHAnsi"/>
        </w:rPr>
        <w:t>, Brookes More (trans), 1922, Boston: Cornhill Publishing Co.</w:t>
      </w:r>
    </w:p>
    <w:p w14:paraId="3694E1A2" w14:textId="77777777" w:rsidR="000E07D5" w:rsidRPr="004648DC" w:rsidRDefault="000E07D5" w:rsidP="000E07D5">
      <w:pPr>
        <w:numPr>
          <w:ilvl w:val="0"/>
          <w:numId w:val="6"/>
        </w:numPr>
        <w:spacing w:after="0" w:line="240" w:lineRule="auto"/>
        <w:rPr>
          <w:rFonts w:ascii="Aptos" w:hAnsi="Aptos" w:cstheme="minorHAnsi"/>
        </w:rPr>
      </w:pPr>
      <w:r w:rsidRPr="004648DC">
        <w:rPr>
          <w:rFonts w:ascii="Aptos" w:hAnsi="Aptos" w:cstheme="minorHAnsi"/>
        </w:rPr>
        <w:t xml:space="preserve">Ovid, </w:t>
      </w:r>
      <w:r w:rsidRPr="004648DC">
        <w:rPr>
          <w:rFonts w:ascii="Aptos" w:hAnsi="Aptos" w:cstheme="minorHAnsi"/>
          <w:i/>
          <w:iCs/>
        </w:rPr>
        <w:t>Metamorphoses</w:t>
      </w:r>
      <w:r w:rsidRPr="004648DC">
        <w:rPr>
          <w:rFonts w:ascii="Aptos" w:hAnsi="Aptos" w:cstheme="minorHAnsi"/>
        </w:rPr>
        <w:t>, F.J., Miller (trans) 1916, Cambridge: Harvard University Press</w:t>
      </w:r>
    </w:p>
    <w:p w14:paraId="08A0CEA2" w14:textId="77777777" w:rsidR="000E07D5" w:rsidRPr="004648DC" w:rsidRDefault="000E07D5" w:rsidP="000E07D5">
      <w:pPr>
        <w:numPr>
          <w:ilvl w:val="0"/>
          <w:numId w:val="6"/>
        </w:numPr>
        <w:spacing w:after="0" w:line="240" w:lineRule="auto"/>
        <w:rPr>
          <w:rFonts w:ascii="Aptos" w:hAnsi="Aptos" w:cstheme="minorHAnsi"/>
        </w:rPr>
      </w:pPr>
      <w:r w:rsidRPr="004648DC">
        <w:rPr>
          <w:rFonts w:ascii="Aptos" w:hAnsi="Aptos" w:cstheme="minorHAnsi"/>
        </w:rPr>
        <w:t xml:space="preserve">Ovid, </w:t>
      </w:r>
      <w:r w:rsidRPr="004648DC">
        <w:rPr>
          <w:rFonts w:ascii="Aptos" w:hAnsi="Aptos" w:cstheme="minorHAnsi"/>
          <w:i/>
          <w:iCs/>
        </w:rPr>
        <w:t>Metamorphoses</w:t>
      </w:r>
      <w:r w:rsidRPr="004648DC">
        <w:rPr>
          <w:rFonts w:ascii="Aptos" w:hAnsi="Aptos" w:cstheme="minorHAnsi"/>
        </w:rPr>
        <w:t>, Hugo Magnus (trans) 1892, Germany: Friedr. Andr. Perthes</w:t>
      </w:r>
    </w:p>
    <w:p w14:paraId="1C23DAF8" w14:textId="77777777" w:rsidR="000E07D5" w:rsidRPr="004648DC" w:rsidRDefault="000E07D5" w:rsidP="000E07D5">
      <w:pPr>
        <w:pStyle w:val="ListParagraph"/>
        <w:numPr>
          <w:ilvl w:val="0"/>
          <w:numId w:val="6"/>
        </w:numPr>
        <w:spacing w:line="240" w:lineRule="auto"/>
        <w:rPr>
          <w:rFonts w:ascii="Aptos" w:hAnsi="Aptos" w:cstheme="minorHAnsi"/>
        </w:rPr>
      </w:pPr>
      <w:r w:rsidRPr="004648DC">
        <w:rPr>
          <w:rFonts w:ascii="Aptos" w:hAnsi="Aptos" w:cstheme="minorHAnsi"/>
        </w:rPr>
        <w:t xml:space="preserve">Pausanias, </w:t>
      </w:r>
      <w:r w:rsidRPr="004648DC">
        <w:rPr>
          <w:rFonts w:ascii="Aptos" w:hAnsi="Aptos" w:cstheme="minorHAnsi"/>
          <w:i/>
          <w:iCs/>
        </w:rPr>
        <w:t>Descriptions of Greece</w:t>
      </w:r>
      <w:r w:rsidRPr="004648DC">
        <w:rPr>
          <w:rFonts w:ascii="Aptos" w:hAnsi="Aptos" w:cstheme="minorHAnsi"/>
        </w:rPr>
        <w:t xml:space="preserve">, </w:t>
      </w:r>
      <w:r w:rsidRPr="004648DC">
        <w:rPr>
          <w:rFonts w:ascii="Aptos" w:hAnsi="Aptos" w:cstheme="minorHAnsi"/>
          <w:color w:val="000000"/>
        </w:rPr>
        <w:t>Jones, W.H.S., Litt.D., and Ormerod, H.A. (trans), 1918, Cambridge: Harvard University Press</w:t>
      </w:r>
    </w:p>
    <w:p w14:paraId="269425D3" w14:textId="77777777" w:rsidR="000E07D5" w:rsidRPr="004648DC" w:rsidRDefault="000E07D5" w:rsidP="000E07D5">
      <w:pPr>
        <w:pStyle w:val="ListParagraph"/>
        <w:numPr>
          <w:ilvl w:val="0"/>
          <w:numId w:val="6"/>
        </w:numPr>
        <w:spacing w:line="259" w:lineRule="auto"/>
        <w:rPr>
          <w:rFonts w:ascii="Aptos" w:hAnsi="Aptos"/>
        </w:rPr>
      </w:pPr>
      <w:r w:rsidRPr="004648DC">
        <w:rPr>
          <w:rFonts w:ascii="Aptos" w:hAnsi="Aptos"/>
        </w:rPr>
        <w:t>Pseudo-Apollodorus, Library, James George Frazer (trans), 1921, Cambridge: Harvard University Press</w:t>
      </w:r>
    </w:p>
    <w:p w14:paraId="1C7BDF4E" w14:textId="77777777" w:rsidR="000E07D5" w:rsidRPr="004648DC" w:rsidRDefault="000E07D5" w:rsidP="000E07D5">
      <w:pPr>
        <w:pStyle w:val="ListParagraph"/>
        <w:numPr>
          <w:ilvl w:val="0"/>
          <w:numId w:val="6"/>
        </w:numPr>
        <w:spacing w:line="259" w:lineRule="auto"/>
        <w:rPr>
          <w:rFonts w:ascii="Aptos" w:hAnsi="Aptos" w:cstheme="majorHAnsi"/>
        </w:rPr>
      </w:pPr>
      <w:r w:rsidRPr="004648DC">
        <w:rPr>
          <w:rFonts w:ascii="Aptos" w:hAnsi="Aptos"/>
        </w:rPr>
        <w:t xml:space="preserve">Pseudo-Hyginus, </w:t>
      </w:r>
      <w:r w:rsidRPr="004648DC">
        <w:rPr>
          <w:rFonts w:ascii="Aptos" w:hAnsi="Aptos" w:cstheme="majorHAnsi"/>
          <w:i/>
          <w:iCs/>
        </w:rPr>
        <w:t>Astronomica</w:t>
      </w:r>
      <w:r w:rsidRPr="004648DC">
        <w:rPr>
          <w:rFonts w:ascii="Aptos" w:hAnsi="Aptos" w:cstheme="majorHAnsi"/>
        </w:rPr>
        <w:t>, M., Grant, (trans), 1960, Lawrence: University of Kansas Press</w:t>
      </w:r>
    </w:p>
    <w:p w14:paraId="57326A08" w14:textId="77777777" w:rsidR="000E07D5" w:rsidRPr="004648DC" w:rsidRDefault="000E07D5" w:rsidP="000E07D5">
      <w:pPr>
        <w:pStyle w:val="ListParagraph"/>
        <w:numPr>
          <w:ilvl w:val="0"/>
          <w:numId w:val="6"/>
        </w:numPr>
        <w:spacing w:line="259" w:lineRule="auto"/>
        <w:rPr>
          <w:rFonts w:ascii="Aptos" w:hAnsi="Aptos" w:cstheme="majorHAnsi"/>
        </w:rPr>
      </w:pPr>
      <w:r w:rsidRPr="004648DC">
        <w:rPr>
          <w:rFonts w:ascii="Aptos" w:hAnsi="Aptos" w:cstheme="majorHAnsi"/>
        </w:rPr>
        <w:t xml:space="preserve">Pseudo-Hyginus, </w:t>
      </w:r>
      <w:r w:rsidRPr="004648DC">
        <w:rPr>
          <w:rFonts w:ascii="Aptos" w:hAnsi="Aptos" w:cstheme="majorHAnsi"/>
          <w:i/>
          <w:iCs/>
        </w:rPr>
        <w:t>Fabulae</w:t>
      </w:r>
      <w:r w:rsidRPr="004648DC">
        <w:rPr>
          <w:rFonts w:ascii="Aptos" w:hAnsi="Aptos" w:cstheme="majorHAnsi"/>
        </w:rPr>
        <w:t>, M., Grant, (trans), 1960, Lawrence: University of Kansas Press</w:t>
      </w:r>
    </w:p>
    <w:p w14:paraId="441AA5AC" w14:textId="77777777" w:rsidR="000E07D5" w:rsidRPr="004648DC" w:rsidRDefault="000E07D5" w:rsidP="000E07D5">
      <w:pPr>
        <w:pStyle w:val="ListParagraph"/>
        <w:numPr>
          <w:ilvl w:val="0"/>
          <w:numId w:val="6"/>
        </w:numPr>
        <w:spacing w:line="259" w:lineRule="auto"/>
        <w:rPr>
          <w:rFonts w:ascii="Aptos" w:hAnsi="Aptos"/>
        </w:rPr>
      </w:pPr>
      <w:r w:rsidRPr="004648DC">
        <w:rPr>
          <w:rFonts w:ascii="Aptos" w:hAnsi="Aptos"/>
        </w:rPr>
        <w:t>Stasinus of Cyprus/Hegesias of Aegina</w:t>
      </w:r>
    </w:p>
    <w:p w14:paraId="4D529F7C" w14:textId="77777777" w:rsidR="000E07D5" w:rsidRPr="004648DC" w:rsidRDefault="000E07D5" w:rsidP="000E07D5">
      <w:pPr>
        <w:pStyle w:val="ListParagraph"/>
        <w:numPr>
          <w:ilvl w:val="0"/>
          <w:numId w:val="6"/>
        </w:numPr>
        <w:spacing w:line="259" w:lineRule="auto"/>
        <w:rPr>
          <w:rFonts w:ascii="Aptos" w:hAnsi="Aptos" w:cstheme="minorHAnsi"/>
        </w:rPr>
      </w:pPr>
      <w:r w:rsidRPr="004648DC">
        <w:rPr>
          <w:rFonts w:ascii="Aptos" w:hAnsi="Aptos" w:cstheme="minorHAnsi"/>
        </w:rPr>
        <w:t xml:space="preserve">Strabo, </w:t>
      </w:r>
      <w:r w:rsidRPr="004648DC">
        <w:rPr>
          <w:rFonts w:ascii="Aptos" w:hAnsi="Aptos" w:cstheme="minorHAnsi"/>
          <w:i/>
          <w:iCs/>
        </w:rPr>
        <w:t>Geography</w:t>
      </w:r>
      <w:r w:rsidRPr="004648DC">
        <w:rPr>
          <w:rFonts w:ascii="Aptos" w:hAnsi="Aptos" w:cstheme="minorHAnsi"/>
        </w:rPr>
        <w:t xml:space="preserve">, Jones, H.L., (trans), 1924, </w:t>
      </w:r>
      <w:r w:rsidRPr="004648DC">
        <w:rPr>
          <w:rFonts w:ascii="Aptos" w:hAnsi="Aptos" w:cstheme="minorHAnsi"/>
          <w:color w:val="000000"/>
        </w:rPr>
        <w:t>Cambridge, MA, Harvard University Press</w:t>
      </w:r>
    </w:p>
    <w:p w14:paraId="75BD3661" w14:textId="77777777" w:rsidR="000E07D5" w:rsidRPr="00AD664F" w:rsidRDefault="000E07D5" w:rsidP="000E07D5">
      <w:pPr>
        <w:pStyle w:val="Heading1"/>
        <w:spacing w:line="240" w:lineRule="auto"/>
        <w:rPr>
          <w:sz w:val="32"/>
          <w:szCs w:val="32"/>
        </w:rPr>
      </w:pPr>
      <w:r>
        <w:lastRenderedPageBreak/>
        <w:t>Modern</w:t>
      </w:r>
    </w:p>
    <w:p w14:paraId="76DC1B60"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Alban, G.M.E., (</w:t>
      </w:r>
      <w:r>
        <w:rPr>
          <w:rFonts w:ascii="Aptos" w:hAnsi="Aptos"/>
        </w:rPr>
        <w:t>2013</w:t>
      </w:r>
      <w:r w:rsidRPr="00101DDA">
        <w:rPr>
          <w:rFonts w:ascii="Aptos" w:hAnsi="Aptos"/>
        </w:rPr>
        <w:t xml:space="preserve">), ‘Medusa as Female Eye or Icon in Atwood, Murdoch, Carter and Plath’ in </w:t>
      </w:r>
      <w:r>
        <w:rPr>
          <w:rFonts w:ascii="Aptos" w:hAnsi="Aptos"/>
          <w:i/>
          <w:iCs/>
        </w:rPr>
        <w:t>Mosaic: A Journal for the Interdisciplinary Study of Literature</w:t>
      </w:r>
      <w:r w:rsidRPr="00101DDA">
        <w:rPr>
          <w:rFonts w:ascii="Aptos" w:hAnsi="Aptos"/>
        </w:rPr>
        <w:t>,</w:t>
      </w:r>
      <w:r>
        <w:rPr>
          <w:rFonts w:ascii="Aptos" w:hAnsi="Aptos"/>
        </w:rPr>
        <w:t xml:space="preserve"> vol 46 issue 4, pp163-182</w:t>
      </w:r>
      <w:r w:rsidRPr="00101DDA">
        <w:rPr>
          <w:rFonts w:ascii="Aptos" w:hAnsi="Aptos"/>
        </w:rPr>
        <w:t xml:space="preserve"> </w:t>
      </w:r>
    </w:p>
    <w:p w14:paraId="751320B1"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cstheme="majorHAnsi"/>
        </w:rPr>
        <w:t xml:space="preserve">Andres, E., (2020), </w:t>
      </w:r>
      <w:r w:rsidRPr="00461030">
        <w:rPr>
          <w:rFonts w:ascii="Aptos" w:hAnsi="Aptos" w:cstheme="majorHAnsi"/>
          <w:i/>
          <w:iCs/>
        </w:rPr>
        <w:t>A Tale of Two Sisters: Gorgons and Sirens in Ancient Greek Art and Literature</w:t>
      </w:r>
      <w:r w:rsidRPr="00101DDA">
        <w:rPr>
          <w:rFonts w:ascii="Aptos" w:hAnsi="Aptos" w:cstheme="majorHAnsi"/>
        </w:rPr>
        <w:t>, [Master’s Thesis], University of Leicester</w:t>
      </w:r>
    </w:p>
    <w:p w14:paraId="79DA1903" w14:textId="77777777" w:rsidR="000E07D5" w:rsidRDefault="000E07D5" w:rsidP="000E07D5">
      <w:pPr>
        <w:pStyle w:val="ListParagraph"/>
        <w:numPr>
          <w:ilvl w:val="0"/>
          <w:numId w:val="2"/>
        </w:numPr>
        <w:spacing w:line="240" w:lineRule="auto"/>
        <w:rPr>
          <w:rFonts w:ascii="Aptos" w:hAnsi="Aptos"/>
        </w:rPr>
      </w:pPr>
      <w:r w:rsidRPr="00101DDA">
        <w:rPr>
          <w:rFonts w:ascii="Aptos" w:hAnsi="Aptos"/>
        </w:rPr>
        <w:t xml:space="preserve">Asma, S., </w:t>
      </w:r>
      <w:r>
        <w:rPr>
          <w:rFonts w:ascii="Aptos" w:hAnsi="Aptos"/>
        </w:rPr>
        <w:t xml:space="preserve">(2009a), ‘Monsters and the Moral Imagination’ in </w:t>
      </w:r>
      <w:r>
        <w:rPr>
          <w:rFonts w:ascii="Aptos" w:hAnsi="Aptos"/>
          <w:i/>
          <w:iCs/>
        </w:rPr>
        <w:t>The Chronical Review</w:t>
      </w:r>
      <w:r>
        <w:rPr>
          <w:rFonts w:ascii="Aptos" w:hAnsi="Aptos"/>
        </w:rPr>
        <w:t xml:space="preserve"> pp 10-25</w:t>
      </w:r>
    </w:p>
    <w:p w14:paraId="3EFE8BE4" w14:textId="77777777" w:rsidR="000E07D5" w:rsidRPr="00101DDA" w:rsidRDefault="000E07D5" w:rsidP="000E07D5">
      <w:pPr>
        <w:pStyle w:val="ListParagraph"/>
        <w:numPr>
          <w:ilvl w:val="0"/>
          <w:numId w:val="2"/>
        </w:numPr>
        <w:spacing w:line="240" w:lineRule="auto"/>
        <w:rPr>
          <w:rFonts w:ascii="Aptos" w:hAnsi="Aptos"/>
        </w:rPr>
      </w:pPr>
      <w:r>
        <w:rPr>
          <w:rFonts w:ascii="Aptos" w:hAnsi="Aptos"/>
        </w:rPr>
        <w:t xml:space="preserve">Asma, S., (2009b), </w:t>
      </w:r>
      <w:r>
        <w:rPr>
          <w:rFonts w:ascii="Aptos" w:hAnsi="Aptos"/>
          <w:i/>
          <w:iCs/>
        </w:rPr>
        <w:t>On Monsters: An Unnatural History of Our Worst Fears,</w:t>
      </w:r>
      <w:r>
        <w:rPr>
          <w:rFonts w:ascii="Aptos" w:hAnsi="Aptos"/>
        </w:rPr>
        <w:t xml:space="preserve"> Oxford: Oxford University Press</w:t>
      </w:r>
    </w:p>
    <w:p w14:paraId="464970C9"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Atherton, C.,</w:t>
      </w:r>
      <w:r>
        <w:rPr>
          <w:rFonts w:ascii="Aptos" w:hAnsi="Aptos"/>
        </w:rPr>
        <w:t xml:space="preserve"> (1998), ‘Monsters and Monstrosity in Greek and Roman Culture’ in </w:t>
      </w:r>
      <w:r>
        <w:rPr>
          <w:rFonts w:ascii="Aptos" w:hAnsi="Aptos"/>
          <w:i/>
          <w:iCs/>
        </w:rPr>
        <w:t>Nottingham Classical Literature Series</w:t>
      </w:r>
    </w:p>
    <w:p w14:paraId="0A78A963"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Avdikos, E., (2013), ‘Vampire Stories in Greece and the Reinforcement of Socio-Cultural Norms’ in </w:t>
      </w:r>
      <w:r w:rsidRPr="00101DDA">
        <w:rPr>
          <w:rFonts w:ascii="Aptos" w:hAnsi="Aptos"/>
          <w:i/>
          <w:iCs/>
        </w:rPr>
        <w:t>Folklore</w:t>
      </w:r>
      <w:r w:rsidRPr="00101DDA">
        <w:rPr>
          <w:rFonts w:ascii="Aptos" w:hAnsi="Aptos"/>
        </w:rPr>
        <w:t>, vol 124, issue 3, pp307-326</w:t>
      </w:r>
    </w:p>
    <w:p w14:paraId="5206F0B0"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Balsley, K., (2011), ‘Truthseeking and Truthmaking in Ovid’s Metamorphoses 1.163-245’ in </w:t>
      </w:r>
      <w:r w:rsidRPr="00101DDA">
        <w:rPr>
          <w:rFonts w:ascii="Aptos" w:hAnsi="Aptos"/>
          <w:i/>
          <w:iCs/>
        </w:rPr>
        <w:t>Law and Literature</w:t>
      </w:r>
      <w:r w:rsidRPr="00101DDA">
        <w:rPr>
          <w:rFonts w:ascii="Aptos" w:hAnsi="Aptos"/>
        </w:rPr>
        <w:t xml:space="preserve"> vol 23, no1, pp48-70</w:t>
      </w:r>
    </w:p>
    <w:p w14:paraId="6F4C72D7" w14:textId="77777777" w:rsidR="000E07D5" w:rsidRDefault="000E07D5" w:rsidP="000E07D5">
      <w:pPr>
        <w:pStyle w:val="ListParagraph"/>
        <w:numPr>
          <w:ilvl w:val="0"/>
          <w:numId w:val="2"/>
        </w:numPr>
        <w:spacing w:line="240" w:lineRule="auto"/>
        <w:rPr>
          <w:rFonts w:ascii="Aptos" w:hAnsi="Aptos"/>
        </w:rPr>
      </w:pPr>
      <w:r>
        <w:rPr>
          <w:rFonts w:ascii="Aptos" w:hAnsi="Aptos"/>
        </w:rPr>
        <w:t xml:space="preserve">Barlow-Busch, I., (2021), ‘Priestesses and the Intersection of Gender, Religion, and Power in </w:t>
      </w:r>
      <w:r w:rsidRPr="003C03ED">
        <w:rPr>
          <w:rFonts w:ascii="Aptos" w:hAnsi="Aptos"/>
        </w:rPr>
        <w:t>Classical</w:t>
      </w:r>
      <w:r>
        <w:rPr>
          <w:rFonts w:ascii="Aptos" w:hAnsi="Aptos"/>
        </w:rPr>
        <w:t xml:space="preserve"> Athens’, in </w:t>
      </w:r>
      <w:r w:rsidRPr="003C03ED">
        <w:rPr>
          <w:rFonts w:ascii="Aptos" w:hAnsi="Aptos"/>
          <w:i/>
          <w:iCs/>
        </w:rPr>
        <w:t>Footnotes</w:t>
      </w:r>
      <w:r>
        <w:rPr>
          <w:rFonts w:ascii="Aptos" w:hAnsi="Aptos"/>
        </w:rPr>
        <w:t>, vol 14 pp38-47</w:t>
      </w:r>
    </w:p>
    <w:p w14:paraId="62DE9951"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Bell, S., </w:t>
      </w:r>
      <w:r>
        <w:rPr>
          <w:rFonts w:ascii="Aptos" w:hAnsi="Aptos"/>
        </w:rPr>
        <w:t xml:space="preserve">(2011) ‘Monster as Victim, Victim as Monster: Post-Traumatic Stress Disorder, Redemptive Suffering and the ‘Undead’’ in </w:t>
      </w:r>
      <w:r>
        <w:rPr>
          <w:rFonts w:ascii="Aptos" w:hAnsi="Aptos"/>
          <w:i/>
          <w:iCs/>
        </w:rPr>
        <w:t>Monsters and the Monstrous</w:t>
      </w:r>
      <w:r>
        <w:rPr>
          <w:rFonts w:ascii="Aptos" w:hAnsi="Aptos"/>
        </w:rPr>
        <w:t xml:space="preserve"> vol 1 issue 2 pp29-37</w:t>
      </w:r>
    </w:p>
    <w:p w14:paraId="10AC91F8" w14:textId="77777777" w:rsidR="000E07D5" w:rsidRPr="00101DDA" w:rsidRDefault="000E07D5" w:rsidP="000E07D5">
      <w:pPr>
        <w:numPr>
          <w:ilvl w:val="0"/>
          <w:numId w:val="4"/>
        </w:numPr>
        <w:spacing w:after="0" w:line="240" w:lineRule="auto"/>
        <w:rPr>
          <w:rFonts w:ascii="Aptos" w:hAnsi="Aptos"/>
        </w:rPr>
      </w:pPr>
      <w:r w:rsidRPr="00101DDA">
        <w:rPr>
          <w:rFonts w:ascii="Aptos" w:hAnsi="Aptos"/>
        </w:rPr>
        <w:t xml:space="preserve">Bernabé, A., (2015), ‘WHAT IS A KATÁBASIS? The Descent into the Netherworld in Greece and the Ancient Near East’, in </w:t>
      </w:r>
      <w:r w:rsidRPr="00101DDA">
        <w:rPr>
          <w:rFonts w:ascii="Aptos" w:hAnsi="Aptos"/>
          <w:i/>
          <w:iCs/>
        </w:rPr>
        <w:t>Les Études classiques</w:t>
      </w:r>
      <w:r w:rsidRPr="00101DDA">
        <w:rPr>
          <w:rFonts w:ascii="Aptos" w:hAnsi="Aptos"/>
        </w:rPr>
        <w:t xml:space="preserve">  volume 83, pp 15-34 </w:t>
      </w:r>
      <w:r>
        <w:rPr>
          <w:rFonts w:ascii="Aptos" w:hAnsi="Aptos"/>
        </w:rPr>
        <w:t xml:space="preserve">available at: </w:t>
      </w:r>
      <w:hyperlink r:id="rId28" w:history="1">
        <w:r w:rsidRPr="001A700D">
          <w:rPr>
            <w:rStyle w:val="Hyperlink"/>
            <w:rFonts w:ascii="Aptos" w:hAnsi="Aptos"/>
          </w:rPr>
          <w:t>https://www.lesetudesclassiques.be/index.php/lec/article/viewFile/378/347</w:t>
        </w:r>
      </w:hyperlink>
    </w:p>
    <w:p w14:paraId="47688CE4" w14:textId="77777777" w:rsidR="000E07D5" w:rsidRPr="00101DDA" w:rsidRDefault="000E07D5" w:rsidP="000E07D5">
      <w:pPr>
        <w:numPr>
          <w:ilvl w:val="0"/>
          <w:numId w:val="2"/>
        </w:numPr>
        <w:spacing w:after="0" w:line="240" w:lineRule="auto"/>
        <w:rPr>
          <w:rFonts w:ascii="Aptos" w:hAnsi="Aptos" w:cstheme="majorHAnsi"/>
        </w:rPr>
      </w:pPr>
      <w:r w:rsidRPr="00101DDA">
        <w:rPr>
          <w:rFonts w:ascii="Aptos" w:hAnsi="Aptos" w:cstheme="majorHAnsi"/>
        </w:rPr>
        <w:t xml:space="preserve">Bloch, N., (2014), </w:t>
      </w:r>
      <w:r w:rsidRPr="00130A4F">
        <w:rPr>
          <w:rFonts w:ascii="Aptos" w:hAnsi="Aptos" w:cstheme="majorHAnsi"/>
          <w:i/>
          <w:iCs/>
        </w:rPr>
        <w:t xml:space="preserve">Patterns of Rape in Ovid’s </w:t>
      </w:r>
      <w:r w:rsidRPr="00130A4F">
        <w:rPr>
          <w:rFonts w:ascii="Aptos" w:hAnsi="Aptos" w:cstheme="majorHAnsi"/>
        </w:rPr>
        <w:t>Metamorphoses</w:t>
      </w:r>
      <w:r w:rsidRPr="00101DDA">
        <w:rPr>
          <w:rFonts w:ascii="Aptos" w:hAnsi="Aptos" w:cstheme="majorHAnsi"/>
        </w:rPr>
        <w:t xml:space="preserve"> [Thesis], University of Colorado</w:t>
      </w:r>
    </w:p>
    <w:p w14:paraId="10F1F0B4"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Bowers, S.R., (1990), ‘Medusa and the Female Gaze’, </w:t>
      </w:r>
      <w:r w:rsidRPr="00101DDA">
        <w:rPr>
          <w:rFonts w:ascii="Aptos" w:hAnsi="Aptos"/>
          <w:i/>
        </w:rPr>
        <w:t>NWSA Journal</w:t>
      </w:r>
      <w:r w:rsidRPr="00101DDA">
        <w:rPr>
          <w:rFonts w:ascii="Aptos" w:hAnsi="Aptos"/>
        </w:rPr>
        <w:t>, Vol. 2, No. 2, p217-235</w:t>
      </w:r>
    </w:p>
    <w:p w14:paraId="2CABF61E"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Bronk, K., (2012), ‘Monsters: A Bestiary of Devils, Demons, Vampires, Werewolves and Other Magical Creatures’ in</w:t>
      </w:r>
      <w:r w:rsidRPr="00101DDA">
        <w:rPr>
          <w:rFonts w:ascii="Aptos" w:hAnsi="Aptos"/>
          <w:i/>
          <w:iCs/>
        </w:rPr>
        <w:t xml:space="preserve"> Monsters and the Monstrous</w:t>
      </w:r>
      <w:r w:rsidRPr="00101DDA">
        <w:rPr>
          <w:rFonts w:ascii="Aptos" w:hAnsi="Aptos"/>
        </w:rPr>
        <w:t>, vol 2, issue 2, pp115-118</w:t>
      </w:r>
    </w:p>
    <w:p w14:paraId="5C0DB6BC"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Burkert, W., (1977), Raffan, J., (trans), (2013), </w:t>
      </w:r>
      <w:r w:rsidRPr="00101DDA">
        <w:rPr>
          <w:rFonts w:ascii="Aptos" w:hAnsi="Aptos"/>
          <w:i/>
          <w:iCs/>
        </w:rPr>
        <w:t>Greek Religion: Archaic and Classical</w:t>
      </w:r>
      <w:r w:rsidRPr="00101DDA">
        <w:rPr>
          <w:rFonts w:ascii="Aptos" w:hAnsi="Aptos"/>
        </w:rPr>
        <w:t>, John Wiley and Sons</w:t>
      </w:r>
    </w:p>
    <w:p w14:paraId="15284256"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Burton, D., (2018), ‘Worshipping Hades: Myth and Cult in Elis and Triphylia’ in </w:t>
      </w:r>
      <w:r w:rsidRPr="00101DDA">
        <w:rPr>
          <w:rFonts w:ascii="Aptos" w:hAnsi="Aptos"/>
          <w:i/>
          <w:iCs/>
        </w:rPr>
        <w:t>Archiv f</w:t>
      </w:r>
      <w:r w:rsidRPr="00101DDA">
        <w:rPr>
          <w:rFonts w:ascii="Aptos" w:hAnsi="Aptos" w:cstheme="minorHAnsi"/>
          <w:i/>
          <w:iCs/>
        </w:rPr>
        <w:t>ü</w:t>
      </w:r>
      <w:r w:rsidRPr="00101DDA">
        <w:rPr>
          <w:rFonts w:ascii="Aptos" w:hAnsi="Aptos"/>
          <w:i/>
          <w:iCs/>
        </w:rPr>
        <w:t>r Religionsgeschichte</w:t>
      </w:r>
      <w:r w:rsidRPr="00101DDA">
        <w:rPr>
          <w:rFonts w:ascii="Aptos" w:hAnsi="Aptos"/>
        </w:rPr>
        <w:t>, vol 20 issue 1, pp 211-226</w:t>
      </w:r>
    </w:p>
    <w:p w14:paraId="44859045" w14:textId="77777777" w:rsidR="000E07D5" w:rsidRPr="00D36BA1" w:rsidRDefault="000E07D5" w:rsidP="000E07D5">
      <w:pPr>
        <w:pStyle w:val="ListParagraph"/>
        <w:numPr>
          <w:ilvl w:val="0"/>
          <w:numId w:val="2"/>
        </w:numPr>
        <w:spacing w:line="240" w:lineRule="auto"/>
        <w:rPr>
          <w:rFonts w:ascii="Aptos" w:hAnsi="Aptos"/>
        </w:rPr>
      </w:pPr>
      <w:r w:rsidRPr="00101DDA">
        <w:rPr>
          <w:rFonts w:ascii="Aptos" w:hAnsi="Aptos"/>
        </w:rPr>
        <w:t>Campbell, J.,</w:t>
      </w:r>
      <w:r>
        <w:rPr>
          <w:rFonts w:ascii="Aptos" w:hAnsi="Aptos"/>
        </w:rPr>
        <w:t xml:space="preserve"> (2004)</w:t>
      </w:r>
      <w:r w:rsidRPr="00101DDA">
        <w:rPr>
          <w:rFonts w:ascii="Aptos" w:hAnsi="Aptos"/>
        </w:rPr>
        <w:t xml:space="preserve"> </w:t>
      </w:r>
      <w:r>
        <w:rPr>
          <w:rFonts w:ascii="Aptos" w:hAnsi="Aptos"/>
          <w:i/>
          <w:iCs/>
        </w:rPr>
        <w:t>The Hero with a Thousand Faces</w:t>
      </w:r>
      <w:r>
        <w:rPr>
          <w:rFonts w:ascii="Aptos" w:hAnsi="Aptos"/>
        </w:rPr>
        <w:t>, Princeton University Press</w:t>
      </w:r>
    </w:p>
    <w:p w14:paraId="52FC754A" w14:textId="77777777" w:rsidR="000E07D5" w:rsidRDefault="000E07D5" w:rsidP="000E07D5">
      <w:pPr>
        <w:pStyle w:val="ListParagraph"/>
        <w:numPr>
          <w:ilvl w:val="0"/>
          <w:numId w:val="2"/>
        </w:numPr>
        <w:spacing w:line="240" w:lineRule="auto"/>
        <w:rPr>
          <w:rFonts w:ascii="Aptos" w:hAnsi="Aptos"/>
        </w:rPr>
      </w:pPr>
      <w:r>
        <w:rPr>
          <w:rFonts w:ascii="Aptos" w:hAnsi="Aptos"/>
        </w:rPr>
        <w:t xml:space="preserve">Cantrell, V., (2014) ‘Dangerous Beauty: the Evolution of Medusa Imagery in Greek Art’ in </w:t>
      </w:r>
      <w:r>
        <w:rPr>
          <w:rFonts w:ascii="Aptos" w:hAnsi="Aptos"/>
          <w:i/>
          <w:iCs/>
        </w:rPr>
        <w:t>Momentum</w:t>
      </w:r>
      <w:r>
        <w:rPr>
          <w:rFonts w:ascii="Aptos" w:hAnsi="Aptos"/>
        </w:rPr>
        <w:t xml:space="preserve"> vol 4 issue 1, pp25-35</w:t>
      </w:r>
    </w:p>
    <w:p w14:paraId="3A2C8A00"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Chamberlain, S., (2002), ‘Wife and Widow in Arcadia: Re-Envisioning the Ideal’ in </w:t>
      </w:r>
      <w:r w:rsidRPr="00101DDA">
        <w:rPr>
          <w:rFonts w:ascii="Aptos" w:hAnsi="Aptos"/>
          <w:i/>
          <w:iCs/>
        </w:rPr>
        <w:t>College Literature</w:t>
      </w:r>
      <w:r w:rsidRPr="00101DDA">
        <w:rPr>
          <w:rFonts w:ascii="Aptos" w:hAnsi="Aptos"/>
        </w:rPr>
        <w:t xml:space="preserve"> vol 29, issue 2, pp80-98</w:t>
      </w:r>
    </w:p>
    <w:p w14:paraId="59B6EDFA" w14:textId="77777777" w:rsidR="000E07D5" w:rsidRPr="00101DDA" w:rsidRDefault="000E07D5" w:rsidP="000E07D5">
      <w:pPr>
        <w:pStyle w:val="ListParagraph"/>
        <w:numPr>
          <w:ilvl w:val="0"/>
          <w:numId w:val="2"/>
        </w:numPr>
        <w:spacing w:line="240" w:lineRule="auto"/>
        <w:rPr>
          <w:rFonts w:ascii="Aptos" w:hAnsi="Aptos"/>
        </w:rPr>
      </w:pPr>
      <w:r>
        <w:rPr>
          <w:rFonts w:ascii="Aptos" w:hAnsi="Aptos"/>
        </w:rPr>
        <w:t>Christesen, P., and Machado, D., (2010), ‘</w:t>
      </w:r>
      <w:r w:rsidRPr="00101DDA">
        <w:rPr>
          <w:rFonts w:ascii="Aptos" w:hAnsi="Aptos"/>
        </w:rPr>
        <w:t>Video games and classical antiquity</w:t>
      </w:r>
      <w:r>
        <w:rPr>
          <w:rFonts w:ascii="Aptos" w:hAnsi="Aptos"/>
        </w:rPr>
        <w:t xml:space="preserve">’ in </w:t>
      </w:r>
      <w:r>
        <w:rPr>
          <w:rFonts w:ascii="Aptos" w:hAnsi="Aptos"/>
          <w:i/>
          <w:iCs/>
        </w:rPr>
        <w:t>Classical World</w:t>
      </w:r>
      <w:r>
        <w:rPr>
          <w:rFonts w:ascii="Aptos" w:hAnsi="Aptos"/>
        </w:rPr>
        <w:t>, vol 104 issue 1 pp107-110</w:t>
      </w:r>
      <w:r w:rsidRPr="00101DDA">
        <w:rPr>
          <w:rFonts w:ascii="Aptos" w:hAnsi="Aptos"/>
        </w:rPr>
        <w:t xml:space="preserve"> </w:t>
      </w:r>
    </w:p>
    <w:p w14:paraId="59D470B4"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lastRenderedPageBreak/>
        <w:t xml:space="preserve">Cilliers, L., (2005), ‘Burial Customs, The Afterlife and the Pollution of Death in Ancient Greece’ in </w:t>
      </w:r>
      <w:r w:rsidRPr="00101DDA">
        <w:rPr>
          <w:rFonts w:ascii="Aptos" w:hAnsi="Aptos"/>
          <w:i/>
          <w:iCs/>
        </w:rPr>
        <w:t>Acta Theologica Supplementum 7</w:t>
      </w:r>
      <w:r w:rsidRPr="00101DDA">
        <w:rPr>
          <w:rFonts w:ascii="Aptos" w:hAnsi="Aptos"/>
        </w:rPr>
        <w:t>, (2006), vol 26, issue 2, pp 44-61</w:t>
      </w:r>
    </w:p>
    <w:p w14:paraId="45F47DE9" w14:textId="77777777" w:rsidR="000E07D5" w:rsidRPr="00A65DBF" w:rsidRDefault="000E07D5" w:rsidP="000E07D5">
      <w:pPr>
        <w:numPr>
          <w:ilvl w:val="0"/>
          <w:numId w:val="2"/>
        </w:numPr>
        <w:spacing w:after="0" w:line="240" w:lineRule="auto"/>
        <w:rPr>
          <w:rFonts w:asciiTheme="majorHAnsi" w:hAnsiTheme="majorHAnsi" w:cstheme="majorHAnsi"/>
        </w:rPr>
      </w:pPr>
      <w:r w:rsidRPr="00A65DBF">
        <w:rPr>
          <w:rFonts w:asciiTheme="majorHAnsi" w:hAnsiTheme="majorHAnsi" w:cstheme="majorHAnsi"/>
        </w:rPr>
        <w:t xml:space="preserve">Cohen, D., (1991), ‘Sexuality, Violence and the Athenian Law of Hubris’, </w:t>
      </w:r>
      <w:r w:rsidRPr="00A65DBF">
        <w:rPr>
          <w:rFonts w:asciiTheme="majorHAnsi" w:hAnsiTheme="majorHAnsi" w:cstheme="majorHAnsi"/>
          <w:i/>
          <w:iCs/>
        </w:rPr>
        <w:t>Greece and Rome</w:t>
      </w:r>
      <w:r w:rsidRPr="00A65DBF">
        <w:rPr>
          <w:rFonts w:asciiTheme="majorHAnsi" w:hAnsiTheme="majorHAnsi" w:cstheme="majorHAnsi"/>
        </w:rPr>
        <w:t>, Vol 38, issue 2, p171-188</w:t>
      </w:r>
    </w:p>
    <w:p w14:paraId="4F8F2949"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Cohen, J.J., (</w:t>
      </w:r>
      <w:r>
        <w:rPr>
          <w:rFonts w:ascii="Aptos" w:hAnsi="Aptos"/>
        </w:rPr>
        <w:t>2020</w:t>
      </w:r>
      <w:r w:rsidRPr="00101DDA">
        <w:rPr>
          <w:rFonts w:ascii="Aptos" w:hAnsi="Aptos"/>
        </w:rPr>
        <w:t>), ‘Monster Culture (Seven Theses)’ in</w:t>
      </w:r>
      <w:r>
        <w:rPr>
          <w:rFonts w:ascii="Aptos" w:hAnsi="Aptos"/>
        </w:rPr>
        <w:t xml:space="preserve"> Weinstock, J.A.,</w:t>
      </w:r>
      <w:r w:rsidRPr="00101DDA">
        <w:rPr>
          <w:rFonts w:ascii="Aptos" w:hAnsi="Aptos"/>
        </w:rPr>
        <w:t xml:space="preserve"> (ed) </w:t>
      </w:r>
      <w:r w:rsidRPr="00101DDA">
        <w:rPr>
          <w:rFonts w:ascii="Aptos" w:hAnsi="Aptos"/>
          <w:i/>
          <w:iCs/>
        </w:rPr>
        <w:t>Monster Theory: Reading Culture</w:t>
      </w:r>
      <w:r w:rsidRPr="00101DDA">
        <w:rPr>
          <w:rFonts w:ascii="Aptos" w:hAnsi="Aptos"/>
        </w:rPr>
        <w:t>, University of Minnesota Press</w:t>
      </w:r>
    </w:p>
    <w:p w14:paraId="422FC6F6"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Collins, G., (1978), ‘Reflections on the Head of Medusa</w:t>
      </w:r>
      <w:r w:rsidRPr="00101DDA">
        <w:rPr>
          <w:rFonts w:ascii="Aptos" w:hAnsi="Aptos"/>
          <w:i/>
        </w:rPr>
        <w:t>’</w:t>
      </w:r>
      <w:r w:rsidRPr="00101DDA">
        <w:rPr>
          <w:rFonts w:ascii="Aptos" w:hAnsi="Aptos"/>
        </w:rPr>
        <w:t xml:space="preserve">, </w:t>
      </w:r>
      <w:r w:rsidRPr="00101DDA">
        <w:rPr>
          <w:rFonts w:ascii="Aptos" w:hAnsi="Aptos"/>
          <w:i/>
        </w:rPr>
        <w:t>Studies in Art Education</w:t>
      </w:r>
      <w:r w:rsidRPr="00101DDA">
        <w:rPr>
          <w:rFonts w:ascii="Aptos" w:hAnsi="Aptos"/>
        </w:rPr>
        <w:t>, Vol. 19, No. 2, p10-18</w:t>
      </w:r>
    </w:p>
    <w:p w14:paraId="3DF0A55B"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Collins, M., ‘The Ashgate Research Companion to Monsters and the Monstrous’ in</w:t>
      </w:r>
      <w:r w:rsidRPr="00101DDA">
        <w:rPr>
          <w:rFonts w:ascii="Aptos" w:hAnsi="Aptos"/>
          <w:i/>
          <w:iCs/>
        </w:rPr>
        <w:t xml:space="preserve"> Monsters and the Monstrous</w:t>
      </w:r>
      <w:r w:rsidRPr="00101DDA">
        <w:rPr>
          <w:rFonts w:ascii="Aptos" w:hAnsi="Aptos"/>
        </w:rPr>
        <w:t>, vol 2, issue 2, pp124-134</w:t>
      </w:r>
    </w:p>
    <w:p w14:paraId="540473AB"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Corbett, P.E., (1970), ‘Greek Temples and Greek Worshippers: The Literary and Archaeological Evidence’ in </w:t>
      </w:r>
      <w:r w:rsidRPr="00101DDA">
        <w:rPr>
          <w:rFonts w:ascii="Aptos" w:hAnsi="Aptos"/>
          <w:i/>
          <w:iCs/>
        </w:rPr>
        <w:t>Bulletin of the Institute of Classical Studies</w:t>
      </w:r>
      <w:r w:rsidRPr="00101DDA">
        <w:rPr>
          <w:rFonts w:ascii="Aptos" w:hAnsi="Aptos"/>
        </w:rPr>
        <w:t>, no 17, pp 149-158</w:t>
      </w:r>
    </w:p>
    <w:p w14:paraId="49D63845"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Curran, L.C., (1978), ‘Rape and Rape Victims in the Metamorphoses’ in </w:t>
      </w:r>
      <w:r w:rsidRPr="00101DDA">
        <w:rPr>
          <w:rFonts w:ascii="Aptos" w:hAnsi="Aptos"/>
          <w:i/>
          <w:iCs/>
        </w:rPr>
        <w:t>Arethusa</w:t>
      </w:r>
      <w:r w:rsidRPr="00101DDA">
        <w:rPr>
          <w:rFonts w:ascii="Aptos" w:hAnsi="Aptos"/>
        </w:rPr>
        <w:t>, Vol 11, issue 1, pp213-241</w:t>
      </w:r>
    </w:p>
    <w:p w14:paraId="3A397E0B"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Currie, C., (2011), ‘Transforming Medusa’, </w:t>
      </w:r>
      <w:r w:rsidRPr="00101DDA">
        <w:rPr>
          <w:rFonts w:ascii="Aptos" w:hAnsi="Aptos"/>
          <w:i/>
        </w:rPr>
        <w:t>Amaltea: Revista De Mitocritica</w:t>
      </w:r>
      <w:r w:rsidRPr="00101DDA">
        <w:rPr>
          <w:rFonts w:ascii="Aptos" w:hAnsi="Aptos"/>
        </w:rPr>
        <w:t>, Vol. 3, p169-181</w:t>
      </w:r>
    </w:p>
    <w:p w14:paraId="4AA530B4"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Deacy, S., (2023a), ‘Introduction: 'Twenty Years Ago': Revisiting Rape in Antiquity’ in </w:t>
      </w:r>
      <w:r w:rsidRPr="00101DDA">
        <w:rPr>
          <w:rFonts w:ascii="Aptos" w:hAnsi="Aptos"/>
          <w:i/>
          <w:iCs/>
        </w:rPr>
        <w:t>Revisiting Rape in Antiquity Sexualised Violence</w:t>
      </w:r>
      <w:r w:rsidRPr="00101DDA">
        <w:rPr>
          <w:rFonts w:ascii="Aptos" w:hAnsi="Aptos"/>
        </w:rPr>
        <w:t xml:space="preserve"> pp13-28</w:t>
      </w:r>
    </w:p>
    <w:p w14:paraId="3E4A58E2"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Deacy, S., (2023b), ‘Revisiting the Vulnerability of Athena: Rape, Sexual Conflict and the 'Myth Instinct'’ in </w:t>
      </w:r>
      <w:r w:rsidRPr="00101DDA">
        <w:rPr>
          <w:rFonts w:ascii="Aptos" w:hAnsi="Aptos"/>
          <w:i/>
          <w:iCs/>
        </w:rPr>
        <w:t>Revisiting Rape in Antiquity Sexualised Violence</w:t>
      </w:r>
      <w:r w:rsidRPr="00101DDA">
        <w:rPr>
          <w:rFonts w:ascii="Aptos" w:hAnsi="Aptos"/>
        </w:rPr>
        <w:t xml:space="preserve"> pp181-194</w:t>
      </w:r>
    </w:p>
    <w:p w14:paraId="4540BABB" w14:textId="77777777" w:rsidR="000E07D5" w:rsidRDefault="000E07D5" w:rsidP="000E07D5">
      <w:pPr>
        <w:pStyle w:val="ListParagraph"/>
        <w:numPr>
          <w:ilvl w:val="0"/>
          <w:numId w:val="2"/>
        </w:numPr>
        <w:spacing w:line="240" w:lineRule="auto"/>
        <w:rPr>
          <w:rFonts w:ascii="Aptos" w:hAnsi="Aptos"/>
        </w:rPr>
      </w:pPr>
      <w:r>
        <w:rPr>
          <w:rFonts w:ascii="Aptos" w:hAnsi="Aptos"/>
        </w:rPr>
        <w:t xml:space="preserve">Del Lucchese, F., (2019), </w:t>
      </w:r>
      <w:r>
        <w:rPr>
          <w:rFonts w:ascii="Aptos" w:hAnsi="Aptos"/>
          <w:i/>
          <w:iCs/>
        </w:rPr>
        <w:t>Monstrosity and Philosophy Radical Otherness in Greek and Latin Culture</w:t>
      </w:r>
      <w:r>
        <w:rPr>
          <w:rFonts w:ascii="Aptos" w:hAnsi="Aptos"/>
        </w:rPr>
        <w:t>, Edinburgh University Press</w:t>
      </w:r>
    </w:p>
    <w:p w14:paraId="5F486F99"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Diorio, C.A., (2010), </w:t>
      </w:r>
      <w:r w:rsidRPr="00101DDA">
        <w:rPr>
          <w:rFonts w:ascii="Aptos" w:hAnsi="Aptos"/>
          <w:i/>
          <w:iCs/>
        </w:rPr>
        <w:t>THE SILENT SCREAM OF MEDUSA: RESTORING, OR RE-STORYING, HER VOICE</w:t>
      </w:r>
      <w:r w:rsidRPr="00101DDA">
        <w:rPr>
          <w:rFonts w:ascii="Aptos" w:hAnsi="Aptos"/>
        </w:rPr>
        <w:t xml:space="preserve"> [PhD thesis]</w:t>
      </w:r>
    </w:p>
    <w:p w14:paraId="78EE2E59"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Diver, R., (2020), ‘Tomboyish Wisdom Gods and Sexy Gorgons: The Evolution of Ovid’s Medusa Rape Narrative in Contemporary Children’s Literature’ in </w:t>
      </w:r>
      <w:r w:rsidRPr="00101DDA">
        <w:rPr>
          <w:rFonts w:ascii="Aptos" w:hAnsi="Aptos"/>
          <w:i/>
          <w:iCs/>
        </w:rPr>
        <w:t>New Voices in Classical Reception Studies</w:t>
      </w:r>
      <w:r w:rsidRPr="00101DDA">
        <w:rPr>
          <w:rFonts w:ascii="Aptos" w:hAnsi="Aptos"/>
        </w:rPr>
        <w:t xml:space="preserve"> issue 13</w:t>
      </w:r>
    </w:p>
    <w:p w14:paraId="64751081"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Diver, R., (2023), ‘Women who Punish Other Women: Rape and Infidelity in Retellings for Children of the Greek myth of Io and Hera’ in </w:t>
      </w:r>
      <w:r w:rsidRPr="00101DDA">
        <w:rPr>
          <w:rFonts w:ascii="Aptos" w:hAnsi="Aptos"/>
          <w:i/>
          <w:iCs/>
        </w:rPr>
        <w:t>Revisiting Rape in Antiquity Sexualised Violence</w:t>
      </w:r>
      <w:r w:rsidRPr="00101DDA">
        <w:rPr>
          <w:rFonts w:ascii="Aptos" w:hAnsi="Aptos"/>
        </w:rPr>
        <w:t xml:space="preserve"> pp60-76</w:t>
      </w:r>
    </w:p>
    <w:p w14:paraId="7A070E95" w14:textId="77777777" w:rsidR="000E07D5" w:rsidRPr="00C469DF" w:rsidRDefault="000E07D5" w:rsidP="000E07D5">
      <w:pPr>
        <w:pStyle w:val="ListParagraph"/>
        <w:numPr>
          <w:ilvl w:val="0"/>
          <w:numId w:val="2"/>
        </w:numPr>
        <w:spacing w:line="240" w:lineRule="auto"/>
        <w:rPr>
          <w:rFonts w:ascii="Aptos" w:hAnsi="Aptos"/>
        </w:rPr>
      </w:pPr>
      <w:r w:rsidRPr="00101DDA">
        <w:rPr>
          <w:rFonts w:ascii="Aptos" w:hAnsi="Aptos"/>
        </w:rPr>
        <w:t xml:space="preserve">du Boulay, J., (1982), ‘The Greek Vampire: A Study of Cyclic Symbolism in Marriage and Death’ in </w:t>
      </w:r>
      <w:r w:rsidRPr="00101DDA">
        <w:rPr>
          <w:rFonts w:ascii="Aptos" w:hAnsi="Aptos"/>
          <w:i/>
          <w:iCs/>
        </w:rPr>
        <w:t>Man</w:t>
      </w:r>
      <w:r w:rsidRPr="00101DDA">
        <w:rPr>
          <w:rFonts w:ascii="Aptos" w:hAnsi="Aptos"/>
        </w:rPr>
        <w:t xml:space="preserve"> vol 17 issue 2, pp219-238 </w:t>
      </w:r>
    </w:p>
    <w:p w14:paraId="7BC775A4"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Dufault, M., (2012), ‘Bitten by Twilight: Youth Culture, Media, &amp; the Vampire Franchise’, in </w:t>
      </w:r>
      <w:r w:rsidRPr="00101DDA">
        <w:rPr>
          <w:rFonts w:ascii="Aptos" w:hAnsi="Aptos"/>
          <w:i/>
          <w:iCs/>
        </w:rPr>
        <w:t>Monsters and the Monstrous</w:t>
      </w:r>
      <w:r w:rsidRPr="00101DDA">
        <w:rPr>
          <w:rFonts w:ascii="Aptos" w:hAnsi="Aptos"/>
        </w:rPr>
        <w:t>, vol 2, issue 2, pp111-114</w:t>
      </w:r>
    </w:p>
    <w:p w14:paraId="2DF91D2D" w14:textId="77777777" w:rsidR="000E07D5" w:rsidRDefault="000E07D5" w:rsidP="000E07D5">
      <w:pPr>
        <w:pStyle w:val="ListParagraph"/>
        <w:numPr>
          <w:ilvl w:val="0"/>
          <w:numId w:val="2"/>
        </w:numPr>
        <w:spacing w:line="240" w:lineRule="auto"/>
        <w:rPr>
          <w:rFonts w:ascii="Aptos" w:hAnsi="Aptos"/>
        </w:rPr>
      </w:pPr>
      <w:r>
        <w:rPr>
          <w:rFonts w:ascii="Aptos" w:hAnsi="Aptos"/>
        </w:rPr>
        <w:t xml:space="preserve">Edwards, G.C., (2015) </w:t>
      </w:r>
      <w:r w:rsidRPr="00461030">
        <w:rPr>
          <w:rFonts w:ascii="Aptos" w:hAnsi="Aptos"/>
          <w:i/>
          <w:iCs/>
        </w:rPr>
        <w:t>Resurrecting Medusa: Facing the Fierce Feminine</w:t>
      </w:r>
      <w:r>
        <w:rPr>
          <w:rFonts w:ascii="Aptos" w:hAnsi="Aptos"/>
        </w:rPr>
        <w:t xml:space="preserve"> [Thesis] Pacifica Graduate Institute</w:t>
      </w:r>
    </w:p>
    <w:p w14:paraId="48E0FFEB" w14:textId="77777777" w:rsidR="000E07D5" w:rsidRPr="00101DDA" w:rsidRDefault="000E07D5" w:rsidP="000E07D5">
      <w:pPr>
        <w:numPr>
          <w:ilvl w:val="0"/>
          <w:numId w:val="2"/>
        </w:numPr>
        <w:spacing w:after="0" w:line="240" w:lineRule="auto"/>
        <w:rPr>
          <w:rFonts w:ascii="Aptos" w:hAnsi="Aptos" w:cstheme="minorHAnsi"/>
        </w:rPr>
      </w:pPr>
      <w:r w:rsidRPr="00101DDA">
        <w:rPr>
          <w:rFonts w:ascii="Aptos" w:hAnsi="Aptos" w:cstheme="minorHAnsi"/>
        </w:rPr>
        <w:t xml:space="preserve">Fant, M.B., Lefkowitz, M.R., (2016), </w:t>
      </w:r>
      <w:r w:rsidRPr="00101DDA">
        <w:rPr>
          <w:rFonts w:ascii="Aptos" w:hAnsi="Aptos" w:cstheme="minorHAnsi"/>
          <w:i/>
        </w:rPr>
        <w:t>Women’s Life in Greece and Rome</w:t>
      </w:r>
      <w:r w:rsidRPr="00101DDA">
        <w:rPr>
          <w:rFonts w:ascii="Aptos" w:hAnsi="Aptos" w:cstheme="minorHAnsi"/>
        </w:rPr>
        <w:t>, 4th revised edition, Bloomsbury</w:t>
      </w:r>
    </w:p>
    <w:p w14:paraId="7AC6B987"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Felton, D., (2007), ‘The Dead’ in Ogden, D., (ed) </w:t>
      </w:r>
      <w:r w:rsidRPr="00101DDA">
        <w:rPr>
          <w:rFonts w:ascii="Aptos" w:hAnsi="Aptos"/>
          <w:i/>
          <w:iCs/>
        </w:rPr>
        <w:t>A Companion to Greek Religion</w:t>
      </w:r>
      <w:r w:rsidRPr="00101DDA">
        <w:rPr>
          <w:rFonts w:ascii="Aptos" w:hAnsi="Aptos"/>
        </w:rPr>
        <w:t>, Blackwell Publishing, pp86-99</w:t>
      </w:r>
    </w:p>
    <w:p w14:paraId="34C8641C" w14:textId="77777777" w:rsidR="000E07D5" w:rsidRDefault="000E07D5" w:rsidP="000E07D5">
      <w:pPr>
        <w:pStyle w:val="ListParagraph"/>
        <w:numPr>
          <w:ilvl w:val="0"/>
          <w:numId w:val="2"/>
        </w:numPr>
        <w:spacing w:line="240" w:lineRule="auto"/>
        <w:rPr>
          <w:rFonts w:ascii="Aptos" w:hAnsi="Aptos"/>
        </w:rPr>
      </w:pPr>
      <w:r>
        <w:rPr>
          <w:rFonts w:ascii="Aptos" w:hAnsi="Aptos"/>
        </w:rPr>
        <w:lastRenderedPageBreak/>
        <w:t xml:space="preserve">Felton, D., (2012), ‘Rejecting and Embracing the Monstrous in Ancient Greece and Rome’ in in Mittman, A.S., and Dendle, P.J., (ed) </w:t>
      </w:r>
      <w:r>
        <w:rPr>
          <w:rFonts w:ascii="Aptos" w:hAnsi="Aptos"/>
          <w:i/>
          <w:iCs/>
        </w:rPr>
        <w:t>The Ashgate Research Companion to Monsters and the Monstrous</w:t>
      </w:r>
      <w:r>
        <w:rPr>
          <w:rFonts w:ascii="Aptos" w:hAnsi="Aptos"/>
        </w:rPr>
        <w:t>, pp103-132</w:t>
      </w:r>
    </w:p>
    <w:p w14:paraId="06B54797"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Freeman, P., (2013), </w:t>
      </w:r>
      <w:r w:rsidRPr="00101DDA">
        <w:rPr>
          <w:rFonts w:ascii="Aptos" w:hAnsi="Aptos"/>
          <w:i/>
        </w:rPr>
        <w:t xml:space="preserve">Oh My Gods: A Modern Retelling of Greek and Roman Myths, </w:t>
      </w:r>
      <w:r w:rsidRPr="00101DDA">
        <w:rPr>
          <w:rFonts w:ascii="Aptos" w:hAnsi="Aptos"/>
        </w:rPr>
        <w:t>reprint edition, New York: Simon and Schuster Paperbacks</w:t>
      </w:r>
    </w:p>
    <w:p w14:paraId="73880EEB" w14:textId="77777777" w:rsidR="000E07D5" w:rsidRDefault="000E07D5" w:rsidP="000E07D5">
      <w:pPr>
        <w:pStyle w:val="ListParagraph"/>
        <w:numPr>
          <w:ilvl w:val="0"/>
          <w:numId w:val="2"/>
        </w:numPr>
        <w:spacing w:line="240" w:lineRule="auto"/>
        <w:rPr>
          <w:rFonts w:ascii="Aptos" w:hAnsi="Aptos"/>
        </w:rPr>
      </w:pPr>
      <w:r>
        <w:rPr>
          <w:rFonts w:ascii="Aptos" w:hAnsi="Aptos"/>
        </w:rPr>
        <w:t xml:space="preserve">Fröhlich, F., (2022) </w:t>
      </w:r>
      <w:r>
        <w:rPr>
          <w:rFonts w:ascii="Aptos" w:hAnsi="Aptos"/>
          <w:i/>
          <w:iCs/>
        </w:rPr>
        <w:t>Medusa: How the Mythological Monster became a Feminist Icon</w:t>
      </w:r>
      <w:r>
        <w:rPr>
          <w:rFonts w:ascii="Aptos" w:hAnsi="Aptos"/>
        </w:rPr>
        <w:t>, [Thesis] Tilburg University</w:t>
      </w:r>
    </w:p>
    <w:p w14:paraId="45B14DE0"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Fry, S., (2018), </w:t>
      </w:r>
      <w:r w:rsidRPr="00101DDA">
        <w:rPr>
          <w:rFonts w:ascii="Aptos" w:hAnsi="Aptos"/>
          <w:i/>
        </w:rPr>
        <w:t>Mythos</w:t>
      </w:r>
      <w:r w:rsidRPr="00101DDA">
        <w:rPr>
          <w:rFonts w:ascii="Aptos" w:hAnsi="Aptos"/>
        </w:rPr>
        <w:t>, London: Penguin</w:t>
      </w:r>
    </w:p>
    <w:p w14:paraId="3E0551A2"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Fry, S., (2019), </w:t>
      </w:r>
      <w:r w:rsidRPr="00101DDA">
        <w:rPr>
          <w:rFonts w:ascii="Aptos" w:hAnsi="Aptos"/>
          <w:i/>
        </w:rPr>
        <w:t>Heroes</w:t>
      </w:r>
      <w:r w:rsidRPr="00101DDA">
        <w:rPr>
          <w:rFonts w:ascii="Aptos" w:hAnsi="Aptos"/>
        </w:rPr>
        <w:t>, London: Penguin</w:t>
      </w:r>
    </w:p>
    <w:p w14:paraId="6D1983B9"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Gager, J. G., (1999), </w:t>
      </w:r>
      <w:r w:rsidRPr="00101DDA">
        <w:rPr>
          <w:rFonts w:ascii="Aptos" w:hAnsi="Aptos"/>
          <w:i/>
          <w:iCs/>
        </w:rPr>
        <w:t>Curse Tablets and Binding Spells from the Ancient World</w:t>
      </w:r>
      <w:r w:rsidRPr="00101DDA">
        <w:rPr>
          <w:rFonts w:ascii="Aptos" w:hAnsi="Aptos"/>
        </w:rPr>
        <w:t>, Oxford University Press</w:t>
      </w:r>
    </w:p>
    <w:p w14:paraId="06DF422D"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Garber, M.B., Vickers, N.J., (2003), </w:t>
      </w:r>
      <w:r w:rsidRPr="00101DDA">
        <w:rPr>
          <w:rFonts w:ascii="Aptos" w:hAnsi="Aptos"/>
          <w:i/>
        </w:rPr>
        <w:t>The Medusa Reader</w:t>
      </w:r>
      <w:r w:rsidRPr="00101DDA">
        <w:rPr>
          <w:rFonts w:ascii="Aptos" w:hAnsi="Aptos"/>
        </w:rPr>
        <w:t>, New York and London: Routledge</w:t>
      </w:r>
    </w:p>
    <w:p w14:paraId="3DFA7677" w14:textId="77777777" w:rsidR="000E07D5" w:rsidRDefault="000E07D5" w:rsidP="000E07D5">
      <w:pPr>
        <w:pStyle w:val="ListParagraph"/>
        <w:numPr>
          <w:ilvl w:val="0"/>
          <w:numId w:val="2"/>
        </w:numPr>
        <w:spacing w:line="240" w:lineRule="auto"/>
        <w:rPr>
          <w:rFonts w:ascii="Aptos" w:hAnsi="Aptos"/>
        </w:rPr>
      </w:pPr>
      <w:r>
        <w:rPr>
          <w:rFonts w:ascii="Aptos" w:hAnsi="Aptos"/>
        </w:rPr>
        <w:t>Gawroński, S., and Bajorek, K., (2020), ‘</w:t>
      </w:r>
      <w:r w:rsidRPr="00F21EDC">
        <w:rPr>
          <w:rFonts w:ascii="Aptos" w:hAnsi="Aptos"/>
        </w:rPr>
        <w:t>A Real Witcher—Slavic or Universal; from a Book, a Game or a TV Series? In the Circle of Multimedia Adaptations of a Fantasy Series of Novels “The Witcher” by A. Sapkowski</w:t>
      </w:r>
      <w:r>
        <w:rPr>
          <w:rFonts w:ascii="Aptos" w:hAnsi="Aptos"/>
        </w:rPr>
        <w:t xml:space="preserve">’ in </w:t>
      </w:r>
      <w:r>
        <w:rPr>
          <w:rFonts w:ascii="Aptos" w:hAnsi="Aptos"/>
          <w:i/>
          <w:iCs/>
        </w:rPr>
        <w:t>Arts</w:t>
      </w:r>
      <w:r>
        <w:rPr>
          <w:rFonts w:ascii="Aptos" w:hAnsi="Aptos"/>
        </w:rPr>
        <w:t xml:space="preserve">, vol 9 issue 4, article number 102 </w:t>
      </w:r>
      <w:hyperlink r:id="rId29" w:history="1">
        <w:r w:rsidRPr="001A700D">
          <w:rPr>
            <w:rStyle w:val="Hyperlink"/>
            <w:rFonts w:ascii="Aptos" w:hAnsi="Aptos"/>
          </w:rPr>
          <w:t>https://doi.org/10.3390/arts9040102</w:t>
        </w:r>
      </w:hyperlink>
      <w:r>
        <w:rPr>
          <w:rFonts w:ascii="Aptos" w:hAnsi="Aptos"/>
        </w:rPr>
        <w:t xml:space="preserve"> </w:t>
      </w:r>
    </w:p>
    <w:p w14:paraId="4C9F7CF6"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Gloyn, L., (2019) </w:t>
      </w:r>
      <w:r w:rsidRPr="00101DDA">
        <w:rPr>
          <w:rFonts w:ascii="Aptos" w:hAnsi="Aptos"/>
          <w:i/>
          <w:iCs/>
        </w:rPr>
        <w:t>Tracking Classical Monsters in Popular Culture</w:t>
      </w:r>
      <w:r w:rsidRPr="00101DDA">
        <w:rPr>
          <w:rFonts w:ascii="Aptos" w:hAnsi="Aptos"/>
        </w:rPr>
        <w:t>, London: Bloomsbury Academic</w:t>
      </w:r>
    </w:p>
    <w:p w14:paraId="1D89B905"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Harris, E.M., (2023), ‘Sympathy for the Victims of Sexual Violence in Greek Society and Literature’ in </w:t>
      </w:r>
      <w:r w:rsidRPr="00101DDA">
        <w:rPr>
          <w:rFonts w:ascii="Aptos" w:hAnsi="Aptos"/>
          <w:i/>
          <w:iCs/>
        </w:rPr>
        <w:t>Revisiting Rape in Antiquity Sexualised Violence</w:t>
      </w:r>
      <w:r w:rsidRPr="00101DDA">
        <w:rPr>
          <w:rFonts w:ascii="Aptos" w:hAnsi="Aptos"/>
        </w:rPr>
        <w:t xml:space="preserve"> pp31-44</w:t>
      </w:r>
    </w:p>
    <w:p w14:paraId="478BAB84" w14:textId="77777777" w:rsidR="000E07D5" w:rsidRDefault="000E07D5" w:rsidP="000E07D5">
      <w:pPr>
        <w:pStyle w:val="ListParagraph"/>
        <w:numPr>
          <w:ilvl w:val="0"/>
          <w:numId w:val="2"/>
        </w:numPr>
        <w:spacing w:line="240" w:lineRule="auto"/>
        <w:rPr>
          <w:rFonts w:ascii="Aptos" w:hAnsi="Aptos"/>
        </w:rPr>
      </w:pPr>
      <w:r>
        <w:rPr>
          <w:rFonts w:ascii="Aptos" w:hAnsi="Aptos"/>
        </w:rPr>
        <w:t xml:space="preserve">Harris, E.M., and Lewis, D.M., (2022), ‘What are Early Greek Laws About? Substance and Procedure in Archaic Statutes c. 650-450BC’ in </w:t>
      </w:r>
      <w:r>
        <w:rPr>
          <w:rFonts w:ascii="Aptos" w:hAnsi="Aptos"/>
          <w:i/>
          <w:iCs/>
        </w:rPr>
        <w:t>From Homer to Solon</w:t>
      </w:r>
      <w:r>
        <w:rPr>
          <w:rFonts w:ascii="Aptos" w:hAnsi="Aptos"/>
        </w:rPr>
        <w:t>, pp227-262</w:t>
      </w:r>
    </w:p>
    <w:p w14:paraId="543FB15B" w14:textId="77777777" w:rsidR="000E07D5" w:rsidRDefault="000E07D5" w:rsidP="000E07D5">
      <w:pPr>
        <w:pStyle w:val="ListParagraph"/>
        <w:numPr>
          <w:ilvl w:val="0"/>
          <w:numId w:val="2"/>
        </w:numPr>
        <w:spacing w:line="240" w:lineRule="auto"/>
        <w:rPr>
          <w:rFonts w:ascii="Aptos" w:hAnsi="Aptos"/>
        </w:rPr>
      </w:pPr>
      <w:r>
        <w:rPr>
          <w:rFonts w:ascii="Aptos" w:hAnsi="Aptos"/>
        </w:rPr>
        <w:t xml:space="preserve">Hedgecock, J., (2019) </w:t>
      </w:r>
      <w:r>
        <w:rPr>
          <w:rFonts w:ascii="Aptos" w:hAnsi="Aptos"/>
          <w:i/>
          <w:iCs/>
        </w:rPr>
        <w:t>Cultural Reflections of Medusa The Shadow in the Glass</w:t>
      </w:r>
      <w:r>
        <w:rPr>
          <w:rFonts w:ascii="Aptos" w:hAnsi="Aptos"/>
        </w:rPr>
        <w:t>, London: Routledge</w:t>
      </w:r>
    </w:p>
    <w:p w14:paraId="2A83D810"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Horvath, H., (2012a), ‘The Alchemy of Myth and Fairytale in the Twilight Saga’ in </w:t>
      </w:r>
      <w:r w:rsidRPr="00101DDA">
        <w:rPr>
          <w:rFonts w:ascii="Aptos" w:hAnsi="Aptos"/>
          <w:i/>
          <w:iCs/>
        </w:rPr>
        <w:t>Monsters and the Monstrous</w:t>
      </w:r>
      <w:r w:rsidRPr="00101DDA">
        <w:rPr>
          <w:rFonts w:ascii="Aptos" w:hAnsi="Aptos"/>
        </w:rPr>
        <w:t>, vol 2, issue 2, pp91-107</w:t>
      </w:r>
    </w:p>
    <w:p w14:paraId="1F0495C9"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Horvath, H., (2012b), ‘Vampire God: The Allure of the Vampire in Western Culture’ in </w:t>
      </w:r>
      <w:r w:rsidRPr="00101DDA">
        <w:rPr>
          <w:rFonts w:ascii="Aptos" w:hAnsi="Aptos"/>
          <w:i/>
          <w:iCs/>
        </w:rPr>
        <w:t>Monsters and the Monstrous</w:t>
      </w:r>
      <w:r w:rsidRPr="00101DDA">
        <w:rPr>
          <w:rFonts w:ascii="Aptos" w:hAnsi="Aptos"/>
        </w:rPr>
        <w:t>, vol 2, issue 2, pp109-111</w:t>
      </w:r>
    </w:p>
    <w:p w14:paraId="0DF30DCC" w14:textId="77777777" w:rsidR="000E07D5" w:rsidRDefault="000E07D5" w:rsidP="000E07D5">
      <w:pPr>
        <w:pStyle w:val="ListParagraph"/>
        <w:numPr>
          <w:ilvl w:val="0"/>
          <w:numId w:val="2"/>
        </w:numPr>
        <w:spacing w:line="240" w:lineRule="auto"/>
        <w:rPr>
          <w:rFonts w:ascii="Aptos" w:hAnsi="Aptos"/>
        </w:rPr>
      </w:pPr>
      <w:r>
        <w:rPr>
          <w:rFonts w:ascii="Aptos" w:hAnsi="Aptos"/>
        </w:rPr>
        <w:t xml:space="preserve">Howell, A., and Baker, L., (2022) ‘Resistant Girl Monstrosity and Empowerment for Tweens: </w:t>
      </w:r>
      <w:r>
        <w:rPr>
          <w:rFonts w:ascii="Aptos" w:hAnsi="Aptos"/>
          <w:i/>
          <w:iCs/>
        </w:rPr>
        <w:t>Monster High</w:t>
      </w:r>
      <w:r>
        <w:rPr>
          <w:rFonts w:ascii="Aptos" w:hAnsi="Aptos"/>
        </w:rPr>
        <w:t xml:space="preserve"> and </w:t>
      </w:r>
      <w:r>
        <w:rPr>
          <w:rFonts w:ascii="Aptos" w:hAnsi="Aptos"/>
          <w:i/>
          <w:iCs/>
        </w:rPr>
        <w:t>Wolfblood</w:t>
      </w:r>
      <w:r>
        <w:rPr>
          <w:rFonts w:ascii="Aptos" w:hAnsi="Aptos"/>
        </w:rPr>
        <w:t xml:space="preserve">’ in Howell, A., and Baker, L., (ed) </w:t>
      </w:r>
      <w:r>
        <w:rPr>
          <w:rFonts w:ascii="Aptos" w:hAnsi="Aptos"/>
          <w:i/>
          <w:iCs/>
        </w:rPr>
        <w:t>Monstrous Possibilities The Female Monster in 21</w:t>
      </w:r>
      <w:r w:rsidRPr="00B906AE">
        <w:rPr>
          <w:rFonts w:ascii="Aptos" w:hAnsi="Aptos"/>
          <w:i/>
          <w:iCs/>
          <w:vertAlign w:val="superscript"/>
        </w:rPr>
        <w:t>st</w:t>
      </w:r>
      <w:r>
        <w:rPr>
          <w:rFonts w:ascii="Aptos" w:hAnsi="Aptos"/>
          <w:i/>
          <w:iCs/>
        </w:rPr>
        <w:t xml:space="preserve"> Century Screen Horror</w:t>
      </w:r>
      <w:r>
        <w:rPr>
          <w:rFonts w:ascii="Aptos" w:hAnsi="Aptos"/>
        </w:rPr>
        <w:t>, pp99-116</w:t>
      </w:r>
    </w:p>
    <w:p w14:paraId="4065136A" w14:textId="77777777" w:rsidR="000E07D5" w:rsidRPr="00101DDA" w:rsidRDefault="000E07D5" w:rsidP="000E07D5">
      <w:pPr>
        <w:numPr>
          <w:ilvl w:val="0"/>
          <w:numId w:val="2"/>
        </w:numPr>
        <w:spacing w:after="0" w:line="240" w:lineRule="auto"/>
        <w:rPr>
          <w:rFonts w:ascii="Aptos" w:hAnsi="Aptos"/>
        </w:rPr>
      </w:pPr>
      <w:bookmarkStart w:id="19" w:name="_Hlk53040185"/>
      <w:r w:rsidRPr="00101DDA">
        <w:rPr>
          <w:rFonts w:ascii="Aptos" w:hAnsi="Aptos"/>
        </w:rPr>
        <w:t xml:space="preserve">Hoyle, H., and Zajko, V., (2017), </w:t>
      </w:r>
      <w:r w:rsidRPr="00101DDA">
        <w:rPr>
          <w:rFonts w:ascii="Aptos" w:hAnsi="Aptos"/>
          <w:i/>
          <w:iCs/>
        </w:rPr>
        <w:t>A Handbook to the Reception of Classical Mythology</w:t>
      </w:r>
      <w:r w:rsidRPr="00101DDA">
        <w:rPr>
          <w:rFonts w:ascii="Aptos" w:hAnsi="Aptos"/>
        </w:rPr>
        <w:t>, Wiley-Blackwell</w:t>
      </w:r>
    </w:p>
    <w:bookmarkEnd w:id="19"/>
    <w:p w14:paraId="00A6AE37"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Hyde, W.W., (1917-1918), The Homicide Court of Ancient Athens</w:t>
      </w:r>
    </w:p>
    <w:p w14:paraId="15762C41"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Jacobs, A., (2015) ‘MARITUS V MULIER: THE DOUBLE PICTURE IN ADULTERY LAWS FROM ROMULUS TO AUGUSTUS’ in </w:t>
      </w:r>
      <w:r w:rsidRPr="00101DDA">
        <w:rPr>
          <w:rFonts w:ascii="Aptos" w:hAnsi="Aptos"/>
          <w:i/>
          <w:iCs/>
        </w:rPr>
        <w:t>Fundamina</w:t>
      </w:r>
      <w:r w:rsidRPr="00101DDA">
        <w:rPr>
          <w:rFonts w:ascii="Aptos" w:hAnsi="Aptos"/>
        </w:rPr>
        <w:t>, vol 21 issue 2, pp</w:t>
      </w:r>
    </w:p>
    <w:p w14:paraId="718C7CE6"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Jacoby, F., (1944), ‘ΓΕΝΕΣΙΑ. A Forgotten Festival of the Dead’, in </w:t>
      </w:r>
      <w:r w:rsidRPr="00101DDA">
        <w:rPr>
          <w:rFonts w:ascii="Aptos" w:hAnsi="Aptos"/>
          <w:i/>
          <w:iCs/>
        </w:rPr>
        <w:t>The Classical Quarterly</w:t>
      </w:r>
      <w:r w:rsidRPr="00101DDA">
        <w:rPr>
          <w:rFonts w:ascii="Aptos" w:hAnsi="Aptos"/>
        </w:rPr>
        <w:t>, vol 38, issue 3, pp 65-75</w:t>
      </w:r>
    </w:p>
    <w:p w14:paraId="35A06D3E" w14:textId="77777777" w:rsidR="000E07D5" w:rsidRDefault="000E07D5" w:rsidP="000E07D5">
      <w:pPr>
        <w:pStyle w:val="ListParagraph"/>
        <w:numPr>
          <w:ilvl w:val="0"/>
          <w:numId w:val="2"/>
        </w:numPr>
        <w:spacing w:line="240" w:lineRule="auto"/>
        <w:rPr>
          <w:rFonts w:ascii="Aptos" w:hAnsi="Aptos"/>
        </w:rPr>
      </w:pPr>
      <w:r>
        <w:rPr>
          <w:rFonts w:ascii="Aptos" w:hAnsi="Aptos"/>
        </w:rPr>
        <w:t xml:space="preserve">Kapeleri, A., (2024), ‘Intersection of Ritual Practice and Social Identity in Ancient Greek Religion’ in </w:t>
      </w:r>
      <w:r>
        <w:rPr>
          <w:rFonts w:ascii="Aptos" w:hAnsi="Aptos"/>
          <w:i/>
          <w:iCs/>
        </w:rPr>
        <w:t>International Research Journal of Religious Studies</w:t>
      </w:r>
      <w:r>
        <w:rPr>
          <w:rFonts w:ascii="Aptos" w:hAnsi="Aptos"/>
        </w:rPr>
        <w:t>, vol 4 issue 3 pp1-14</w:t>
      </w:r>
    </w:p>
    <w:p w14:paraId="668BB21F" w14:textId="77777777" w:rsidR="000E07D5" w:rsidRDefault="000E07D5" w:rsidP="000E07D5">
      <w:pPr>
        <w:pStyle w:val="ListParagraph"/>
        <w:numPr>
          <w:ilvl w:val="0"/>
          <w:numId w:val="2"/>
        </w:numPr>
        <w:spacing w:line="240" w:lineRule="auto"/>
        <w:rPr>
          <w:rFonts w:ascii="Aptos" w:hAnsi="Aptos"/>
        </w:rPr>
      </w:pPr>
      <w:r>
        <w:rPr>
          <w:rFonts w:ascii="Aptos" w:hAnsi="Aptos"/>
        </w:rPr>
        <w:lastRenderedPageBreak/>
        <w:t xml:space="preserve">Kapoor, M., (2021), ‘The Present-Day Medusa: Foregrounding L’ecriture Feminism in the Contemporary Retellings of Mythology’ in </w:t>
      </w:r>
      <w:r>
        <w:rPr>
          <w:rFonts w:ascii="Aptos" w:hAnsi="Aptos"/>
          <w:i/>
          <w:iCs/>
        </w:rPr>
        <w:t>Journal of Comparative Literature and Aesthetics</w:t>
      </w:r>
      <w:r>
        <w:rPr>
          <w:rFonts w:ascii="Aptos" w:hAnsi="Aptos"/>
        </w:rPr>
        <w:t>, Vol 44 issue 1, pp89-97</w:t>
      </w:r>
    </w:p>
    <w:p w14:paraId="183D3DDC" w14:textId="77777777" w:rsidR="000E07D5" w:rsidRDefault="000E07D5" w:rsidP="000E07D5">
      <w:pPr>
        <w:pStyle w:val="ListParagraph"/>
        <w:numPr>
          <w:ilvl w:val="0"/>
          <w:numId w:val="2"/>
        </w:numPr>
        <w:spacing w:line="240" w:lineRule="auto"/>
        <w:rPr>
          <w:rFonts w:ascii="Aptos" w:hAnsi="Aptos"/>
        </w:rPr>
      </w:pPr>
      <w:r>
        <w:rPr>
          <w:rFonts w:ascii="Aptos" w:hAnsi="Aptos"/>
        </w:rPr>
        <w:t>Kehr, E., (2025), ‘</w:t>
      </w:r>
      <w:r w:rsidRPr="00461030">
        <w:rPr>
          <w:rFonts w:ascii="Aptos" w:hAnsi="Aptos"/>
          <w:i/>
          <w:iCs/>
        </w:rPr>
        <w:t>Medusa’s Metamorphosis: Art, Mythology and the Changing Perception of Female Power</w:t>
      </w:r>
      <w:r>
        <w:rPr>
          <w:rFonts w:ascii="Aptos" w:hAnsi="Aptos"/>
        </w:rPr>
        <w:t xml:space="preserve"> [Master Thesis] University of Nebraska</w:t>
      </w:r>
    </w:p>
    <w:p w14:paraId="007AD84C"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Khapaeva, D., (2017), </w:t>
      </w:r>
      <w:r w:rsidRPr="00101DDA">
        <w:rPr>
          <w:rFonts w:ascii="Aptos" w:hAnsi="Aptos"/>
          <w:i/>
          <w:iCs/>
        </w:rPr>
        <w:t>The Celebration of Death in Contemporary Culture</w:t>
      </w:r>
      <w:r w:rsidRPr="00101DDA">
        <w:rPr>
          <w:rFonts w:ascii="Aptos" w:hAnsi="Aptos"/>
        </w:rPr>
        <w:t>, University of Michigan Press</w:t>
      </w:r>
    </w:p>
    <w:p w14:paraId="03C89801"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Kim, M., </w:t>
      </w:r>
      <w:r>
        <w:rPr>
          <w:rFonts w:ascii="Aptos" w:hAnsi="Aptos"/>
        </w:rPr>
        <w:t xml:space="preserve">(2017), ‘What Makes a Monster: The Definition of Monstrosity According to the Beowulf Manuscript’ in </w:t>
      </w:r>
      <w:r>
        <w:rPr>
          <w:rFonts w:ascii="Aptos" w:hAnsi="Aptos"/>
          <w:i/>
          <w:iCs/>
        </w:rPr>
        <w:t>The Sig</w:t>
      </w:r>
      <w:r w:rsidRPr="00F21099">
        <w:rPr>
          <w:rFonts w:ascii="Aptos" w:hAnsi="Aptos"/>
          <w:i/>
          <w:iCs/>
        </w:rPr>
        <w:t>ma Tau Delta Review Journal of Critical Writing</w:t>
      </w:r>
      <w:r>
        <w:rPr>
          <w:rFonts w:ascii="Aptos" w:hAnsi="Aptos"/>
        </w:rPr>
        <w:t>, vol 14</w:t>
      </w:r>
    </w:p>
    <w:p w14:paraId="417C2147"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Leonard, M., Zajko, V., (2008), </w:t>
      </w:r>
      <w:r w:rsidRPr="00101DDA">
        <w:rPr>
          <w:rFonts w:ascii="Aptos" w:hAnsi="Aptos"/>
          <w:i/>
        </w:rPr>
        <w:t>Laughing with Medusa: Classical Myth and Feminist Thought,</w:t>
      </w:r>
      <w:r w:rsidRPr="00101DDA">
        <w:rPr>
          <w:rFonts w:ascii="Aptos" w:hAnsi="Aptos"/>
        </w:rPr>
        <w:t xml:space="preserve"> Oxford: Oxford University Press</w:t>
      </w:r>
    </w:p>
    <w:p w14:paraId="521567A2"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Lima, M.B., (2024) </w:t>
      </w:r>
      <w:r>
        <w:rPr>
          <w:rFonts w:ascii="Aptos" w:hAnsi="Aptos"/>
          <w:i/>
          <w:iCs/>
        </w:rPr>
        <w:t>The Villainization of Women in Greek Mythology: A Feminist Reading of Medusa, Circe, and Medea</w:t>
      </w:r>
      <w:r>
        <w:rPr>
          <w:rFonts w:ascii="Aptos" w:hAnsi="Aptos"/>
        </w:rPr>
        <w:t>, [Master Thesis]</w:t>
      </w:r>
    </w:p>
    <w:p w14:paraId="1A358D57"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Lintott, A., </w:t>
      </w:r>
      <w:r w:rsidRPr="00101DDA">
        <w:rPr>
          <w:rFonts w:ascii="Aptos" w:hAnsi="Aptos"/>
          <w:i/>
          <w:iCs/>
        </w:rPr>
        <w:t>The Constitution of the Roman Republic</w:t>
      </w:r>
      <w:r w:rsidRPr="00101DDA">
        <w:rPr>
          <w:rFonts w:ascii="Aptos" w:hAnsi="Aptos"/>
        </w:rPr>
        <w:t> (Oxford: Clarendon Press, 1999, reprinted 2002), p. 103</w:t>
      </w:r>
    </w:p>
    <w:p w14:paraId="137C1421" w14:textId="77777777" w:rsidR="000E07D5" w:rsidRPr="005362C3" w:rsidRDefault="000E07D5" w:rsidP="000E07D5">
      <w:pPr>
        <w:pStyle w:val="ListParagraph"/>
        <w:numPr>
          <w:ilvl w:val="0"/>
          <w:numId w:val="2"/>
        </w:numPr>
        <w:spacing w:line="240" w:lineRule="auto"/>
        <w:rPr>
          <w:rFonts w:ascii="Aptos" w:hAnsi="Aptos"/>
        </w:rPr>
      </w:pPr>
      <w:r w:rsidRPr="005362C3">
        <w:rPr>
          <w:rFonts w:ascii="Aptos" w:hAnsi="Aptos"/>
        </w:rPr>
        <w:t xml:space="preserve">Mack, R., (2002), ‘Facing Down Medusa (An aetiology of the gaze) in </w:t>
      </w:r>
      <w:r w:rsidRPr="005362C3">
        <w:rPr>
          <w:rFonts w:ascii="Aptos" w:hAnsi="Aptos"/>
          <w:i/>
          <w:iCs/>
        </w:rPr>
        <w:t>Art History</w:t>
      </w:r>
      <w:r w:rsidRPr="005362C3">
        <w:rPr>
          <w:rFonts w:ascii="Aptos" w:hAnsi="Aptos"/>
        </w:rPr>
        <w:t xml:space="preserve"> vol 25 issue 5, pp571-604</w:t>
      </w:r>
    </w:p>
    <w:p w14:paraId="1A1D0172" w14:textId="77777777" w:rsidR="000E07D5" w:rsidRPr="005362C3" w:rsidRDefault="000E07D5" w:rsidP="000E07D5">
      <w:pPr>
        <w:pStyle w:val="ListParagraph"/>
        <w:numPr>
          <w:ilvl w:val="0"/>
          <w:numId w:val="2"/>
        </w:numPr>
        <w:spacing w:line="240" w:lineRule="auto"/>
        <w:rPr>
          <w:rFonts w:ascii="Aptos" w:hAnsi="Aptos"/>
        </w:rPr>
      </w:pPr>
      <w:r w:rsidRPr="005362C3">
        <w:rPr>
          <w:rFonts w:ascii="Aptos" w:hAnsi="Aptos"/>
        </w:rPr>
        <w:t xml:space="preserve">Matthews, A., (2021), </w:t>
      </w:r>
      <w:r w:rsidRPr="005362C3">
        <w:rPr>
          <w:rFonts w:ascii="Aptos" w:hAnsi="Aptos"/>
          <w:i/>
          <w:iCs/>
        </w:rPr>
        <w:t>Hubris and Nemesis in Ancient Greek Myths and Their Retellings</w:t>
      </w:r>
      <w:r w:rsidRPr="005362C3">
        <w:rPr>
          <w:rFonts w:ascii="Aptos" w:hAnsi="Aptos"/>
        </w:rPr>
        <w:t>, [undergraduate dissertation]</w:t>
      </w:r>
    </w:p>
    <w:p w14:paraId="65CD2284" w14:textId="77777777" w:rsidR="000E07D5" w:rsidRPr="005362C3" w:rsidRDefault="000E07D5" w:rsidP="000E07D5">
      <w:pPr>
        <w:pStyle w:val="ListParagraph"/>
        <w:numPr>
          <w:ilvl w:val="0"/>
          <w:numId w:val="2"/>
        </w:numPr>
        <w:spacing w:line="240" w:lineRule="auto"/>
        <w:rPr>
          <w:rFonts w:ascii="Aptos" w:hAnsi="Aptos"/>
        </w:rPr>
      </w:pPr>
      <w:r w:rsidRPr="005362C3">
        <w:rPr>
          <w:rFonts w:ascii="Aptos" w:hAnsi="Aptos"/>
        </w:rPr>
        <w:t xml:space="preserve">Mayor, A., (2000), ‘Bibliography of Classical Folklore Scholarship: Myths, Legends, and Popular Beliefs of Ancient Greece and Rome’ in </w:t>
      </w:r>
      <w:r w:rsidRPr="005362C3">
        <w:rPr>
          <w:rFonts w:ascii="Aptos" w:hAnsi="Aptos"/>
          <w:i/>
          <w:iCs/>
        </w:rPr>
        <w:t>Folklore</w:t>
      </w:r>
      <w:r w:rsidRPr="005362C3">
        <w:rPr>
          <w:rFonts w:ascii="Aptos" w:hAnsi="Aptos"/>
        </w:rPr>
        <w:t>, vol 111, issue 1, pp123-138</w:t>
      </w:r>
    </w:p>
    <w:p w14:paraId="09B21353" w14:textId="77777777" w:rsidR="000E07D5" w:rsidRPr="005362C3" w:rsidRDefault="000E07D5" w:rsidP="000E07D5">
      <w:pPr>
        <w:pStyle w:val="ListParagraph"/>
        <w:numPr>
          <w:ilvl w:val="0"/>
          <w:numId w:val="2"/>
        </w:numPr>
        <w:spacing w:line="240" w:lineRule="auto"/>
        <w:rPr>
          <w:rFonts w:ascii="Aptos" w:hAnsi="Aptos"/>
        </w:rPr>
      </w:pPr>
      <w:r w:rsidRPr="005362C3">
        <w:rPr>
          <w:rFonts w:ascii="Aptos" w:hAnsi="Aptos"/>
        </w:rPr>
        <w:t xml:space="preserve">McLaughlin, N., </w:t>
      </w:r>
      <w:r w:rsidRPr="005362C3">
        <w:rPr>
          <w:rFonts w:ascii="Aptos" w:hAnsi="Aptos"/>
          <w:i/>
          <w:iCs/>
        </w:rPr>
        <w:t>Wake Siren: Ovid Unsung</w:t>
      </w:r>
      <w:r w:rsidRPr="005362C3">
        <w:rPr>
          <w:rFonts w:ascii="Aptos" w:hAnsi="Aptos"/>
        </w:rPr>
        <w:t xml:space="preserve">, </w:t>
      </w:r>
      <w:r w:rsidRPr="005362C3">
        <w:rPr>
          <w:rFonts w:ascii="Aptos" w:hAnsi="Aptos" w:cstheme="majorHAnsi"/>
        </w:rPr>
        <w:t>New York: Farrar, Straus and Giroux</w:t>
      </w:r>
    </w:p>
    <w:p w14:paraId="0F9C03D0" w14:textId="77777777" w:rsidR="000E07D5" w:rsidRPr="005362C3" w:rsidRDefault="000E07D5" w:rsidP="000E07D5">
      <w:pPr>
        <w:pStyle w:val="ListParagraph"/>
        <w:numPr>
          <w:ilvl w:val="0"/>
          <w:numId w:val="2"/>
        </w:numPr>
        <w:spacing w:line="240" w:lineRule="auto"/>
        <w:rPr>
          <w:rFonts w:ascii="Aptos" w:hAnsi="Aptos"/>
        </w:rPr>
      </w:pPr>
      <w:r w:rsidRPr="005362C3">
        <w:rPr>
          <w:rFonts w:ascii="Aptos" w:hAnsi="Aptos" w:cstheme="majorHAnsi"/>
        </w:rPr>
        <w:t xml:space="preserve">Meyer, S., (2008-2012) </w:t>
      </w:r>
      <w:r w:rsidRPr="005362C3">
        <w:rPr>
          <w:rFonts w:ascii="Aptos" w:hAnsi="Aptos" w:cstheme="majorHAnsi"/>
          <w:i/>
          <w:iCs/>
        </w:rPr>
        <w:t>Twilight Saga</w:t>
      </w:r>
      <w:r w:rsidRPr="005362C3">
        <w:rPr>
          <w:rFonts w:ascii="Aptos" w:hAnsi="Aptos" w:cstheme="majorHAnsi"/>
        </w:rPr>
        <w:t xml:space="preserve"> </w:t>
      </w:r>
    </w:p>
    <w:p w14:paraId="6F4AFFED" w14:textId="77777777" w:rsidR="000E07D5" w:rsidRPr="005362C3" w:rsidRDefault="000E07D5" w:rsidP="000E07D5">
      <w:pPr>
        <w:pStyle w:val="ListParagraph"/>
        <w:numPr>
          <w:ilvl w:val="0"/>
          <w:numId w:val="2"/>
        </w:numPr>
        <w:spacing w:line="240" w:lineRule="auto"/>
        <w:rPr>
          <w:rFonts w:ascii="Aptos" w:hAnsi="Aptos"/>
        </w:rPr>
      </w:pPr>
      <w:r w:rsidRPr="005362C3">
        <w:rPr>
          <w:rFonts w:ascii="Aptos" w:hAnsi="Aptos"/>
        </w:rPr>
        <w:t xml:space="preserve">Mittman, A.S., (2012), ‘Introduction The Impact of Monsters and Monster Studies’, in Mittman, A.S., and Dendle, P.J., (ed) </w:t>
      </w:r>
      <w:r w:rsidRPr="005362C3">
        <w:rPr>
          <w:rFonts w:ascii="Aptos" w:hAnsi="Aptos"/>
          <w:i/>
          <w:iCs/>
        </w:rPr>
        <w:t>The Ashgate Research Companion to Monsters and the Monstrous</w:t>
      </w:r>
      <w:r w:rsidRPr="005362C3">
        <w:rPr>
          <w:rFonts w:ascii="Aptos" w:hAnsi="Aptos"/>
        </w:rPr>
        <w:t>, pp1-14</w:t>
      </w:r>
    </w:p>
    <w:p w14:paraId="2B491E3C" w14:textId="77777777" w:rsidR="000E07D5" w:rsidRPr="00101DDA" w:rsidRDefault="000E07D5" w:rsidP="000E07D5">
      <w:pPr>
        <w:pStyle w:val="ListParagraph"/>
        <w:numPr>
          <w:ilvl w:val="0"/>
          <w:numId w:val="2"/>
        </w:numPr>
        <w:spacing w:line="240" w:lineRule="auto"/>
        <w:rPr>
          <w:rFonts w:ascii="Aptos" w:hAnsi="Aptos"/>
        </w:rPr>
      </w:pPr>
      <w:r w:rsidRPr="005362C3">
        <w:rPr>
          <w:rFonts w:ascii="Aptos" w:hAnsi="Aptos"/>
        </w:rPr>
        <w:t>Morse, H., (2018), ‘</w:t>
      </w:r>
      <w:r w:rsidRPr="005362C3">
        <w:rPr>
          <w:rFonts w:ascii="Aptos" w:hAnsi="Aptos"/>
          <w:i/>
          <w:iCs/>
        </w:rPr>
        <w:t>Feminist Receptions of Medusa: Rethinking</w:t>
      </w:r>
      <w:r w:rsidRPr="00101DDA">
        <w:rPr>
          <w:rFonts w:ascii="Aptos" w:hAnsi="Aptos"/>
          <w:i/>
          <w:iCs/>
        </w:rPr>
        <w:t xml:space="preserve"> Mythological Figures from Ovid to Louise Bogan</w:t>
      </w:r>
      <w:r w:rsidRPr="00101DDA">
        <w:rPr>
          <w:rFonts w:ascii="Aptos" w:hAnsi="Aptos"/>
        </w:rPr>
        <w:t>’, Comparative Literature, Vol 70, Issue 2, p176-193</w:t>
      </w:r>
    </w:p>
    <w:p w14:paraId="2F19B672" w14:textId="77777777" w:rsidR="000E07D5" w:rsidRDefault="000E07D5" w:rsidP="000E07D5">
      <w:pPr>
        <w:pStyle w:val="ListParagraph"/>
        <w:numPr>
          <w:ilvl w:val="0"/>
          <w:numId w:val="2"/>
        </w:numPr>
        <w:spacing w:line="240" w:lineRule="auto"/>
        <w:rPr>
          <w:rFonts w:ascii="Aptos" w:hAnsi="Aptos"/>
        </w:rPr>
      </w:pPr>
      <w:r>
        <w:rPr>
          <w:rFonts w:ascii="Aptos" w:hAnsi="Aptos"/>
        </w:rPr>
        <w:t>Munkhongdee, T., Chumnumnawin, N., and Somsin, P., (2025), ‘</w:t>
      </w:r>
      <w:r w:rsidRPr="00147B35">
        <w:rPr>
          <w:rFonts w:ascii="Aptos" w:hAnsi="Aptos"/>
        </w:rPr>
        <w:t>An Analysis of the Adaptation of Greek Mythology in Disney+’s Percy Jackson and the Olympians (2023)</w:t>
      </w:r>
      <w:r>
        <w:rPr>
          <w:rFonts w:ascii="Aptos" w:hAnsi="Aptos"/>
        </w:rPr>
        <w:t>’ (from the proceedings of the 15</w:t>
      </w:r>
      <w:r w:rsidRPr="0081085D">
        <w:rPr>
          <w:rFonts w:ascii="Aptos" w:hAnsi="Aptos"/>
          <w:vertAlign w:val="superscript"/>
        </w:rPr>
        <w:t>th</w:t>
      </w:r>
      <w:r>
        <w:rPr>
          <w:rFonts w:ascii="Aptos" w:hAnsi="Aptos"/>
        </w:rPr>
        <w:t xml:space="preserve"> Benjamit Vichakarn Network National &amp; International Conference, Thonburi University Bangkok, Thailand, 15</w:t>
      </w:r>
      <w:r w:rsidRPr="00736E3F">
        <w:rPr>
          <w:rFonts w:ascii="Aptos" w:hAnsi="Aptos"/>
          <w:vertAlign w:val="superscript"/>
        </w:rPr>
        <w:t>th</w:t>
      </w:r>
      <w:r>
        <w:rPr>
          <w:rFonts w:ascii="Aptos" w:hAnsi="Aptos"/>
        </w:rPr>
        <w:t xml:space="preserve"> May), 15</w:t>
      </w:r>
      <w:r w:rsidRPr="0081085D">
        <w:rPr>
          <w:rFonts w:ascii="Aptos" w:hAnsi="Aptos"/>
          <w:vertAlign w:val="superscript"/>
        </w:rPr>
        <w:t>th</w:t>
      </w:r>
      <w:r>
        <w:rPr>
          <w:rFonts w:ascii="Aptos" w:hAnsi="Aptos"/>
        </w:rPr>
        <w:t xml:space="preserve"> Benjamit Vichakarn Network National &amp; International Conference on “AI: A Driving Force for Sustainable Development Goals”, vol 1 pp245-251</w:t>
      </w:r>
    </w:p>
    <w:p w14:paraId="0878F44E" w14:textId="77777777" w:rsidR="000E07D5" w:rsidRDefault="000E07D5" w:rsidP="000E07D5">
      <w:pPr>
        <w:pStyle w:val="ListParagraph"/>
        <w:numPr>
          <w:ilvl w:val="0"/>
          <w:numId w:val="2"/>
        </w:numPr>
        <w:spacing w:line="240" w:lineRule="auto"/>
        <w:rPr>
          <w:rFonts w:ascii="Aptos" w:hAnsi="Aptos"/>
        </w:rPr>
      </w:pPr>
      <w:r>
        <w:rPr>
          <w:rFonts w:ascii="Aptos" w:hAnsi="Aptos"/>
        </w:rPr>
        <w:t xml:space="preserve">Murgatroyd, P., (2013), </w:t>
      </w:r>
      <w:r>
        <w:rPr>
          <w:rFonts w:ascii="Aptos" w:hAnsi="Aptos"/>
          <w:i/>
          <w:iCs/>
        </w:rPr>
        <w:t>Mythical Monsters in Classical Literature</w:t>
      </w:r>
      <w:r>
        <w:rPr>
          <w:rFonts w:ascii="Aptos" w:hAnsi="Aptos"/>
        </w:rPr>
        <w:t>, London: Bloomsbury Academic</w:t>
      </w:r>
    </w:p>
    <w:p w14:paraId="2341135A" w14:textId="77777777" w:rsidR="000E07D5" w:rsidRDefault="000E07D5" w:rsidP="000E07D5">
      <w:pPr>
        <w:pStyle w:val="ListParagraph"/>
        <w:numPr>
          <w:ilvl w:val="0"/>
          <w:numId w:val="2"/>
        </w:numPr>
        <w:spacing w:line="240" w:lineRule="auto"/>
        <w:rPr>
          <w:rFonts w:ascii="Aptos" w:hAnsi="Aptos"/>
        </w:rPr>
      </w:pPr>
      <w:r>
        <w:rPr>
          <w:rFonts w:ascii="Aptos" w:hAnsi="Aptos"/>
        </w:rPr>
        <w:t xml:space="preserve">Nairn, A., and Piatti-Farnell, L., (2023) ‘The Power of Chaos: Exploring Magic, Gender, and Agency in Netflix’s </w:t>
      </w:r>
      <w:r>
        <w:rPr>
          <w:rFonts w:ascii="Aptos" w:hAnsi="Aptos"/>
          <w:i/>
          <w:iCs/>
        </w:rPr>
        <w:t>The Witcher</w:t>
      </w:r>
      <w:r>
        <w:rPr>
          <w:rFonts w:ascii="Aptos" w:hAnsi="Aptos"/>
        </w:rPr>
        <w:t xml:space="preserve">’, in </w:t>
      </w:r>
      <w:r>
        <w:rPr>
          <w:rFonts w:ascii="Aptos" w:hAnsi="Aptos"/>
          <w:i/>
          <w:iCs/>
        </w:rPr>
        <w:t>M/C Journal</w:t>
      </w:r>
      <w:r>
        <w:rPr>
          <w:rFonts w:ascii="Aptos" w:hAnsi="Aptos"/>
        </w:rPr>
        <w:t xml:space="preserve">, vol 26 issue 5, </w:t>
      </w:r>
      <w:r w:rsidRPr="003607B0">
        <w:rPr>
          <w:rFonts w:ascii="Aptos" w:hAnsi="Aptos"/>
        </w:rPr>
        <w:t>doi: 10.5204/mcj.3012</w:t>
      </w:r>
    </w:p>
    <w:p w14:paraId="12903452" w14:textId="77777777" w:rsidR="000E07D5" w:rsidRDefault="000E07D5" w:rsidP="000E07D5">
      <w:pPr>
        <w:pStyle w:val="ListParagraph"/>
        <w:numPr>
          <w:ilvl w:val="0"/>
          <w:numId w:val="2"/>
        </w:numPr>
        <w:spacing w:line="240" w:lineRule="auto"/>
        <w:rPr>
          <w:rFonts w:ascii="Aptos" w:hAnsi="Aptos"/>
        </w:rPr>
      </w:pPr>
      <w:r>
        <w:rPr>
          <w:rFonts w:ascii="Aptos" w:hAnsi="Aptos"/>
        </w:rPr>
        <w:t xml:space="preserve">Nuzzo, L., (2013), ‘Foucault and the Enigma of the Monster’ in </w:t>
      </w:r>
      <w:r>
        <w:rPr>
          <w:rFonts w:ascii="Aptos" w:hAnsi="Aptos"/>
          <w:i/>
          <w:iCs/>
        </w:rPr>
        <w:t>International Journal for the Semiotics of Law</w:t>
      </w:r>
      <w:r>
        <w:rPr>
          <w:rFonts w:ascii="Aptos" w:hAnsi="Aptos"/>
        </w:rPr>
        <w:t>, vol 26 pp55-72</w:t>
      </w:r>
    </w:p>
    <w:p w14:paraId="4133F259"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O’Bryhim, S., (1990), ‘Ovid’s Version of Callisto’s Punishment’ in </w:t>
      </w:r>
      <w:r w:rsidRPr="00101DDA">
        <w:rPr>
          <w:rFonts w:ascii="Aptos" w:hAnsi="Aptos"/>
          <w:i/>
          <w:iCs/>
        </w:rPr>
        <w:t>Hermes</w:t>
      </w:r>
      <w:r w:rsidRPr="00101DDA">
        <w:rPr>
          <w:rFonts w:ascii="Aptos" w:hAnsi="Aptos"/>
        </w:rPr>
        <w:t>, vol 118, issue 1, pp75-80</w:t>
      </w:r>
    </w:p>
    <w:p w14:paraId="00E521E5"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lastRenderedPageBreak/>
        <w:t xml:space="preserve">Obladen, M., (2015), ‘From Right to Sin: Laws on Infanticide in Antiquity’ in </w:t>
      </w:r>
      <w:r w:rsidRPr="00101DDA">
        <w:rPr>
          <w:rFonts w:ascii="Aptos" w:hAnsi="Aptos"/>
          <w:i/>
          <w:iCs/>
        </w:rPr>
        <w:t>Neonatology</w:t>
      </w:r>
      <w:r w:rsidRPr="00101DDA">
        <w:rPr>
          <w:rFonts w:ascii="Aptos" w:hAnsi="Aptos"/>
        </w:rPr>
        <w:t>, vol 109 issue 1</w:t>
      </w:r>
    </w:p>
    <w:p w14:paraId="7151EE55"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Ogden, D., (2001), </w:t>
      </w:r>
      <w:r w:rsidRPr="00101DDA">
        <w:rPr>
          <w:rFonts w:ascii="Aptos" w:hAnsi="Aptos"/>
          <w:i/>
          <w:iCs/>
        </w:rPr>
        <w:t>Greek and Roman Necromancy</w:t>
      </w:r>
      <w:r w:rsidRPr="00101DDA">
        <w:rPr>
          <w:rFonts w:ascii="Aptos" w:hAnsi="Aptos"/>
        </w:rPr>
        <w:t>, Princeton University Press</w:t>
      </w:r>
    </w:p>
    <w:p w14:paraId="6F313028"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Ogden, D., (2009), </w:t>
      </w:r>
      <w:r w:rsidRPr="00101DDA">
        <w:rPr>
          <w:rFonts w:ascii="Aptos" w:hAnsi="Aptos"/>
          <w:i/>
          <w:iCs/>
        </w:rPr>
        <w:t>Magic, Witchcraft and Ghosts in the Greek and Roman Worlds: A Sourcebook</w:t>
      </w:r>
      <w:r w:rsidRPr="00101DDA">
        <w:rPr>
          <w:rFonts w:ascii="Aptos" w:hAnsi="Aptos"/>
        </w:rPr>
        <w:t>, Oxford University Press</w:t>
      </w:r>
    </w:p>
    <w:p w14:paraId="4D116EE2" w14:textId="77777777" w:rsidR="000E07D5" w:rsidRPr="001D0F7C" w:rsidRDefault="000E07D5" w:rsidP="000E07D5">
      <w:pPr>
        <w:pStyle w:val="ListParagraph"/>
        <w:numPr>
          <w:ilvl w:val="0"/>
          <w:numId w:val="2"/>
        </w:numPr>
        <w:spacing w:line="240" w:lineRule="auto"/>
        <w:rPr>
          <w:rFonts w:ascii="Aptos" w:hAnsi="Aptos"/>
        </w:rPr>
      </w:pPr>
      <w:r w:rsidRPr="00101DDA">
        <w:rPr>
          <w:rFonts w:ascii="Aptos" w:hAnsi="Aptos"/>
        </w:rPr>
        <w:t xml:space="preserve">Orenstein, A., </w:t>
      </w:r>
      <w:r>
        <w:rPr>
          <w:rFonts w:ascii="Aptos" w:hAnsi="Aptos"/>
        </w:rPr>
        <w:t>(2007), ‘</w:t>
      </w:r>
      <w:r w:rsidRPr="001D0F7C">
        <w:rPr>
          <w:rFonts w:ascii="Aptos" w:hAnsi="Aptos"/>
        </w:rPr>
        <w:t>No Bad Men!: A Feminist Analysis of</w:t>
      </w:r>
      <w:r>
        <w:rPr>
          <w:rFonts w:ascii="Aptos" w:hAnsi="Aptos"/>
        </w:rPr>
        <w:t xml:space="preserve"> </w:t>
      </w:r>
      <w:r w:rsidRPr="001D0F7C">
        <w:rPr>
          <w:rFonts w:ascii="Aptos" w:hAnsi="Aptos"/>
        </w:rPr>
        <w:t xml:space="preserve">Character Evidence in Rape Trials’ </w:t>
      </w:r>
      <w:r>
        <w:rPr>
          <w:rFonts w:ascii="Aptos" w:hAnsi="Aptos"/>
        </w:rPr>
        <w:t xml:space="preserve">in </w:t>
      </w:r>
      <w:r>
        <w:rPr>
          <w:rFonts w:ascii="Aptos" w:hAnsi="Aptos"/>
          <w:i/>
          <w:iCs/>
        </w:rPr>
        <w:t>UC Law Journal</w:t>
      </w:r>
      <w:r>
        <w:rPr>
          <w:rFonts w:ascii="Aptos" w:hAnsi="Aptos"/>
        </w:rPr>
        <w:t>, vol 49 issue 3, pp663-716</w:t>
      </w:r>
      <w:r w:rsidRPr="001D0F7C">
        <w:rPr>
          <w:rFonts w:ascii="Aptos" w:hAnsi="Aptos"/>
        </w:rPr>
        <w:cr/>
      </w:r>
    </w:p>
    <w:p w14:paraId="30D7B3C9"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Orlin, E., (2010) Foreign Cults in Rome: Creating a Roman Empire, chap4,</w:t>
      </w:r>
    </w:p>
    <w:p w14:paraId="5E18FE22"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Ranger, H., (2023), ‘Why are we Still Reading Ovid’s rapes?’ in </w:t>
      </w:r>
      <w:r w:rsidRPr="00101DDA">
        <w:rPr>
          <w:rFonts w:ascii="Aptos" w:hAnsi="Aptos"/>
          <w:i/>
          <w:iCs/>
        </w:rPr>
        <w:t>Revisiting Rape in Antiquity Sexualised Violence</w:t>
      </w:r>
      <w:r w:rsidRPr="00101DDA">
        <w:rPr>
          <w:rFonts w:ascii="Aptos" w:hAnsi="Aptos"/>
        </w:rPr>
        <w:t xml:space="preserve"> pp45-59</w:t>
      </w:r>
    </w:p>
    <w:p w14:paraId="7FDA4F91"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Reece, S., (1997), ‘A Figura Etymologica in the Homeric Hymn to Hermes’ in </w:t>
      </w:r>
      <w:r w:rsidRPr="00101DDA">
        <w:rPr>
          <w:rFonts w:ascii="Aptos" w:hAnsi="Aptos"/>
          <w:i/>
          <w:iCs/>
        </w:rPr>
        <w:t>The Classical Journal</w:t>
      </w:r>
      <w:r w:rsidRPr="00101DDA">
        <w:rPr>
          <w:rFonts w:ascii="Aptos" w:hAnsi="Aptos"/>
        </w:rPr>
        <w:t>, vol 93, issue 1, pp 29-39</w:t>
      </w:r>
    </w:p>
    <w:p w14:paraId="752B591F"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Riordan, R., (2005), </w:t>
      </w:r>
      <w:r w:rsidRPr="00101DDA">
        <w:rPr>
          <w:rFonts w:ascii="Aptos" w:hAnsi="Aptos"/>
          <w:i/>
          <w:iCs/>
        </w:rPr>
        <w:t>Percy Jackson and the Lightning Thief</w:t>
      </w:r>
      <w:r w:rsidRPr="00101DDA">
        <w:rPr>
          <w:rFonts w:ascii="Aptos" w:hAnsi="Aptos"/>
        </w:rPr>
        <w:t>, Great Britain: Puffin Books</w:t>
      </w:r>
    </w:p>
    <w:p w14:paraId="1B06E663"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Riordan, R., (2015), </w:t>
      </w:r>
      <w:r w:rsidRPr="00101DDA">
        <w:rPr>
          <w:rFonts w:ascii="Aptos" w:hAnsi="Aptos"/>
          <w:i/>
          <w:iCs/>
        </w:rPr>
        <w:t>Percy Jackson and the Greek Gods (Percy Jackson’s Greek Myths)</w:t>
      </w:r>
      <w:r w:rsidRPr="00101DDA">
        <w:rPr>
          <w:rFonts w:ascii="Aptos" w:hAnsi="Aptos"/>
        </w:rPr>
        <w:t>, Puffin Books</w:t>
      </w:r>
    </w:p>
    <w:p w14:paraId="72C11BA2" w14:textId="77777777" w:rsidR="000E07D5" w:rsidRPr="00101DDA" w:rsidRDefault="000E07D5" w:rsidP="000E07D5">
      <w:pPr>
        <w:pStyle w:val="ListParagraph"/>
        <w:numPr>
          <w:ilvl w:val="0"/>
          <w:numId w:val="2"/>
        </w:numPr>
        <w:spacing w:line="240" w:lineRule="auto"/>
        <w:rPr>
          <w:rFonts w:ascii="Aptos" w:hAnsi="Aptos"/>
        </w:rPr>
      </w:pPr>
      <w:r>
        <w:rPr>
          <w:rFonts w:ascii="Aptos" w:hAnsi="Aptos"/>
        </w:rPr>
        <w:t xml:space="preserve">Rollinger, C., (2020), </w:t>
      </w:r>
      <w:r w:rsidRPr="00790DCC">
        <w:rPr>
          <w:rFonts w:ascii="Aptos" w:hAnsi="Aptos"/>
          <w:i/>
          <w:iCs/>
        </w:rPr>
        <w:t>Classical Antiquity in Video Games Playing with the Ancient World</w:t>
      </w:r>
      <w:r>
        <w:rPr>
          <w:rFonts w:ascii="Aptos" w:hAnsi="Aptos"/>
        </w:rPr>
        <w:t>, Bloomsbury Academic</w:t>
      </w:r>
    </w:p>
    <w:p w14:paraId="754E147A"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Rose, P.W., (2001), ‘Teaching Classical Myth and Confronting Contemporary Myths’ in Winkler, M.W (ed)</w:t>
      </w:r>
      <w:r w:rsidRPr="00101DDA">
        <w:rPr>
          <w:rFonts w:ascii="Aptos" w:hAnsi="Aptos"/>
          <w:i/>
          <w:iCs/>
        </w:rPr>
        <w:t>Classical Myth and Culture in the Cinema</w:t>
      </w:r>
      <w:r w:rsidRPr="00101DDA">
        <w:rPr>
          <w:rFonts w:ascii="Aptos" w:hAnsi="Aptos"/>
        </w:rPr>
        <w:t xml:space="preserve"> </w:t>
      </w:r>
    </w:p>
    <w:p w14:paraId="4F748B9F"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Rosenberger, V.,</w:t>
      </w:r>
      <w:r>
        <w:rPr>
          <w:rFonts w:ascii="Aptos" w:hAnsi="Aptos"/>
        </w:rPr>
        <w:t xml:space="preserve"> (2009)</w:t>
      </w:r>
      <w:r w:rsidRPr="00101DDA">
        <w:rPr>
          <w:rFonts w:ascii="Aptos" w:hAnsi="Aptos"/>
        </w:rPr>
        <w:t>, "Republican </w:t>
      </w:r>
      <w:r w:rsidRPr="00101DDA">
        <w:rPr>
          <w:rFonts w:ascii="Aptos" w:hAnsi="Aptos"/>
          <w:i/>
          <w:iCs/>
        </w:rPr>
        <w:t>nobiles</w:t>
      </w:r>
      <w:r w:rsidRPr="00101DDA">
        <w:rPr>
          <w:rFonts w:ascii="Aptos" w:hAnsi="Aptos"/>
        </w:rPr>
        <w:t>: Controlling the </w:t>
      </w:r>
      <w:r w:rsidRPr="00101DDA">
        <w:rPr>
          <w:rFonts w:ascii="Aptos" w:hAnsi="Aptos"/>
          <w:i/>
          <w:iCs/>
        </w:rPr>
        <w:t>res publica</w:t>
      </w:r>
      <w:r w:rsidRPr="00101DDA">
        <w:rPr>
          <w:rFonts w:ascii="Aptos" w:hAnsi="Aptos"/>
        </w:rPr>
        <w:t>", in </w:t>
      </w:r>
      <w:r w:rsidRPr="00101DDA">
        <w:rPr>
          <w:rFonts w:ascii="Aptos" w:hAnsi="Aptos"/>
          <w:i/>
          <w:iCs/>
        </w:rPr>
        <w:t>A Companion to Roman Religion</w:t>
      </w:r>
      <w:r w:rsidRPr="00101DDA">
        <w:rPr>
          <w:rFonts w:ascii="Aptos" w:hAnsi="Aptos"/>
        </w:rPr>
        <w:t> (Blackwell, 2007)</w:t>
      </w:r>
    </w:p>
    <w:p w14:paraId="451D43FA" w14:textId="77777777" w:rsidR="000E07D5" w:rsidRPr="00E21B94" w:rsidRDefault="000E07D5" w:rsidP="000E07D5">
      <w:pPr>
        <w:numPr>
          <w:ilvl w:val="0"/>
          <w:numId w:val="2"/>
        </w:numPr>
        <w:spacing w:after="0" w:line="240" w:lineRule="auto"/>
        <w:rPr>
          <w:rFonts w:ascii="Aptos" w:hAnsi="Aptos"/>
        </w:rPr>
      </w:pPr>
      <w:r w:rsidRPr="00101DDA">
        <w:rPr>
          <w:rFonts w:ascii="Aptos" w:hAnsi="Aptos"/>
        </w:rPr>
        <w:t>Sapkowski, A.,</w:t>
      </w:r>
      <w:r>
        <w:rPr>
          <w:rFonts w:ascii="Aptos" w:hAnsi="Aptos"/>
        </w:rPr>
        <w:t xml:space="preserve"> (1994-1999)</w:t>
      </w:r>
      <w:r w:rsidRPr="00101DDA">
        <w:rPr>
          <w:rFonts w:ascii="Aptos" w:hAnsi="Aptos"/>
        </w:rPr>
        <w:t xml:space="preserve"> </w:t>
      </w:r>
      <w:r w:rsidRPr="0018637B">
        <w:rPr>
          <w:rFonts w:ascii="Aptos" w:hAnsi="Aptos"/>
          <w:i/>
          <w:iCs/>
        </w:rPr>
        <w:t>The Witcher</w:t>
      </w:r>
      <w:r>
        <w:rPr>
          <w:rFonts w:ascii="Aptos" w:hAnsi="Aptos"/>
        </w:rPr>
        <w:t xml:space="preserve"> series</w:t>
      </w:r>
      <w:r w:rsidRPr="00101DDA">
        <w:rPr>
          <w:rFonts w:ascii="Aptos" w:hAnsi="Aptos"/>
        </w:rPr>
        <w:t xml:space="preserve"> [</w:t>
      </w:r>
      <w:r w:rsidRPr="004E717E">
        <w:rPr>
          <w:rFonts w:ascii="Aptos" w:hAnsi="Aptos"/>
          <w:i/>
          <w:iCs/>
        </w:rPr>
        <w:t>Blood of Elves</w:t>
      </w:r>
      <w:r>
        <w:rPr>
          <w:rFonts w:ascii="Aptos" w:hAnsi="Aptos"/>
        </w:rPr>
        <w:t xml:space="preserve"> (1994); </w:t>
      </w:r>
      <w:r w:rsidRPr="004E717E">
        <w:rPr>
          <w:rFonts w:ascii="Aptos" w:hAnsi="Aptos"/>
          <w:i/>
          <w:iCs/>
        </w:rPr>
        <w:t>The Time of Contempt</w:t>
      </w:r>
      <w:r>
        <w:rPr>
          <w:rFonts w:ascii="Aptos" w:hAnsi="Aptos"/>
        </w:rPr>
        <w:t xml:space="preserve"> (1995)</w:t>
      </w:r>
      <w:r w:rsidRPr="00E572AB">
        <w:rPr>
          <w:rFonts w:ascii="Aptos" w:hAnsi="Aptos"/>
        </w:rPr>
        <w:t xml:space="preserve">; </w:t>
      </w:r>
      <w:r w:rsidRPr="004E717E">
        <w:rPr>
          <w:rFonts w:ascii="Aptos" w:hAnsi="Aptos"/>
          <w:i/>
          <w:iCs/>
        </w:rPr>
        <w:t>Baptism of Fire</w:t>
      </w:r>
      <w:r>
        <w:rPr>
          <w:rFonts w:ascii="Aptos" w:hAnsi="Aptos"/>
        </w:rPr>
        <w:t xml:space="preserve"> (1996)</w:t>
      </w:r>
      <w:r w:rsidRPr="00E572AB">
        <w:rPr>
          <w:rFonts w:ascii="Aptos" w:hAnsi="Aptos"/>
        </w:rPr>
        <w:t xml:space="preserve">; </w:t>
      </w:r>
      <w:r w:rsidRPr="004A7FB3">
        <w:rPr>
          <w:rFonts w:ascii="Aptos" w:hAnsi="Aptos"/>
          <w:i/>
          <w:iCs/>
        </w:rPr>
        <w:t>The Tower of the Swallow</w:t>
      </w:r>
      <w:r>
        <w:rPr>
          <w:rFonts w:ascii="Aptos" w:hAnsi="Aptos"/>
        </w:rPr>
        <w:t xml:space="preserve"> (1997)</w:t>
      </w:r>
      <w:r w:rsidRPr="00E572AB">
        <w:rPr>
          <w:rFonts w:ascii="Aptos" w:hAnsi="Aptos"/>
        </w:rPr>
        <w:t xml:space="preserve">; </w:t>
      </w:r>
      <w:r w:rsidRPr="004A7FB3">
        <w:rPr>
          <w:rFonts w:ascii="Aptos" w:hAnsi="Aptos"/>
          <w:i/>
          <w:iCs/>
        </w:rPr>
        <w:t>Lady of the Lake</w:t>
      </w:r>
      <w:r>
        <w:rPr>
          <w:rFonts w:ascii="Aptos" w:hAnsi="Aptos"/>
        </w:rPr>
        <w:t xml:space="preserve"> (1999)</w:t>
      </w:r>
      <w:r w:rsidRPr="00E572AB">
        <w:rPr>
          <w:rFonts w:ascii="Aptos" w:hAnsi="Aptos"/>
        </w:rPr>
        <w:t>]</w:t>
      </w:r>
      <w:r>
        <w:rPr>
          <w:rFonts w:ascii="Aptos" w:hAnsi="Aptos"/>
        </w:rPr>
        <w:t xml:space="preserve"> superNOWA [Polish]</w:t>
      </w:r>
    </w:p>
    <w:p w14:paraId="0EC5B945" w14:textId="77777777" w:rsidR="000E07D5" w:rsidRPr="00E572AB" w:rsidRDefault="000E07D5" w:rsidP="000E07D5">
      <w:pPr>
        <w:numPr>
          <w:ilvl w:val="0"/>
          <w:numId w:val="2"/>
        </w:numPr>
        <w:spacing w:after="0" w:line="240" w:lineRule="auto"/>
        <w:jc w:val="both"/>
        <w:rPr>
          <w:rFonts w:ascii="Aptos" w:hAnsi="Aptos"/>
        </w:rPr>
      </w:pPr>
      <w:r>
        <w:rPr>
          <w:rFonts w:ascii="Aptos" w:hAnsi="Aptos"/>
        </w:rPr>
        <w:t xml:space="preserve">Sapkowski, A., (2008-2017) </w:t>
      </w:r>
      <w:r>
        <w:rPr>
          <w:rFonts w:ascii="Aptos" w:hAnsi="Aptos"/>
          <w:i/>
          <w:iCs/>
        </w:rPr>
        <w:t xml:space="preserve">The Witcher </w:t>
      </w:r>
      <w:r>
        <w:rPr>
          <w:rFonts w:ascii="Aptos" w:hAnsi="Aptos"/>
        </w:rPr>
        <w:t>series [</w:t>
      </w:r>
      <w:r w:rsidRPr="004E717E">
        <w:rPr>
          <w:rFonts w:ascii="Aptos" w:hAnsi="Aptos"/>
          <w:i/>
          <w:iCs/>
        </w:rPr>
        <w:t>Blood of Elves</w:t>
      </w:r>
      <w:r>
        <w:rPr>
          <w:rFonts w:ascii="Aptos" w:hAnsi="Aptos"/>
        </w:rPr>
        <w:t xml:space="preserve"> (2008); </w:t>
      </w:r>
      <w:r w:rsidRPr="004E717E">
        <w:rPr>
          <w:rFonts w:ascii="Aptos" w:hAnsi="Aptos"/>
          <w:i/>
          <w:iCs/>
        </w:rPr>
        <w:t>The Time of Contempt</w:t>
      </w:r>
      <w:r>
        <w:rPr>
          <w:rFonts w:ascii="Aptos" w:hAnsi="Aptos"/>
        </w:rPr>
        <w:t xml:space="preserve"> (2013)</w:t>
      </w:r>
      <w:r w:rsidRPr="00E572AB">
        <w:rPr>
          <w:rFonts w:ascii="Aptos" w:hAnsi="Aptos"/>
        </w:rPr>
        <w:t xml:space="preserve">; </w:t>
      </w:r>
      <w:r w:rsidRPr="004E717E">
        <w:rPr>
          <w:rFonts w:ascii="Aptos" w:hAnsi="Aptos"/>
          <w:i/>
          <w:iCs/>
        </w:rPr>
        <w:t>Baptism of Fire</w:t>
      </w:r>
      <w:r>
        <w:rPr>
          <w:rFonts w:ascii="Aptos" w:hAnsi="Aptos"/>
        </w:rPr>
        <w:t xml:space="preserve"> (2014)</w:t>
      </w:r>
      <w:r w:rsidRPr="00E572AB">
        <w:rPr>
          <w:rFonts w:ascii="Aptos" w:hAnsi="Aptos"/>
        </w:rPr>
        <w:t xml:space="preserve">; </w:t>
      </w:r>
      <w:r w:rsidRPr="004A7FB3">
        <w:rPr>
          <w:rFonts w:ascii="Aptos" w:hAnsi="Aptos"/>
          <w:i/>
          <w:iCs/>
        </w:rPr>
        <w:t>The Tower of the Swallow</w:t>
      </w:r>
      <w:r>
        <w:rPr>
          <w:rFonts w:ascii="Aptos" w:hAnsi="Aptos"/>
        </w:rPr>
        <w:t xml:space="preserve"> (2015)</w:t>
      </w:r>
      <w:r w:rsidRPr="00E572AB">
        <w:rPr>
          <w:rFonts w:ascii="Aptos" w:hAnsi="Aptos"/>
        </w:rPr>
        <w:t xml:space="preserve">; </w:t>
      </w:r>
      <w:r w:rsidRPr="004A7FB3">
        <w:rPr>
          <w:rFonts w:ascii="Aptos" w:hAnsi="Aptos"/>
          <w:i/>
          <w:iCs/>
        </w:rPr>
        <w:t>Lady of the Lake</w:t>
      </w:r>
      <w:r>
        <w:rPr>
          <w:rFonts w:ascii="Aptos" w:hAnsi="Aptos"/>
        </w:rPr>
        <w:t xml:space="preserve"> (2017)</w:t>
      </w:r>
      <w:r w:rsidRPr="00E572AB">
        <w:rPr>
          <w:rFonts w:ascii="Aptos" w:hAnsi="Aptos"/>
        </w:rPr>
        <w:t>]</w:t>
      </w:r>
      <w:r>
        <w:rPr>
          <w:rFonts w:ascii="Aptos" w:hAnsi="Aptos"/>
        </w:rPr>
        <w:t xml:space="preserve"> Gollancz [English]</w:t>
      </w:r>
    </w:p>
    <w:p w14:paraId="526151AD" w14:textId="77777777" w:rsidR="000E07D5" w:rsidRDefault="000E07D5" w:rsidP="000E07D5">
      <w:pPr>
        <w:pStyle w:val="ListParagraph"/>
        <w:numPr>
          <w:ilvl w:val="0"/>
          <w:numId w:val="2"/>
        </w:numPr>
        <w:spacing w:line="240" w:lineRule="auto"/>
        <w:rPr>
          <w:rFonts w:ascii="Aptos" w:hAnsi="Aptos"/>
        </w:rPr>
      </w:pPr>
      <w:r>
        <w:rPr>
          <w:rFonts w:ascii="Aptos" w:hAnsi="Aptos"/>
        </w:rPr>
        <w:t xml:space="preserve">Sarjent, O.J., (2025), </w:t>
      </w:r>
      <w:r>
        <w:rPr>
          <w:rFonts w:ascii="Aptos" w:hAnsi="Aptos"/>
          <w:i/>
          <w:iCs/>
        </w:rPr>
        <w:t>Medusa: The Monster, Myth, and Feminist Icon</w:t>
      </w:r>
      <w:r>
        <w:rPr>
          <w:rFonts w:ascii="Aptos" w:hAnsi="Aptos"/>
        </w:rPr>
        <w:t>, [Thesis] Butler University</w:t>
      </w:r>
    </w:p>
    <w:p w14:paraId="7A8729DE"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Seeling, B.J., (2002), ‘</w:t>
      </w:r>
      <w:r w:rsidRPr="00101DDA">
        <w:rPr>
          <w:rFonts w:ascii="Aptos" w:hAnsi="Aptos"/>
          <w:i/>
        </w:rPr>
        <w:t>The Rape of Medusa in the Temple of Athena: Aspects of Triangulation in the Girl’</w:t>
      </w:r>
      <w:r w:rsidRPr="00101DDA">
        <w:rPr>
          <w:rFonts w:ascii="Aptos" w:hAnsi="Aptos"/>
        </w:rPr>
        <w:t>, The International Journal of Psychoanalysis. Vol. 83, No. 4. p. 471-490.</w:t>
      </w:r>
    </w:p>
    <w:p w14:paraId="2E5E298D"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Sepetci, T., (2021), ‘Blurred Borders Between Good and Evil in Today’s “Lesser Evil World”: The Witcher as Book, Game, and Netflix Series’ in </w:t>
      </w:r>
      <w:r w:rsidRPr="00101DDA">
        <w:rPr>
          <w:rFonts w:ascii="Aptos" w:hAnsi="Aptos"/>
          <w:i/>
          <w:iCs/>
        </w:rPr>
        <w:t>International Perspectives on Rethinking Evil in Film and Television</w:t>
      </w:r>
      <w:r w:rsidRPr="00101DDA">
        <w:rPr>
          <w:rFonts w:ascii="Aptos" w:hAnsi="Aptos"/>
        </w:rPr>
        <w:t>, pp59-75</w:t>
      </w:r>
    </w:p>
    <w:p w14:paraId="6D6CE275"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Shelley, M.,</w:t>
      </w:r>
      <w:r>
        <w:rPr>
          <w:rFonts w:ascii="Aptos" w:hAnsi="Aptos"/>
        </w:rPr>
        <w:t xml:space="preserve"> (1818 Original publication; 2017)</w:t>
      </w:r>
      <w:r w:rsidRPr="00101DDA">
        <w:rPr>
          <w:rFonts w:ascii="Aptos" w:hAnsi="Aptos"/>
        </w:rPr>
        <w:t xml:space="preserve"> </w:t>
      </w:r>
      <w:r w:rsidRPr="00101DDA">
        <w:rPr>
          <w:rFonts w:ascii="Aptos" w:hAnsi="Aptos"/>
          <w:i/>
          <w:iCs/>
        </w:rPr>
        <w:t>Frankenstein</w:t>
      </w:r>
      <w:r>
        <w:rPr>
          <w:rFonts w:ascii="Aptos" w:hAnsi="Aptos"/>
          <w:i/>
          <w:iCs/>
        </w:rPr>
        <w:t xml:space="preserve"> (Olymp Classics)</w:t>
      </w:r>
      <w:r w:rsidRPr="00101DDA">
        <w:rPr>
          <w:rFonts w:ascii="Aptos" w:hAnsi="Aptos"/>
        </w:rPr>
        <w:t xml:space="preserve">, </w:t>
      </w:r>
      <w:r>
        <w:rPr>
          <w:rFonts w:ascii="Aptos" w:hAnsi="Aptos"/>
        </w:rPr>
        <w:t>Olymp Classics</w:t>
      </w:r>
    </w:p>
    <w:p w14:paraId="0538935A"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Signorile, V., (1973), ‘Acculturation and Myth’, </w:t>
      </w:r>
      <w:r w:rsidRPr="00101DDA">
        <w:rPr>
          <w:rFonts w:ascii="Aptos" w:hAnsi="Aptos"/>
          <w:i/>
          <w:iCs/>
        </w:rPr>
        <w:t>Anthropological Quarterly</w:t>
      </w:r>
      <w:r w:rsidRPr="00101DDA">
        <w:rPr>
          <w:rFonts w:ascii="Aptos" w:hAnsi="Aptos"/>
        </w:rPr>
        <w:t>, Vol 46, Issue 2, pp 117-134</w:t>
      </w:r>
    </w:p>
    <w:p w14:paraId="66798616"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Smith, A., </w:t>
      </w:r>
      <w:r>
        <w:rPr>
          <w:rFonts w:ascii="Aptos" w:hAnsi="Aptos"/>
        </w:rPr>
        <w:t xml:space="preserve">(2005) ‘The “Monster” in all of us: When Victims Become Perpetrators’ in </w:t>
      </w:r>
      <w:r>
        <w:rPr>
          <w:rFonts w:ascii="Aptos" w:hAnsi="Aptos"/>
          <w:i/>
          <w:iCs/>
        </w:rPr>
        <w:t>Georgetown Law Faculty Publications</w:t>
      </w:r>
      <w:r>
        <w:rPr>
          <w:rFonts w:ascii="Aptos" w:hAnsi="Aptos"/>
        </w:rPr>
        <w:t>, pp367-394</w:t>
      </w:r>
    </w:p>
    <w:p w14:paraId="5F19E224"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Smith, W., (1848), </w:t>
      </w:r>
      <w:r w:rsidRPr="00101DDA">
        <w:rPr>
          <w:rFonts w:ascii="Aptos" w:hAnsi="Aptos"/>
          <w:i/>
        </w:rPr>
        <w:t>A Dictionary of Greek and Roman biography and mythology</w:t>
      </w:r>
      <w:r w:rsidRPr="00101DDA">
        <w:rPr>
          <w:rFonts w:ascii="Aptos" w:hAnsi="Aptos"/>
        </w:rPr>
        <w:t>, London: Spottiswoode and Co.</w:t>
      </w:r>
    </w:p>
    <w:p w14:paraId="7F056B59"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lastRenderedPageBreak/>
        <w:t xml:space="preserve">Swanepole, </w:t>
      </w:r>
      <w:r>
        <w:rPr>
          <w:rFonts w:ascii="Aptos" w:hAnsi="Aptos"/>
        </w:rPr>
        <w:t xml:space="preserve">P., (2010), ‘On Defining the Category MONSTER – Using Definitional Features, Narrative Categories and Idealized Cognitive Models (ICM’s), in </w:t>
      </w:r>
      <w:r>
        <w:rPr>
          <w:rFonts w:ascii="Aptos" w:hAnsi="Aptos"/>
          <w:i/>
          <w:iCs/>
        </w:rPr>
        <w:t>Euralex (European Association for Lexicography</w:t>
      </w:r>
      <w:r>
        <w:rPr>
          <w:rFonts w:ascii="Aptos" w:hAnsi="Aptos"/>
        </w:rPr>
        <w:t>, pp1411-1427</w:t>
      </w:r>
    </w:p>
    <w:p w14:paraId="0DF4213B"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Trzaskoma, S., (2004), </w:t>
      </w:r>
      <w:r w:rsidRPr="00101DDA">
        <w:rPr>
          <w:rFonts w:ascii="Aptos" w:hAnsi="Aptos"/>
          <w:i/>
          <w:iCs/>
        </w:rPr>
        <w:t>Anthology of Classical Myth: Primary Sources in Translation</w:t>
      </w:r>
      <w:r w:rsidRPr="00101DDA">
        <w:rPr>
          <w:rFonts w:ascii="Aptos" w:hAnsi="Aptos"/>
        </w:rPr>
        <w:t>, Indianapolis: Hackett Publishing Company, Inc</w:t>
      </w:r>
    </w:p>
    <w:p w14:paraId="69AB9D7D"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Vihervalli, U., (2023), ‘Shame on Whom? Changing Clerical Views on Raped Women in Late Antiquity’ in Deacy, S., Magalhães, J.M., and Menzies, J.Z., (ed) </w:t>
      </w:r>
      <w:r w:rsidRPr="00101DDA">
        <w:rPr>
          <w:rFonts w:ascii="Aptos" w:hAnsi="Aptos"/>
          <w:i/>
          <w:iCs/>
        </w:rPr>
        <w:t>Revisiting Rape in Antiquity Sexualised Violence</w:t>
      </w:r>
      <w:r w:rsidRPr="00101DDA">
        <w:rPr>
          <w:rFonts w:ascii="Aptos" w:hAnsi="Aptos"/>
        </w:rPr>
        <w:t xml:space="preserve"> pp111-122</w:t>
      </w:r>
    </w:p>
    <w:p w14:paraId="77C5A211"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White, J., ‘Monsters, Gender and Sexuality in Medieval English Literature’ in </w:t>
      </w:r>
      <w:r w:rsidRPr="00101DDA">
        <w:rPr>
          <w:rFonts w:ascii="Aptos" w:hAnsi="Aptos"/>
          <w:i/>
          <w:iCs/>
        </w:rPr>
        <w:t>Monsters and the Monstrous</w:t>
      </w:r>
      <w:r w:rsidRPr="00101DDA">
        <w:rPr>
          <w:rFonts w:ascii="Aptos" w:hAnsi="Aptos"/>
        </w:rPr>
        <w:t>, vol 2, issue 2, pp138-141</w:t>
      </w:r>
    </w:p>
    <w:p w14:paraId="73E76853"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White, T., ‘The Witcher by Lauren Schmidt Hissrich’, in </w:t>
      </w:r>
      <w:r w:rsidRPr="00101DDA">
        <w:rPr>
          <w:rFonts w:ascii="Aptos" w:hAnsi="Aptos"/>
          <w:i/>
          <w:iCs/>
        </w:rPr>
        <w:t>The Objective Standard</w:t>
      </w:r>
      <w:r w:rsidRPr="00101DDA">
        <w:rPr>
          <w:rFonts w:ascii="Aptos" w:hAnsi="Aptos"/>
        </w:rPr>
        <w:t xml:space="preserve"> , vol 15, issue 2, pp</w:t>
      </w:r>
      <w:r w:rsidRPr="00101DDA">
        <w:rPr>
          <w:rFonts w:ascii="Aptos" w:hAnsi="Aptos"/>
          <w:b/>
          <w:bCs/>
        </w:rPr>
        <w:t>; Glen Allen</w:t>
      </w:r>
      <w:r w:rsidRPr="00101DDA">
        <w:rPr>
          <w:rFonts w:ascii="Aptos" w:hAnsi="Aptos"/>
        </w:rPr>
        <w:t xml:space="preserve"> (Summer 2020). </w:t>
      </w:r>
      <w:hyperlink r:id="rId30" w:history="1">
        <w:r w:rsidRPr="00101DDA">
          <w:rPr>
            <w:rStyle w:val="Hyperlink"/>
            <w:rFonts w:ascii="Aptos" w:hAnsi="Aptos"/>
          </w:rPr>
          <w:t>https://www-proquest-com.ezproxy.uwtsd.ac.uk/scholarly-journals/witcher-lauren-schmidt-hissrich/docview/2708068064/se-2?accountid=130472</w:t>
        </w:r>
      </w:hyperlink>
    </w:p>
    <w:p w14:paraId="0F9A25A0"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Wilson, K.M., (1985), ‘The History of the Word Vampire’ in </w:t>
      </w:r>
      <w:r w:rsidRPr="00101DDA">
        <w:rPr>
          <w:rFonts w:ascii="Aptos" w:hAnsi="Aptos"/>
          <w:i/>
          <w:iCs/>
        </w:rPr>
        <w:t>Journal of the History of Ideas</w:t>
      </w:r>
      <w:r w:rsidRPr="00101DDA">
        <w:rPr>
          <w:rFonts w:ascii="Aptos" w:hAnsi="Aptos"/>
        </w:rPr>
        <w:t>, vol 46 issue 4, pp577-583</w:t>
      </w:r>
    </w:p>
    <w:p w14:paraId="27A22D23"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Wittkower, R., (1942), ‘Marvels of the East. A Study in the History of Monsters’ in </w:t>
      </w:r>
      <w:r w:rsidRPr="00101DDA">
        <w:rPr>
          <w:rFonts w:ascii="Aptos" w:hAnsi="Aptos"/>
          <w:i/>
          <w:iCs/>
        </w:rPr>
        <w:t>Journal of the Warburg and Courtauld Institutes</w:t>
      </w:r>
      <w:r w:rsidRPr="00101DDA">
        <w:rPr>
          <w:rFonts w:ascii="Aptos" w:hAnsi="Aptos"/>
        </w:rPr>
        <w:t>, vol 5 pp159-197</w:t>
      </w:r>
    </w:p>
    <w:p w14:paraId="13AA7288" w14:textId="77777777" w:rsidR="000E07D5" w:rsidRPr="00101DDA" w:rsidRDefault="000E07D5" w:rsidP="000E07D5">
      <w:pPr>
        <w:pStyle w:val="ListParagraph"/>
        <w:numPr>
          <w:ilvl w:val="0"/>
          <w:numId w:val="2"/>
        </w:numPr>
        <w:spacing w:line="240" w:lineRule="auto"/>
        <w:rPr>
          <w:rFonts w:ascii="Aptos" w:hAnsi="Aptos"/>
        </w:rPr>
      </w:pPr>
      <w:r w:rsidRPr="00101DDA">
        <w:rPr>
          <w:rFonts w:ascii="Aptos" w:hAnsi="Aptos"/>
        </w:rPr>
        <w:t xml:space="preserve">Zolotnikova, O.A., (2016), ‘A Hideous Monster or a Beautiful Maiden? Did the Western Greeks Change the Concept of Gorgon?’ in Reid, H.L., and Tanasi, D., (eds) </w:t>
      </w:r>
      <w:r w:rsidRPr="00101DDA">
        <w:rPr>
          <w:rFonts w:ascii="Aptos" w:hAnsi="Aptos"/>
          <w:i/>
          <w:iCs/>
        </w:rPr>
        <w:t>Philosopher Kings and Tragic Heroes,</w:t>
      </w:r>
      <w:r w:rsidRPr="00101DDA">
        <w:rPr>
          <w:rFonts w:ascii="Aptos" w:hAnsi="Aptos"/>
        </w:rPr>
        <w:t xml:space="preserve"> place: publisher, pp 353 </w:t>
      </w:r>
    </w:p>
    <w:p w14:paraId="0CF88494" w14:textId="77777777" w:rsidR="000E07D5" w:rsidRDefault="000E07D5" w:rsidP="000E07D5">
      <w:pPr>
        <w:pStyle w:val="Heading1"/>
        <w:spacing w:line="240" w:lineRule="auto"/>
      </w:pPr>
      <w:r>
        <w:t>Internet</w:t>
      </w:r>
    </w:p>
    <w:p w14:paraId="3502EBF2" w14:textId="77777777" w:rsidR="000E07D5" w:rsidRPr="00FE2589" w:rsidRDefault="000E07D5" w:rsidP="000E07D5">
      <w:pPr>
        <w:pStyle w:val="ListParagraph"/>
        <w:numPr>
          <w:ilvl w:val="0"/>
          <w:numId w:val="2"/>
        </w:numPr>
        <w:spacing w:line="240" w:lineRule="auto"/>
        <w:rPr>
          <w:rFonts w:ascii="Aptos" w:hAnsi="Aptos"/>
        </w:rPr>
      </w:pPr>
      <w:r w:rsidRPr="00FE2589">
        <w:rPr>
          <w:rFonts w:ascii="Aptos" w:hAnsi="Aptos"/>
        </w:rPr>
        <w:t xml:space="preserve">Bateryn, (2019a) </w:t>
      </w:r>
      <w:r w:rsidRPr="00FE2589">
        <w:rPr>
          <w:rFonts w:ascii="Aptos" w:hAnsi="Aptos"/>
          <w:i/>
          <w:iCs/>
        </w:rPr>
        <w:t>The Witcher - Law of Surprise PART 1 - HD 1080p</w:t>
      </w:r>
      <w:r w:rsidRPr="00FE2589">
        <w:rPr>
          <w:rFonts w:ascii="Aptos" w:hAnsi="Aptos"/>
        </w:rPr>
        <w:t xml:space="preserve"> [video] available at: </w:t>
      </w:r>
      <w:hyperlink r:id="rId31" w:history="1">
        <w:r w:rsidRPr="00FE2589">
          <w:rPr>
            <w:rStyle w:val="Hyperlink"/>
            <w:rFonts w:ascii="Aptos" w:hAnsi="Aptos"/>
          </w:rPr>
          <w:t>https://www.youtube.com/watch?v=YKUUez1PIac&amp;list=PL0CinIvZRR4o8lAsvEkpBz2rtgqk2NH7u&amp;index=1</w:t>
        </w:r>
      </w:hyperlink>
      <w:r w:rsidRPr="00FE2589">
        <w:rPr>
          <w:rFonts w:ascii="Aptos" w:hAnsi="Aptos"/>
        </w:rPr>
        <w:t xml:space="preserve"> </w:t>
      </w:r>
    </w:p>
    <w:p w14:paraId="4C227602" w14:textId="77777777" w:rsidR="000E07D5" w:rsidRPr="00FE2589" w:rsidRDefault="000E07D5" w:rsidP="000E07D5">
      <w:pPr>
        <w:pStyle w:val="ListParagraph"/>
        <w:numPr>
          <w:ilvl w:val="0"/>
          <w:numId w:val="2"/>
        </w:numPr>
        <w:spacing w:line="240" w:lineRule="auto"/>
        <w:rPr>
          <w:rFonts w:ascii="Aptos" w:hAnsi="Aptos"/>
        </w:rPr>
      </w:pPr>
      <w:r w:rsidRPr="00FE2589">
        <w:rPr>
          <w:rFonts w:ascii="Aptos" w:hAnsi="Aptos"/>
        </w:rPr>
        <w:t xml:space="preserve">Bateryn, (2019b) </w:t>
      </w:r>
      <w:r w:rsidRPr="00FE2589">
        <w:rPr>
          <w:rFonts w:ascii="Aptos" w:hAnsi="Aptos"/>
          <w:i/>
          <w:iCs/>
        </w:rPr>
        <w:t>The Witcher - Law of Surprise PART 2 - HD 1080p</w:t>
      </w:r>
      <w:r w:rsidRPr="00FE2589">
        <w:rPr>
          <w:rFonts w:ascii="Aptos" w:hAnsi="Aptos"/>
        </w:rPr>
        <w:t xml:space="preserve"> [video] available at: </w:t>
      </w:r>
      <w:hyperlink r:id="rId32" w:history="1">
        <w:r w:rsidRPr="00FE2589">
          <w:rPr>
            <w:rStyle w:val="Hyperlink"/>
            <w:rFonts w:ascii="Aptos" w:hAnsi="Aptos"/>
          </w:rPr>
          <w:t>https://www.youtube.com/watch?v=YTThhNj1DXk&amp;list=PL0CinIvZRR4o8lAsvEkpBz2rtgqk2NH7u&amp;index=2</w:t>
        </w:r>
      </w:hyperlink>
      <w:r w:rsidRPr="00FE2589">
        <w:rPr>
          <w:rFonts w:ascii="Aptos" w:hAnsi="Aptos"/>
        </w:rPr>
        <w:t xml:space="preserve"> </w:t>
      </w:r>
    </w:p>
    <w:p w14:paraId="6116156C" w14:textId="77777777" w:rsidR="000E07D5" w:rsidRPr="00FE2589" w:rsidRDefault="000E07D5" w:rsidP="000E07D5">
      <w:pPr>
        <w:pStyle w:val="ListParagraph"/>
        <w:numPr>
          <w:ilvl w:val="0"/>
          <w:numId w:val="2"/>
        </w:numPr>
        <w:spacing w:line="240" w:lineRule="auto"/>
        <w:rPr>
          <w:rFonts w:ascii="Aptos" w:hAnsi="Aptos"/>
        </w:rPr>
      </w:pPr>
      <w:r w:rsidRPr="00FE2589">
        <w:rPr>
          <w:rFonts w:ascii="Aptos" w:hAnsi="Aptos"/>
        </w:rPr>
        <w:t xml:space="preserve">Bateryn, (2019c) </w:t>
      </w:r>
      <w:r w:rsidRPr="00FE2589">
        <w:rPr>
          <w:rFonts w:ascii="Aptos" w:hAnsi="Aptos"/>
          <w:i/>
          <w:iCs/>
        </w:rPr>
        <w:t>The Witcher - Law of Surprise PART 3 - HD 1080p</w:t>
      </w:r>
      <w:r w:rsidRPr="00FE2589">
        <w:rPr>
          <w:rFonts w:ascii="Aptos" w:hAnsi="Aptos"/>
        </w:rPr>
        <w:t xml:space="preserve"> [video] available at: </w:t>
      </w:r>
      <w:hyperlink r:id="rId33" w:history="1">
        <w:r w:rsidRPr="00FE2589">
          <w:rPr>
            <w:rStyle w:val="Hyperlink"/>
            <w:rFonts w:ascii="Aptos" w:hAnsi="Aptos"/>
          </w:rPr>
          <w:t>https://www.youtube.com/watch?v=3xcDf0-QT-0&amp;list=PL0CinIvZRR4o8lAsvEkpBz2rtgqk2NH7u&amp;index=3</w:t>
        </w:r>
      </w:hyperlink>
      <w:r w:rsidRPr="00FE2589">
        <w:rPr>
          <w:rFonts w:ascii="Aptos" w:hAnsi="Aptos"/>
        </w:rPr>
        <w:t xml:space="preserve"> </w:t>
      </w:r>
    </w:p>
    <w:p w14:paraId="2740C340" w14:textId="77777777" w:rsidR="000E07D5" w:rsidRPr="00FE2589" w:rsidRDefault="000E07D5" w:rsidP="000E07D5">
      <w:pPr>
        <w:pStyle w:val="ListParagraph"/>
        <w:numPr>
          <w:ilvl w:val="0"/>
          <w:numId w:val="2"/>
        </w:numPr>
        <w:spacing w:line="240" w:lineRule="auto"/>
        <w:rPr>
          <w:rFonts w:ascii="Aptos" w:hAnsi="Aptos"/>
        </w:rPr>
      </w:pPr>
      <w:r w:rsidRPr="00FE2589">
        <w:rPr>
          <w:rFonts w:ascii="Aptos" w:hAnsi="Aptos"/>
        </w:rPr>
        <w:t xml:space="preserve">Bateryn, (2019d) </w:t>
      </w:r>
      <w:r w:rsidRPr="00FE2589">
        <w:rPr>
          <w:rFonts w:ascii="Aptos" w:hAnsi="Aptos"/>
          <w:i/>
          <w:iCs/>
        </w:rPr>
        <w:t>The Witcher - Law of Surprise PART 4 - HD 1080p</w:t>
      </w:r>
      <w:r w:rsidRPr="00FE2589">
        <w:rPr>
          <w:rFonts w:ascii="Aptos" w:hAnsi="Aptos"/>
        </w:rPr>
        <w:t xml:space="preserve"> [video] available at: </w:t>
      </w:r>
      <w:hyperlink r:id="rId34" w:history="1">
        <w:r w:rsidRPr="00FE2589">
          <w:rPr>
            <w:rStyle w:val="Hyperlink"/>
            <w:rFonts w:ascii="Aptos" w:hAnsi="Aptos"/>
          </w:rPr>
          <w:t>https://www.youtube.com/watch?v=EvdOHRFarqM&amp;list=PL0CinIvZRR4o8lAsvEkpBz2rtgqk2NH7u&amp;index=4</w:t>
        </w:r>
      </w:hyperlink>
      <w:r w:rsidRPr="00FE2589">
        <w:rPr>
          <w:rFonts w:ascii="Aptos" w:hAnsi="Aptos"/>
        </w:rPr>
        <w:t xml:space="preserve"> </w:t>
      </w:r>
    </w:p>
    <w:p w14:paraId="7A8F411E" w14:textId="77777777" w:rsidR="000E07D5" w:rsidRPr="00FE2589" w:rsidRDefault="000E07D5" w:rsidP="000E07D5">
      <w:pPr>
        <w:pStyle w:val="ListParagraph"/>
        <w:numPr>
          <w:ilvl w:val="0"/>
          <w:numId w:val="2"/>
        </w:numPr>
        <w:spacing w:line="240" w:lineRule="auto"/>
        <w:rPr>
          <w:rFonts w:ascii="Aptos" w:hAnsi="Aptos"/>
        </w:rPr>
      </w:pPr>
      <w:r w:rsidRPr="00FE2589">
        <w:rPr>
          <w:rFonts w:ascii="Aptos" w:hAnsi="Aptos"/>
        </w:rPr>
        <w:t xml:space="preserve">Bateryn, (2019e) </w:t>
      </w:r>
      <w:r w:rsidRPr="00FE2589">
        <w:rPr>
          <w:rFonts w:ascii="Aptos" w:hAnsi="Aptos"/>
          <w:i/>
          <w:iCs/>
        </w:rPr>
        <w:t>The Witcher - Law of Surprise PART 5 - HD 1080p</w:t>
      </w:r>
      <w:r w:rsidRPr="00FE2589">
        <w:rPr>
          <w:rFonts w:ascii="Aptos" w:hAnsi="Aptos"/>
        </w:rPr>
        <w:t xml:space="preserve"> [video] available at: </w:t>
      </w:r>
      <w:hyperlink r:id="rId35" w:history="1">
        <w:r w:rsidRPr="00FE2589">
          <w:rPr>
            <w:rStyle w:val="Hyperlink"/>
            <w:rFonts w:ascii="Aptos" w:hAnsi="Aptos"/>
          </w:rPr>
          <w:t>https://www.youtube.com/watch?v=3IM38p0D4QM&amp;list=PL0CinIvZRR4o8lAsvEkpBz2rtgqk2NH7u&amp;index=5</w:t>
        </w:r>
      </w:hyperlink>
      <w:r w:rsidRPr="00FE2589">
        <w:rPr>
          <w:rFonts w:ascii="Aptos" w:hAnsi="Aptos"/>
        </w:rPr>
        <w:t xml:space="preserve"> </w:t>
      </w:r>
    </w:p>
    <w:p w14:paraId="64C2180D" w14:textId="77777777" w:rsidR="000E07D5" w:rsidRPr="00FE2589" w:rsidRDefault="000E07D5" w:rsidP="000E07D5">
      <w:pPr>
        <w:pStyle w:val="ListParagraph"/>
        <w:numPr>
          <w:ilvl w:val="0"/>
          <w:numId w:val="2"/>
        </w:numPr>
        <w:spacing w:line="240" w:lineRule="auto"/>
        <w:rPr>
          <w:rFonts w:ascii="Aptos" w:hAnsi="Aptos"/>
        </w:rPr>
      </w:pPr>
      <w:r w:rsidRPr="00FE2589">
        <w:rPr>
          <w:rFonts w:ascii="Aptos" w:hAnsi="Aptos"/>
        </w:rPr>
        <w:t xml:space="preserve">Bateryn, (2019f) </w:t>
      </w:r>
      <w:r w:rsidRPr="00FE2589">
        <w:rPr>
          <w:rFonts w:ascii="Aptos" w:hAnsi="Aptos"/>
          <w:i/>
          <w:iCs/>
        </w:rPr>
        <w:t>The Witcher - Law of Surprise PART 6 - HD 1080p</w:t>
      </w:r>
      <w:r w:rsidRPr="00FE2589">
        <w:rPr>
          <w:rFonts w:ascii="Aptos" w:hAnsi="Aptos"/>
        </w:rPr>
        <w:t xml:space="preserve"> [video] available at: </w:t>
      </w:r>
      <w:hyperlink r:id="rId36" w:history="1">
        <w:r w:rsidRPr="00FE2589">
          <w:rPr>
            <w:rStyle w:val="Hyperlink"/>
            <w:rFonts w:ascii="Aptos" w:hAnsi="Aptos"/>
          </w:rPr>
          <w:t>https://www.youtube.com/watch?v=QWTDzc3dpEE&amp;list=PL0CinIvZRR4o8lAsvEkpBz2rtgqk2NH7u&amp;index=6</w:t>
        </w:r>
      </w:hyperlink>
      <w:r w:rsidRPr="00FE2589">
        <w:rPr>
          <w:rFonts w:ascii="Aptos" w:hAnsi="Aptos"/>
        </w:rPr>
        <w:t xml:space="preserve"> </w:t>
      </w:r>
    </w:p>
    <w:p w14:paraId="0521AA2E" w14:textId="77777777" w:rsidR="000E07D5" w:rsidRPr="00FE2589" w:rsidRDefault="000E07D5" w:rsidP="000E07D5">
      <w:pPr>
        <w:pStyle w:val="ListParagraph"/>
        <w:numPr>
          <w:ilvl w:val="0"/>
          <w:numId w:val="2"/>
        </w:numPr>
        <w:spacing w:line="240" w:lineRule="auto"/>
        <w:rPr>
          <w:rFonts w:ascii="Aptos" w:hAnsi="Aptos"/>
        </w:rPr>
      </w:pPr>
      <w:r w:rsidRPr="00FE2589">
        <w:rPr>
          <w:rFonts w:ascii="Aptos" w:hAnsi="Aptos"/>
        </w:rPr>
        <w:t xml:space="preserve">Bateryn, (2019g) </w:t>
      </w:r>
      <w:r w:rsidRPr="00FE2589">
        <w:rPr>
          <w:rFonts w:ascii="Aptos" w:hAnsi="Aptos"/>
          <w:i/>
          <w:iCs/>
        </w:rPr>
        <w:t>The Witcher - Law of Surprise PART 7 - HD 1080p</w:t>
      </w:r>
      <w:r w:rsidRPr="00FE2589">
        <w:rPr>
          <w:rFonts w:ascii="Aptos" w:hAnsi="Aptos"/>
        </w:rPr>
        <w:t xml:space="preserve"> [video] available at: </w:t>
      </w:r>
      <w:hyperlink r:id="rId37" w:history="1">
        <w:r w:rsidRPr="00FE2589">
          <w:rPr>
            <w:rStyle w:val="Hyperlink"/>
            <w:rFonts w:ascii="Aptos" w:hAnsi="Aptos"/>
          </w:rPr>
          <w:t>https://www.youtube.com/watch?v=bR30ZdZYG_A&amp;list=PL0CinIvZRR4o8lAsvEkpBz2rtgqk2NH7u&amp;index=7</w:t>
        </w:r>
      </w:hyperlink>
      <w:r w:rsidRPr="00FE2589">
        <w:rPr>
          <w:rFonts w:ascii="Aptos" w:hAnsi="Aptos"/>
        </w:rPr>
        <w:t xml:space="preserve"> </w:t>
      </w:r>
    </w:p>
    <w:p w14:paraId="778A590F" w14:textId="77777777" w:rsidR="000E07D5" w:rsidRPr="00FE2589" w:rsidRDefault="000E07D5" w:rsidP="000E07D5">
      <w:pPr>
        <w:pStyle w:val="ListParagraph"/>
        <w:numPr>
          <w:ilvl w:val="0"/>
          <w:numId w:val="2"/>
        </w:numPr>
        <w:spacing w:line="240" w:lineRule="auto"/>
        <w:rPr>
          <w:rFonts w:ascii="Aptos" w:hAnsi="Aptos"/>
        </w:rPr>
      </w:pPr>
      <w:r w:rsidRPr="00FE2589">
        <w:rPr>
          <w:rFonts w:ascii="Aptos" w:hAnsi="Aptos"/>
        </w:rPr>
        <w:t xml:space="preserve">Bateryn, (2019h) </w:t>
      </w:r>
      <w:r w:rsidRPr="00FE2589">
        <w:rPr>
          <w:rFonts w:ascii="Aptos" w:hAnsi="Aptos"/>
          <w:i/>
          <w:iCs/>
        </w:rPr>
        <w:t>The Witcher - Law of Surprise PART 8 - HD 1080p - Geralt claims the law of surprise as payment</w:t>
      </w:r>
      <w:r w:rsidRPr="00FE2589">
        <w:rPr>
          <w:rFonts w:ascii="Aptos" w:hAnsi="Aptos"/>
        </w:rPr>
        <w:t xml:space="preserve"> [video] available at: </w:t>
      </w:r>
      <w:hyperlink r:id="rId38" w:history="1">
        <w:r w:rsidRPr="00FE2589">
          <w:rPr>
            <w:rStyle w:val="Hyperlink"/>
            <w:rFonts w:ascii="Aptos" w:hAnsi="Aptos"/>
          </w:rPr>
          <w:t>https://www.youtube.com/watch?v=pmav7TtKlNU&amp;list=PL0CinIvZRR4o8lAsvEkpBz2rtgqk2NH7u&amp;index=12</w:t>
        </w:r>
      </w:hyperlink>
      <w:r w:rsidRPr="00FE2589">
        <w:rPr>
          <w:rFonts w:ascii="Aptos" w:hAnsi="Aptos"/>
        </w:rPr>
        <w:t xml:space="preserve"> </w:t>
      </w:r>
    </w:p>
    <w:p w14:paraId="1187970D" w14:textId="77777777" w:rsidR="000E07D5" w:rsidRPr="00FE2589" w:rsidRDefault="000E07D5" w:rsidP="000E07D5">
      <w:pPr>
        <w:numPr>
          <w:ilvl w:val="0"/>
          <w:numId w:val="2"/>
        </w:numPr>
        <w:spacing w:after="0" w:line="240" w:lineRule="auto"/>
        <w:rPr>
          <w:rFonts w:ascii="Aptos" w:hAnsi="Aptos"/>
        </w:rPr>
      </w:pPr>
      <w:r w:rsidRPr="00FE2589">
        <w:rPr>
          <w:rFonts w:ascii="Aptos" w:hAnsi="Aptos"/>
        </w:rPr>
        <w:t xml:space="preserve">Cambridge dictionary (2025a) available at:  </w:t>
      </w:r>
      <w:hyperlink r:id="rId39" w:history="1">
        <w:r w:rsidRPr="00FE2589">
          <w:rPr>
            <w:rStyle w:val="Hyperlink"/>
            <w:rFonts w:ascii="Aptos" w:hAnsi="Aptos"/>
          </w:rPr>
          <w:t>https://dictionary.cambridge.org/dictionary/english/monster</w:t>
        </w:r>
      </w:hyperlink>
    </w:p>
    <w:p w14:paraId="19BA9847" w14:textId="77777777" w:rsidR="000E07D5" w:rsidRPr="00FE2589" w:rsidRDefault="000E07D5" w:rsidP="000E07D5">
      <w:pPr>
        <w:numPr>
          <w:ilvl w:val="0"/>
          <w:numId w:val="2"/>
        </w:numPr>
        <w:spacing w:after="0" w:line="240" w:lineRule="auto"/>
        <w:rPr>
          <w:rFonts w:ascii="Aptos" w:hAnsi="Aptos"/>
        </w:rPr>
      </w:pPr>
      <w:r w:rsidRPr="00FE2589">
        <w:rPr>
          <w:rFonts w:ascii="Aptos" w:hAnsi="Aptos"/>
        </w:rPr>
        <w:t xml:space="preserve">Cambridge Dictionary (2025b) available at:  </w:t>
      </w:r>
      <w:hyperlink r:id="rId40" w:history="1">
        <w:r w:rsidRPr="00FE2589">
          <w:rPr>
            <w:rStyle w:val="Hyperlink"/>
            <w:rFonts w:ascii="Aptos" w:hAnsi="Aptos"/>
          </w:rPr>
          <w:t>https://dictionary.cambridge.org/dictionary/english/monstrous</w:t>
        </w:r>
      </w:hyperlink>
    </w:p>
    <w:p w14:paraId="2670AB5E" w14:textId="77777777" w:rsidR="000E07D5" w:rsidRPr="00FE2589" w:rsidRDefault="000E07D5" w:rsidP="000E07D5">
      <w:pPr>
        <w:numPr>
          <w:ilvl w:val="0"/>
          <w:numId w:val="2"/>
        </w:numPr>
        <w:spacing w:after="0" w:line="240" w:lineRule="auto"/>
        <w:rPr>
          <w:rFonts w:ascii="Aptos" w:hAnsi="Aptos"/>
        </w:rPr>
      </w:pPr>
      <w:r w:rsidRPr="00FE2589">
        <w:rPr>
          <w:rFonts w:ascii="Aptos" w:hAnsi="Aptos"/>
        </w:rPr>
        <w:t xml:space="preserve">Cambridge Dictionary (2025c) available at:  </w:t>
      </w:r>
      <w:hyperlink r:id="rId41" w:history="1">
        <w:r w:rsidRPr="00FE2589">
          <w:rPr>
            <w:rStyle w:val="Hyperlink"/>
            <w:rFonts w:ascii="Aptos" w:hAnsi="Aptos"/>
          </w:rPr>
          <w:t>https://dictionary.cambridge.org/dictionary/english/monstrosity</w:t>
        </w:r>
      </w:hyperlink>
    </w:p>
    <w:p w14:paraId="4B6B0B3E" w14:textId="77777777" w:rsidR="000E07D5" w:rsidRPr="00FE2589" w:rsidRDefault="000E07D5" w:rsidP="000E07D5">
      <w:pPr>
        <w:pStyle w:val="ListParagraph"/>
        <w:numPr>
          <w:ilvl w:val="0"/>
          <w:numId w:val="2"/>
        </w:numPr>
        <w:spacing w:line="240" w:lineRule="auto"/>
        <w:rPr>
          <w:rFonts w:ascii="Aptos" w:hAnsi="Aptos"/>
        </w:rPr>
      </w:pPr>
      <w:r w:rsidRPr="00FE2589">
        <w:rPr>
          <w:rFonts w:ascii="Aptos" w:hAnsi="Aptos"/>
        </w:rPr>
        <w:t xml:space="preserve">Cherry, M., (2020), ‘Anger: Embracing the Medusa Trope as an Act of Resistance’ in Shew, M., and Garchar, K., (ed), available at: </w:t>
      </w:r>
      <w:hyperlink r:id="rId42" w:history="1">
        <w:r w:rsidRPr="00FE2589">
          <w:rPr>
            <w:rStyle w:val="Hyperlink"/>
            <w:rFonts w:ascii="Aptos" w:hAnsi="Aptos"/>
          </w:rPr>
          <w:t>https://www.myishacherry.org/wp-content/uploads/2020/07/Medusa-trope.pdf</w:t>
        </w:r>
      </w:hyperlink>
      <w:r w:rsidRPr="00FE2589">
        <w:rPr>
          <w:rFonts w:ascii="Aptos" w:hAnsi="Aptos"/>
        </w:rPr>
        <w:t xml:space="preserve"> </w:t>
      </w:r>
    </w:p>
    <w:p w14:paraId="649B180C" w14:textId="77777777" w:rsidR="000E07D5" w:rsidRPr="00FE2589" w:rsidRDefault="000E07D5" w:rsidP="000E07D5">
      <w:pPr>
        <w:pStyle w:val="ListParagraph"/>
        <w:numPr>
          <w:ilvl w:val="0"/>
          <w:numId w:val="2"/>
        </w:numPr>
        <w:spacing w:line="240" w:lineRule="auto"/>
        <w:rPr>
          <w:rFonts w:ascii="Aptos" w:hAnsi="Aptos"/>
        </w:rPr>
      </w:pPr>
      <w:r w:rsidRPr="00FE2589">
        <w:rPr>
          <w:rFonts w:ascii="Aptos" w:hAnsi="Aptos"/>
        </w:rPr>
        <w:t xml:space="preserve">ClipZone: High Octane Hits, (2025) </w:t>
      </w:r>
      <w:r w:rsidRPr="00FE2589">
        <w:rPr>
          <w:rFonts w:ascii="Aptos" w:hAnsi="Aptos"/>
          <w:i/>
          <w:iCs/>
        </w:rPr>
        <w:t>Clash of the Titans | Perseus Faces Medusa | ClipZone: High Octane Hits</w:t>
      </w:r>
      <w:r w:rsidRPr="00FE2589">
        <w:rPr>
          <w:rFonts w:ascii="Aptos" w:hAnsi="Aptos"/>
        </w:rPr>
        <w:t xml:space="preserve">, available at: </w:t>
      </w:r>
      <w:r w:rsidRPr="00FE2589">
        <w:rPr>
          <w:rFonts w:ascii="Aptos" w:hAnsi="Aptos"/>
          <w:i/>
          <w:iCs/>
        </w:rPr>
        <w:t xml:space="preserve"> </w:t>
      </w:r>
      <w:hyperlink r:id="rId43" w:history="1">
        <w:r w:rsidRPr="00FE2589">
          <w:rPr>
            <w:rStyle w:val="Hyperlink"/>
            <w:rFonts w:ascii="Aptos" w:hAnsi="Aptos"/>
          </w:rPr>
          <w:t>https://www.youtube.com/watch?v=K-m6fHj63dA</w:t>
        </w:r>
      </w:hyperlink>
      <w:r w:rsidRPr="00FE2589">
        <w:rPr>
          <w:rFonts w:ascii="Aptos" w:hAnsi="Aptos"/>
        </w:rPr>
        <w:t xml:space="preserve"> </w:t>
      </w:r>
    </w:p>
    <w:p w14:paraId="2CF66BFD" w14:textId="77777777" w:rsidR="000E07D5" w:rsidRPr="00FE2589" w:rsidRDefault="000E07D5" w:rsidP="000E07D5">
      <w:pPr>
        <w:pStyle w:val="ListParagraph"/>
        <w:numPr>
          <w:ilvl w:val="0"/>
          <w:numId w:val="10"/>
        </w:numPr>
        <w:spacing w:line="240" w:lineRule="auto"/>
        <w:rPr>
          <w:rFonts w:ascii="Aptos" w:hAnsi="Aptos"/>
        </w:rPr>
      </w:pPr>
      <w:r w:rsidRPr="00FE2589">
        <w:rPr>
          <w:rFonts w:ascii="Aptos" w:hAnsi="Aptos"/>
        </w:rPr>
        <w:t xml:space="preserve">Collins dictionary (2025a) available at:   </w:t>
      </w:r>
      <w:hyperlink r:id="rId44" w:history="1">
        <w:r w:rsidRPr="00FE2589">
          <w:rPr>
            <w:rStyle w:val="Hyperlink"/>
            <w:rFonts w:ascii="Aptos" w:hAnsi="Aptos"/>
          </w:rPr>
          <w:t>https://www.collinsdictionary.com/dictionary/english/monster</w:t>
        </w:r>
      </w:hyperlink>
    </w:p>
    <w:p w14:paraId="04998468" w14:textId="77777777" w:rsidR="000E07D5" w:rsidRPr="00FE2589" w:rsidRDefault="000E07D5" w:rsidP="000E07D5">
      <w:pPr>
        <w:numPr>
          <w:ilvl w:val="0"/>
          <w:numId w:val="2"/>
        </w:numPr>
        <w:spacing w:after="0" w:line="240" w:lineRule="auto"/>
        <w:rPr>
          <w:rFonts w:ascii="Aptos" w:hAnsi="Aptos"/>
        </w:rPr>
      </w:pPr>
      <w:r w:rsidRPr="00FE2589">
        <w:rPr>
          <w:rFonts w:ascii="Aptos" w:hAnsi="Aptos"/>
        </w:rPr>
        <w:t xml:space="preserve">Collins Dictionary (2025b) available at:  </w:t>
      </w:r>
      <w:hyperlink r:id="rId45" w:history="1">
        <w:r w:rsidRPr="00FE2589">
          <w:rPr>
            <w:rStyle w:val="Hyperlink"/>
            <w:rFonts w:ascii="Aptos" w:hAnsi="Aptos"/>
          </w:rPr>
          <w:t>https://www.collinsdictionary.com/dictionary/english/monstrous</w:t>
        </w:r>
      </w:hyperlink>
    </w:p>
    <w:p w14:paraId="107945CD" w14:textId="77777777" w:rsidR="000E07D5" w:rsidRPr="00FE2589" w:rsidRDefault="000E07D5" w:rsidP="000E07D5">
      <w:pPr>
        <w:numPr>
          <w:ilvl w:val="0"/>
          <w:numId w:val="2"/>
        </w:numPr>
        <w:spacing w:after="0" w:line="240" w:lineRule="auto"/>
        <w:rPr>
          <w:rFonts w:ascii="Aptos" w:hAnsi="Aptos"/>
        </w:rPr>
      </w:pPr>
      <w:r w:rsidRPr="00FE2589">
        <w:rPr>
          <w:rFonts w:ascii="Aptos" w:hAnsi="Aptos"/>
        </w:rPr>
        <w:t xml:space="preserve">Collins Dictionary (2025c) available at:   </w:t>
      </w:r>
      <w:hyperlink r:id="rId46" w:history="1">
        <w:r w:rsidRPr="00FE2589">
          <w:rPr>
            <w:rStyle w:val="Hyperlink"/>
            <w:rFonts w:ascii="Aptos" w:hAnsi="Aptos"/>
          </w:rPr>
          <w:t>https://www.collinsdictionary.com/dictionary/english/monstrosity</w:t>
        </w:r>
      </w:hyperlink>
    </w:p>
    <w:p w14:paraId="17778FE8" w14:textId="77777777" w:rsidR="000E07D5" w:rsidRPr="00FE2589" w:rsidRDefault="000E07D5" w:rsidP="000E07D5">
      <w:pPr>
        <w:numPr>
          <w:ilvl w:val="0"/>
          <w:numId w:val="2"/>
        </w:numPr>
        <w:spacing w:after="0" w:line="240" w:lineRule="auto"/>
        <w:rPr>
          <w:rFonts w:ascii="Aptos" w:hAnsi="Aptos"/>
        </w:rPr>
      </w:pPr>
      <w:r w:rsidRPr="00FE2589">
        <w:rPr>
          <w:rFonts w:ascii="Aptos" w:hAnsi="Aptos"/>
        </w:rPr>
        <w:t xml:space="preserve">Dictionary.com (2025) available at:   </w:t>
      </w:r>
      <w:hyperlink r:id="rId47" w:history="1">
        <w:r w:rsidRPr="00FE2589">
          <w:rPr>
            <w:rStyle w:val="Hyperlink"/>
            <w:rFonts w:ascii="Aptos" w:hAnsi="Aptos"/>
          </w:rPr>
          <w:t>https://www.dictionary.com/browse/monster</w:t>
        </w:r>
      </w:hyperlink>
    </w:p>
    <w:p w14:paraId="60D8873A" w14:textId="77777777" w:rsidR="000E07D5" w:rsidRPr="00FE2589" w:rsidRDefault="000E07D5" w:rsidP="000E07D5">
      <w:pPr>
        <w:numPr>
          <w:ilvl w:val="0"/>
          <w:numId w:val="2"/>
        </w:numPr>
        <w:spacing w:after="0" w:line="240" w:lineRule="auto"/>
        <w:rPr>
          <w:rFonts w:ascii="Aptos" w:hAnsi="Aptos"/>
        </w:rPr>
      </w:pPr>
      <w:r w:rsidRPr="00FE2589">
        <w:rPr>
          <w:rFonts w:ascii="Aptos" w:hAnsi="Aptos"/>
        </w:rPr>
        <w:t xml:space="preserve">DLTK Sites for Kids (2025) </w:t>
      </w:r>
      <w:r w:rsidRPr="00FE2589">
        <w:rPr>
          <w:rFonts w:ascii="Aptos" w:hAnsi="Aptos"/>
          <w:i/>
          <w:iCs/>
        </w:rPr>
        <w:t>The Story of Medusa and Athena</w:t>
      </w:r>
      <w:r w:rsidRPr="00FE2589">
        <w:rPr>
          <w:rFonts w:ascii="Aptos" w:hAnsi="Aptos"/>
        </w:rPr>
        <w:t xml:space="preserve">, available at: </w:t>
      </w:r>
      <w:hyperlink r:id="rId48" w:history="1">
        <w:r w:rsidRPr="00FE2589">
          <w:rPr>
            <w:rStyle w:val="Hyperlink"/>
            <w:rFonts w:ascii="Aptos" w:hAnsi="Aptos"/>
          </w:rPr>
          <w:t>https://www.dltk-kids.com/world/greece/m-story-medusa-and-athena.htm</w:t>
        </w:r>
      </w:hyperlink>
    </w:p>
    <w:p w14:paraId="6DC8B501" w14:textId="77777777" w:rsidR="000E07D5" w:rsidRPr="00FE2589" w:rsidRDefault="000E07D5" w:rsidP="000E07D5">
      <w:pPr>
        <w:pStyle w:val="ListParagraph"/>
        <w:numPr>
          <w:ilvl w:val="0"/>
          <w:numId w:val="2"/>
        </w:numPr>
        <w:spacing w:line="240" w:lineRule="auto"/>
        <w:rPr>
          <w:rFonts w:ascii="Aptos" w:hAnsi="Aptos"/>
        </w:rPr>
      </w:pPr>
      <w:r w:rsidRPr="00FE2589">
        <w:rPr>
          <w:rFonts w:ascii="Aptos" w:hAnsi="Aptos"/>
        </w:rPr>
        <w:t xml:space="preserve">El-kadri, A., (2021), </w:t>
      </w:r>
      <w:r w:rsidRPr="00FE2589">
        <w:rPr>
          <w:rFonts w:ascii="Aptos" w:hAnsi="Aptos"/>
          <w:i/>
          <w:iCs/>
        </w:rPr>
        <w:t>Metamorphosis</w:t>
      </w:r>
      <w:r w:rsidRPr="00FE2589">
        <w:rPr>
          <w:rFonts w:ascii="Aptos" w:hAnsi="Aptos"/>
        </w:rPr>
        <w:t xml:space="preserve">, available at:  </w:t>
      </w:r>
      <w:hyperlink r:id="rId49" w:history="1">
        <w:r w:rsidRPr="00FE2589">
          <w:rPr>
            <w:rStyle w:val="Hyperlink"/>
            <w:rFonts w:ascii="Aptos" w:hAnsi="Aptos"/>
          </w:rPr>
          <w:t>https://www.ayael-kadri.ca/wp-content/uploads/2021/10/Creative-Project-El-kadri-Aya-.pdf</w:t>
        </w:r>
      </w:hyperlink>
      <w:r w:rsidRPr="00FE2589">
        <w:rPr>
          <w:rFonts w:ascii="Aptos" w:hAnsi="Aptos"/>
        </w:rPr>
        <w:t xml:space="preserve"> </w:t>
      </w:r>
    </w:p>
    <w:p w14:paraId="47D4C7A5" w14:textId="77777777" w:rsidR="000E07D5" w:rsidRPr="00FE2589" w:rsidRDefault="000E07D5" w:rsidP="000E07D5">
      <w:pPr>
        <w:pStyle w:val="ListParagraph"/>
        <w:numPr>
          <w:ilvl w:val="0"/>
          <w:numId w:val="2"/>
        </w:numPr>
        <w:spacing w:line="240" w:lineRule="auto"/>
        <w:rPr>
          <w:rFonts w:ascii="Aptos" w:hAnsi="Aptos"/>
          <w:b/>
          <w:bCs/>
        </w:rPr>
      </w:pPr>
      <w:r w:rsidRPr="00FE2589">
        <w:rPr>
          <w:rFonts w:ascii="Aptos" w:hAnsi="Aptos"/>
        </w:rPr>
        <w:t xml:space="preserve">Evelyn Jackson, (2023), </w:t>
      </w:r>
      <w:r w:rsidRPr="00FE2589">
        <w:rPr>
          <w:rFonts w:ascii="Aptos" w:hAnsi="Aptos"/>
          <w:i/>
          <w:iCs/>
        </w:rPr>
        <w:t>Medusa Scenes [1080P+Logoless] (NO BG Music)</w:t>
      </w:r>
      <w:r w:rsidRPr="00FE2589">
        <w:rPr>
          <w:rFonts w:ascii="Aptos" w:hAnsi="Aptos"/>
        </w:rPr>
        <w:t xml:space="preserve"> available at: </w:t>
      </w:r>
      <w:hyperlink r:id="rId50" w:history="1">
        <w:r w:rsidRPr="00FE2589">
          <w:rPr>
            <w:rStyle w:val="Hyperlink"/>
            <w:rFonts w:ascii="Aptos" w:hAnsi="Aptos"/>
          </w:rPr>
          <w:t>https://www.youtube.com/watch?v=2dncAQv7F_k</w:t>
        </w:r>
      </w:hyperlink>
    </w:p>
    <w:p w14:paraId="48FBEE84" w14:textId="77777777" w:rsidR="000E07D5" w:rsidRPr="00FE2589" w:rsidRDefault="000E07D5" w:rsidP="000E07D5">
      <w:pPr>
        <w:numPr>
          <w:ilvl w:val="0"/>
          <w:numId w:val="2"/>
        </w:numPr>
        <w:spacing w:after="0" w:line="240" w:lineRule="auto"/>
        <w:rPr>
          <w:rFonts w:ascii="Aptos" w:hAnsi="Aptos"/>
        </w:rPr>
      </w:pPr>
      <w:hyperlink r:id="rId51" w:history="1">
        <w:r w:rsidRPr="00FE2589">
          <w:rPr>
            <w:rStyle w:val="Hyperlink"/>
            <w:rFonts w:ascii="Aptos" w:hAnsi="Aptos"/>
          </w:rPr>
          <w:t>https://assassinscreed.fandom.com/wiki/Gorgon</w:t>
        </w:r>
      </w:hyperlink>
    </w:p>
    <w:p w14:paraId="03FA152C" w14:textId="77777777" w:rsidR="000E07D5" w:rsidRPr="00FE2589" w:rsidRDefault="000E07D5" w:rsidP="000E07D5">
      <w:pPr>
        <w:numPr>
          <w:ilvl w:val="0"/>
          <w:numId w:val="2"/>
        </w:numPr>
        <w:spacing w:after="0" w:line="240" w:lineRule="auto"/>
        <w:rPr>
          <w:rFonts w:ascii="Aptos" w:hAnsi="Aptos"/>
        </w:rPr>
      </w:pPr>
      <w:hyperlink r:id="rId52" w:history="1">
        <w:r w:rsidRPr="00FE2589">
          <w:rPr>
            <w:rStyle w:val="Hyperlink"/>
            <w:rFonts w:ascii="Aptos" w:hAnsi="Aptos"/>
          </w:rPr>
          <w:t>https://assassinscreed.fandom.com/wiki/Medusa</w:t>
        </w:r>
      </w:hyperlink>
      <w:r w:rsidRPr="00FE2589">
        <w:rPr>
          <w:rFonts w:ascii="Aptos" w:hAnsi="Aptos"/>
        </w:rPr>
        <w:t xml:space="preserve"> </w:t>
      </w:r>
    </w:p>
    <w:p w14:paraId="2C0AFCF2" w14:textId="77777777" w:rsidR="000E07D5" w:rsidRPr="00FE2589" w:rsidRDefault="000E07D5" w:rsidP="000E07D5">
      <w:pPr>
        <w:numPr>
          <w:ilvl w:val="0"/>
          <w:numId w:val="2"/>
        </w:numPr>
        <w:spacing w:after="0" w:line="240" w:lineRule="auto"/>
        <w:rPr>
          <w:rFonts w:ascii="Aptos" w:hAnsi="Aptos"/>
        </w:rPr>
      </w:pPr>
      <w:hyperlink r:id="rId53" w:anchor="cite_note-Writhing_Dead-6" w:history="1">
        <w:r w:rsidRPr="00FE2589">
          <w:rPr>
            <w:rStyle w:val="Hyperlink"/>
            <w:rFonts w:ascii="Aptos" w:hAnsi="Aptos"/>
          </w:rPr>
          <w:t>https://assassinscreed.fandom.com/wiki/Writhing_Dread#cite_note-Writhing_Dead-6</w:t>
        </w:r>
      </w:hyperlink>
      <w:r w:rsidRPr="00FE2589">
        <w:rPr>
          <w:rFonts w:ascii="Aptos" w:hAnsi="Aptos"/>
        </w:rPr>
        <w:t xml:space="preserve"> </w:t>
      </w:r>
    </w:p>
    <w:p w14:paraId="3C96A016" w14:textId="77777777" w:rsidR="000E07D5" w:rsidRPr="00FE2589" w:rsidRDefault="000E07D5" w:rsidP="000E07D5">
      <w:pPr>
        <w:numPr>
          <w:ilvl w:val="0"/>
          <w:numId w:val="2"/>
        </w:numPr>
        <w:spacing w:after="0" w:line="240" w:lineRule="auto"/>
        <w:rPr>
          <w:rFonts w:ascii="Aptos" w:hAnsi="Aptos"/>
        </w:rPr>
      </w:pPr>
      <w:hyperlink r:id="rId54" w:history="1">
        <w:r w:rsidRPr="00FE2589">
          <w:rPr>
            <w:rStyle w:val="Hyperlink"/>
            <w:rFonts w:ascii="Aptos" w:hAnsi="Aptos"/>
          </w:rPr>
          <w:t>https://latinlexicon.org/definition.php?p1=1010070</w:t>
        </w:r>
      </w:hyperlink>
    </w:p>
    <w:p w14:paraId="79885377" w14:textId="77777777" w:rsidR="000E07D5" w:rsidRPr="00FE2589" w:rsidRDefault="000E07D5" w:rsidP="000E07D5">
      <w:pPr>
        <w:numPr>
          <w:ilvl w:val="0"/>
          <w:numId w:val="2"/>
        </w:numPr>
        <w:spacing w:after="0" w:line="240" w:lineRule="auto"/>
        <w:rPr>
          <w:rFonts w:ascii="Aptos" w:hAnsi="Aptos"/>
        </w:rPr>
      </w:pPr>
      <w:hyperlink r:id="rId55" w:history="1">
        <w:r w:rsidRPr="00FE2589">
          <w:rPr>
            <w:rStyle w:val="Hyperlink"/>
            <w:rFonts w:ascii="Aptos" w:hAnsi="Aptos"/>
          </w:rPr>
          <w:t>https://latinlexicon.org/definition.php?p1=1013012&amp;p2=p</w:t>
        </w:r>
      </w:hyperlink>
    </w:p>
    <w:p w14:paraId="7DF6F683" w14:textId="77777777" w:rsidR="000E07D5" w:rsidRPr="00FE2589" w:rsidRDefault="000E07D5" w:rsidP="000E07D5">
      <w:pPr>
        <w:numPr>
          <w:ilvl w:val="0"/>
          <w:numId w:val="2"/>
        </w:numPr>
        <w:spacing w:after="0" w:line="240" w:lineRule="auto"/>
        <w:rPr>
          <w:rFonts w:ascii="Aptos" w:hAnsi="Aptos"/>
        </w:rPr>
      </w:pPr>
      <w:hyperlink r:id="rId56" w:history="1">
        <w:r w:rsidRPr="00FE2589">
          <w:rPr>
            <w:rStyle w:val="Hyperlink"/>
            <w:rFonts w:ascii="Aptos" w:hAnsi="Aptos"/>
          </w:rPr>
          <w:t>https://overgeared.fandom.com/wiki/Agnus</w:t>
        </w:r>
      </w:hyperlink>
    </w:p>
    <w:p w14:paraId="065BEA37" w14:textId="77777777" w:rsidR="000E07D5" w:rsidRPr="00FE2589" w:rsidRDefault="000E07D5" w:rsidP="000E07D5">
      <w:pPr>
        <w:pStyle w:val="FootnoteText"/>
        <w:numPr>
          <w:ilvl w:val="0"/>
          <w:numId w:val="2"/>
        </w:numPr>
        <w:rPr>
          <w:rFonts w:ascii="Aptos" w:hAnsi="Aptos"/>
          <w:sz w:val="24"/>
          <w:szCs w:val="24"/>
        </w:rPr>
      </w:pPr>
      <w:hyperlink r:id="rId57" w:history="1">
        <w:r w:rsidRPr="00FE2589">
          <w:rPr>
            <w:rStyle w:val="Hyperlink"/>
            <w:rFonts w:ascii="Aptos" w:hAnsi="Aptos"/>
            <w:sz w:val="24"/>
            <w:szCs w:val="24"/>
          </w:rPr>
          <w:t>https://overgeared.fandom.com/wiki/Mumud</w:t>
        </w:r>
      </w:hyperlink>
      <w:r w:rsidRPr="00FE2589">
        <w:rPr>
          <w:rFonts w:ascii="Aptos" w:hAnsi="Aptos"/>
          <w:sz w:val="24"/>
          <w:szCs w:val="24"/>
        </w:rPr>
        <w:t xml:space="preserve"> </w:t>
      </w:r>
    </w:p>
    <w:p w14:paraId="0F3505BE" w14:textId="77777777" w:rsidR="000E07D5" w:rsidRPr="00FE2589" w:rsidRDefault="000E07D5" w:rsidP="000E07D5">
      <w:pPr>
        <w:numPr>
          <w:ilvl w:val="0"/>
          <w:numId w:val="2"/>
        </w:numPr>
        <w:spacing w:after="0" w:line="240" w:lineRule="auto"/>
        <w:rPr>
          <w:rFonts w:ascii="Aptos" w:hAnsi="Aptos"/>
        </w:rPr>
      </w:pPr>
      <w:hyperlink r:id="rId58" w:history="1">
        <w:r w:rsidRPr="00FE2589">
          <w:rPr>
            <w:rStyle w:val="Hyperlink"/>
            <w:rFonts w:ascii="Aptos" w:hAnsi="Aptos"/>
          </w:rPr>
          <w:t>https://witcher.fandom.com/wiki/Berengar</w:t>
        </w:r>
      </w:hyperlink>
    </w:p>
    <w:p w14:paraId="002A01A0" w14:textId="77777777" w:rsidR="000E07D5" w:rsidRPr="00FE2589" w:rsidRDefault="000E07D5" w:rsidP="000E07D5">
      <w:pPr>
        <w:numPr>
          <w:ilvl w:val="0"/>
          <w:numId w:val="2"/>
        </w:numPr>
        <w:spacing w:after="0" w:line="240" w:lineRule="auto"/>
        <w:rPr>
          <w:rFonts w:ascii="Aptos" w:hAnsi="Aptos"/>
        </w:rPr>
      </w:pPr>
      <w:hyperlink r:id="rId59" w:anchor="Biography" w:history="1">
        <w:r w:rsidRPr="00FE2589">
          <w:rPr>
            <w:rStyle w:val="Hyperlink"/>
            <w:rFonts w:ascii="Aptos" w:hAnsi="Aptos"/>
          </w:rPr>
          <w:t>https://witcher.fandom.com/wiki/Geralt_of_Rivia#Biography</w:t>
        </w:r>
      </w:hyperlink>
    </w:p>
    <w:p w14:paraId="668D020F" w14:textId="77777777" w:rsidR="000E07D5" w:rsidRPr="00FE2589" w:rsidRDefault="000E07D5" w:rsidP="000E07D5">
      <w:pPr>
        <w:numPr>
          <w:ilvl w:val="0"/>
          <w:numId w:val="2"/>
        </w:numPr>
        <w:spacing w:after="0" w:line="240" w:lineRule="auto"/>
        <w:rPr>
          <w:rFonts w:ascii="Aptos" w:hAnsi="Aptos"/>
        </w:rPr>
      </w:pPr>
      <w:hyperlink r:id="rId60" w:history="1">
        <w:r w:rsidRPr="00FE2589">
          <w:rPr>
            <w:rStyle w:val="Hyperlink"/>
            <w:rFonts w:ascii="Aptos" w:hAnsi="Aptos"/>
          </w:rPr>
          <w:t>https://www.perseus.tufts.edu/hopper/morph?l=hominum&amp;la=la&amp;can=hominum0&amp;prior=vidisse&amp;d=Perseus:text:1999.02.0029:book=4:card=706&amp;i=1</w:t>
        </w:r>
      </w:hyperlink>
    </w:p>
    <w:p w14:paraId="4A94D65D" w14:textId="77777777" w:rsidR="000E07D5" w:rsidRPr="00FE2589" w:rsidRDefault="000E07D5" w:rsidP="000E07D5">
      <w:pPr>
        <w:pStyle w:val="ListParagraph"/>
        <w:numPr>
          <w:ilvl w:val="0"/>
          <w:numId w:val="10"/>
        </w:numPr>
        <w:spacing w:line="240" w:lineRule="auto"/>
        <w:rPr>
          <w:rFonts w:ascii="Aptos" w:hAnsi="Aptos"/>
        </w:rPr>
      </w:pPr>
      <w:r w:rsidRPr="00FE2589">
        <w:rPr>
          <w:rFonts w:ascii="Aptos" w:hAnsi="Aptos"/>
        </w:rPr>
        <w:t xml:space="preserve">Miriam-webster (2025a) available at:   </w:t>
      </w:r>
      <w:hyperlink r:id="rId61" w:history="1">
        <w:r w:rsidRPr="00FE2589">
          <w:rPr>
            <w:rStyle w:val="Hyperlink"/>
            <w:rFonts w:ascii="Aptos" w:hAnsi="Aptos"/>
          </w:rPr>
          <w:t>https://www.merriam-webster.com/dictionary/monster</w:t>
        </w:r>
      </w:hyperlink>
    </w:p>
    <w:p w14:paraId="4AF078A3" w14:textId="77777777" w:rsidR="000E07D5" w:rsidRPr="00FE2589" w:rsidRDefault="000E07D5" w:rsidP="000E07D5">
      <w:pPr>
        <w:pStyle w:val="ListParagraph"/>
        <w:numPr>
          <w:ilvl w:val="0"/>
          <w:numId w:val="10"/>
        </w:numPr>
        <w:rPr>
          <w:rFonts w:ascii="Aptos" w:hAnsi="Aptos"/>
        </w:rPr>
      </w:pPr>
      <w:r w:rsidRPr="00FE2589">
        <w:rPr>
          <w:rFonts w:ascii="Aptos" w:hAnsi="Aptos"/>
        </w:rPr>
        <w:t xml:space="preserve">Miriam-Webster (2025b)  available at:  </w:t>
      </w:r>
      <w:hyperlink r:id="rId62" w:history="1">
        <w:r w:rsidRPr="00FE2589">
          <w:rPr>
            <w:rStyle w:val="Hyperlink"/>
            <w:rFonts w:ascii="Aptos" w:hAnsi="Aptos"/>
          </w:rPr>
          <w:t>https://merriam-webster.com/dictionary/monstrous</w:t>
        </w:r>
      </w:hyperlink>
    </w:p>
    <w:p w14:paraId="0650F0AA" w14:textId="77777777" w:rsidR="000E07D5" w:rsidRPr="00FE2589" w:rsidRDefault="000E07D5" w:rsidP="000E07D5">
      <w:pPr>
        <w:numPr>
          <w:ilvl w:val="0"/>
          <w:numId w:val="2"/>
        </w:numPr>
        <w:spacing w:after="0" w:line="240" w:lineRule="auto"/>
        <w:rPr>
          <w:rFonts w:ascii="Aptos" w:hAnsi="Aptos"/>
        </w:rPr>
      </w:pPr>
      <w:r w:rsidRPr="00FE2589">
        <w:rPr>
          <w:rFonts w:ascii="Aptos" w:hAnsi="Aptos"/>
        </w:rPr>
        <w:t xml:space="preserve">Miriam-Webster (2025c) available at:   </w:t>
      </w:r>
      <w:hyperlink r:id="rId63" w:history="1">
        <w:r w:rsidRPr="00FE2589">
          <w:rPr>
            <w:rStyle w:val="Hyperlink"/>
            <w:rFonts w:ascii="Aptos" w:hAnsi="Aptos"/>
          </w:rPr>
          <w:t>https://www.merriam-webster.com/dictionary/monstrosity</w:t>
        </w:r>
      </w:hyperlink>
    </w:p>
    <w:p w14:paraId="6A2D6F5D" w14:textId="77777777" w:rsidR="000E07D5" w:rsidRPr="00FE2589" w:rsidRDefault="000E07D5" w:rsidP="000E07D5">
      <w:pPr>
        <w:pStyle w:val="ListParagraph"/>
        <w:numPr>
          <w:ilvl w:val="0"/>
          <w:numId w:val="2"/>
        </w:numPr>
        <w:spacing w:line="240" w:lineRule="auto"/>
        <w:rPr>
          <w:rFonts w:ascii="Aptos" w:hAnsi="Aptos"/>
        </w:rPr>
      </w:pPr>
      <w:r w:rsidRPr="00FE2589">
        <w:rPr>
          <w:rFonts w:ascii="Aptos" w:hAnsi="Aptos"/>
        </w:rPr>
        <w:t xml:space="preserve">Mole, S., (2021) </w:t>
      </w:r>
      <w:r w:rsidRPr="00FE2589">
        <w:rPr>
          <w:rFonts w:ascii="Aptos" w:hAnsi="Aptos"/>
          <w:i/>
          <w:iCs/>
        </w:rPr>
        <w:t>Assume Nothing Rape Trial Episode 8: Asking For It</w:t>
      </w:r>
      <w:r w:rsidRPr="00FE2589">
        <w:rPr>
          <w:rFonts w:ascii="Aptos" w:hAnsi="Aptos"/>
        </w:rPr>
        <w:t xml:space="preserve">, available at: </w:t>
      </w:r>
      <w:hyperlink r:id="rId64" w:history="1">
        <w:r w:rsidRPr="00FE2589">
          <w:rPr>
            <w:rStyle w:val="Hyperlink"/>
            <w:rFonts w:ascii="Aptos" w:hAnsi="Aptos"/>
          </w:rPr>
          <w:t>https://www.bbc.co.uk/sounds/play/p0b0k55k</w:t>
        </w:r>
      </w:hyperlink>
      <w:r w:rsidRPr="00FE2589">
        <w:rPr>
          <w:rFonts w:ascii="Aptos" w:hAnsi="Aptos"/>
        </w:rPr>
        <w:t xml:space="preserve"> </w:t>
      </w:r>
    </w:p>
    <w:p w14:paraId="6C16392B" w14:textId="77777777" w:rsidR="000E07D5" w:rsidRPr="00FE2589" w:rsidRDefault="000E07D5" w:rsidP="000E07D5">
      <w:pPr>
        <w:numPr>
          <w:ilvl w:val="0"/>
          <w:numId w:val="2"/>
        </w:numPr>
        <w:spacing w:after="0" w:line="240" w:lineRule="auto"/>
        <w:rPr>
          <w:rFonts w:ascii="Aptos" w:hAnsi="Aptos"/>
        </w:rPr>
      </w:pPr>
      <w:r w:rsidRPr="00FE2589">
        <w:rPr>
          <w:rFonts w:ascii="Aptos" w:hAnsi="Aptos"/>
        </w:rPr>
        <w:t xml:space="preserve">Oxford dictionary </w:t>
      </w:r>
      <w:hyperlink r:id="rId65" w:history="1">
        <w:r w:rsidRPr="00FE2589">
          <w:rPr>
            <w:rStyle w:val="Hyperlink"/>
            <w:rFonts w:ascii="Aptos" w:hAnsi="Aptos"/>
          </w:rPr>
          <w:t>https://www.oed.com/dictionary/monster_n</w:t>
        </w:r>
      </w:hyperlink>
    </w:p>
    <w:p w14:paraId="2B9C2686" w14:textId="77777777" w:rsidR="000E07D5" w:rsidRPr="00FE2589" w:rsidRDefault="000E07D5" w:rsidP="000E07D5">
      <w:pPr>
        <w:numPr>
          <w:ilvl w:val="0"/>
          <w:numId w:val="2"/>
        </w:numPr>
        <w:spacing w:after="0" w:line="240" w:lineRule="auto"/>
        <w:rPr>
          <w:rFonts w:ascii="Aptos" w:hAnsi="Aptos" w:cstheme="majorHAnsi"/>
        </w:rPr>
      </w:pPr>
      <w:r w:rsidRPr="00FE2589">
        <w:rPr>
          <w:rFonts w:ascii="Aptos" w:hAnsi="Aptos" w:cstheme="majorHAnsi"/>
        </w:rPr>
        <w:t xml:space="preserve">Rea, C., (2016), ‘Medusa and the Gorgons: The Origins of the Legendary Tale’, </w:t>
      </w:r>
      <w:r w:rsidRPr="00FE2589">
        <w:rPr>
          <w:rFonts w:ascii="Aptos" w:hAnsi="Aptos" w:cstheme="majorHAnsi"/>
          <w:i/>
          <w:iCs/>
        </w:rPr>
        <w:t>War and Civilization, Just War and Culture, Baby!</w:t>
      </w:r>
      <w:r w:rsidRPr="00FE2589">
        <w:rPr>
          <w:rFonts w:ascii="Aptos" w:hAnsi="Aptos" w:cstheme="majorHAnsi"/>
        </w:rPr>
        <w:t xml:space="preserve"> [blog] , available at: </w:t>
      </w:r>
      <w:hyperlink r:id="rId66" w:history="1">
        <w:r w:rsidRPr="00FE2589">
          <w:rPr>
            <w:rStyle w:val="Hyperlink"/>
            <w:rFonts w:ascii="Aptos" w:hAnsi="Aptos" w:cstheme="majorHAnsi"/>
          </w:rPr>
          <w:t>http://www.camrea.org/2016/09/23/medusa-and-the-gorgons-the-origins-of-the-legendary-tale/</w:t>
        </w:r>
      </w:hyperlink>
      <w:r w:rsidRPr="00FE2589">
        <w:rPr>
          <w:rFonts w:ascii="Aptos" w:hAnsi="Aptos" w:cstheme="majorHAnsi"/>
        </w:rPr>
        <w:t xml:space="preserve"> (last accessed )</w:t>
      </w:r>
    </w:p>
    <w:p w14:paraId="207EBEEB" w14:textId="77777777" w:rsidR="000E07D5" w:rsidRPr="00FE2589" w:rsidRDefault="000E07D5" w:rsidP="000E07D5">
      <w:pPr>
        <w:pStyle w:val="ListParagraph"/>
        <w:numPr>
          <w:ilvl w:val="0"/>
          <w:numId w:val="2"/>
        </w:numPr>
        <w:spacing w:line="240" w:lineRule="auto"/>
        <w:rPr>
          <w:rFonts w:ascii="Aptos" w:hAnsi="Aptos"/>
        </w:rPr>
      </w:pPr>
      <w:r w:rsidRPr="00FE2589">
        <w:rPr>
          <w:rFonts w:ascii="Aptos" w:hAnsi="Aptos"/>
        </w:rPr>
        <w:t xml:space="preserve">Samantha Hurley, (2023), </w:t>
      </w:r>
      <w:r w:rsidRPr="00FE2589">
        <w:rPr>
          <w:rFonts w:ascii="Aptos" w:hAnsi="Aptos"/>
          <w:i/>
          <w:iCs/>
        </w:rPr>
        <w:t>Percy Jackson and the Lightning Thief - Realising They’re in Medusa’s Lair</w:t>
      </w:r>
      <w:r w:rsidRPr="00FE2589">
        <w:rPr>
          <w:rFonts w:ascii="Aptos" w:hAnsi="Aptos"/>
        </w:rPr>
        <w:t xml:space="preserve">, </w:t>
      </w:r>
      <w:hyperlink r:id="rId67" w:history="1">
        <w:r w:rsidRPr="00FE2589">
          <w:rPr>
            <w:rStyle w:val="Hyperlink"/>
            <w:rFonts w:ascii="Aptos" w:hAnsi="Aptos"/>
          </w:rPr>
          <w:t>https://www.youtube.com/watch?v=rnDDGXiCMwM</w:t>
        </w:r>
      </w:hyperlink>
      <w:r w:rsidRPr="00FE2589">
        <w:rPr>
          <w:rFonts w:ascii="Aptos" w:hAnsi="Aptos"/>
        </w:rPr>
        <w:t xml:space="preserve"> </w:t>
      </w:r>
    </w:p>
    <w:p w14:paraId="396F07DA" w14:textId="77777777" w:rsidR="000E07D5" w:rsidRPr="00FE2589" w:rsidRDefault="000E07D5" w:rsidP="000E07D5">
      <w:pPr>
        <w:numPr>
          <w:ilvl w:val="0"/>
          <w:numId w:val="2"/>
        </w:numPr>
        <w:spacing w:after="0" w:line="240" w:lineRule="auto"/>
        <w:rPr>
          <w:rFonts w:ascii="Aptos" w:hAnsi="Aptos"/>
        </w:rPr>
      </w:pPr>
      <w:r w:rsidRPr="00FE2589">
        <w:rPr>
          <w:rFonts w:ascii="Aptos" w:hAnsi="Aptos"/>
        </w:rPr>
        <w:t xml:space="preserve">Theoi Project (2017a) </w:t>
      </w:r>
      <w:r w:rsidRPr="00FE2589">
        <w:rPr>
          <w:rFonts w:ascii="Aptos" w:hAnsi="Aptos"/>
          <w:i/>
          <w:iCs/>
        </w:rPr>
        <w:t>Lykaon</w:t>
      </w:r>
      <w:r w:rsidRPr="00FE2589">
        <w:rPr>
          <w:rFonts w:ascii="Aptos" w:hAnsi="Aptos"/>
        </w:rPr>
        <w:t xml:space="preserve">, available at: </w:t>
      </w:r>
      <w:hyperlink r:id="rId68" w:history="1">
        <w:r w:rsidRPr="00FE2589">
          <w:rPr>
            <w:rStyle w:val="Hyperlink"/>
            <w:rFonts w:ascii="Aptos" w:hAnsi="Aptos"/>
          </w:rPr>
          <w:t>https://www.theoi.com/Heros/Lykaon.html</w:t>
        </w:r>
      </w:hyperlink>
      <w:r w:rsidRPr="00FE2589">
        <w:rPr>
          <w:rFonts w:ascii="Aptos" w:hAnsi="Aptos"/>
        </w:rPr>
        <w:t xml:space="preserve"> </w:t>
      </w:r>
    </w:p>
    <w:p w14:paraId="738CFECC" w14:textId="77777777" w:rsidR="000E07D5" w:rsidRPr="00FE2589" w:rsidRDefault="000E07D5" w:rsidP="000E07D5">
      <w:pPr>
        <w:numPr>
          <w:ilvl w:val="0"/>
          <w:numId w:val="2"/>
        </w:numPr>
        <w:spacing w:after="0" w:line="240" w:lineRule="auto"/>
        <w:rPr>
          <w:rFonts w:ascii="Aptos" w:hAnsi="Aptos"/>
        </w:rPr>
      </w:pPr>
      <w:r w:rsidRPr="00FE2589">
        <w:rPr>
          <w:rFonts w:ascii="Aptos" w:hAnsi="Aptos"/>
        </w:rPr>
        <w:t xml:space="preserve">Theoi Project (2017b) </w:t>
      </w:r>
      <w:r w:rsidRPr="00FE2589">
        <w:rPr>
          <w:rFonts w:ascii="Aptos" w:hAnsi="Aptos"/>
          <w:i/>
          <w:iCs/>
        </w:rPr>
        <w:t>Medusa</w:t>
      </w:r>
      <w:r w:rsidRPr="00FE2589">
        <w:rPr>
          <w:rFonts w:ascii="Aptos" w:hAnsi="Aptos"/>
        </w:rPr>
        <w:t xml:space="preserve"> available at: </w:t>
      </w:r>
      <w:hyperlink r:id="rId69" w:history="1">
        <w:r w:rsidRPr="00FE2589">
          <w:rPr>
            <w:rStyle w:val="Hyperlink"/>
            <w:rFonts w:ascii="Aptos" w:hAnsi="Aptos"/>
          </w:rPr>
          <w:t>https://www.theoi.com/Pontios/Gorgones.html</w:t>
        </w:r>
      </w:hyperlink>
      <w:r w:rsidRPr="00FE2589">
        <w:rPr>
          <w:rFonts w:ascii="Aptos" w:hAnsi="Aptos"/>
        </w:rPr>
        <w:t xml:space="preserve"> </w:t>
      </w:r>
    </w:p>
    <w:p w14:paraId="0317D8B1" w14:textId="77777777" w:rsidR="000E07D5" w:rsidRPr="00FE2589" w:rsidRDefault="000E07D5" w:rsidP="000E07D5">
      <w:pPr>
        <w:numPr>
          <w:ilvl w:val="0"/>
          <w:numId w:val="2"/>
        </w:numPr>
        <w:spacing w:after="0" w:line="240" w:lineRule="auto"/>
        <w:rPr>
          <w:rFonts w:ascii="Aptos" w:hAnsi="Aptos"/>
        </w:rPr>
      </w:pPr>
      <w:r w:rsidRPr="00FE2589">
        <w:rPr>
          <w:rFonts w:ascii="Aptos" w:hAnsi="Aptos"/>
        </w:rPr>
        <w:t xml:space="preserve">Theoi Project (2017c) Zeus available at: </w:t>
      </w:r>
      <w:hyperlink r:id="rId70" w:history="1">
        <w:r w:rsidRPr="00FE2589">
          <w:rPr>
            <w:rStyle w:val="Hyperlink"/>
            <w:rFonts w:ascii="Aptos" w:hAnsi="Aptos"/>
          </w:rPr>
          <w:t>https://www.theoi.com/Olympios/Zeus.html</w:t>
        </w:r>
      </w:hyperlink>
      <w:r w:rsidRPr="00FE2589">
        <w:rPr>
          <w:rFonts w:ascii="Aptos" w:hAnsi="Aptos"/>
        </w:rPr>
        <w:t xml:space="preserve"> </w:t>
      </w:r>
    </w:p>
    <w:p w14:paraId="44E0A616" w14:textId="77777777" w:rsidR="000E07D5" w:rsidRPr="00FE2589" w:rsidRDefault="000E07D5" w:rsidP="000E07D5">
      <w:pPr>
        <w:numPr>
          <w:ilvl w:val="0"/>
          <w:numId w:val="2"/>
        </w:numPr>
        <w:spacing w:after="0" w:line="240" w:lineRule="auto"/>
        <w:rPr>
          <w:rFonts w:ascii="Aptos" w:hAnsi="Aptos"/>
        </w:rPr>
      </w:pPr>
      <w:r w:rsidRPr="00FE2589">
        <w:rPr>
          <w:rFonts w:ascii="Aptos" w:hAnsi="Aptos"/>
        </w:rPr>
        <w:t xml:space="preserve">Theoi Project (2017d) Zeus Epithets available at: </w:t>
      </w:r>
      <w:hyperlink r:id="rId71" w:history="1">
        <w:r w:rsidRPr="00FE2589">
          <w:rPr>
            <w:rStyle w:val="Hyperlink"/>
            <w:rFonts w:ascii="Aptos" w:hAnsi="Aptos"/>
          </w:rPr>
          <w:t>https://www.theoi.com/Cult/ZeusTitles.html</w:t>
        </w:r>
      </w:hyperlink>
      <w:r w:rsidRPr="00FE2589">
        <w:rPr>
          <w:rFonts w:ascii="Aptos" w:hAnsi="Aptos"/>
        </w:rPr>
        <w:t xml:space="preserve"> </w:t>
      </w:r>
    </w:p>
    <w:p w14:paraId="79508524" w14:textId="77777777" w:rsidR="000E07D5" w:rsidRPr="00FE2589" w:rsidRDefault="000E07D5" w:rsidP="000E07D5">
      <w:pPr>
        <w:numPr>
          <w:ilvl w:val="0"/>
          <w:numId w:val="2"/>
        </w:numPr>
        <w:spacing w:after="0" w:line="240" w:lineRule="auto"/>
        <w:rPr>
          <w:rFonts w:ascii="Aptos" w:hAnsi="Aptos"/>
        </w:rPr>
      </w:pPr>
      <w:r w:rsidRPr="00FE2589">
        <w:rPr>
          <w:rFonts w:ascii="Aptos" w:hAnsi="Aptos"/>
        </w:rPr>
        <w:t xml:space="preserve">Theoi Project (2017e) Athena available at: </w:t>
      </w:r>
      <w:hyperlink r:id="rId72" w:history="1">
        <w:r w:rsidRPr="00FE2589">
          <w:rPr>
            <w:rStyle w:val="Hyperlink"/>
            <w:rFonts w:ascii="Aptos" w:hAnsi="Aptos"/>
          </w:rPr>
          <w:t>https://www.theoi.com/Olympios/Athena.html</w:t>
        </w:r>
      </w:hyperlink>
      <w:r w:rsidRPr="00FE2589">
        <w:rPr>
          <w:rFonts w:ascii="Aptos" w:hAnsi="Aptos"/>
        </w:rPr>
        <w:t xml:space="preserve"> </w:t>
      </w:r>
    </w:p>
    <w:p w14:paraId="21109D2F" w14:textId="77777777" w:rsidR="000E07D5" w:rsidRPr="00FE2589" w:rsidRDefault="000E07D5" w:rsidP="000E07D5">
      <w:pPr>
        <w:numPr>
          <w:ilvl w:val="0"/>
          <w:numId w:val="2"/>
        </w:numPr>
        <w:spacing w:after="0" w:line="240" w:lineRule="auto"/>
        <w:rPr>
          <w:rFonts w:ascii="Aptos" w:hAnsi="Aptos"/>
        </w:rPr>
      </w:pPr>
      <w:r w:rsidRPr="00FE2589">
        <w:rPr>
          <w:rFonts w:ascii="Aptos" w:hAnsi="Aptos"/>
        </w:rPr>
        <w:t xml:space="preserve">Theoi Project (2017f) Hades available at: </w:t>
      </w:r>
      <w:hyperlink r:id="rId73" w:history="1">
        <w:r w:rsidRPr="00FE2589">
          <w:rPr>
            <w:rStyle w:val="Hyperlink"/>
            <w:rFonts w:ascii="Aptos" w:hAnsi="Aptos"/>
          </w:rPr>
          <w:t>https://www.theoi.com/Khthonios/Haides.html</w:t>
        </w:r>
      </w:hyperlink>
      <w:r w:rsidRPr="00FE2589">
        <w:rPr>
          <w:rFonts w:ascii="Aptos" w:hAnsi="Aptos"/>
        </w:rPr>
        <w:t xml:space="preserve"> </w:t>
      </w:r>
    </w:p>
    <w:p w14:paraId="156AC528" w14:textId="77777777" w:rsidR="000E07D5" w:rsidRPr="00FE2589" w:rsidRDefault="000E07D5" w:rsidP="000E07D5">
      <w:pPr>
        <w:numPr>
          <w:ilvl w:val="0"/>
          <w:numId w:val="2"/>
        </w:numPr>
        <w:spacing w:after="0" w:line="240" w:lineRule="auto"/>
        <w:rPr>
          <w:rFonts w:ascii="Aptos" w:hAnsi="Aptos"/>
        </w:rPr>
      </w:pPr>
      <w:r w:rsidRPr="00FE2589">
        <w:rPr>
          <w:rFonts w:ascii="Aptos" w:hAnsi="Aptos"/>
        </w:rPr>
        <w:t xml:space="preserve">Theoi Project (2017g) Heracles available at:  </w:t>
      </w:r>
      <w:hyperlink r:id="rId74" w:history="1">
        <w:r w:rsidRPr="00FE2589">
          <w:rPr>
            <w:rStyle w:val="Hyperlink"/>
            <w:rFonts w:ascii="Aptos" w:hAnsi="Aptos"/>
          </w:rPr>
          <w:t>https://www.theoi.com/greek-mythology/heracles.html</w:t>
        </w:r>
      </w:hyperlink>
      <w:r w:rsidRPr="00FE2589">
        <w:rPr>
          <w:rFonts w:ascii="Aptos" w:hAnsi="Aptos"/>
        </w:rPr>
        <w:t xml:space="preserve"> </w:t>
      </w:r>
    </w:p>
    <w:p w14:paraId="3C1A4209" w14:textId="77777777" w:rsidR="000E07D5" w:rsidRPr="00FE2589" w:rsidRDefault="000E07D5" w:rsidP="000E07D5">
      <w:pPr>
        <w:numPr>
          <w:ilvl w:val="0"/>
          <w:numId w:val="2"/>
        </w:numPr>
        <w:spacing w:after="0" w:line="240" w:lineRule="auto"/>
        <w:rPr>
          <w:rFonts w:ascii="Aptos" w:hAnsi="Aptos"/>
        </w:rPr>
      </w:pPr>
      <w:r w:rsidRPr="00FE2589">
        <w:rPr>
          <w:rFonts w:ascii="Aptos" w:hAnsi="Aptos"/>
        </w:rPr>
        <w:t xml:space="preserve">Theoi Project (2017h) Chimera available at: </w:t>
      </w:r>
      <w:hyperlink r:id="rId75" w:history="1">
        <w:r w:rsidRPr="00FE2589">
          <w:rPr>
            <w:rStyle w:val="Hyperlink"/>
            <w:rFonts w:ascii="Aptos" w:hAnsi="Aptos"/>
          </w:rPr>
          <w:t>https://www.theoi.com/Ther/Khimaira.html</w:t>
        </w:r>
      </w:hyperlink>
      <w:r w:rsidRPr="00FE2589">
        <w:rPr>
          <w:rFonts w:ascii="Aptos" w:hAnsi="Aptos"/>
        </w:rPr>
        <w:t xml:space="preserve"> </w:t>
      </w:r>
    </w:p>
    <w:p w14:paraId="56641714" w14:textId="77777777" w:rsidR="000E07D5" w:rsidRPr="00FE2589" w:rsidRDefault="000E07D5" w:rsidP="000E07D5">
      <w:pPr>
        <w:numPr>
          <w:ilvl w:val="0"/>
          <w:numId w:val="2"/>
        </w:numPr>
        <w:spacing w:after="0" w:line="240" w:lineRule="auto"/>
        <w:rPr>
          <w:rFonts w:ascii="Aptos" w:hAnsi="Aptos"/>
        </w:rPr>
      </w:pPr>
      <w:r w:rsidRPr="00FE2589">
        <w:rPr>
          <w:rFonts w:ascii="Aptos" w:hAnsi="Aptos"/>
        </w:rPr>
        <w:t xml:space="preserve">Theoi Project (2017i) Hydra available at: </w:t>
      </w:r>
      <w:hyperlink r:id="rId76" w:history="1">
        <w:r w:rsidRPr="00FE2589">
          <w:rPr>
            <w:rStyle w:val="Hyperlink"/>
            <w:rFonts w:ascii="Aptos" w:hAnsi="Aptos"/>
          </w:rPr>
          <w:t>https://www.theoi.com/Ther/DrakonHydra.html</w:t>
        </w:r>
      </w:hyperlink>
      <w:r w:rsidRPr="00FE2589">
        <w:rPr>
          <w:rFonts w:ascii="Aptos" w:hAnsi="Aptos"/>
        </w:rPr>
        <w:t xml:space="preserve"> </w:t>
      </w:r>
    </w:p>
    <w:p w14:paraId="58D642DD" w14:textId="77777777" w:rsidR="000E07D5" w:rsidRPr="00FE2589" w:rsidRDefault="000E07D5" w:rsidP="000E07D5">
      <w:pPr>
        <w:numPr>
          <w:ilvl w:val="0"/>
          <w:numId w:val="2"/>
        </w:numPr>
        <w:spacing w:after="0" w:line="240" w:lineRule="auto"/>
        <w:rPr>
          <w:rFonts w:ascii="Aptos" w:hAnsi="Aptos"/>
        </w:rPr>
      </w:pPr>
      <w:r w:rsidRPr="00FE2589">
        <w:rPr>
          <w:rFonts w:ascii="Aptos" w:hAnsi="Aptos"/>
        </w:rPr>
        <w:t xml:space="preserve">Theoi Project (2017j) </w:t>
      </w:r>
      <w:r w:rsidRPr="00FE2589">
        <w:rPr>
          <w:rFonts w:ascii="Aptos" w:hAnsi="Aptos"/>
          <w:i/>
          <w:iCs/>
        </w:rPr>
        <w:t>Perseus</w:t>
      </w:r>
      <w:r w:rsidRPr="00FE2589">
        <w:rPr>
          <w:rFonts w:ascii="Aptos" w:hAnsi="Aptos"/>
        </w:rPr>
        <w:t xml:space="preserve">, available at:  </w:t>
      </w:r>
      <w:hyperlink r:id="rId77" w:history="1">
        <w:r w:rsidRPr="00FE2589">
          <w:rPr>
            <w:rStyle w:val="Hyperlink"/>
            <w:rFonts w:ascii="Aptos" w:hAnsi="Aptos"/>
          </w:rPr>
          <w:t>https://www.theoi.com/Heros/Perseus.html</w:t>
        </w:r>
      </w:hyperlink>
      <w:r w:rsidRPr="00FE2589">
        <w:rPr>
          <w:rFonts w:ascii="Aptos" w:hAnsi="Aptos"/>
        </w:rPr>
        <w:t xml:space="preserve"> </w:t>
      </w:r>
    </w:p>
    <w:p w14:paraId="2ED00801" w14:textId="77777777" w:rsidR="000E07D5" w:rsidRPr="00FE2589" w:rsidRDefault="000E07D5" w:rsidP="000E07D5">
      <w:pPr>
        <w:numPr>
          <w:ilvl w:val="0"/>
          <w:numId w:val="2"/>
        </w:numPr>
        <w:spacing w:after="0" w:line="240" w:lineRule="auto"/>
        <w:rPr>
          <w:rFonts w:ascii="Aptos" w:hAnsi="Aptos"/>
        </w:rPr>
      </w:pPr>
      <w:r w:rsidRPr="00FE2589">
        <w:rPr>
          <w:rFonts w:ascii="Aptos" w:hAnsi="Aptos"/>
        </w:rPr>
        <w:t xml:space="preserve">Theoi Project (2017k) Nemean Lion available at:  </w:t>
      </w:r>
      <w:hyperlink r:id="rId78" w:history="1">
        <w:r w:rsidRPr="00FE2589">
          <w:rPr>
            <w:rStyle w:val="Hyperlink"/>
            <w:rFonts w:ascii="Aptos" w:hAnsi="Aptos"/>
          </w:rPr>
          <w:t>https://www.theoi.com/Ther/LeonNemeios.html</w:t>
        </w:r>
      </w:hyperlink>
      <w:r w:rsidRPr="00FE2589">
        <w:rPr>
          <w:rFonts w:ascii="Aptos" w:hAnsi="Aptos"/>
        </w:rPr>
        <w:t xml:space="preserve"> </w:t>
      </w:r>
    </w:p>
    <w:p w14:paraId="7DCFE188" w14:textId="77777777" w:rsidR="000E07D5" w:rsidRPr="00FE2589" w:rsidRDefault="000E07D5" w:rsidP="000E07D5">
      <w:pPr>
        <w:numPr>
          <w:ilvl w:val="0"/>
          <w:numId w:val="2"/>
        </w:numPr>
        <w:spacing w:after="0" w:line="240" w:lineRule="auto"/>
        <w:rPr>
          <w:rFonts w:ascii="Aptos" w:hAnsi="Aptos"/>
        </w:rPr>
      </w:pPr>
      <w:r w:rsidRPr="00FE2589">
        <w:rPr>
          <w:rFonts w:ascii="Aptos" w:hAnsi="Aptos"/>
        </w:rPr>
        <w:t xml:space="preserve">Theoi Project (2017l) Sirens available at:  </w:t>
      </w:r>
      <w:hyperlink r:id="rId79" w:history="1">
        <w:r w:rsidRPr="00FE2589">
          <w:rPr>
            <w:rStyle w:val="Hyperlink"/>
            <w:rFonts w:ascii="Aptos" w:hAnsi="Aptos"/>
          </w:rPr>
          <w:t>https://www.theoi.com/Pontios/Seirenes.html</w:t>
        </w:r>
      </w:hyperlink>
      <w:r w:rsidRPr="00FE2589">
        <w:rPr>
          <w:rFonts w:ascii="Aptos" w:hAnsi="Aptos"/>
        </w:rPr>
        <w:t xml:space="preserve"> </w:t>
      </w:r>
    </w:p>
    <w:p w14:paraId="2B0C1013" w14:textId="77777777" w:rsidR="000E07D5" w:rsidRPr="00FE2589" w:rsidRDefault="000E07D5" w:rsidP="000E07D5">
      <w:pPr>
        <w:numPr>
          <w:ilvl w:val="0"/>
          <w:numId w:val="2"/>
        </w:numPr>
        <w:spacing w:after="0" w:line="240" w:lineRule="auto"/>
        <w:rPr>
          <w:rFonts w:ascii="Aptos" w:hAnsi="Aptos"/>
        </w:rPr>
      </w:pPr>
      <w:r w:rsidRPr="00FE2589">
        <w:rPr>
          <w:rFonts w:ascii="Aptos" w:hAnsi="Aptos"/>
        </w:rPr>
        <w:lastRenderedPageBreak/>
        <w:t xml:space="preserve">WordToTheWise (2022) </w:t>
      </w:r>
      <w:r w:rsidRPr="00FE2589">
        <w:rPr>
          <w:rFonts w:ascii="Aptos" w:hAnsi="Aptos"/>
          <w:i/>
          <w:iCs/>
        </w:rPr>
        <w:t>“You Should Be A Monster” | Jordan Peterson Motivation</w:t>
      </w:r>
      <w:r w:rsidRPr="00FE2589">
        <w:rPr>
          <w:rFonts w:ascii="Aptos" w:hAnsi="Aptos"/>
        </w:rPr>
        <w:t xml:space="preserve"> available at: </w:t>
      </w:r>
      <w:hyperlink r:id="rId80" w:history="1">
        <w:r w:rsidRPr="00FE2589">
          <w:rPr>
            <w:rStyle w:val="Hyperlink"/>
            <w:rFonts w:ascii="Aptos" w:hAnsi="Aptos"/>
          </w:rPr>
          <w:t>https://www.youtube.com/watch?v=-gYpCIbZjUQ</w:t>
        </w:r>
      </w:hyperlink>
      <w:r w:rsidRPr="00FE2589">
        <w:rPr>
          <w:rFonts w:ascii="Aptos" w:hAnsi="Aptos"/>
        </w:rPr>
        <w:t xml:space="preserve"> </w:t>
      </w:r>
    </w:p>
    <w:p w14:paraId="08D17183" w14:textId="77777777" w:rsidR="000E07D5" w:rsidRDefault="000E07D5" w:rsidP="000E07D5">
      <w:pPr>
        <w:pStyle w:val="Heading1"/>
        <w:spacing w:line="240" w:lineRule="auto"/>
      </w:pPr>
      <w:r>
        <w:t>Modern Media</w:t>
      </w:r>
    </w:p>
    <w:p w14:paraId="65FC6270" w14:textId="77777777" w:rsidR="000E07D5" w:rsidRPr="00D42125" w:rsidRDefault="000E07D5" w:rsidP="000E07D5">
      <w:pPr>
        <w:numPr>
          <w:ilvl w:val="0"/>
          <w:numId w:val="2"/>
        </w:numPr>
        <w:spacing w:after="0" w:line="240" w:lineRule="auto"/>
        <w:rPr>
          <w:rFonts w:ascii="Aptos" w:hAnsi="Aptos"/>
        </w:rPr>
      </w:pPr>
      <w:r w:rsidRPr="00D42125">
        <w:rPr>
          <w:rFonts w:ascii="Aptos" w:hAnsi="Aptos"/>
        </w:rPr>
        <w:t xml:space="preserve">Bethesda, (2006), </w:t>
      </w:r>
      <w:r w:rsidRPr="00D42125">
        <w:rPr>
          <w:rFonts w:ascii="Aptos" w:hAnsi="Aptos"/>
          <w:i/>
          <w:iCs/>
        </w:rPr>
        <w:t>Elder Scrolls 4 Oblivion</w:t>
      </w:r>
      <w:r w:rsidRPr="00D42125">
        <w:rPr>
          <w:rFonts w:ascii="Aptos" w:hAnsi="Aptos"/>
        </w:rPr>
        <w:t xml:space="preserve"> [video game]</w:t>
      </w:r>
    </w:p>
    <w:p w14:paraId="1E595734" w14:textId="77777777" w:rsidR="000E07D5" w:rsidRPr="00D42125" w:rsidRDefault="000E07D5" w:rsidP="000E07D5">
      <w:pPr>
        <w:numPr>
          <w:ilvl w:val="0"/>
          <w:numId w:val="2"/>
        </w:numPr>
        <w:spacing w:after="0" w:line="240" w:lineRule="auto"/>
        <w:rPr>
          <w:rFonts w:ascii="Aptos" w:hAnsi="Aptos"/>
        </w:rPr>
      </w:pPr>
      <w:r w:rsidRPr="00D42125">
        <w:rPr>
          <w:rFonts w:ascii="Aptos" w:hAnsi="Aptos"/>
        </w:rPr>
        <w:t xml:space="preserve">Bethesda, (2011), </w:t>
      </w:r>
      <w:r w:rsidRPr="00D42125">
        <w:rPr>
          <w:rFonts w:ascii="Aptos" w:hAnsi="Aptos"/>
          <w:i/>
          <w:iCs/>
        </w:rPr>
        <w:t>Elder Scrolls 5 Skyrim</w:t>
      </w:r>
      <w:r w:rsidRPr="00D42125">
        <w:rPr>
          <w:rFonts w:ascii="Aptos" w:hAnsi="Aptos"/>
        </w:rPr>
        <w:t xml:space="preserve"> [video game]</w:t>
      </w:r>
    </w:p>
    <w:p w14:paraId="64732AAC" w14:textId="77777777" w:rsidR="000E07D5" w:rsidRPr="00D42125" w:rsidRDefault="000E07D5" w:rsidP="000E07D5">
      <w:pPr>
        <w:numPr>
          <w:ilvl w:val="0"/>
          <w:numId w:val="2"/>
        </w:numPr>
        <w:spacing w:after="0" w:line="240" w:lineRule="auto"/>
        <w:rPr>
          <w:rFonts w:ascii="Aptos" w:hAnsi="Aptos"/>
        </w:rPr>
      </w:pPr>
      <w:r w:rsidRPr="00D42125">
        <w:rPr>
          <w:rFonts w:ascii="Aptos" w:hAnsi="Aptos"/>
        </w:rPr>
        <w:t xml:space="preserve">Bluehole Studio, (2011), </w:t>
      </w:r>
      <w:r w:rsidRPr="00D42125">
        <w:rPr>
          <w:rFonts w:ascii="Aptos" w:hAnsi="Aptos"/>
          <w:i/>
          <w:iCs/>
        </w:rPr>
        <w:t>TERA (The Exiled Realm of Arborea)</w:t>
      </w:r>
      <w:r w:rsidRPr="00D42125">
        <w:rPr>
          <w:rFonts w:ascii="Aptos" w:hAnsi="Aptos"/>
        </w:rPr>
        <w:t xml:space="preserve"> [video game]</w:t>
      </w:r>
    </w:p>
    <w:p w14:paraId="3138FEF2" w14:textId="77777777" w:rsidR="000E07D5" w:rsidRPr="00D42125" w:rsidRDefault="000E07D5" w:rsidP="000E07D5">
      <w:pPr>
        <w:numPr>
          <w:ilvl w:val="0"/>
          <w:numId w:val="2"/>
        </w:numPr>
        <w:spacing w:after="0" w:line="240" w:lineRule="auto"/>
        <w:rPr>
          <w:rFonts w:ascii="Aptos" w:hAnsi="Aptos"/>
        </w:rPr>
      </w:pPr>
      <w:r w:rsidRPr="00D42125">
        <w:rPr>
          <w:rFonts w:ascii="Aptos" w:hAnsi="Aptos"/>
          <w:i/>
          <w:iCs/>
        </w:rPr>
        <w:t>CarousHELL</w:t>
      </w:r>
      <w:r w:rsidRPr="00D42125">
        <w:rPr>
          <w:rFonts w:ascii="Aptos" w:hAnsi="Aptos"/>
        </w:rPr>
        <w:t xml:space="preserve"> (2016) directed by Steve Rudzinski, [film] Silver Spotlight Films</w:t>
      </w:r>
    </w:p>
    <w:p w14:paraId="72996A6B" w14:textId="77777777" w:rsidR="000E07D5" w:rsidRPr="00D42125" w:rsidRDefault="000E07D5" w:rsidP="000E07D5">
      <w:pPr>
        <w:numPr>
          <w:ilvl w:val="0"/>
          <w:numId w:val="2"/>
        </w:numPr>
        <w:spacing w:after="0" w:line="240" w:lineRule="auto"/>
        <w:rPr>
          <w:rFonts w:ascii="Aptos" w:hAnsi="Aptos"/>
        </w:rPr>
      </w:pPr>
      <w:r w:rsidRPr="00D42125">
        <w:rPr>
          <w:rFonts w:ascii="Aptos" w:hAnsi="Aptos"/>
        </w:rPr>
        <w:t xml:space="preserve">Chu Gong, (2016-2018), </w:t>
      </w:r>
      <w:r w:rsidRPr="00D42125">
        <w:rPr>
          <w:rFonts w:ascii="Aptos" w:hAnsi="Aptos"/>
          <w:i/>
          <w:iCs/>
        </w:rPr>
        <w:t>Solo Leveling</w:t>
      </w:r>
      <w:r w:rsidRPr="00D42125">
        <w:rPr>
          <w:rFonts w:ascii="Aptos" w:hAnsi="Aptos"/>
        </w:rPr>
        <w:t xml:space="preserve"> [webnovel]</w:t>
      </w:r>
    </w:p>
    <w:p w14:paraId="02948947" w14:textId="77777777" w:rsidR="000E07D5" w:rsidRPr="00D42125" w:rsidRDefault="000E07D5" w:rsidP="000E07D5">
      <w:pPr>
        <w:numPr>
          <w:ilvl w:val="0"/>
          <w:numId w:val="2"/>
        </w:numPr>
        <w:spacing w:after="0" w:line="240" w:lineRule="auto"/>
        <w:rPr>
          <w:rFonts w:ascii="Aptos" w:hAnsi="Aptos"/>
        </w:rPr>
      </w:pPr>
      <w:r w:rsidRPr="00D42125">
        <w:rPr>
          <w:rFonts w:ascii="Aptos" w:hAnsi="Aptos"/>
        </w:rPr>
        <w:t xml:space="preserve">CJ Project Red (2007) </w:t>
      </w:r>
      <w:r w:rsidRPr="00D42125">
        <w:rPr>
          <w:rFonts w:ascii="Aptos" w:hAnsi="Aptos"/>
          <w:i/>
          <w:iCs/>
        </w:rPr>
        <w:t>The Witcher 1</w:t>
      </w:r>
      <w:r w:rsidRPr="00D42125">
        <w:rPr>
          <w:rFonts w:ascii="Aptos" w:hAnsi="Aptos"/>
        </w:rPr>
        <w:t xml:space="preserve"> [game]</w:t>
      </w:r>
    </w:p>
    <w:p w14:paraId="17632CC1" w14:textId="77777777" w:rsidR="000E07D5" w:rsidRPr="00D42125" w:rsidRDefault="000E07D5" w:rsidP="000E07D5">
      <w:pPr>
        <w:numPr>
          <w:ilvl w:val="0"/>
          <w:numId w:val="2"/>
        </w:numPr>
        <w:spacing w:after="0" w:line="240" w:lineRule="auto"/>
        <w:rPr>
          <w:rFonts w:ascii="Aptos" w:hAnsi="Aptos"/>
        </w:rPr>
      </w:pPr>
      <w:r w:rsidRPr="00D42125">
        <w:rPr>
          <w:rFonts w:ascii="Aptos" w:hAnsi="Aptos"/>
        </w:rPr>
        <w:t xml:space="preserve">CJ Project Red (2011) </w:t>
      </w:r>
      <w:r w:rsidRPr="00D42125">
        <w:rPr>
          <w:rFonts w:ascii="Aptos" w:hAnsi="Aptos"/>
          <w:i/>
          <w:iCs/>
        </w:rPr>
        <w:t>The Witcher 2: Assassins of Kings</w:t>
      </w:r>
      <w:r w:rsidRPr="00D42125">
        <w:rPr>
          <w:rFonts w:ascii="Aptos" w:hAnsi="Aptos"/>
        </w:rPr>
        <w:t xml:space="preserve"> [game]</w:t>
      </w:r>
    </w:p>
    <w:p w14:paraId="52B8B84A" w14:textId="77777777" w:rsidR="000E07D5" w:rsidRPr="00D42125" w:rsidRDefault="000E07D5" w:rsidP="000E07D5">
      <w:pPr>
        <w:numPr>
          <w:ilvl w:val="0"/>
          <w:numId w:val="2"/>
        </w:numPr>
        <w:spacing w:after="0" w:line="240" w:lineRule="auto"/>
        <w:rPr>
          <w:rFonts w:ascii="Aptos" w:hAnsi="Aptos"/>
        </w:rPr>
      </w:pPr>
      <w:r w:rsidRPr="00D42125">
        <w:rPr>
          <w:rFonts w:ascii="Aptos" w:hAnsi="Aptos"/>
        </w:rPr>
        <w:t xml:space="preserve">CJ Project Red (2015) </w:t>
      </w:r>
      <w:r w:rsidRPr="00D42125">
        <w:rPr>
          <w:rFonts w:ascii="Aptos" w:hAnsi="Aptos"/>
          <w:i/>
          <w:iCs/>
        </w:rPr>
        <w:t>The Witcher 3: Wild Hunt</w:t>
      </w:r>
      <w:r w:rsidRPr="00D42125">
        <w:rPr>
          <w:rFonts w:ascii="Aptos" w:hAnsi="Aptos"/>
        </w:rPr>
        <w:t xml:space="preserve"> [game]</w:t>
      </w:r>
    </w:p>
    <w:p w14:paraId="1382C700" w14:textId="77777777" w:rsidR="000E07D5" w:rsidRPr="00D42125" w:rsidRDefault="000E07D5" w:rsidP="000E07D5">
      <w:pPr>
        <w:numPr>
          <w:ilvl w:val="0"/>
          <w:numId w:val="2"/>
        </w:numPr>
        <w:spacing w:after="0" w:line="240" w:lineRule="auto"/>
        <w:rPr>
          <w:rFonts w:ascii="Aptos" w:hAnsi="Aptos"/>
        </w:rPr>
      </w:pPr>
      <w:r w:rsidRPr="00D42125">
        <w:rPr>
          <w:rFonts w:ascii="Aptos" w:hAnsi="Aptos"/>
          <w:i/>
          <w:iCs/>
        </w:rPr>
        <w:t>Clash of the Titans</w:t>
      </w:r>
      <w:r w:rsidRPr="00D42125">
        <w:rPr>
          <w:rFonts w:ascii="Aptos" w:hAnsi="Aptos"/>
        </w:rPr>
        <w:t xml:space="preserve"> (2010), directed by Louis Leterrier [film] Warner Bros</w:t>
      </w:r>
    </w:p>
    <w:p w14:paraId="1B1915DB" w14:textId="77777777" w:rsidR="000E07D5" w:rsidRPr="00AB4691" w:rsidRDefault="000E07D5" w:rsidP="000E07D5">
      <w:pPr>
        <w:numPr>
          <w:ilvl w:val="0"/>
          <w:numId w:val="2"/>
        </w:numPr>
        <w:spacing w:after="0" w:line="240" w:lineRule="auto"/>
        <w:rPr>
          <w:rFonts w:ascii="Aptos" w:hAnsi="Aptos"/>
        </w:rPr>
      </w:pPr>
      <w:r w:rsidRPr="00D42125">
        <w:rPr>
          <w:rFonts w:ascii="Aptos" w:hAnsi="Aptos"/>
          <w:i/>
          <w:iCs/>
        </w:rPr>
        <w:t>Death of a Unicorn</w:t>
      </w:r>
      <w:r w:rsidRPr="00D42125">
        <w:rPr>
          <w:rFonts w:ascii="Aptos" w:hAnsi="Aptos"/>
        </w:rPr>
        <w:t xml:space="preserve"> (2025) directed by Alex Scharfman [film] Ley Line Entertainment</w:t>
      </w:r>
    </w:p>
    <w:p w14:paraId="2C6837A5" w14:textId="77777777" w:rsidR="000E07D5" w:rsidRPr="00AB4691" w:rsidRDefault="000E07D5" w:rsidP="000E07D5">
      <w:pPr>
        <w:numPr>
          <w:ilvl w:val="0"/>
          <w:numId w:val="2"/>
        </w:numPr>
        <w:spacing w:after="0" w:line="240" w:lineRule="auto"/>
        <w:rPr>
          <w:rFonts w:ascii="Aptos" w:hAnsi="Aptos"/>
        </w:rPr>
      </w:pPr>
      <w:r w:rsidRPr="00AB4691">
        <w:rPr>
          <w:rFonts w:ascii="Aptos" w:hAnsi="Aptos"/>
          <w:i/>
          <w:iCs/>
        </w:rPr>
        <w:t>Druid of Seoul Station</w:t>
      </w:r>
      <w:r w:rsidRPr="00AB4691">
        <w:rPr>
          <w:rFonts w:ascii="Aptos" w:hAnsi="Aptos"/>
        </w:rPr>
        <w:t xml:space="preserve"> (2021-present) Original work by Jin Seol Woo, adapted by Mun sung ho, art by liveBear [web comic]</w:t>
      </w:r>
    </w:p>
    <w:p w14:paraId="352B7A8D" w14:textId="77777777" w:rsidR="000E07D5" w:rsidRPr="00AB4691" w:rsidRDefault="000E07D5" w:rsidP="000E07D5">
      <w:pPr>
        <w:numPr>
          <w:ilvl w:val="0"/>
          <w:numId w:val="2"/>
        </w:numPr>
        <w:spacing w:after="0" w:line="240" w:lineRule="auto"/>
        <w:rPr>
          <w:rFonts w:ascii="Aptos" w:hAnsi="Aptos"/>
        </w:rPr>
      </w:pPr>
      <w:r w:rsidRPr="00AB4691">
        <w:rPr>
          <w:rFonts w:ascii="Aptos" w:hAnsi="Aptos"/>
          <w:i/>
          <w:iCs/>
        </w:rPr>
        <w:t>From a Knight to a Lady</w:t>
      </w:r>
      <w:r w:rsidRPr="00AB4691">
        <w:rPr>
          <w:rFonts w:ascii="Aptos" w:hAnsi="Aptos"/>
        </w:rPr>
        <w:t xml:space="preserve"> (2021-present) Original work by Hyerim Sung  [web comic]</w:t>
      </w:r>
    </w:p>
    <w:p w14:paraId="6009433F" w14:textId="77777777" w:rsidR="000E07D5" w:rsidRPr="00AB4691" w:rsidRDefault="000E07D5" w:rsidP="000E07D5">
      <w:pPr>
        <w:pStyle w:val="FootnoteText"/>
        <w:numPr>
          <w:ilvl w:val="0"/>
          <w:numId w:val="2"/>
        </w:numPr>
        <w:rPr>
          <w:rFonts w:ascii="Aptos" w:hAnsi="Aptos"/>
          <w:sz w:val="24"/>
          <w:szCs w:val="24"/>
        </w:rPr>
      </w:pPr>
      <w:r w:rsidRPr="00AB4691">
        <w:rPr>
          <w:rFonts w:ascii="Aptos" w:hAnsi="Aptos"/>
          <w:sz w:val="24"/>
          <w:szCs w:val="24"/>
        </w:rPr>
        <w:t xml:space="preserve">Karoglou, K., (February 2018 – February 2019) </w:t>
      </w:r>
      <w:r w:rsidRPr="00AB4691">
        <w:rPr>
          <w:rFonts w:ascii="Aptos" w:hAnsi="Aptos"/>
          <w:i/>
          <w:iCs/>
          <w:sz w:val="24"/>
          <w:szCs w:val="24"/>
        </w:rPr>
        <w:t>Dangerous Beauty: Medusa in Classical Art</w:t>
      </w:r>
      <w:r w:rsidRPr="00AB4691">
        <w:rPr>
          <w:rFonts w:ascii="Aptos" w:hAnsi="Aptos"/>
          <w:sz w:val="24"/>
          <w:szCs w:val="24"/>
        </w:rPr>
        <w:t xml:space="preserve"> [exhibition] </w:t>
      </w:r>
    </w:p>
    <w:p w14:paraId="5E65A16D" w14:textId="77777777" w:rsidR="000E07D5" w:rsidRPr="00AB4691" w:rsidRDefault="000E07D5" w:rsidP="000E07D5">
      <w:pPr>
        <w:numPr>
          <w:ilvl w:val="0"/>
          <w:numId w:val="2"/>
        </w:numPr>
        <w:spacing w:after="0" w:line="240" w:lineRule="auto"/>
        <w:rPr>
          <w:rFonts w:ascii="Aptos" w:hAnsi="Aptos"/>
        </w:rPr>
      </w:pPr>
      <w:r w:rsidRPr="00AB4691">
        <w:rPr>
          <w:rFonts w:ascii="Aptos" w:hAnsi="Aptos"/>
          <w:i/>
          <w:iCs/>
        </w:rPr>
        <w:t>Monster</w:t>
      </w:r>
      <w:r w:rsidRPr="00AB4691">
        <w:rPr>
          <w:rFonts w:ascii="Aptos" w:hAnsi="Aptos"/>
        </w:rPr>
        <w:t xml:space="preserve"> (2003), directed by Patty Jenkins [film] Media 8 Entertainment</w:t>
      </w:r>
    </w:p>
    <w:p w14:paraId="7BEEAEC2" w14:textId="77777777" w:rsidR="000E07D5" w:rsidRPr="00D42125" w:rsidRDefault="000E07D5" w:rsidP="000E07D5">
      <w:pPr>
        <w:numPr>
          <w:ilvl w:val="0"/>
          <w:numId w:val="2"/>
        </w:numPr>
        <w:spacing w:after="0" w:line="240" w:lineRule="auto"/>
        <w:rPr>
          <w:rFonts w:ascii="Aptos" w:hAnsi="Aptos"/>
        </w:rPr>
      </w:pPr>
      <w:r w:rsidRPr="00AB4691">
        <w:rPr>
          <w:rFonts w:ascii="Aptos" w:hAnsi="Aptos"/>
        </w:rPr>
        <w:t xml:space="preserve">‘Mother’s Mercy’ (2015), </w:t>
      </w:r>
      <w:r w:rsidRPr="00AB4691">
        <w:rPr>
          <w:rFonts w:ascii="Aptos" w:hAnsi="Aptos"/>
          <w:i/>
          <w:iCs/>
        </w:rPr>
        <w:t>Game of Thrones</w:t>
      </w:r>
      <w:r w:rsidRPr="00AB4691">
        <w:rPr>
          <w:rFonts w:ascii="Aptos" w:hAnsi="Aptos"/>
        </w:rPr>
        <w:t>, Season 5 Episode</w:t>
      </w:r>
      <w:r w:rsidRPr="00D42125">
        <w:rPr>
          <w:rFonts w:ascii="Aptos" w:hAnsi="Aptos"/>
        </w:rPr>
        <w:t xml:space="preserve"> 10, HBO</w:t>
      </w:r>
    </w:p>
    <w:p w14:paraId="0EB3325B" w14:textId="77777777" w:rsidR="000E07D5" w:rsidRPr="00D42125" w:rsidRDefault="000E07D5" w:rsidP="000E07D5">
      <w:pPr>
        <w:numPr>
          <w:ilvl w:val="0"/>
          <w:numId w:val="2"/>
        </w:numPr>
        <w:spacing w:after="0" w:line="240" w:lineRule="auto"/>
        <w:rPr>
          <w:rFonts w:ascii="Aptos" w:hAnsi="Aptos"/>
        </w:rPr>
      </w:pPr>
      <w:r w:rsidRPr="00D42125">
        <w:rPr>
          <w:rFonts w:ascii="Aptos" w:hAnsi="Aptos"/>
          <w:i/>
          <w:iCs/>
        </w:rPr>
        <w:t>Myths and Monsters</w:t>
      </w:r>
      <w:r w:rsidRPr="00D42125">
        <w:rPr>
          <w:rFonts w:ascii="Aptos" w:hAnsi="Aptos"/>
        </w:rPr>
        <w:t xml:space="preserve"> series (2017) [TV Show]</w:t>
      </w:r>
    </w:p>
    <w:p w14:paraId="0B9F7380" w14:textId="77777777" w:rsidR="000E07D5" w:rsidRPr="00D42125" w:rsidRDefault="000E07D5" w:rsidP="000E07D5">
      <w:pPr>
        <w:numPr>
          <w:ilvl w:val="0"/>
          <w:numId w:val="2"/>
        </w:numPr>
        <w:spacing w:after="0" w:line="240" w:lineRule="auto"/>
        <w:rPr>
          <w:rFonts w:ascii="Aptos" w:hAnsi="Aptos"/>
          <w:i/>
          <w:iCs/>
        </w:rPr>
      </w:pPr>
      <w:r w:rsidRPr="00D42125">
        <w:rPr>
          <w:rFonts w:ascii="Aptos" w:hAnsi="Aptos"/>
        </w:rPr>
        <w:t>Park Saenal, (2017-2024) Overgeared [webnovel]</w:t>
      </w:r>
    </w:p>
    <w:p w14:paraId="7F1EAFF1" w14:textId="77777777" w:rsidR="000E07D5" w:rsidRPr="00D42125" w:rsidRDefault="000E07D5" w:rsidP="000E07D5">
      <w:pPr>
        <w:numPr>
          <w:ilvl w:val="0"/>
          <w:numId w:val="2"/>
        </w:numPr>
        <w:spacing w:after="0" w:line="240" w:lineRule="auto"/>
        <w:rPr>
          <w:rFonts w:ascii="Aptos" w:hAnsi="Aptos"/>
        </w:rPr>
      </w:pPr>
      <w:r w:rsidRPr="00D42125">
        <w:rPr>
          <w:rFonts w:ascii="Aptos" w:hAnsi="Aptos"/>
          <w:i/>
          <w:iCs/>
        </w:rPr>
        <w:t>Percy Jackson and the Lightning Thief</w:t>
      </w:r>
      <w:r w:rsidRPr="00D42125">
        <w:rPr>
          <w:rFonts w:ascii="Aptos" w:hAnsi="Aptos"/>
        </w:rPr>
        <w:t xml:space="preserve"> (2010) directed by Chris Columbus [film] Fox Pictures</w:t>
      </w:r>
    </w:p>
    <w:p w14:paraId="5750A477" w14:textId="77777777" w:rsidR="000E07D5" w:rsidRPr="00D42125" w:rsidRDefault="000E07D5" w:rsidP="000E07D5">
      <w:pPr>
        <w:numPr>
          <w:ilvl w:val="0"/>
          <w:numId w:val="2"/>
        </w:numPr>
        <w:spacing w:after="0" w:line="240" w:lineRule="auto"/>
        <w:rPr>
          <w:rFonts w:ascii="Aptos" w:hAnsi="Aptos"/>
        </w:rPr>
      </w:pPr>
      <w:r w:rsidRPr="00D42125">
        <w:rPr>
          <w:rFonts w:ascii="Aptos" w:hAnsi="Aptos"/>
          <w:i/>
          <w:iCs/>
        </w:rPr>
        <w:t>Percy Jackson and the Olympians</w:t>
      </w:r>
      <w:r w:rsidRPr="00D42125">
        <w:rPr>
          <w:rFonts w:ascii="Aptos" w:hAnsi="Aptos"/>
        </w:rPr>
        <w:t xml:space="preserve"> Season 1 (2023) [Disney+] </w:t>
      </w:r>
    </w:p>
    <w:p w14:paraId="4BC24312" w14:textId="77777777" w:rsidR="000E07D5" w:rsidRPr="00D42125" w:rsidRDefault="000E07D5" w:rsidP="000E07D5">
      <w:pPr>
        <w:numPr>
          <w:ilvl w:val="0"/>
          <w:numId w:val="2"/>
        </w:numPr>
        <w:spacing w:after="0" w:line="240" w:lineRule="auto"/>
        <w:rPr>
          <w:rFonts w:ascii="Aptos" w:hAnsi="Aptos"/>
        </w:rPr>
      </w:pPr>
      <w:r w:rsidRPr="00D42125">
        <w:rPr>
          <w:rFonts w:ascii="Aptos" w:hAnsi="Aptos"/>
          <w:i/>
          <w:iCs/>
        </w:rPr>
        <w:t>Rings of Power</w:t>
      </w:r>
      <w:r w:rsidRPr="00D42125">
        <w:rPr>
          <w:rFonts w:ascii="Aptos" w:hAnsi="Aptos"/>
        </w:rPr>
        <w:t xml:space="preserve"> (2022-present) [Amazon Prime]</w:t>
      </w:r>
    </w:p>
    <w:p w14:paraId="7693DB35" w14:textId="77777777" w:rsidR="000E07D5" w:rsidRPr="00D42125" w:rsidRDefault="000E07D5" w:rsidP="000E07D5">
      <w:pPr>
        <w:numPr>
          <w:ilvl w:val="0"/>
          <w:numId w:val="2"/>
        </w:numPr>
        <w:spacing w:after="0" w:line="240" w:lineRule="auto"/>
        <w:rPr>
          <w:rFonts w:ascii="Aptos" w:hAnsi="Aptos"/>
        </w:rPr>
      </w:pPr>
      <w:r w:rsidRPr="00D42125">
        <w:rPr>
          <w:rFonts w:ascii="Aptos" w:hAnsi="Aptos"/>
          <w:i/>
          <w:iCs/>
        </w:rPr>
        <w:t>Shrek</w:t>
      </w:r>
      <w:r w:rsidRPr="00D42125">
        <w:rPr>
          <w:rFonts w:ascii="Aptos" w:hAnsi="Aptos"/>
        </w:rPr>
        <w:t xml:space="preserve"> (2001) directed by Andrew Adamson and Vicky Jenson [film] Dreamworks</w:t>
      </w:r>
    </w:p>
    <w:p w14:paraId="214D8002" w14:textId="77777777" w:rsidR="000E07D5" w:rsidRPr="00D42125" w:rsidRDefault="000E07D5" w:rsidP="000E07D5">
      <w:pPr>
        <w:numPr>
          <w:ilvl w:val="0"/>
          <w:numId w:val="2"/>
        </w:numPr>
        <w:spacing w:after="0" w:line="240" w:lineRule="auto"/>
        <w:rPr>
          <w:rFonts w:ascii="Aptos" w:hAnsi="Aptos"/>
        </w:rPr>
      </w:pPr>
      <w:r w:rsidRPr="00D42125">
        <w:rPr>
          <w:rFonts w:ascii="Aptos" w:hAnsi="Aptos"/>
          <w:i/>
          <w:iCs/>
        </w:rPr>
        <w:t>Star Wars: Revenge of the Sith</w:t>
      </w:r>
      <w:r w:rsidRPr="00D42125">
        <w:rPr>
          <w:rFonts w:ascii="Aptos" w:hAnsi="Aptos"/>
        </w:rPr>
        <w:t xml:space="preserve"> (2005) directed by George Lucas [film] Lucasfilm</w:t>
      </w:r>
    </w:p>
    <w:p w14:paraId="35349B07" w14:textId="77777777" w:rsidR="000E07D5" w:rsidRPr="00D42125" w:rsidRDefault="000E07D5" w:rsidP="000E07D5">
      <w:pPr>
        <w:numPr>
          <w:ilvl w:val="0"/>
          <w:numId w:val="2"/>
        </w:numPr>
        <w:spacing w:after="0" w:line="240" w:lineRule="auto"/>
        <w:rPr>
          <w:rFonts w:ascii="Aptos" w:hAnsi="Aptos"/>
        </w:rPr>
      </w:pPr>
      <w:r w:rsidRPr="00D42125">
        <w:rPr>
          <w:rFonts w:ascii="Aptos" w:hAnsi="Aptos"/>
          <w:i/>
          <w:iCs/>
        </w:rPr>
        <w:t>Tarnation</w:t>
      </w:r>
      <w:r w:rsidRPr="00D42125">
        <w:rPr>
          <w:rFonts w:ascii="Aptos" w:hAnsi="Aptos"/>
        </w:rPr>
        <w:t xml:space="preserve"> (2017) directed by Daniel Armstrong [film] MultiVisionnaire Media</w:t>
      </w:r>
    </w:p>
    <w:p w14:paraId="3E2C2E44" w14:textId="77777777" w:rsidR="000E07D5" w:rsidRPr="00D42125" w:rsidRDefault="000E07D5" w:rsidP="000E07D5">
      <w:pPr>
        <w:numPr>
          <w:ilvl w:val="0"/>
          <w:numId w:val="2"/>
        </w:numPr>
        <w:spacing w:after="0" w:line="240" w:lineRule="auto"/>
        <w:rPr>
          <w:rFonts w:ascii="Aptos" w:hAnsi="Aptos"/>
        </w:rPr>
      </w:pPr>
      <w:r w:rsidRPr="00D42125">
        <w:rPr>
          <w:rFonts w:ascii="Aptos" w:hAnsi="Aptos"/>
          <w:i/>
          <w:iCs/>
        </w:rPr>
        <w:t>The Lone Necromancer</w:t>
      </w:r>
      <w:r w:rsidRPr="00D42125">
        <w:rPr>
          <w:rFonts w:ascii="Aptos" w:hAnsi="Aptos"/>
        </w:rPr>
        <w:t xml:space="preserve"> (2021-present) Original work by JJJ, adapted by KIM KYOUNG-YEOL art by KIM DONG-JUN [web comic]</w:t>
      </w:r>
    </w:p>
    <w:p w14:paraId="3FF7AE8F" w14:textId="77777777" w:rsidR="000E07D5" w:rsidRPr="00D42125" w:rsidRDefault="000E07D5" w:rsidP="000E07D5">
      <w:pPr>
        <w:numPr>
          <w:ilvl w:val="0"/>
          <w:numId w:val="2"/>
        </w:numPr>
        <w:spacing w:after="0" w:line="240" w:lineRule="auto"/>
        <w:rPr>
          <w:rFonts w:ascii="Aptos" w:hAnsi="Aptos"/>
        </w:rPr>
      </w:pPr>
      <w:r w:rsidRPr="00D42125">
        <w:rPr>
          <w:rFonts w:ascii="Aptos" w:hAnsi="Aptos"/>
          <w:i/>
          <w:iCs/>
        </w:rPr>
        <w:t>The Perfect Hybrid</w:t>
      </w:r>
      <w:r w:rsidRPr="00D42125">
        <w:rPr>
          <w:rFonts w:ascii="Aptos" w:hAnsi="Aptos"/>
        </w:rPr>
        <w:t xml:space="preserve"> (2023-present) Original work by SOULPUNG, adapted by ZAINO, art by KKUDADK and Clover [web comic]</w:t>
      </w:r>
    </w:p>
    <w:p w14:paraId="1BF08535" w14:textId="77777777" w:rsidR="000E07D5" w:rsidRDefault="000E07D5" w:rsidP="000E07D5">
      <w:pPr>
        <w:numPr>
          <w:ilvl w:val="0"/>
          <w:numId w:val="2"/>
        </w:numPr>
        <w:spacing w:after="0" w:line="240" w:lineRule="auto"/>
        <w:rPr>
          <w:rFonts w:ascii="Aptos" w:hAnsi="Aptos"/>
        </w:rPr>
      </w:pPr>
      <w:r w:rsidRPr="00D42125">
        <w:rPr>
          <w:rFonts w:ascii="Aptos" w:hAnsi="Aptos"/>
          <w:i/>
          <w:iCs/>
        </w:rPr>
        <w:t>The Witcher</w:t>
      </w:r>
      <w:r w:rsidRPr="00D42125">
        <w:rPr>
          <w:rFonts w:ascii="Aptos" w:hAnsi="Aptos"/>
        </w:rPr>
        <w:t xml:space="preserve"> Seasons 1-4 (2019-current) [Netflix]</w:t>
      </w:r>
    </w:p>
    <w:p w14:paraId="75331340" w14:textId="77777777" w:rsidR="000E07D5" w:rsidRPr="00D42125" w:rsidRDefault="000E07D5" w:rsidP="000E07D5">
      <w:pPr>
        <w:numPr>
          <w:ilvl w:val="0"/>
          <w:numId w:val="2"/>
        </w:numPr>
        <w:spacing w:after="0" w:line="360" w:lineRule="auto"/>
        <w:textAlignment w:val="baseline"/>
        <w:rPr>
          <w:rFonts w:ascii="Aptos" w:hAnsi="Aptos" w:cstheme="majorHAnsi"/>
          <w:color w:val="000000"/>
        </w:rPr>
      </w:pPr>
      <w:r w:rsidRPr="00D42125">
        <w:rPr>
          <w:rFonts w:ascii="Aptos" w:eastAsia="Times New Roman" w:hAnsi="Aptos" w:cstheme="majorHAnsi"/>
          <w:color w:val="000000"/>
        </w:rPr>
        <w:t xml:space="preserve">Ubisoft, (2018), </w:t>
      </w:r>
      <w:r w:rsidRPr="00D42125">
        <w:rPr>
          <w:rFonts w:ascii="Aptos" w:eastAsia="Times New Roman" w:hAnsi="Aptos" w:cstheme="majorHAnsi"/>
          <w:i/>
          <w:iCs/>
          <w:color w:val="000000"/>
        </w:rPr>
        <w:t>Assassin’s Creed: Odyssey</w:t>
      </w:r>
      <w:r w:rsidRPr="00D42125">
        <w:rPr>
          <w:rFonts w:ascii="Aptos" w:eastAsia="Times New Roman" w:hAnsi="Aptos" w:cstheme="majorHAnsi"/>
          <w:color w:val="000000"/>
        </w:rPr>
        <w:t xml:space="preserve"> [video game]</w:t>
      </w:r>
    </w:p>
    <w:p w14:paraId="437665A7" w14:textId="77777777" w:rsidR="000E07D5" w:rsidRDefault="000E07D5" w:rsidP="000E07D5">
      <w:pPr>
        <w:numPr>
          <w:ilvl w:val="0"/>
          <w:numId w:val="2"/>
        </w:numPr>
        <w:spacing w:after="0" w:line="240" w:lineRule="auto"/>
        <w:rPr>
          <w:rFonts w:ascii="Aptos" w:hAnsi="Aptos"/>
        </w:rPr>
      </w:pPr>
      <w:r w:rsidRPr="00D42125">
        <w:rPr>
          <w:rFonts w:ascii="Aptos" w:hAnsi="Aptos"/>
          <w:i/>
          <w:iCs/>
        </w:rPr>
        <w:t>unOrdinary</w:t>
      </w:r>
      <w:r w:rsidRPr="00D42125">
        <w:rPr>
          <w:rFonts w:ascii="Aptos" w:hAnsi="Aptos"/>
        </w:rPr>
        <w:t xml:space="preserve"> (2016-present) </w:t>
      </w:r>
      <w:r>
        <w:rPr>
          <w:rFonts w:ascii="Aptos" w:hAnsi="Aptos"/>
        </w:rPr>
        <w:t>Original work</w:t>
      </w:r>
      <w:r w:rsidRPr="00D42125">
        <w:rPr>
          <w:rFonts w:ascii="Aptos" w:hAnsi="Aptos"/>
        </w:rPr>
        <w:t xml:space="preserve"> by uru-chan [web</w:t>
      </w:r>
      <w:r>
        <w:rPr>
          <w:rFonts w:ascii="Aptos" w:hAnsi="Aptos"/>
        </w:rPr>
        <w:t xml:space="preserve"> comic</w:t>
      </w:r>
      <w:r w:rsidRPr="00D42125">
        <w:rPr>
          <w:rFonts w:ascii="Aptos" w:hAnsi="Aptos"/>
        </w:rPr>
        <w:t>]</w:t>
      </w:r>
    </w:p>
    <w:p w14:paraId="3026849F" w14:textId="77777777" w:rsidR="000E07D5" w:rsidRPr="00EE333F" w:rsidRDefault="000E07D5" w:rsidP="000E07D5">
      <w:pPr>
        <w:pStyle w:val="Heading1"/>
        <w:spacing w:line="240" w:lineRule="auto"/>
      </w:pPr>
      <w:r>
        <w:t>Images</w:t>
      </w:r>
    </w:p>
    <w:p w14:paraId="50BA9024" w14:textId="77777777" w:rsidR="000E07D5" w:rsidRDefault="000E07D5" w:rsidP="000E07D5">
      <w:pPr>
        <w:pStyle w:val="ListParagraph"/>
        <w:numPr>
          <w:ilvl w:val="0"/>
          <w:numId w:val="2"/>
        </w:numPr>
        <w:spacing w:line="259" w:lineRule="auto"/>
        <w:rPr>
          <w:rFonts w:ascii="Aptos" w:hAnsi="Aptos"/>
        </w:rPr>
      </w:pPr>
      <w:r>
        <w:rPr>
          <w:rFonts w:ascii="Aptos" w:hAnsi="Aptos"/>
        </w:rPr>
        <w:t>Figure 1 Lucan Garbati’s Instagram</w:t>
      </w:r>
    </w:p>
    <w:p w14:paraId="2038A0C1" w14:textId="77777777" w:rsidR="000E07D5" w:rsidRDefault="000E07D5" w:rsidP="000E07D5">
      <w:pPr>
        <w:pStyle w:val="ListParagraph"/>
        <w:numPr>
          <w:ilvl w:val="0"/>
          <w:numId w:val="2"/>
        </w:numPr>
        <w:spacing w:line="259" w:lineRule="auto"/>
        <w:rPr>
          <w:rFonts w:ascii="Aptos" w:hAnsi="Aptos"/>
        </w:rPr>
      </w:pPr>
      <w:r>
        <w:rPr>
          <w:rFonts w:ascii="Aptos" w:hAnsi="Aptos"/>
        </w:rPr>
        <w:lastRenderedPageBreak/>
        <w:t xml:space="preserve">Figure 2 </w:t>
      </w:r>
      <w:hyperlink r:id="rId81" w:history="1">
        <w:r w:rsidRPr="001A700D">
          <w:rPr>
            <w:rStyle w:val="Hyperlink"/>
            <w:rFonts w:ascii="Aptos" w:hAnsi="Aptos"/>
          </w:rPr>
          <w:t>https://www.namuseum.gr/en/monthly_artefact/the-fatal-look-of-medusa/</w:t>
        </w:r>
      </w:hyperlink>
    </w:p>
    <w:p w14:paraId="377BC044" w14:textId="77777777" w:rsidR="000E07D5" w:rsidRDefault="000E07D5" w:rsidP="000E07D5">
      <w:pPr>
        <w:pStyle w:val="ListParagraph"/>
        <w:numPr>
          <w:ilvl w:val="0"/>
          <w:numId w:val="2"/>
        </w:numPr>
        <w:spacing w:line="259" w:lineRule="auto"/>
        <w:rPr>
          <w:rFonts w:ascii="Aptos" w:hAnsi="Aptos"/>
        </w:rPr>
      </w:pPr>
      <w:r>
        <w:rPr>
          <w:rFonts w:ascii="Aptos" w:hAnsi="Aptos"/>
        </w:rPr>
        <w:t>Figure 3</w:t>
      </w:r>
    </w:p>
    <w:p w14:paraId="218BB45E" w14:textId="77777777" w:rsidR="000E07D5" w:rsidRPr="00FE2589" w:rsidRDefault="000E07D5" w:rsidP="000E07D5">
      <w:pPr>
        <w:numPr>
          <w:ilvl w:val="0"/>
          <w:numId w:val="2"/>
        </w:numPr>
        <w:spacing w:after="0" w:line="240" w:lineRule="auto"/>
        <w:rPr>
          <w:rFonts w:ascii="Aptos" w:hAnsi="Aptos"/>
        </w:rPr>
      </w:pPr>
      <w:r>
        <w:rPr>
          <w:rFonts w:ascii="Aptos" w:hAnsi="Aptos"/>
        </w:rPr>
        <w:t xml:space="preserve">Figure 4 </w:t>
      </w:r>
      <w:hyperlink r:id="rId82" w:history="1">
        <w:r w:rsidRPr="00FE2589">
          <w:rPr>
            <w:rStyle w:val="Hyperlink"/>
            <w:rFonts w:ascii="Aptos" w:hAnsi="Aptos"/>
          </w:rPr>
          <w:t>https://www.theoi.com/Pontios/Gorgones.html</w:t>
        </w:r>
      </w:hyperlink>
      <w:r w:rsidRPr="00FE2589">
        <w:rPr>
          <w:rFonts w:ascii="Aptos" w:hAnsi="Aptos"/>
        </w:rPr>
        <w:t xml:space="preserve"> </w:t>
      </w:r>
    </w:p>
    <w:p w14:paraId="07932E74" w14:textId="77777777" w:rsidR="000E07D5" w:rsidRPr="00FE2589" w:rsidRDefault="000E07D5" w:rsidP="000E07D5">
      <w:pPr>
        <w:numPr>
          <w:ilvl w:val="0"/>
          <w:numId w:val="2"/>
        </w:numPr>
        <w:spacing w:after="0" w:line="240" w:lineRule="auto"/>
        <w:rPr>
          <w:rFonts w:ascii="Aptos" w:hAnsi="Aptos"/>
        </w:rPr>
      </w:pPr>
      <w:r>
        <w:rPr>
          <w:rFonts w:ascii="Aptos" w:hAnsi="Aptos"/>
        </w:rPr>
        <w:t xml:space="preserve">Figure 5 </w:t>
      </w:r>
      <w:hyperlink r:id="rId83" w:history="1">
        <w:r w:rsidRPr="00FE2589">
          <w:rPr>
            <w:rStyle w:val="Hyperlink"/>
            <w:rFonts w:ascii="Aptos" w:hAnsi="Aptos"/>
          </w:rPr>
          <w:t>https://www.theoi.com/Pontios/Gorgones.html</w:t>
        </w:r>
      </w:hyperlink>
      <w:r w:rsidRPr="00FE2589">
        <w:rPr>
          <w:rFonts w:ascii="Aptos" w:hAnsi="Aptos"/>
        </w:rPr>
        <w:t xml:space="preserve"> </w:t>
      </w:r>
    </w:p>
    <w:p w14:paraId="3469C360" w14:textId="77777777" w:rsidR="000E07D5" w:rsidRPr="00092F1E" w:rsidRDefault="000E07D5" w:rsidP="000E07D5">
      <w:pPr>
        <w:numPr>
          <w:ilvl w:val="0"/>
          <w:numId w:val="2"/>
        </w:numPr>
        <w:spacing w:after="0" w:line="240" w:lineRule="auto"/>
        <w:rPr>
          <w:rFonts w:ascii="Aptos" w:hAnsi="Aptos"/>
        </w:rPr>
      </w:pPr>
      <w:r>
        <w:rPr>
          <w:rFonts w:ascii="Aptos" w:hAnsi="Aptos"/>
        </w:rPr>
        <w:t xml:space="preserve">Figure 6 </w:t>
      </w:r>
      <w:hyperlink r:id="rId84" w:history="1">
        <w:r w:rsidRPr="00FE2589">
          <w:rPr>
            <w:rStyle w:val="Hyperlink"/>
            <w:rFonts w:ascii="Aptos" w:hAnsi="Aptos"/>
          </w:rPr>
          <w:t>https://assassinscreed.fandom.com/wiki/Medusa</w:t>
        </w:r>
      </w:hyperlink>
      <w:r w:rsidRPr="00FE2589">
        <w:rPr>
          <w:rFonts w:ascii="Aptos" w:hAnsi="Aptos"/>
        </w:rPr>
        <w:t xml:space="preserve"> </w:t>
      </w:r>
    </w:p>
    <w:p w14:paraId="58790C4C" w14:textId="77777777" w:rsidR="000E07D5" w:rsidRPr="00092F1E" w:rsidRDefault="000E07D5" w:rsidP="000E07D5">
      <w:pPr>
        <w:numPr>
          <w:ilvl w:val="0"/>
          <w:numId w:val="2"/>
        </w:numPr>
        <w:spacing w:after="0" w:line="240" w:lineRule="auto"/>
        <w:rPr>
          <w:rFonts w:ascii="Aptos" w:hAnsi="Aptos"/>
        </w:rPr>
      </w:pPr>
      <w:r>
        <w:rPr>
          <w:rFonts w:ascii="Aptos" w:hAnsi="Aptos"/>
        </w:rPr>
        <w:t xml:space="preserve">Figure 7 </w:t>
      </w:r>
      <w:hyperlink r:id="rId85" w:history="1">
        <w:r w:rsidRPr="00FE2589">
          <w:rPr>
            <w:rStyle w:val="Hyperlink"/>
            <w:rFonts w:ascii="Aptos" w:hAnsi="Aptos"/>
          </w:rPr>
          <w:t>https://assassinscreed.fandom.com/wiki/Medusa</w:t>
        </w:r>
      </w:hyperlink>
      <w:r w:rsidRPr="00FE2589">
        <w:rPr>
          <w:rFonts w:ascii="Aptos" w:hAnsi="Aptos"/>
        </w:rPr>
        <w:t xml:space="preserve"> </w:t>
      </w:r>
    </w:p>
    <w:p w14:paraId="36D991F5" w14:textId="77777777" w:rsidR="000E07D5" w:rsidRDefault="000E07D5" w:rsidP="000E07D5">
      <w:pPr>
        <w:pStyle w:val="ListParagraph"/>
        <w:numPr>
          <w:ilvl w:val="0"/>
          <w:numId w:val="2"/>
        </w:numPr>
        <w:spacing w:line="259" w:lineRule="auto"/>
        <w:rPr>
          <w:rFonts w:ascii="Aptos" w:hAnsi="Aptos"/>
        </w:rPr>
      </w:pPr>
      <w:r>
        <w:rPr>
          <w:rFonts w:ascii="Aptos" w:hAnsi="Aptos"/>
        </w:rPr>
        <w:t>Figure 8</w:t>
      </w:r>
    </w:p>
    <w:p w14:paraId="53C12F62" w14:textId="77777777" w:rsidR="000E07D5" w:rsidRDefault="000E07D5" w:rsidP="000E07D5">
      <w:pPr>
        <w:pStyle w:val="ListParagraph"/>
        <w:numPr>
          <w:ilvl w:val="0"/>
          <w:numId w:val="2"/>
        </w:numPr>
        <w:spacing w:line="259" w:lineRule="auto"/>
        <w:rPr>
          <w:rFonts w:ascii="Aptos" w:hAnsi="Aptos"/>
        </w:rPr>
      </w:pPr>
      <w:r>
        <w:rPr>
          <w:rFonts w:ascii="Aptos" w:hAnsi="Aptos"/>
        </w:rPr>
        <w:t>Figure 9</w:t>
      </w:r>
    </w:p>
    <w:p w14:paraId="3543921A" w14:textId="77777777" w:rsidR="000E07D5" w:rsidRDefault="000E07D5" w:rsidP="000E07D5">
      <w:pPr>
        <w:pStyle w:val="ListParagraph"/>
        <w:numPr>
          <w:ilvl w:val="0"/>
          <w:numId w:val="2"/>
        </w:numPr>
        <w:spacing w:line="259" w:lineRule="auto"/>
        <w:rPr>
          <w:rFonts w:ascii="Aptos" w:hAnsi="Aptos"/>
        </w:rPr>
      </w:pPr>
      <w:r>
        <w:rPr>
          <w:rFonts w:ascii="Aptos" w:hAnsi="Aptos"/>
        </w:rPr>
        <w:t>Figure 10</w:t>
      </w:r>
    </w:p>
    <w:p w14:paraId="7C48BE91" w14:textId="77777777" w:rsidR="000E07D5" w:rsidRDefault="000E07D5" w:rsidP="000E07D5">
      <w:pPr>
        <w:pStyle w:val="ListParagraph"/>
        <w:numPr>
          <w:ilvl w:val="0"/>
          <w:numId w:val="2"/>
        </w:numPr>
        <w:spacing w:line="259" w:lineRule="auto"/>
        <w:rPr>
          <w:rFonts w:ascii="Aptos" w:hAnsi="Aptos"/>
        </w:rPr>
      </w:pPr>
      <w:r>
        <w:rPr>
          <w:rFonts w:ascii="Aptos" w:hAnsi="Aptos"/>
        </w:rPr>
        <w:t>Figure 11</w:t>
      </w:r>
    </w:p>
    <w:p w14:paraId="0DC3B9B0" w14:textId="77777777" w:rsidR="000E07D5" w:rsidRDefault="000E07D5" w:rsidP="000E07D5">
      <w:pPr>
        <w:pStyle w:val="ListParagraph"/>
        <w:numPr>
          <w:ilvl w:val="0"/>
          <w:numId w:val="2"/>
        </w:numPr>
        <w:spacing w:line="259" w:lineRule="auto"/>
        <w:rPr>
          <w:rFonts w:ascii="Aptos" w:hAnsi="Aptos"/>
        </w:rPr>
      </w:pPr>
      <w:r>
        <w:rPr>
          <w:rFonts w:ascii="Aptos" w:hAnsi="Aptos"/>
        </w:rPr>
        <w:t>Figure 12</w:t>
      </w:r>
    </w:p>
    <w:p w14:paraId="7451CF9E" w14:textId="062CF28C" w:rsidR="008B5C30" w:rsidRDefault="008B5C30" w:rsidP="000E07D5">
      <w:pPr>
        <w:spacing w:line="360" w:lineRule="auto"/>
      </w:pPr>
    </w:p>
    <w:p w14:paraId="4CBF52BF" w14:textId="77777777" w:rsidR="008B5C30" w:rsidRDefault="008B5C30"/>
    <w:sectPr w:rsidR="008B5C30" w:rsidSect="008B5C30">
      <w:headerReference w:type="default" r:id="rId86"/>
      <w:footerReference w:type="default" r:id="rId8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9" w:author="Anna Matthews" w:date="2025-09-25T13:32:00Z" w:initials="AM">
    <w:p w14:paraId="2BFE2309" w14:textId="77777777" w:rsidR="008B5C30" w:rsidRDefault="008B5C30" w:rsidP="00A43410">
      <w:pPr>
        <w:pStyle w:val="CommentText"/>
      </w:pPr>
      <w:r>
        <w:rPr>
          <w:rStyle w:val="CommentReference"/>
        </w:rPr>
        <w:annotationRef/>
      </w:r>
      <w:r>
        <w:t>Can take out if short on words</w:t>
      </w:r>
    </w:p>
  </w:comment>
  <w:comment w:id="10" w:author="Anna Matthews" w:date="2025-09-25T13:32:00Z" w:initials="AM">
    <w:p w14:paraId="4F92D08F" w14:textId="77777777" w:rsidR="008B5C30" w:rsidRDefault="008B5C30" w:rsidP="002E04BB">
      <w:pPr>
        <w:pStyle w:val="CommentText"/>
      </w:pPr>
      <w:r>
        <w:rPr>
          <w:rStyle w:val="CommentReference"/>
        </w:rPr>
        <w:annotationRef/>
      </w:r>
      <w:r>
        <w:t>Can put in footnote instead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2BFE2309" w15:done="0"/>
  <w15:commentEx w15:paraId="4F92D08F" w15:paraIdParent="2BFE230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283A0C81" w16cex:dateUtc="2025-09-25T12:32:00Z"/>
  <w16cex:commentExtensible w16cex:durableId="299A53C2" w16cex:dateUtc="2025-09-25T12:3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2BFE2309" w16cid:durableId="283A0C81"/>
  <w16cid:commentId w16cid:paraId="4F92D08F" w16cid:durableId="299A53C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578A1E" w14:textId="77777777" w:rsidR="00D60FC7" w:rsidRDefault="00D60FC7" w:rsidP="008B5C30">
      <w:pPr>
        <w:spacing w:after="0" w:line="240" w:lineRule="auto"/>
      </w:pPr>
      <w:r>
        <w:separator/>
      </w:r>
    </w:p>
  </w:endnote>
  <w:endnote w:type="continuationSeparator" w:id="0">
    <w:p w14:paraId="413127A5" w14:textId="77777777" w:rsidR="00D60FC7" w:rsidRDefault="00D60FC7" w:rsidP="008B5C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Raleway">
    <w:charset w:val="00"/>
    <w:family w:val="auto"/>
    <w:pitch w:val="variable"/>
    <w:sig w:usb0="A00002FF" w:usb1="5000205B" w:usb2="00000000" w:usb3="00000000" w:csb0="00000197"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8273452"/>
      <w:docPartObj>
        <w:docPartGallery w:val="Page Numbers (Bottom of Page)"/>
        <w:docPartUnique/>
      </w:docPartObj>
    </w:sdtPr>
    <w:sdtEndPr>
      <w:rPr>
        <w:noProof/>
      </w:rPr>
    </w:sdtEndPr>
    <w:sdtContent>
      <w:p w14:paraId="7DEE46C2" w14:textId="77777777" w:rsidR="008B5C30" w:rsidRDefault="008B5C3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1D8DA2" w14:textId="77777777" w:rsidR="008B5C30" w:rsidRDefault="008B5C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C0C40F" w14:textId="77777777" w:rsidR="00D60FC7" w:rsidRDefault="00D60FC7" w:rsidP="008B5C30">
      <w:pPr>
        <w:spacing w:after="0" w:line="240" w:lineRule="auto"/>
      </w:pPr>
      <w:r>
        <w:separator/>
      </w:r>
    </w:p>
  </w:footnote>
  <w:footnote w:type="continuationSeparator" w:id="0">
    <w:p w14:paraId="6A53FC9F" w14:textId="77777777" w:rsidR="00D60FC7" w:rsidRDefault="00D60FC7" w:rsidP="008B5C30">
      <w:pPr>
        <w:spacing w:after="0" w:line="240" w:lineRule="auto"/>
      </w:pPr>
      <w:r>
        <w:continuationSeparator/>
      </w:r>
    </w:p>
  </w:footnote>
  <w:footnote w:id="1">
    <w:p w14:paraId="4E57D1F1" w14:textId="77777777" w:rsidR="008B5C30" w:rsidRDefault="008B5C30" w:rsidP="00F8171E">
      <w:pPr>
        <w:pStyle w:val="FootnoteText"/>
      </w:pPr>
      <w:r>
        <w:rPr>
          <w:rStyle w:val="FootnoteReference"/>
        </w:rPr>
        <w:footnoteRef/>
      </w:r>
      <w:r>
        <w:t xml:space="preserve"> Nivellen</w:t>
      </w:r>
    </w:p>
  </w:footnote>
  <w:footnote w:id="2">
    <w:p w14:paraId="1A1DFC25" w14:textId="77777777" w:rsidR="008B5C30" w:rsidRDefault="008B5C30" w:rsidP="00F8171E">
      <w:pPr>
        <w:pStyle w:val="FootnoteText"/>
      </w:pPr>
      <w:r>
        <w:rPr>
          <w:rStyle w:val="FootnoteReference"/>
        </w:rPr>
        <w:footnoteRef/>
      </w:r>
      <w:r>
        <w:t xml:space="preserve"> Ov.Met; Hes; </w:t>
      </w:r>
    </w:p>
  </w:footnote>
  <w:footnote w:id="3">
    <w:p w14:paraId="0B5ED902" w14:textId="20C2C9FB" w:rsidR="008B5C30" w:rsidRPr="00667517" w:rsidRDefault="008B5C30">
      <w:pPr>
        <w:pStyle w:val="FootnoteText"/>
      </w:pPr>
      <w:r>
        <w:rPr>
          <w:rStyle w:val="FootnoteReference"/>
        </w:rPr>
        <w:footnoteRef/>
      </w:r>
      <w:r>
        <w:t xml:space="preserve"> Ov</w:t>
      </w:r>
      <w:r w:rsidR="00C44AEF">
        <w:t>.</w:t>
      </w:r>
      <w:r w:rsidR="00C44AEF">
        <w:rPr>
          <w:i/>
          <w:iCs/>
        </w:rPr>
        <w:t xml:space="preserve">Met. </w:t>
      </w:r>
      <w:r w:rsidR="00667517">
        <w:t xml:space="preserve"> </w:t>
      </w:r>
      <w:hyperlink r:id="rId1" w:history="1">
        <w:r w:rsidR="00667517" w:rsidRPr="001A700D">
          <w:rPr>
            <w:rStyle w:val="Hyperlink"/>
            <w:rFonts w:ascii="Aptos" w:hAnsi="Aptos"/>
          </w:rPr>
          <w:t>https://www.theoi.com/Pontios/Gorgones.html</w:t>
        </w:r>
      </w:hyperlink>
    </w:p>
  </w:footnote>
  <w:footnote w:id="4">
    <w:p w14:paraId="371C21D5" w14:textId="77777777" w:rsidR="008B5C30" w:rsidRDefault="008B5C30" w:rsidP="00F8171E">
      <w:pPr>
        <w:pStyle w:val="FootnoteText"/>
      </w:pPr>
      <w:r>
        <w:rPr>
          <w:rStyle w:val="FootnoteReference"/>
        </w:rPr>
        <w:footnoteRef/>
      </w:r>
      <w:r>
        <w:t xml:space="preserve"> Ov.Met.</w:t>
      </w:r>
    </w:p>
  </w:footnote>
  <w:footnote w:id="5">
    <w:p w14:paraId="4D4AB04F" w14:textId="22C35124" w:rsidR="008B5C30" w:rsidRDefault="008B5C30" w:rsidP="00F8171E">
      <w:pPr>
        <w:pStyle w:val="FootnoteText"/>
      </w:pPr>
      <w:r>
        <w:rPr>
          <w:rStyle w:val="FootnoteReference"/>
        </w:rPr>
        <w:footnoteRef/>
      </w:r>
      <w:r>
        <w:t xml:space="preserve"> </w:t>
      </w:r>
      <w:hyperlink r:id="rId2" w:history="1">
        <w:r w:rsidR="000647D6" w:rsidRPr="001A700D">
          <w:rPr>
            <w:rStyle w:val="Hyperlink"/>
            <w:rFonts w:ascii="Aptos" w:hAnsi="Aptos"/>
          </w:rPr>
          <w:t>https://www.theoi.com/Khthonios/Haides.html</w:t>
        </w:r>
      </w:hyperlink>
    </w:p>
  </w:footnote>
  <w:footnote w:id="6">
    <w:p w14:paraId="455AAEED" w14:textId="77777777" w:rsidR="008B5C30" w:rsidRDefault="008B5C30" w:rsidP="00F8171E">
      <w:pPr>
        <w:pStyle w:val="FootnoteText"/>
      </w:pPr>
      <w:r>
        <w:rPr>
          <w:rStyle w:val="FootnoteReference"/>
        </w:rPr>
        <w:footnoteRef/>
      </w:r>
      <w:r>
        <w:t xml:space="preserve"> Sapkowski/The Witcher</w:t>
      </w:r>
    </w:p>
  </w:footnote>
  <w:footnote w:id="7">
    <w:p w14:paraId="42F586F9" w14:textId="77777777" w:rsidR="008B5C30" w:rsidRDefault="008B5C30" w:rsidP="00F8171E">
      <w:pPr>
        <w:pStyle w:val="FootnoteText"/>
      </w:pPr>
      <w:r>
        <w:rPr>
          <w:rStyle w:val="FootnoteReference"/>
        </w:rPr>
        <w:footnoteRef/>
      </w:r>
      <w:r>
        <w:t xml:space="preserve"> Witcher1</w:t>
      </w:r>
    </w:p>
  </w:footnote>
  <w:footnote w:id="8">
    <w:p w14:paraId="6047E63B" w14:textId="77777777" w:rsidR="008B5C30" w:rsidRDefault="008B5C30" w:rsidP="00F8171E">
      <w:pPr>
        <w:pStyle w:val="FootnoteText"/>
      </w:pPr>
      <w:r>
        <w:rPr>
          <w:rStyle w:val="FootnoteReference"/>
        </w:rPr>
        <w:footnoteRef/>
      </w:r>
      <w:r>
        <w:t xml:space="preserve"> Witcher wiki;  </w:t>
      </w:r>
      <w:hyperlink r:id="rId3" w:history="1">
        <w:r w:rsidRPr="00702290">
          <w:rPr>
            <w:rStyle w:val="Hyperlink"/>
          </w:rPr>
          <w:t>https://witcher.fandom.com/wiki/Trial_of_the_Grasses_registry_tome</w:t>
        </w:r>
      </w:hyperlink>
    </w:p>
  </w:footnote>
  <w:footnote w:id="9">
    <w:p w14:paraId="4158553A" w14:textId="7B876A22" w:rsidR="008B5C30" w:rsidRPr="000A48C7" w:rsidRDefault="008B5C30" w:rsidP="000A48C7">
      <w:pPr>
        <w:spacing w:after="0" w:line="240" w:lineRule="auto"/>
        <w:rPr>
          <w:rFonts w:ascii="Aptos" w:hAnsi="Aptos"/>
        </w:rPr>
      </w:pPr>
      <w:r>
        <w:rPr>
          <w:rStyle w:val="FootnoteReference"/>
        </w:rPr>
        <w:footnoteRef/>
      </w:r>
      <w:r>
        <w:t xml:space="preserve"> </w:t>
      </w:r>
      <w:r w:rsidR="000A48C7" w:rsidRPr="00D42125">
        <w:rPr>
          <w:rFonts w:ascii="Aptos" w:hAnsi="Aptos"/>
        </w:rPr>
        <w:t xml:space="preserve">CJ Project Red (2007) </w:t>
      </w:r>
      <w:r w:rsidR="000A48C7" w:rsidRPr="00D42125">
        <w:rPr>
          <w:rFonts w:ascii="Aptos" w:hAnsi="Aptos"/>
          <w:i/>
          <w:iCs/>
        </w:rPr>
        <w:t>The Witcher 1</w:t>
      </w:r>
      <w:r w:rsidR="000A48C7" w:rsidRPr="00D42125">
        <w:rPr>
          <w:rFonts w:ascii="Aptos" w:hAnsi="Aptos"/>
        </w:rPr>
        <w:t xml:space="preserve"> [game]</w:t>
      </w:r>
    </w:p>
  </w:footnote>
  <w:footnote w:id="10">
    <w:p w14:paraId="74CA6C35" w14:textId="77777777" w:rsidR="008B5C30" w:rsidRDefault="008B5C30" w:rsidP="00F8171E">
      <w:pPr>
        <w:pStyle w:val="FootnoteText"/>
      </w:pPr>
      <w:r>
        <w:rPr>
          <w:rStyle w:val="FootnoteReference"/>
        </w:rPr>
        <w:footnoteRef/>
      </w:r>
      <w:r>
        <w:t xml:space="preserve"> </w:t>
      </w:r>
      <w:hyperlink r:id="rId4" w:history="1">
        <w:r w:rsidRPr="008C6388">
          <w:rPr>
            <w:rStyle w:val="Hyperlink"/>
          </w:rPr>
          <w:t>https://latinlexicon.org/definition.php?p1=1010070</w:t>
        </w:r>
      </w:hyperlink>
    </w:p>
  </w:footnote>
  <w:footnote w:id="11">
    <w:p w14:paraId="14A61ACD" w14:textId="77777777" w:rsidR="008B5C30" w:rsidRDefault="008B5C30" w:rsidP="00F8171E">
      <w:pPr>
        <w:pStyle w:val="FootnoteText"/>
      </w:pPr>
      <w:r>
        <w:rPr>
          <w:rStyle w:val="FootnoteReference"/>
        </w:rPr>
        <w:footnoteRef/>
      </w:r>
      <w:r>
        <w:t xml:space="preserve"> </w:t>
      </w:r>
      <w:hyperlink r:id="rId5" w:history="1">
        <w:r w:rsidRPr="008C6388">
          <w:rPr>
            <w:rStyle w:val="Hyperlink"/>
          </w:rPr>
          <w:t>https://latinlexicon.org/definition.php?p1=1010070</w:t>
        </w:r>
      </w:hyperlink>
      <w:r>
        <w:t xml:space="preserve"> </w:t>
      </w:r>
    </w:p>
  </w:footnote>
  <w:footnote w:id="12">
    <w:p w14:paraId="435EF387" w14:textId="77777777" w:rsidR="008B5C30" w:rsidRDefault="008B5C30" w:rsidP="00F8171E">
      <w:pPr>
        <w:pStyle w:val="FootnoteText"/>
      </w:pPr>
      <w:r>
        <w:rPr>
          <w:rStyle w:val="FootnoteReference"/>
        </w:rPr>
        <w:footnoteRef/>
      </w:r>
      <w:r>
        <w:t xml:space="preserve"> </w:t>
      </w:r>
      <w:hyperlink r:id="rId6" w:history="1">
        <w:r w:rsidRPr="00502FEA">
          <w:rPr>
            <w:rStyle w:val="Hyperlink"/>
          </w:rPr>
          <w:t>https://latinlexicon.org/definition.php?p1=1013012&amp;p2=p</w:t>
        </w:r>
      </w:hyperlink>
      <w:r>
        <w:t xml:space="preserve"> </w:t>
      </w:r>
    </w:p>
  </w:footnote>
  <w:footnote w:id="13">
    <w:p w14:paraId="2CB15FB4" w14:textId="77777777" w:rsidR="008B5C30" w:rsidRDefault="008B5C30" w:rsidP="00F8171E">
      <w:pPr>
        <w:pStyle w:val="FootnoteText"/>
      </w:pPr>
      <w:r>
        <w:rPr>
          <w:rStyle w:val="FootnoteReference"/>
        </w:rPr>
        <w:footnoteRef/>
      </w:r>
      <w:r>
        <w:t xml:space="preserve"> </w:t>
      </w:r>
      <w:r w:rsidRPr="00AE404C">
        <w:t>Veit Rosenberger, "Republican </w:t>
      </w:r>
      <w:r w:rsidRPr="00AE404C">
        <w:rPr>
          <w:i/>
          <w:iCs/>
        </w:rPr>
        <w:t>nobiles</w:t>
      </w:r>
      <w:r w:rsidRPr="00AE404C">
        <w:t>: Controlling the </w:t>
      </w:r>
      <w:r w:rsidRPr="00AE404C">
        <w:rPr>
          <w:i/>
          <w:iCs/>
        </w:rPr>
        <w:t>res publica</w:t>
      </w:r>
      <w:r w:rsidRPr="00AE404C">
        <w:t>", in </w:t>
      </w:r>
      <w:r w:rsidRPr="00AE404C">
        <w:rPr>
          <w:i/>
          <w:iCs/>
        </w:rPr>
        <w:t>A Companion to Roman Religion</w:t>
      </w:r>
      <w:r w:rsidRPr="00AE404C">
        <w:t> (Blackwell, 2007), p. 293</w:t>
      </w:r>
      <w:r>
        <w:t xml:space="preserve">; </w:t>
      </w:r>
      <w:hyperlink r:id="rId7" w:tooltip="Andrew Lintott" w:history="1">
        <w:r w:rsidRPr="00AE404C">
          <w:rPr>
            <w:rStyle w:val="Hyperlink"/>
          </w:rPr>
          <w:t>Andrew Lintott</w:t>
        </w:r>
      </w:hyperlink>
      <w:r w:rsidRPr="00AE404C">
        <w:t>, </w:t>
      </w:r>
      <w:r w:rsidRPr="00AE404C">
        <w:rPr>
          <w:i/>
          <w:iCs/>
        </w:rPr>
        <w:t>The Constitution of the Roman Republic</w:t>
      </w:r>
      <w:r w:rsidRPr="00AE404C">
        <w:t> (Oxford: Clarendon Press, 1999, reprinted 2002), p. 103</w:t>
      </w:r>
    </w:p>
  </w:footnote>
  <w:footnote w:id="14">
    <w:p w14:paraId="2BB1582E" w14:textId="77777777" w:rsidR="008B5C30" w:rsidRDefault="008B5C30" w:rsidP="00F8171E">
      <w:pPr>
        <w:pStyle w:val="FootnoteText"/>
      </w:pPr>
      <w:r>
        <w:rPr>
          <w:rStyle w:val="FootnoteReference"/>
        </w:rPr>
        <w:footnoteRef/>
      </w:r>
      <w:r>
        <w:t xml:space="preserve"> Eric Orlin, Foreign Cults in Rome: Creating a Roman Empire, chap4, 2010</w:t>
      </w:r>
    </w:p>
  </w:footnote>
  <w:footnote w:id="15">
    <w:p w14:paraId="4D90A3BE" w14:textId="77777777" w:rsidR="008B5C30" w:rsidRDefault="008B5C30" w:rsidP="00F8171E">
      <w:pPr>
        <w:pStyle w:val="FootnoteText"/>
      </w:pPr>
      <w:r>
        <w:rPr>
          <w:rStyle w:val="FootnoteReference"/>
        </w:rPr>
        <w:footnoteRef/>
      </w:r>
      <w:r>
        <w:t xml:space="preserve"> Orlin; </w:t>
      </w:r>
      <w:r w:rsidRPr="00367C91">
        <w:t>Rosenberger (1998), 97–126</w:t>
      </w:r>
    </w:p>
  </w:footnote>
  <w:footnote w:id="16">
    <w:p w14:paraId="40E6915B" w14:textId="77777777" w:rsidR="008B5C30" w:rsidRDefault="008B5C30" w:rsidP="00F8171E">
      <w:pPr>
        <w:pStyle w:val="FootnoteText"/>
      </w:pPr>
      <w:r>
        <w:rPr>
          <w:rStyle w:val="FootnoteReference"/>
        </w:rPr>
        <w:footnoteRef/>
      </w:r>
      <w:r>
        <w:t xml:space="preserve"> </w:t>
      </w:r>
      <w:hyperlink r:id="rId8" w:history="1">
        <w:r w:rsidRPr="00502FEA">
          <w:rPr>
            <w:rStyle w:val="Hyperlink"/>
          </w:rPr>
          <w:t>https://outils.biblissima.fr/fr/eulexis-web/?lemma=%CF%84%CE%AD%CF%81%CE%B1%CF%82&amp;dict=LSJ</w:t>
        </w:r>
      </w:hyperlink>
      <w:r>
        <w:t xml:space="preserve"> </w:t>
      </w:r>
    </w:p>
  </w:footnote>
  <w:footnote w:id="17">
    <w:p w14:paraId="68632806" w14:textId="77777777" w:rsidR="008B5C30" w:rsidRDefault="008B5C30" w:rsidP="00F8171E">
      <w:pPr>
        <w:pStyle w:val="FootnoteText"/>
      </w:pPr>
      <w:r>
        <w:rPr>
          <w:rStyle w:val="FootnoteReference"/>
        </w:rPr>
        <w:footnoteRef/>
      </w:r>
      <w:r>
        <w:t xml:space="preserve"> Collin’s dictionary; Dictionary.com</w:t>
      </w:r>
    </w:p>
  </w:footnote>
  <w:footnote w:id="18">
    <w:p w14:paraId="3F035176" w14:textId="77777777" w:rsidR="008B5C30" w:rsidRDefault="008B5C30" w:rsidP="00F8171E">
      <w:pPr>
        <w:pStyle w:val="FootnoteText"/>
      </w:pPr>
      <w:r>
        <w:rPr>
          <w:rStyle w:val="FootnoteReference"/>
        </w:rPr>
        <w:footnoteRef/>
      </w:r>
      <w:r>
        <w:t xml:space="preserve"> Dictionary.com</w:t>
      </w:r>
    </w:p>
  </w:footnote>
  <w:footnote w:id="19">
    <w:p w14:paraId="7D58E931" w14:textId="77777777" w:rsidR="008B5C30" w:rsidRPr="009922F7" w:rsidRDefault="008B5C30" w:rsidP="00F8171E">
      <w:pPr>
        <w:pStyle w:val="FootnoteText"/>
      </w:pPr>
      <w:r>
        <w:rPr>
          <w:rStyle w:val="FootnoteReference"/>
        </w:rPr>
        <w:footnoteRef/>
      </w:r>
      <w:r>
        <w:t xml:space="preserve"> Diver, R., (2020) p67; Andres, E., p9, p60, p81, p87; Karoglou, K., (2019) </w:t>
      </w:r>
      <w:r>
        <w:rPr>
          <w:i/>
          <w:iCs/>
        </w:rPr>
        <w:t>Dangerous Beauty: Medusa in Classical Art</w:t>
      </w:r>
      <w:r>
        <w:t xml:space="preserve"> [exhibition] Feb 2018-Feb 2019</w:t>
      </w:r>
    </w:p>
  </w:footnote>
  <w:footnote w:id="20">
    <w:p w14:paraId="56F6E806" w14:textId="77777777" w:rsidR="008B5C30" w:rsidRDefault="008B5C30" w:rsidP="00F8171E">
      <w:pPr>
        <w:pStyle w:val="FootnoteText"/>
      </w:pPr>
      <w:r>
        <w:rPr>
          <w:rStyle w:val="FootnoteReference"/>
        </w:rPr>
        <w:footnoteRef/>
      </w:r>
      <w:r>
        <w:t xml:space="preserve"> Collins; Dictionary.com</w:t>
      </w:r>
    </w:p>
  </w:footnote>
  <w:footnote w:id="21">
    <w:p w14:paraId="59300552" w14:textId="77777777" w:rsidR="008B5C30" w:rsidRDefault="008B5C30" w:rsidP="00F8171E">
      <w:pPr>
        <w:pStyle w:val="FootnoteText"/>
      </w:pPr>
      <w:r>
        <w:rPr>
          <w:rStyle w:val="FootnoteReference"/>
        </w:rPr>
        <w:footnoteRef/>
      </w:r>
      <w:r>
        <w:t xml:space="preserve"> There are some examples where unicorns are not necessarily peaceable, for example, Ctesias’ lost work </w:t>
      </w:r>
      <w:r>
        <w:rPr>
          <w:i/>
          <w:iCs/>
        </w:rPr>
        <w:t>Indica</w:t>
      </w:r>
      <w:r>
        <w:t xml:space="preserve">, which Photius quoted in </w:t>
      </w:r>
      <w:r>
        <w:rPr>
          <w:i/>
          <w:iCs/>
        </w:rPr>
        <w:t>Bibliotheca</w:t>
      </w:r>
      <w:r>
        <w:t xml:space="preserve"> ‘In India there are wild asses… and they have a horn in their forehead. … They show fight, butt with their horns, kick, bite, and kill many men and horses.’ Megasthenes also mentions in his book </w:t>
      </w:r>
      <w:r>
        <w:rPr>
          <w:i/>
          <w:iCs/>
        </w:rPr>
        <w:t>Indica</w:t>
      </w:r>
      <w:r>
        <w:t xml:space="preserve">, ‘There exists in India a one-horned animal… the size of a full grown horse … its legs are jointless and formed like those of an elephant, and it has a tail like a swine’s. … The males are reported to have a natural propensity not only to fight among themselves, by butting their horns… and to be so obstinate in their quarrels that they will not desist ‘till a worsted enemy is killed outright.’ There are other examples, including the video game </w:t>
      </w:r>
      <w:r w:rsidRPr="000754FB">
        <w:rPr>
          <w:i/>
          <w:iCs/>
        </w:rPr>
        <w:t>TERA</w:t>
      </w:r>
      <w:r>
        <w:t xml:space="preserve">, and films </w:t>
      </w:r>
      <w:r w:rsidRPr="000754FB">
        <w:rPr>
          <w:i/>
          <w:iCs/>
        </w:rPr>
        <w:t>CarousHELL</w:t>
      </w:r>
      <w:r>
        <w:t xml:space="preserve"> (2016), </w:t>
      </w:r>
      <w:r w:rsidRPr="000754FB">
        <w:rPr>
          <w:i/>
          <w:iCs/>
        </w:rPr>
        <w:t>Tarnation</w:t>
      </w:r>
      <w:r>
        <w:t xml:space="preserve"> (2017), </w:t>
      </w:r>
      <w:r w:rsidRPr="000754FB">
        <w:rPr>
          <w:i/>
          <w:iCs/>
        </w:rPr>
        <w:t>Unicorn Wars</w:t>
      </w:r>
      <w:r>
        <w:t xml:space="preserve"> (2022), </w:t>
      </w:r>
      <w:r w:rsidRPr="000754FB">
        <w:rPr>
          <w:i/>
          <w:iCs/>
        </w:rPr>
        <w:t>Death of a Unicorn</w:t>
      </w:r>
      <w:r>
        <w:t xml:space="preserve"> (2025)</w:t>
      </w:r>
    </w:p>
  </w:footnote>
  <w:footnote w:id="22">
    <w:p w14:paraId="2248FE25" w14:textId="77777777" w:rsidR="008B5C30" w:rsidRDefault="008B5C30" w:rsidP="00F8171E">
      <w:pPr>
        <w:pStyle w:val="FootnoteText"/>
      </w:pPr>
      <w:r>
        <w:rPr>
          <w:rStyle w:val="FootnoteReference"/>
        </w:rPr>
        <w:footnoteRef/>
      </w:r>
      <w:r>
        <w:t xml:space="preserve"> Cambridge</w:t>
      </w:r>
    </w:p>
  </w:footnote>
  <w:footnote w:id="23">
    <w:p w14:paraId="654AA5BC" w14:textId="77777777" w:rsidR="008B5C30" w:rsidRDefault="008B5C30" w:rsidP="00F8171E">
      <w:pPr>
        <w:pStyle w:val="FootnoteText"/>
      </w:pPr>
      <w:r>
        <w:rPr>
          <w:rStyle w:val="FootnoteReference"/>
        </w:rPr>
        <w:footnoteRef/>
      </w:r>
      <w:r>
        <w:t xml:space="preserve"> OED</w:t>
      </w:r>
    </w:p>
  </w:footnote>
  <w:footnote w:id="24">
    <w:p w14:paraId="7BC50465" w14:textId="77777777" w:rsidR="008B5C30" w:rsidRDefault="008B5C30" w:rsidP="00F8171E">
      <w:pPr>
        <w:pStyle w:val="FootnoteText"/>
      </w:pPr>
      <w:r>
        <w:rPr>
          <w:rStyle w:val="FootnoteReference"/>
        </w:rPr>
        <w:footnoteRef/>
      </w:r>
      <w:r>
        <w:t xml:space="preserve"> OED; dictionary.com; Collins</w:t>
      </w:r>
    </w:p>
  </w:footnote>
  <w:footnote w:id="25">
    <w:p w14:paraId="5046947F" w14:textId="77777777" w:rsidR="008B5C30" w:rsidRDefault="008B5C30" w:rsidP="00F8171E">
      <w:pPr>
        <w:pStyle w:val="FootnoteText"/>
      </w:pPr>
      <w:r>
        <w:rPr>
          <w:rStyle w:val="FootnoteReference"/>
        </w:rPr>
        <w:footnoteRef/>
      </w:r>
      <w:r>
        <w:t xml:space="preserve"> Miriam-Webster</w:t>
      </w:r>
    </w:p>
  </w:footnote>
  <w:footnote w:id="26">
    <w:p w14:paraId="3EBBA514" w14:textId="77777777" w:rsidR="008B5C30" w:rsidRDefault="008B5C30" w:rsidP="00F8171E">
      <w:pPr>
        <w:pStyle w:val="FootnoteText"/>
      </w:pPr>
      <w:r>
        <w:rPr>
          <w:rStyle w:val="FootnoteReference"/>
        </w:rPr>
        <w:footnoteRef/>
      </w:r>
      <w:r>
        <w:t xml:space="preserve"> Oxford</w:t>
      </w:r>
    </w:p>
  </w:footnote>
  <w:footnote w:id="27">
    <w:p w14:paraId="3FB8BB0B" w14:textId="77777777" w:rsidR="008B5C30" w:rsidRDefault="008B5C30" w:rsidP="00F8171E">
      <w:pPr>
        <w:pStyle w:val="FootnoteText"/>
      </w:pPr>
      <w:r>
        <w:rPr>
          <w:rStyle w:val="FootnoteReference"/>
        </w:rPr>
        <w:footnoteRef/>
      </w:r>
      <w:r>
        <w:t xml:space="preserve"> Shrek</w:t>
      </w:r>
    </w:p>
  </w:footnote>
  <w:footnote w:id="28">
    <w:p w14:paraId="2CEC797A" w14:textId="77777777" w:rsidR="008B5C30" w:rsidRDefault="008B5C30" w:rsidP="00F8171E">
      <w:pPr>
        <w:pStyle w:val="FootnoteText"/>
      </w:pPr>
      <w:r>
        <w:rPr>
          <w:rStyle w:val="FootnoteReference"/>
        </w:rPr>
        <w:footnoteRef/>
      </w:r>
      <w:r>
        <w:t xml:space="preserve"> While the monstrous looks are debatable, it for arguments sake here it means looking ‘against the norm’ i.e. heavily tattooed with facial tattoos and piercings, extremely mutated and ugly. While I personally would not equate ugliness with monstrosity, it is commonly seen throughout history, with Quasimodo as an example.</w:t>
      </w:r>
    </w:p>
  </w:footnote>
  <w:footnote w:id="29">
    <w:p w14:paraId="06FD070E" w14:textId="1F69DEB0" w:rsidR="008B5C30" w:rsidRDefault="008B5C30" w:rsidP="00F8171E">
      <w:pPr>
        <w:pStyle w:val="FootnoteText"/>
      </w:pPr>
      <w:r>
        <w:rPr>
          <w:rStyle w:val="FootnoteReference"/>
        </w:rPr>
        <w:footnoteRef/>
      </w:r>
      <w:r>
        <w:t xml:space="preserve"> Collins</w:t>
      </w:r>
      <w:r w:rsidR="00626FC4">
        <w:t xml:space="preserve"> (2025c)</w:t>
      </w:r>
    </w:p>
  </w:footnote>
  <w:footnote w:id="30">
    <w:p w14:paraId="34044D5F" w14:textId="14DDF431" w:rsidR="008B5C30" w:rsidRDefault="008B5C30" w:rsidP="00F8171E">
      <w:pPr>
        <w:pStyle w:val="FootnoteText"/>
      </w:pPr>
      <w:r>
        <w:rPr>
          <w:rStyle w:val="FootnoteReference"/>
        </w:rPr>
        <w:footnoteRef/>
      </w:r>
      <w:r>
        <w:t xml:space="preserve"> Collins</w:t>
      </w:r>
      <w:r w:rsidR="00626FC4">
        <w:t xml:space="preserve"> (2025c)</w:t>
      </w:r>
    </w:p>
  </w:footnote>
  <w:footnote w:id="31">
    <w:p w14:paraId="24191293" w14:textId="49448DAF" w:rsidR="008B5C30" w:rsidRDefault="008B5C30" w:rsidP="00F8171E">
      <w:pPr>
        <w:pStyle w:val="FootnoteText"/>
      </w:pPr>
      <w:r>
        <w:rPr>
          <w:rStyle w:val="FootnoteReference"/>
        </w:rPr>
        <w:footnoteRef/>
      </w:r>
      <w:r>
        <w:t xml:space="preserve"> Collins</w:t>
      </w:r>
      <w:r w:rsidR="00557268">
        <w:t xml:space="preserve"> (2025c)</w:t>
      </w:r>
    </w:p>
  </w:footnote>
  <w:footnote w:id="32">
    <w:p w14:paraId="70EA5BCE" w14:textId="3AB577E2" w:rsidR="008B5C30" w:rsidRDefault="008B5C30" w:rsidP="00F8171E">
      <w:pPr>
        <w:pStyle w:val="FootnoteText"/>
      </w:pPr>
      <w:r>
        <w:rPr>
          <w:rStyle w:val="FootnoteReference"/>
        </w:rPr>
        <w:footnoteRef/>
      </w:r>
      <w:r>
        <w:t xml:space="preserve"> Collins</w:t>
      </w:r>
      <w:r w:rsidR="00557268">
        <w:t xml:space="preserve"> (2025</w:t>
      </w:r>
      <w:r w:rsidR="00626FC4">
        <w:t>c</w:t>
      </w:r>
      <w:r w:rsidR="00557268">
        <w:t>)</w:t>
      </w:r>
    </w:p>
  </w:footnote>
  <w:footnote w:id="33">
    <w:p w14:paraId="69D0D5D6" w14:textId="0F199FDB" w:rsidR="008B5C30" w:rsidRDefault="008B5C30" w:rsidP="00F8171E">
      <w:pPr>
        <w:pStyle w:val="FootnoteText"/>
      </w:pPr>
      <w:r>
        <w:rPr>
          <w:rStyle w:val="FootnoteReference"/>
        </w:rPr>
        <w:footnoteRef/>
      </w:r>
      <w:r>
        <w:t xml:space="preserve"> Collins</w:t>
      </w:r>
      <w:r w:rsidR="00557268">
        <w:t xml:space="preserve"> (2025b)</w:t>
      </w:r>
    </w:p>
  </w:footnote>
  <w:footnote w:id="34">
    <w:p w14:paraId="0BA85115" w14:textId="4B7D4F6D" w:rsidR="008B5C30" w:rsidRDefault="008B5C30" w:rsidP="00F8171E">
      <w:pPr>
        <w:pStyle w:val="FootnoteText"/>
      </w:pPr>
      <w:r>
        <w:rPr>
          <w:rStyle w:val="FootnoteReference"/>
        </w:rPr>
        <w:footnoteRef/>
      </w:r>
      <w:r>
        <w:t xml:space="preserve"> Miriam-Webster</w:t>
      </w:r>
      <w:r w:rsidR="00557268">
        <w:t xml:space="preserve"> (2025b)</w:t>
      </w:r>
    </w:p>
  </w:footnote>
  <w:footnote w:id="35">
    <w:p w14:paraId="533B3A0A" w14:textId="4AD074C9" w:rsidR="008B5C30" w:rsidRDefault="008B5C30" w:rsidP="00F8171E">
      <w:pPr>
        <w:pStyle w:val="FootnoteText"/>
      </w:pPr>
      <w:r>
        <w:rPr>
          <w:rStyle w:val="FootnoteReference"/>
        </w:rPr>
        <w:footnoteRef/>
      </w:r>
      <w:r>
        <w:t xml:space="preserve"> Cambridge</w:t>
      </w:r>
      <w:r w:rsidR="000A48C7">
        <w:t xml:space="preserve"> (</w:t>
      </w:r>
      <w:r w:rsidR="00557268">
        <w:t>2025b)</w:t>
      </w:r>
    </w:p>
  </w:footnote>
  <w:footnote w:id="36">
    <w:p w14:paraId="222E804E" w14:textId="01E51E05" w:rsidR="008B5C30" w:rsidRDefault="008B5C30" w:rsidP="00F8171E">
      <w:pPr>
        <w:pStyle w:val="FootnoteText"/>
      </w:pPr>
      <w:r>
        <w:rPr>
          <w:rStyle w:val="FootnoteReference"/>
        </w:rPr>
        <w:footnoteRef/>
      </w:r>
      <w:r>
        <w:t xml:space="preserve"> </w:t>
      </w:r>
      <w:r w:rsidR="00535118">
        <w:t xml:space="preserve">Kim, M., </w:t>
      </w:r>
      <w:r w:rsidR="001625AB">
        <w:t>(2017)</w:t>
      </w:r>
      <w:r w:rsidR="00820C8C">
        <w:t xml:space="preserve"> p83</w:t>
      </w:r>
    </w:p>
  </w:footnote>
  <w:footnote w:id="37">
    <w:p w14:paraId="6CFCEEAD" w14:textId="62F55965" w:rsidR="008B5C30" w:rsidRPr="009D6B27" w:rsidRDefault="008B5C30" w:rsidP="00F8171E">
      <w:pPr>
        <w:pStyle w:val="FootnoteText"/>
      </w:pPr>
      <w:r>
        <w:rPr>
          <w:rStyle w:val="FootnoteReference"/>
        </w:rPr>
        <w:footnoteRef/>
      </w:r>
      <w:r>
        <w:t xml:space="preserve"> </w:t>
      </w:r>
      <w:r w:rsidR="009E6B58" w:rsidRPr="009E6B58">
        <w:t>Ca</w:t>
      </w:r>
      <w:r w:rsidR="00BD76EA">
        <w:t xml:space="preserve">therine Atherton (ed) </w:t>
      </w:r>
      <w:r w:rsidR="00BD76EA">
        <w:rPr>
          <w:i/>
          <w:iCs/>
        </w:rPr>
        <w:t>Monsters and Monstrosity</w:t>
      </w:r>
      <w:r w:rsidR="009D6B27">
        <w:rPr>
          <w:i/>
          <w:iCs/>
        </w:rPr>
        <w:t xml:space="preserve"> in Greek and Roman Culture</w:t>
      </w:r>
      <w:r w:rsidR="009D6B27">
        <w:t xml:space="preserve"> vol 6 1998</w:t>
      </w:r>
    </w:p>
  </w:footnote>
  <w:footnote w:id="38">
    <w:p w14:paraId="3E5D417C" w14:textId="65DDA9AB" w:rsidR="008B5C30" w:rsidRDefault="008B5C30" w:rsidP="00F8171E">
      <w:pPr>
        <w:pStyle w:val="FootnoteText"/>
      </w:pPr>
      <w:r>
        <w:rPr>
          <w:rStyle w:val="FootnoteReference"/>
        </w:rPr>
        <w:footnoteRef/>
      </w:r>
      <w:r>
        <w:t xml:space="preserve"> </w:t>
      </w:r>
      <w:r w:rsidR="00504D92" w:rsidRPr="00101DDA">
        <w:rPr>
          <w:rFonts w:ascii="Aptos" w:hAnsi="Aptos"/>
          <w:sz w:val="24"/>
          <w:szCs w:val="24"/>
        </w:rPr>
        <w:t>Cohen, J.J., (</w:t>
      </w:r>
      <w:r w:rsidR="00504D92">
        <w:rPr>
          <w:rFonts w:ascii="Aptos" w:hAnsi="Aptos"/>
          <w:sz w:val="24"/>
          <w:szCs w:val="24"/>
        </w:rPr>
        <w:t>2020</w:t>
      </w:r>
      <w:r w:rsidR="00504D92" w:rsidRPr="00101DDA">
        <w:rPr>
          <w:rFonts w:ascii="Aptos" w:hAnsi="Aptos"/>
          <w:sz w:val="24"/>
          <w:szCs w:val="24"/>
        </w:rPr>
        <w:t>),</w:t>
      </w:r>
    </w:p>
  </w:footnote>
  <w:footnote w:id="39">
    <w:p w14:paraId="1AA5F569" w14:textId="71C949CC" w:rsidR="008B5C30" w:rsidRDefault="008B5C30" w:rsidP="00F8171E">
      <w:pPr>
        <w:pStyle w:val="FootnoteText"/>
      </w:pPr>
      <w:r>
        <w:rPr>
          <w:rStyle w:val="FootnoteReference"/>
        </w:rPr>
        <w:footnoteRef/>
      </w:r>
      <w:r>
        <w:t xml:space="preserve"> </w:t>
      </w:r>
      <w:r w:rsidR="00504D92" w:rsidRPr="00101DDA">
        <w:rPr>
          <w:rFonts w:ascii="Aptos" w:hAnsi="Aptos"/>
          <w:sz w:val="24"/>
          <w:szCs w:val="24"/>
        </w:rPr>
        <w:t>Cohen, J.J., (</w:t>
      </w:r>
      <w:r w:rsidR="00504D92">
        <w:rPr>
          <w:rFonts w:ascii="Aptos" w:hAnsi="Aptos"/>
          <w:sz w:val="24"/>
          <w:szCs w:val="24"/>
        </w:rPr>
        <w:t>2020</w:t>
      </w:r>
      <w:r w:rsidR="00504D92" w:rsidRPr="00101DDA">
        <w:rPr>
          <w:rFonts w:ascii="Aptos" w:hAnsi="Aptos"/>
          <w:sz w:val="24"/>
          <w:szCs w:val="24"/>
        </w:rPr>
        <w:t>),</w:t>
      </w:r>
    </w:p>
  </w:footnote>
  <w:footnote w:id="40">
    <w:p w14:paraId="6BC47BEF" w14:textId="6F9745E4" w:rsidR="008B5C30" w:rsidRDefault="008B5C30" w:rsidP="00F8171E">
      <w:pPr>
        <w:pStyle w:val="FootnoteText"/>
      </w:pPr>
      <w:r>
        <w:rPr>
          <w:rStyle w:val="FootnoteReference"/>
        </w:rPr>
        <w:footnoteRef/>
      </w:r>
      <w:r>
        <w:t xml:space="preserve"> </w:t>
      </w:r>
      <w:r w:rsidR="00504D92" w:rsidRPr="00101DDA">
        <w:rPr>
          <w:rFonts w:ascii="Aptos" w:hAnsi="Aptos"/>
          <w:sz w:val="24"/>
          <w:szCs w:val="24"/>
        </w:rPr>
        <w:t>Cohen, J.J., (</w:t>
      </w:r>
      <w:r w:rsidR="00504D92">
        <w:rPr>
          <w:rFonts w:ascii="Aptos" w:hAnsi="Aptos"/>
          <w:sz w:val="24"/>
          <w:szCs w:val="24"/>
        </w:rPr>
        <w:t>2020</w:t>
      </w:r>
      <w:r w:rsidR="00504D92" w:rsidRPr="00101DDA">
        <w:rPr>
          <w:rFonts w:ascii="Aptos" w:hAnsi="Aptos"/>
          <w:sz w:val="24"/>
          <w:szCs w:val="24"/>
        </w:rPr>
        <w:t>),</w:t>
      </w:r>
    </w:p>
  </w:footnote>
  <w:footnote w:id="41">
    <w:p w14:paraId="6BD361E7" w14:textId="4490997B" w:rsidR="008B5C30" w:rsidRDefault="008B5C30" w:rsidP="00F8171E">
      <w:pPr>
        <w:pStyle w:val="FootnoteText"/>
      </w:pPr>
      <w:r>
        <w:rPr>
          <w:rStyle w:val="FootnoteReference"/>
        </w:rPr>
        <w:footnoteRef/>
      </w:r>
      <w:r>
        <w:t xml:space="preserve"> Swanepole</w:t>
      </w:r>
      <w:r w:rsidR="00E67BC8">
        <w:t xml:space="preserve"> (2010) p149</w:t>
      </w:r>
    </w:p>
  </w:footnote>
  <w:footnote w:id="42">
    <w:p w14:paraId="275FD248" w14:textId="510275F0" w:rsidR="008B5C30" w:rsidRDefault="008B5C30" w:rsidP="00F8171E">
      <w:pPr>
        <w:pStyle w:val="FootnoteText"/>
      </w:pPr>
      <w:r>
        <w:rPr>
          <w:rStyle w:val="FootnoteReference"/>
        </w:rPr>
        <w:footnoteRef/>
      </w:r>
      <w:r>
        <w:t xml:space="preserve"> </w:t>
      </w:r>
      <w:r w:rsidR="00E67BC8">
        <w:t>ibid</w:t>
      </w:r>
    </w:p>
  </w:footnote>
  <w:footnote w:id="43">
    <w:p w14:paraId="2212D545" w14:textId="4A7E4183" w:rsidR="008B5C30" w:rsidRDefault="008B5C30" w:rsidP="00F8171E">
      <w:pPr>
        <w:pStyle w:val="FootnoteText"/>
      </w:pPr>
      <w:r>
        <w:rPr>
          <w:rStyle w:val="FootnoteReference"/>
        </w:rPr>
        <w:footnoteRef/>
      </w:r>
      <w:r>
        <w:t xml:space="preserve"> </w:t>
      </w:r>
      <w:r w:rsidR="00504D92" w:rsidRPr="00101DDA">
        <w:rPr>
          <w:rFonts w:ascii="Aptos" w:hAnsi="Aptos"/>
          <w:sz w:val="24"/>
          <w:szCs w:val="24"/>
        </w:rPr>
        <w:t>Cohen, J.J., (</w:t>
      </w:r>
      <w:r w:rsidR="00504D92">
        <w:rPr>
          <w:rFonts w:ascii="Aptos" w:hAnsi="Aptos"/>
          <w:sz w:val="24"/>
          <w:szCs w:val="24"/>
        </w:rPr>
        <w:t>2020</w:t>
      </w:r>
      <w:r w:rsidR="00504D92" w:rsidRPr="00101DDA">
        <w:rPr>
          <w:rFonts w:ascii="Aptos" w:hAnsi="Aptos"/>
          <w:sz w:val="24"/>
          <w:szCs w:val="24"/>
        </w:rPr>
        <w:t>),</w:t>
      </w:r>
    </w:p>
  </w:footnote>
  <w:footnote w:id="44">
    <w:p w14:paraId="75E32D2B" w14:textId="77777777" w:rsidR="008B5C30" w:rsidRDefault="008B5C30" w:rsidP="00F8171E">
      <w:pPr>
        <w:pStyle w:val="FootnoteText"/>
      </w:pPr>
      <w:r>
        <w:rPr>
          <w:rStyle w:val="FootnoteReference"/>
        </w:rPr>
        <w:footnoteRef/>
      </w:r>
      <w:r>
        <w:t xml:space="preserve"> Apollodorus</w:t>
      </w:r>
    </w:p>
  </w:footnote>
  <w:footnote w:id="45">
    <w:p w14:paraId="2748B6AB" w14:textId="77777777" w:rsidR="008B5C30" w:rsidRDefault="008B5C30" w:rsidP="00F8171E">
      <w:pPr>
        <w:pStyle w:val="FootnoteText"/>
      </w:pPr>
      <w:r>
        <w:rPr>
          <w:rStyle w:val="FootnoteReference"/>
        </w:rPr>
        <w:footnoteRef/>
      </w:r>
      <w:r>
        <w:t xml:space="preserve"> Clash of the Titans</w:t>
      </w:r>
    </w:p>
  </w:footnote>
  <w:footnote w:id="46">
    <w:p w14:paraId="2B949544" w14:textId="5232D85A" w:rsidR="008B5C30" w:rsidRDefault="008B5C30" w:rsidP="00F8171E">
      <w:pPr>
        <w:pStyle w:val="FootnoteText"/>
      </w:pPr>
      <w:r>
        <w:rPr>
          <w:rStyle w:val="FootnoteReference"/>
        </w:rPr>
        <w:footnoteRef/>
      </w:r>
      <w:r>
        <w:t xml:space="preserve"> </w:t>
      </w:r>
      <w:r w:rsidR="00504D92" w:rsidRPr="00101DDA">
        <w:rPr>
          <w:rFonts w:ascii="Aptos" w:hAnsi="Aptos"/>
          <w:sz w:val="24"/>
          <w:szCs w:val="24"/>
        </w:rPr>
        <w:t>Cohen, J.J., (</w:t>
      </w:r>
      <w:r w:rsidR="00504D92">
        <w:rPr>
          <w:rFonts w:ascii="Aptos" w:hAnsi="Aptos"/>
          <w:sz w:val="24"/>
          <w:szCs w:val="24"/>
        </w:rPr>
        <w:t>2020</w:t>
      </w:r>
      <w:r w:rsidR="00504D92" w:rsidRPr="00101DDA">
        <w:rPr>
          <w:rFonts w:ascii="Aptos" w:hAnsi="Aptos"/>
          <w:sz w:val="24"/>
          <w:szCs w:val="24"/>
        </w:rPr>
        <w:t>),</w:t>
      </w:r>
    </w:p>
  </w:footnote>
  <w:footnote w:id="47">
    <w:p w14:paraId="7E2F0EB1" w14:textId="2D949052" w:rsidR="008B5C30" w:rsidRDefault="008B5C30" w:rsidP="00F8171E">
      <w:pPr>
        <w:pStyle w:val="FootnoteText"/>
      </w:pPr>
      <w:r>
        <w:rPr>
          <w:rStyle w:val="FootnoteReference"/>
        </w:rPr>
        <w:footnoteRef/>
      </w:r>
      <w:r>
        <w:t xml:space="preserve"> Swanepole</w:t>
      </w:r>
      <w:r w:rsidR="00E67BC8">
        <w:t xml:space="preserve"> (2010) p149</w:t>
      </w:r>
    </w:p>
  </w:footnote>
  <w:footnote w:id="48">
    <w:p w14:paraId="6E5396F5" w14:textId="77777777" w:rsidR="008B5C30" w:rsidRDefault="008B5C30" w:rsidP="00F8171E">
      <w:pPr>
        <w:pStyle w:val="FootnoteText"/>
      </w:pPr>
      <w:r>
        <w:rPr>
          <w:rStyle w:val="FootnoteReference"/>
        </w:rPr>
        <w:footnoteRef/>
      </w:r>
      <w:r>
        <w:t xml:space="preserve"> Swanepole p1420</w:t>
      </w:r>
    </w:p>
  </w:footnote>
  <w:footnote w:id="49">
    <w:p w14:paraId="17D31C2F" w14:textId="786C8C2C" w:rsidR="008B5C30" w:rsidRDefault="008B5C30" w:rsidP="00F8171E">
      <w:pPr>
        <w:pStyle w:val="FootnoteText"/>
      </w:pPr>
      <w:r>
        <w:rPr>
          <w:rStyle w:val="FootnoteReference"/>
        </w:rPr>
        <w:footnoteRef/>
      </w:r>
      <w:r>
        <w:t xml:space="preserve"> </w:t>
      </w:r>
      <w:r w:rsidR="00504D92" w:rsidRPr="00101DDA">
        <w:rPr>
          <w:rFonts w:ascii="Aptos" w:hAnsi="Aptos"/>
          <w:sz w:val="24"/>
          <w:szCs w:val="24"/>
        </w:rPr>
        <w:t>Cohen, J.J., (</w:t>
      </w:r>
      <w:r w:rsidR="00504D92">
        <w:rPr>
          <w:rFonts w:ascii="Aptos" w:hAnsi="Aptos"/>
          <w:sz w:val="24"/>
          <w:szCs w:val="24"/>
        </w:rPr>
        <w:t>2020</w:t>
      </w:r>
      <w:r w:rsidR="00504D92" w:rsidRPr="00101DDA">
        <w:rPr>
          <w:rFonts w:ascii="Aptos" w:hAnsi="Aptos"/>
          <w:sz w:val="24"/>
          <w:szCs w:val="24"/>
        </w:rPr>
        <w:t>),</w:t>
      </w:r>
    </w:p>
  </w:footnote>
  <w:footnote w:id="50">
    <w:p w14:paraId="18ECEF33" w14:textId="2EBFBEBA" w:rsidR="008B5C30" w:rsidRDefault="008B5C30" w:rsidP="00F8171E">
      <w:pPr>
        <w:pStyle w:val="FootnoteText"/>
      </w:pPr>
      <w:r>
        <w:rPr>
          <w:rStyle w:val="FootnoteReference"/>
        </w:rPr>
        <w:footnoteRef/>
      </w:r>
      <w:r>
        <w:t xml:space="preserve"> </w:t>
      </w:r>
      <w:r w:rsidR="00504D92" w:rsidRPr="00101DDA">
        <w:rPr>
          <w:rFonts w:ascii="Aptos" w:hAnsi="Aptos"/>
          <w:sz w:val="24"/>
          <w:szCs w:val="24"/>
        </w:rPr>
        <w:t>Cohen, J.J., (</w:t>
      </w:r>
      <w:r w:rsidR="00504D92">
        <w:rPr>
          <w:rFonts w:ascii="Aptos" w:hAnsi="Aptos"/>
          <w:sz w:val="24"/>
          <w:szCs w:val="24"/>
        </w:rPr>
        <w:t>2020</w:t>
      </w:r>
      <w:r w:rsidR="00504D92" w:rsidRPr="00101DDA">
        <w:rPr>
          <w:rFonts w:ascii="Aptos" w:hAnsi="Aptos"/>
          <w:sz w:val="24"/>
          <w:szCs w:val="24"/>
        </w:rPr>
        <w:t>),</w:t>
      </w:r>
      <w:r>
        <w:t>; Swanepole</w:t>
      </w:r>
      <w:r w:rsidR="00E67BC8">
        <w:t xml:space="preserve"> (2010)</w:t>
      </w:r>
      <w:r w:rsidR="00504D92">
        <w:t xml:space="preserve"> p149</w:t>
      </w:r>
    </w:p>
  </w:footnote>
  <w:footnote w:id="51">
    <w:p w14:paraId="54A12CE0" w14:textId="6A33FB32" w:rsidR="008B5C30" w:rsidRDefault="008B5C30">
      <w:pPr>
        <w:pStyle w:val="FootnoteText"/>
      </w:pPr>
      <w:r>
        <w:rPr>
          <w:rStyle w:val="FootnoteReference"/>
        </w:rPr>
        <w:footnoteRef/>
      </w:r>
      <w:r>
        <w:t xml:space="preserve"> </w:t>
      </w:r>
      <w:hyperlink r:id="rId9" w:history="1">
        <w:r w:rsidR="00F76C20" w:rsidRPr="001A700D">
          <w:rPr>
            <w:rStyle w:val="Hyperlink"/>
            <w:rFonts w:ascii="Aptos" w:hAnsi="Aptos"/>
          </w:rPr>
          <w:t>https://www.theoi.com/Heros/Lykaon.html</w:t>
        </w:r>
      </w:hyperlink>
    </w:p>
  </w:footnote>
  <w:footnote w:id="52">
    <w:p w14:paraId="464373CD" w14:textId="0B6EC262" w:rsidR="008B5C30" w:rsidRDefault="008B5C30" w:rsidP="00F8171E">
      <w:pPr>
        <w:pStyle w:val="FootnoteText"/>
      </w:pPr>
      <w:r>
        <w:rPr>
          <w:rStyle w:val="FootnoteReference"/>
        </w:rPr>
        <w:footnoteRef/>
      </w:r>
      <w:r>
        <w:t xml:space="preserve"> </w:t>
      </w:r>
      <w:hyperlink r:id="rId10" w:history="1">
        <w:r w:rsidR="00F76C20" w:rsidRPr="001A700D">
          <w:rPr>
            <w:rStyle w:val="Hyperlink"/>
            <w:rFonts w:ascii="Aptos" w:hAnsi="Aptos"/>
          </w:rPr>
          <w:t>https://www.theoi.com/Heros/Lykaon.html</w:t>
        </w:r>
      </w:hyperlink>
      <w:r>
        <w:t>; Paus.3.11.11; Hom.Od.12.389</w:t>
      </w:r>
    </w:p>
  </w:footnote>
  <w:footnote w:id="53">
    <w:p w14:paraId="24BE64ED" w14:textId="77777777" w:rsidR="008B5C30" w:rsidRPr="004A7236" w:rsidRDefault="008B5C30" w:rsidP="00F8171E">
      <w:pPr>
        <w:pStyle w:val="FootnoteText"/>
      </w:pPr>
      <w:r>
        <w:rPr>
          <w:rStyle w:val="FootnoteReference"/>
        </w:rPr>
        <w:footnoteRef/>
      </w:r>
      <w:r>
        <w:t xml:space="preserve"> Ov.</w:t>
      </w:r>
      <w:r>
        <w:rPr>
          <w:i/>
          <w:iCs/>
        </w:rPr>
        <w:t>Met</w:t>
      </w:r>
      <w:r>
        <w:t>.</w:t>
      </w:r>
    </w:p>
  </w:footnote>
  <w:footnote w:id="54">
    <w:p w14:paraId="3732AFB1" w14:textId="77777777" w:rsidR="008B5C30" w:rsidRDefault="008B5C30" w:rsidP="00F8171E">
      <w:pPr>
        <w:pStyle w:val="FootnoteText"/>
      </w:pPr>
      <w:r>
        <w:rPr>
          <w:rStyle w:val="FootnoteReference"/>
        </w:rPr>
        <w:footnoteRef/>
      </w:r>
      <w:r>
        <w:t xml:space="preserve"> Apollod.</w:t>
      </w:r>
    </w:p>
  </w:footnote>
  <w:footnote w:id="55">
    <w:p w14:paraId="2E8AD9BE" w14:textId="77777777" w:rsidR="008B5C30" w:rsidRPr="004A7236" w:rsidRDefault="008B5C30" w:rsidP="00F8171E">
      <w:pPr>
        <w:pStyle w:val="FootnoteText"/>
      </w:pPr>
      <w:r>
        <w:rPr>
          <w:rStyle w:val="FootnoteReference"/>
        </w:rPr>
        <w:footnoteRef/>
      </w:r>
      <w:r>
        <w:t xml:space="preserve"> Hes.</w:t>
      </w:r>
      <w:r>
        <w:rPr>
          <w:i/>
          <w:iCs/>
        </w:rPr>
        <w:t>Astronomica</w:t>
      </w:r>
      <w:r>
        <w:t>, 3</w:t>
      </w:r>
    </w:p>
  </w:footnote>
  <w:footnote w:id="56">
    <w:p w14:paraId="1FD00998" w14:textId="77777777" w:rsidR="008B5C30" w:rsidRDefault="008B5C30" w:rsidP="00F8171E">
      <w:pPr>
        <w:pStyle w:val="FootnoteText"/>
      </w:pPr>
      <w:r>
        <w:rPr>
          <w:rStyle w:val="FootnoteReference"/>
        </w:rPr>
        <w:footnoteRef/>
      </w:r>
      <w:r>
        <w:t xml:space="preserve"> Lefkowitz, M., and Fant, M., (2020) ex104p87-88</w:t>
      </w:r>
    </w:p>
  </w:footnote>
  <w:footnote w:id="57">
    <w:p w14:paraId="0B0CCF35" w14:textId="77777777" w:rsidR="008B5C30" w:rsidRDefault="008B5C30" w:rsidP="00F8171E">
      <w:pPr>
        <w:pStyle w:val="FootnoteText"/>
      </w:pPr>
      <w:r>
        <w:rPr>
          <w:rStyle w:val="FootnoteReference"/>
        </w:rPr>
        <w:footnoteRef/>
      </w:r>
      <w:r>
        <w:t xml:space="preserve"> Ov., </w:t>
      </w:r>
    </w:p>
  </w:footnote>
  <w:footnote w:id="58">
    <w:p w14:paraId="0575E692" w14:textId="77777777" w:rsidR="008B5C30" w:rsidRDefault="008B5C30" w:rsidP="00F8171E">
      <w:pPr>
        <w:pStyle w:val="FootnoteText"/>
      </w:pPr>
      <w:r>
        <w:rPr>
          <w:rStyle w:val="FootnoteReference"/>
        </w:rPr>
        <w:footnoteRef/>
      </w:r>
      <w:r>
        <w:t xml:space="preserve"> Balsley, K., (2011), </w:t>
      </w:r>
    </w:p>
  </w:footnote>
  <w:footnote w:id="59">
    <w:p w14:paraId="171B1900" w14:textId="77777777" w:rsidR="008B5C30" w:rsidRDefault="008B5C30">
      <w:pPr>
        <w:pStyle w:val="FootnoteText"/>
      </w:pPr>
      <w:r>
        <w:rPr>
          <w:rStyle w:val="FootnoteReference"/>
        </w:rPr>
        <w:footnoteRef/>
      </w:r>
      <w:r>
        <w:t xml:space="preserve"> Myths and Monsters Purkiss s1e2</w:t>
      </w:r>
    </w:p>
  </w:footnote>
  <w:footnote w:id="60">
    <w:p w14:paraId="059AE40E" w14:textId="77777777" w:rsidR="008B5C30" w:rsidRDefault="008B5C30" w:rsidP="00F8171E">
      <w:pPr>
        <w:pStyle w:val="FootnoteText"/>
      </w:pPr>
      <w:r>
        <w:rPr>
          <w:rStyle w:val="FootnoteReference"/>
        </w:rPr>
        <w:footnoteRef/>
      </w:r>
      <w:r>
        <w:t xml:space="preserve"> Ov</w:t>
      </w:r>
    </w:p>
  </w:footnote>
  <w:footnote w:id="61">
    <w:p w14:paraId="222B9267" w14:textId="77777777" w:rsidR="008B5C30" w:rsidRDefault="008B5C30" w:rsidP="00F8171E">
      <w:pPr>
        <w:pStyle w:val="FootnoteText"/>
      </w:pPr>
      <w:r>
        <w:rPr>
          <w:rStyle w:val="FootnoteReference"/>
        </w:rPr>
        <w:footnoteRef/>
      </w:r>
      <w:r>
        <w:t xml:space="preserve"> Balsley, K., 2011), </w:t>
      </w:r>
    </w:p>
  </w:footnote>
  <w:footnote w:id="62">
    <w:p w14:paraId="7C9C3E6C" w14:textId="77777777" w:rsidR="008B5C30" w:rsidRDefault="008B5C30" w:rsidP="00F8171E">
      <w:pPr>
        <w:pStyle w:val="FootnoteText"/>
      </w:pPr>
      <w:r>
        <w:rPr>
          <w:rStyle w:val="FootnoteReference"/>
        </w:rPr>
        <w:footnoteRef/>
      </w:r>
      <w:r>
        <w:t xml:space="preserve"> Ov</w:t>
      </w:r>
    </w:p>
  </w:footnote>
  <w:footnote w:id="63">
    <w:p w14:paraId="1113C09B" w14:textId="77777777" w:rsidR="008B5C30" w:rsidRDefault="008B5C30" w:rsidP="00F8171E">
      <w:pPr>
        <w:pStyle w:val="FootnoteText"/>
      </w:pPr>
      <w:r>
        <w:rPr>
          <w:rStyle w:val="FootnoteReference"/>
        </w:rPr>
        <w:footnoteRef/>
      </w:r>
      <w:r>
        <w:t xml:space="preserve">  The Witcher [Netflix show] S2E1</w:t>
      </w:r>
    </w:p>
  </w:footnote>
  <w:footnote w:id="64">
    <w:p w14:paraId="3DD0A817" w14:textId="77777777" w:rsidR="008B5C30" w:rsidRDefault="008B5C30" w:rsidP="00F8171E">
      <w:pPr>
        <w:pStyle w:val="FootnoteText"/>
      </w:pPr>
      <w:r>
        <w:rPr>
          <w:rStyle w:val="FootnoteReference"/>
        </w:rPr>
        <w:footnoteRef/>
      </w:r>
      <w:r>
        <w:t xml:space="preserve"> </w:t>
      </w:r>
      <w:hyperlink r:id="rId11" w:history="1">
        <w:r w:rsidRPr="001A700D">
          <w:rPr>
            <w:rStyle w:val="Hyperlink"/>
          </w:rPr>
          <w:t>https://www.dltk-kids.com/world/greece/m-story-medusa-and-athena.htm</w:t>
        </w:r>
      </w:hyperlink>
      <w:r>
        <w:t xml:space="preserve"> ; Diver, R., (2020) p67; </w:t>
      </w:r>
      <w:hyperlink r:id="rId12" w:history="1">
        <w:r w:rsidRPr="001A700D">
          <w:rPr>
            <w:rStyle w:val="Hyperlink"/>
          </w:rPr>
          <w:t>https://www.thinkdigitalacademy.org/wp-content/uploads/2021/11/Greek-mythology-The-Story-of-Medusa-and-Athena.pdf</w:t>
        </w:r>
      </w:hyperlink>
      <w:r>
        <w:t xml:space="preserve"> </w:t>
      </w:r>
    </w:p>
  </w:footnote>
  <w:footnote w:id="65">
    <w:p w14:paraId="08CD5386" w14:textId="1671F58F" w:rsidR="008B5C30" w:rsidRDefault="008B5C30" w:rsidP="00F8171E">
      <w:pPr>
        <w:pStyle w:val="FootnoteText"/>
      </w:pPr>
      <w:r>
        <w:rPr>
          <w:rStyle w:val="FootnoteReference"/>
        </w:rPr>
        <w:footnoteRef/>
      </w:r>
      <w:r>
        <w:t xml:space="preserve"> Ov</w:t>
      </w:r>
      <w:r w:rsidR="00293C12">
        <w:t>.</w:t>
      </w:r>
      <w:r w:rsidR="00293C12" w:rsidRPr="00293C12">
        <w:rPr>
          <w:i/>
          <w:iCs/>
        </w:rPr>
        <w:t>Met</w:t>
      </w:r>
      <w:r w:rsidR="00293C12">
        <w:t>.</w:t>
      </w:r>
      <w:r w:rsidR="00663A07">
        <w:t>4.770ff (Melville)</w:t>
      </w:r>
    </w:p>
  </w:footnote>
  <w:footnote w:id="66">
    <w:p w14:paraId="4809F500" w14:textId="2A85B956" w:rsidR="008B5C30" w:rsidRDefault="008B5C30" w:rsidP="00F8171E">
      <w:pPr>
        <w:pStyle w:val="FootnoteText"/>
      </w:pPr>
      <w:r>
        <w:rPr>
          <w:rStyle w:val="FootnoteReference"/>
        </w:rPr>
        <w:footnoteRef/>
      </w:r>
      <w:r>
        <w:t xml:space="preserve"> Pseudo-Apollod</w:t>
      </w:r>
      <w:r w:rsidR="00293C12">
        <w:t xml:space="preserve"> </w:t>
      </w:r>
      <w:r w:rsidR="00293C12" w:rsidRPr="00293C12">
        <w:rPr>
          <w:i/>
          <w:iCs/>
        </w:rPr>
        <w:t>Library</w:t>
      </w:r>
      <w:r w:rsidR="00293C12">
        <w:t xml:space="preserve"> 2.4</w:t>
      </w:r>
    </w:p>
  </w:footnote>
  <w:footnote w:id="67">
    <w:p w14:paraId="0B7E1EC1" w14:textId="77777777" w:rsidR="008B5C30" w:rsidRDefault="008B5C30">
      <w:pPr>
        <w:pStyle w:val="FootnoteText"/>
      </w:pPr>
      <w:r>
        <w:rPr>
          <w:rStyle w:val="FootnoteReference"/>
        </w:rPr>
        <w:footnoteRef/>
      </w:r>
      <w:r>
        <w:t xml:space="preserve"> Ov.</w:t>
      </w:r>
      <w:r>
        <w:rPr>
          <w:i/>
          <w:iCs/>
        </w:rPr>
        <w:t>Met</w:t>
      </w:r>
      <w:r>
        <w:t>. (More trans), Ov.</w:t>
      </w:r>
      <w:r>
        <w:rPr>
          <w:i/>
          <w:iCs/>
        </w:rPr>
        <w:t>Met</w:t>
      </w:r>
      <w:r>
        <w:t>. (Melville trans), Ov.</w:t>
      </w:r>
      <w:r>
        <w:rPr>
          <w:i/>
          <w:iCs/>
        </w:rPr>
        <w:t>Met</w:t>
      </w:r>
      <w:r>
        <w:t>. (Golding trans),</w:t>
      </w:r>
    </w:p>
  </w:footnote>
  <w:footnote w:id="68">
    <w:p w14:paraId="006E9734" w14:textId="77777777" w:rsidR="008B5C30" w:rsidRDefault="008B5C30">
      <w:pPr>
        <w:pStyle w:val="FootnoteText"/>
      </w:pPr>
      <w:r>
        <w:rPr>
          <w:rStyle w:val="FootnoteReference"/>
        </w:rPr>
        <w:footnoteRef/>
      </w:r>
      <w:r>
        <w:t xml:space="preserve"> Fry, S., (2019),</w:t>
      </w:r>
    </w:p>
  </w:footnote>
  <w:footnote w:id="69">
    <w:p w14:paraId="2DAB4523" w14:textId="77777777" w:rsidR="008B5C30" w:rsidRPr="00203412" w:rsidRDefault="008B5C30" w:rsidP="00F8171E">
      <w:pPr>
        <w:pStyle w:val="FootnoteText"/>
      </w:pPr>
      <w:r>
        <w:rPr>
          <w:rStyle w:val="FootnoteReference"/>
        </w:rPr>
        <w:footnoteRef/>
      </w:r>
      <w:r>
        <w:t xml:space="preserve"> McLaughlin, N., </w:t>
      </w:r>
    </w:p>
  </w:footnote>
  <w:footnote w:id="70">
    <w:p w14:paraId="1E881FBE" w14:textId="77777777" w:rsidR="008B5C30" w:rsidRDefault="008B5C30" w:rsidP="00F8171E">
      <w:pPr>
        <w:pStyle w:val="FootnoteText"/>
      </w:pPr>
      <w:r>
        <w:rPr>
          <w:rStyle w:val="FootnoteReference"/>
        </w:rPr>
        <w:footnoteRef/>
      </w:r>
      <w:r>
        <w:t xml:space="preserve"> Ov.</w:t>
      </w:r>
      <w:r>
        <w:rPr>
          <w:i/>
          <w:iCs/>
        </w:rPr>
        <w:t>Met</w:t>
      </w:r>
      <w:r>
        <w:t>. (More trans), Ov.</w:t>
      </w:r>
      <w:r>
        <w:rPr>
          <w:i/>
          <w:iCs/>
        </w:rPr>
        <w:t>Met</w:t>
      </w:r>
      <w:r>
        <w:t>. (Melville trans), Ov.</w:t>
      </w:r>
      <w:r>
        <w:rPr>
          <w:i/>
          <w:iCs/>
        </w:rPr>
        <w:t>Met</w:t>
      </w:r>
      <w:r>
        <w:t>. (Golding trans)</w:t>
      </w:r>
    </w:p>
  </w:footnote>
  <w:footnote w:id="71">
    <w:p w14:paraId="67367AB3" w14:textId="28EA79A4" w:rsidR="008B5C30" w:rsidRDefault="008B5C30" w:rsidP="00F8171E">
      <w:pPr>
        <w:pStyle w:val="FootnoteText"/>
      </w:pPr>
      <w:r>
        <w:rPr>
          <w:rStyle w:val="FootnoteReference"/>
        </w:rPr>
        <w:footnoteRef/>
      </w:r>
      <w:r>
        <w:t xml:space="preserve"> It appears that Zeus may be the only god able to punish other deities, maybe because he was king of the gods, as evidenced by his punishment of apollo for the killing of the cyclopes (pseudo-apollodorus library 3.118-122; Diodorus siculus, library of history 4.71.3; pseudo-hyginus fabulae 49), punished Hera for opposing him (Valerius Flaccus Argonautica 2.82 ff, homer iliad 1.397ff) punished Aphrodite for making the other deities fall in love with mortals  </w:t>
      </w:r>
    </w:p>
  </w:footnote>
  <w:footnote w:id="72">
    <w:p w14:paraId="300E0FD7" w14:textId="77777777" w:rsidR="008B5C30" w:rsidRPr="00E27323" w:rsidRDefault="008B5C30" w:rsidP="00F8171E">
      <w:pPr>
        <w:pStyle w:val="FootnoteText"/>
      </w:pPr>
      <w:r>
        <w:rPr>
          <w:rStyle w:val="FootnoteReference"/>
        </w:rPr>
        <w:footnoteRef/>
      </w:r>
      <w:r>
        <w:t xml:space="preserve"> Curran, L., (1978), Rape and Rape Victims in the Metamorphoses </w:t>
      </w:r>
      <w:r>
        <w:rPr>
          <w:i/>
          <w:iCs/>
        </w:rPr>
        <w:t>Arethusa</w:t>
      </w:r>
      <w:r>
        <w:t xml:space="preserve">, </w:t>
      </w:r>
    </w:p>
  </w:footnote>
  <w:footnote w:id="73">
    <w:p w14:paraId="26826EFE" w14:textId="77777777" w:rsidR="008B5C30" w:rsidRDefault="008B5C30" w:rsidP="00F8171E">
      <w:pPr>
        <w:pStyle w:val="FootnoteText"/>
      </w:pPr>
      <w:r>
        <w:rPr>
          <w:rStyle w:val="FootnoteReference"/>
        </w:rPr>
        <w:footnoteRef/>
      </w:r>
      <w:r>
        <w:t xml:space="preserve"> Liz Gloyn</w:t>
      </w:r>
    </w:p>
  </w:footnote>
  <w:footnote w:id="74">
    <w:p w14:paraId="74E8CF7A" w14:textId="139BEB0D" w:rsidR="008B5C30" w:rsidRDefault="008B5C30" w:rsidP="00F8171E">
      <w:pPr>
        <w:pStyle w:val="FootnoteText"/>
      </w:pPr>
      <w:r>
        <w:rPr>
          <w:rStyle w:val="FootnoteReference"/>
        </w:rPr>
        <w:footnoteRef/>
      </w:r>
      <w:r w:rsidR="00CD7657">
        <w:t>Lef</w:t>
      </w:r>
      <w:r w:rsidR="00A23A9D">
        <w:t>kowitz and Fant (</w:t>
      </w:r>
      <w:r w:rsidR="00A00768">
        <w:t>2016</w:t>
      </w:r>
      <w:r w:rsidR="00A23A9D">
        <w:t>) extract 511</w:t>
      </w:r>
      <w:r>
        <w:t xml:space="preserve"> According to Plutarch, the Romans considered it impious for a person who had been consecrated to the most holy rites to die of starvation.</w:t>
      </w:r>
    </w:p>
  </w:footnote>
  <w:footnote w:id="75">
    <w:p w14:paraId="226C66EB" w14:textId="77777777" w:rsidR="008B5C30" w:rsidRDefault="008B5C30" w:rsidP="00F8171E">
      <w:pPr>
        <w:pStyle w:val="FootnoteText"/>
      </w:pPr>
      <w:r>
        <w:rPr>
          <w:rStyle w:val="FootnoteReference"/>
        </w:rPr>
        <w:footnoteRef/>
      </w:r>
      <w:r>
        <w:t xml:space="preserve"> Liz Gloyn</w:t>
      </w:r>
    </w:p>
  </w:footnote>
  <w:footnote w:id="76">
    <w:p w14:paraId="33B518EB" w14:textId="022D4F6B" w:rsidR="008B5C30" w:rsidRPr="00BB771F" w:rsidRDefault="008B5C30" w:rsidP="00017086">
      <w:pPr>
        <w:pStyle w:val="FootnoteText"/>
      </w:pPr>
      <w:r>
        <w:rPr>
          <w:rStyle w:val="FootnoteReference"/>
        </w:rPr>
        <w:footnoteRef/>
      </w:r>
      <w:r>
        <w:t xml:space="preserve"> Comment by AstralAegis</w:t>
      </w:r>
      <w:r w:rsidR="004640C0">
        <w:t xml:space="preserve"> on </w:t>
      </w:r>
      <w:r w:rsidR="00FB2F94">
        <w:rPr>
          <w:i/>
          <w:iCs/>
        </w:rPr>
        <w:t xml:space="preserve">From a Knight to a </w:t>
      </w:r>
      <w:r w:rsidR="00FB2F94" w:rsidRPr="00BB771F">
        <w:rPr>
          <w:i/>
          <w:iCs/>
        </w:rPr>
        <w:t xml:space="preserve">Lady </w:t>
      </w:r>
      <w:r w:rsidR="00BB771F" w:rsidRPr="00BB771F">
        <w:rPr>
          <w:i/>
          <w:iCs/>
        </w:rPr>
        <w:t xml:space="preserve">(S3) </w:t>
      </w:r>
      <w:r w:rsidR="00FB2F94" w:rsidRPr="00BB771F">
        <w:rPr>
          <w:i/>
          <w:iCs/>
        </w:rPr>
        <w:t>ep15</w:t>
      </w:r>
      <w:r w:rsidR="00BB771F" w:rsidRPr="00BB771F">
        <w:rPr>
          <w:i/>
          <w:iCs/>
        </w:rPr>
        <w:t>2</w:t>
      </w:r>
    </w:p>
  </w:footnote>
  <w:footnote w:id="77">
    <w:p w14:paraId="4589B727" w14:textId="6A8BD149" w:rsidR="008B5C30" w:rsidRDefault="008B5C30" w:rsidP="00527BB4">
      <w:pPr>
        <w:pStyle w:val="FootnoteText"/>
      </w:pPr>
      <w:r>
        <w:rPr>
          <w:rStyle w:val="FootnoteReference"/>
        </w:rPr>
        <w:footnoteRef/>
      </w:r>
      <w:r>
        <w:t xml:space="preserve"> Bell,</w:t>
      </w:r>
      <w:r w:rsidR="00D86F2C">
        <w:t xml:space="preserve"> S., (2011)</w:t>
      </w:r>
      <w:r>
        <w:t xml:space="preserve"> p29</w:t>
      </w:r>
    </w:p>
  </w:footnote>
  <w:footnote w:id="78">
    <w:p w14:paraId="4F442D75" w14:textId="22942D1E" w:rsidR="008B5C30" w:rsidRDefault="008B5C30" w:rsidP="00527BB4">
      <w:pPr>
        <w:pStyle w:val="FootnoteText"/>
      </w:pPr>
      <w:r>
        <w:rPr>
          <w:rStyle w:val="FootnoteReference"/>
        </w:rPr>
        <w:footnoteRef/>
      </w:r>
      <w:r>
        <w:t xml:space="preserve"> Smith, A., </w:t>
      </w:r>
      <w:r w:rsidR="00361B56">
        <w:t>(</w:t>
      </w:r>
      <w:r w:rsidR="00DE289E">
        <w:t>2005) p</w:t>
      </w:r>
      <w:r w:rsidR="003356E2">
        <w:t>369</w:t>
      </w:r>
    </w:p>
  </w:footnote>
  <w:footnote w:id="79">
    <w:p w14:paraId="0590B6A0" w14:textId="319BFF12" w:rsidR="008B5C30" w:rsidRDefault="008B5C30" w:rsidP="00527BB4">
      <w:pPr>
        <w:pStyle w:val="FootnoteText"/>
      </w:pPr>
      <w:r>
        <w:rPr>
          <w:rStyle w:val="FootnoteReference"/>
        </w:rPr>
        <w:footnoteRef/>
      </w:r>
      <w:r>
        <w:t xml:space="preserve"> Extract 39 Womens life in Greece and Rome. It is interesting to note that Tyro’s hair was shaved, while Medusa’s was turned into snakes, and there are modern depictions where women’s hair (Cersei </w:t>
      </w:r>
      <w:r w:rsidR="00AB780E">
        <w:t xml:space="preserve">in </w:t>
      </w:r>
      <w:r>
        <w:t>Game of Thrones</w:t>
      </w:r>
      <w:r w:rsidR="00FB0CBD">
        <w:t xml:space="preserve"> S</w:t>
      </w:r>
      <w:r w:rsidR="00AB780E">
        <w:t>5E10</w:t>
      </w:r>
      <w:r>
        <w:t>) was shaved and they w</w:t>
      </w:r>
      <w:r w:rsidR="004D74A2">
        <w:t>ere</w:t>
      </w:r>
      <w:r>
        <w:t xml:space="preserve"> publicly paraded through the streets, similar to the Vestal Virgins</w:t>
      </w:r>
    </w:p>
  </w:footnote>
  <w:footnote w:id="80">
    <w:p w14:paraId="1BBAD8CA" w14:textId="77777777" w:rsidR="008B5C30" w:rsidRDefault="008B5C30" w:rsidP="00527BB4">
      <w:pPr>
        <w:pStyle w:val="FootnoteText"/>
      </w:pPr>
      <w:r>
        <w:rPr>
          <w:rStyle w:val="FootnoteReference"/>
        </w:rPr>
        <w:footnoteRef/>
      </w:r>
      <w:r>
        <w:t xml:space="preserve"> Extract 189. This appears to be the almost the same in Rome as it was in extract 104, where an adulterous woman’s lover can be put to death by the husband if they were found out. However in this extract, both woman and lover could be killed, and it appears any man who found out could kill them, not just husband or family.</w:t>
      </w:r>
    </w:p>
  </w:footnote>
  <w:footnote w:id="81">
    <w:p w14:paraId="6A1B8DDB" w14:textId="77777777" w:rsidR="008B5C30" w:rsidRDefault="008B5C30">
      <w:pPr>
        <w:pStyle w:val="FootnoteText"/>
      </w:pPr>
      <w:r>
        <w:rPr>
          <w:rStyle w:val="FootnoteReference"/>
        </w:rPr>
        <w:footnoteRef/>
      </w:r>
      <w:r>
        <w:t xml:space="preserve"> Lefkowitz, M., and Fant, M., (2020) ex104p87-88</w:t>
      </w:r>
    </w:p>
  </w:footnote>
  <w:footnote w:id="82">
    <w:p w14:paraId="3E1DE78C" w14:textId="697A823B" w:rsidR="008B5C30" w:rsidRPr="00483623" w:rsidRDefault="008B5C30">
      <w:pPr>
        <w:pStyle w:val="FootnoteText"/>
      </w:pPr>
      <w:r>
        <w:rPr>
          <w:rStyle w:val="FootnoteReference"/>
        </w:rPr>
        <w:footnoteRef/>
      </w:r>
      <w:r>
        <w:t xml:space="preserve"> Annalize Jacobs, (2015) ‘</w:t>
      </w:r>
      <w:r w:rsidRPr="00567F29">
        <w:t>MARITUS V MULIER: 1THE DOUBLE PICTURE IN ADULTERY LAWS FROM ROMULUS TO AUGUSTUS</w:t>
      </w:r>
      <w:r>
        <w:t xml:space="preserve">’ in </w:t>
      </w:r>
      <w:r>
        <w:rPr>
          <w:i/>
          <w:iCs/>
        </w:rPr>
        <w:t>Fundamina</w:t>
      </w:r>
      <w:r>
        <w:t>, vol 21 issue 2, p278</w:t>
      </w:r>
    </w:p>
  </w:footnote>
  <w:footnote w:id="83">
    <w:p w14:paraId="1C48A94C" w14:textId="77764B27" w:rsidR="008B5C30" w:rsidRDefault="008B5C30" w:rsidP="00527BB4">
      <w:pPr>
        <w:pStyle w:val="FootnoteText"/>
      </w:pPr>
      <w:r>
        <w:rPr>
          <w:rStyle w:val="FootnoteReference"/>
        </w:rPr>
        <w:footnoteRef/>
      </w:r>
      <w:r>
        <w:t xml:space="preserve"> </w:t>
      </w:r>
      <w:r w:rsidR="001511CD">
        <w:t xml:space="preserve">Lefkowitz and Fant (2016) </w:t>
      </w:r>
      <w:r>
        <w:t>Ex 167 Justinian Codex 9.9.20 L</w:t>
      </w:r>
    </w:p>
  </w:footnote>
  <w:footnote w:id="84">
    <w:p w14:paraId="1493ACFC" w14:textId="0A60ED48" w:rsidR="00DE0CD1" w:rsidRDefault="00DE0CD1" w:rsidP="00DE0CD1">
      <w:pPr>
        <w:pStyle w:val="FootnoteText"/>
      </w:pPr>
      <w:r>
        <w:rPr>
          <w:rStyle w:val="FootnoteReference"/>
        </w:rPr>
        <w:footnoteRef/>
      </w:r>
      <w:r>
        <w:t xml:space="preserve"> Orenstein</w:t>
      </w:r>
      <w:r w:rsidR="009963DB">
        <w:t>, A., (</w:t>
      </w:r>
      <w:r w:rsidR="00A412B3">
        <w:t>2007) p</w:t>
      </w:r>
      <w:r w:rsidR="00AA331C">
        <w:t>1588</w:t>
      </w:r>
    </w:p>
  </w:footnote>
  <w:footnote w:id="85">
    <w:p w14:paraId="0F224654" w14:textId="1A49779A" w:rsidR="009963DB" w:rsidRDefault="009963DB">
      <w:pPr>
        <w:pStyle w:val="FootnoteText"/>
      </w:pPr>
      <w:r>
        <w:rPr>
          <w:rStyle w:val="FootnoteReference"/>
        </w:rPr>
        <w:footnoteRef/>
      </w:r>
      <w:r>
        <w:t xml:space="preserve"> Mole, S., (2021)</w:t>
      </w:r>
      <w:r w:rsidRPr="009963DB">
        <w:t xml:space="preserve"> </w:t>
      </w:r>
      <w:hyperlink r:id="rId13" w:history="1">
        <w:r w:rsidRPr="001A700D">
          <w:rPr>
            <w:rStyle w:val="Hyperlink"/>
          </w:rPr>
          <w:t>https://www.bbc.co.uk/sounds/play/p0b0k55k</w:t>
        </w:r>
      </w:hyperlink>
      <w:r w:rsidR="00A04305">
        <w:t xml:space="preserve"> 1:37-</w:t>
      </w:r>
      <w:r w:rsidR="00B16813">
        <w:t>1:41</w:t>
      </w:r>
    </w:p>
  </w:footnote>
  <w:footnote w:id="86">
    <w:p w14:paraId="554BC812" w14:textId="5DE0C402" w:rsidR="00AB3A41" w:rsidRDefault="00AB3A41">
      <w:pPr>
        <w:pStyle w:val="FootnoteText"/>
      </w:pPr>
      <w:r>
        <w:rPr>
          <w:rStyle w:val="FootnoteReference"/>
        </w:rPr>
        <w:footnoteRef/>
      </w:r>
      <w:r>
        <w:t xml:space="preserve"> </w:t>
      </w:r>
      <w:r w:rsidR="009963DB">
        <w:t xml:space="preserve">Orenstein, A., </w:t>
      </w:r>
      <w:r w:rsidR="00A412B3">
        <w:t>(2007) p</w:t>
      </w:r>
      <w:r w:rsidR="00AA331C">
        <w:t>1588</w:t>
      </w:r>
    </w:p>
  </w:footnote>
  <w:footnote w:id="87">
    <w:p w14:paraId="29FB0C58" w14:textId="28A675FB" w:rsidR="00974006" w:rsidRDefault="00974006">
      <w:pPr>
        <w:pStyle w:val="FootnoteText"/>
      </w:pPr>
      <w:r>
        <w:rPr>
          <w:rStyle w:val="FootnoteReference"/>
        </w:rPr>
        <w:footnoteRef/>
      </w:r>
      <w:r>
        <w:t xml:space="preserve"> </w:t>
      </w:r>
      <w:r w:rsidR="006E1142">
        <w:t xml:space="preserve">Mole, S., (2021) </w:t>
      </w:r>
      <w:r w:rsidR="00997E3F">
        <w:t>1:28-</w:t>
      </w:r>
      <w:r w:rsidR="00A04305">
        <w:t>1:34</w:t>
      </w:r>
    </w:p>
  </w:footnote>
  <w:footnote w:id="88">
    <w:p w14:paraId="79C98A1B" w14:textId="548E4028" w:rsidR="008B5C30" w:rsidRDefault="008B5C30" w:rsidP="00527BB4">
      <w:pPr>
        <w:pStyle w:val="FootnoteText"/>
      </w:pPr>
      <w:r>
        <w:rPr>
          <w:rStyle w:val="FootnoteReference"/>
        </w:rPr>
        <w:footnoteRef/>
      </w:r>
      <w:r>
        <w:t xml:space="preserve"> Smith, A., (2010) p</w:t>
      </w:r>
      <w:r w:rsidR="003356E2">
        <w:t>369</w:t>
      </w:r>
    </w:p>
  </w:footnote>
  <w:footnote w:id="89">
    <w:p w14:paraId="43C42578" w14:textId="3903F219" w:rsidR="008B5C30" w:rsidRPr="00142A17" w:rsidRDefault="008B5C30" w:rsidP="00527BB4">
      <w:pPr>
        <w:pStyle w:val="FootnoteText"/>
      </w:pPr>
      <w:r>
        <w:rPr>
          <w:rStyle w:val="FootnoteReference"/>
        </w:rPr>
        <w:footnoteRef/>
      </w:r>
      <w:r>
        <w:t xml:space="preserve"> Smith, A (2010) p</w:t>
      </w:r>
      <w:r w:rsidR="00876179">
        <w:t>376</w:t>
      </w:r>
      <w:r>
        <w:t xml:space="preserve"> ; Wuornos is a good comparison for Medusa, as not only were both women raped, but they also became perceived as monsters after their rape and their subsequent ‘killings’ which may very well have been in self-defence rather than intentional murders. Medusa is one of the first named creatures one would think of when thinking of classical monsters, while Wuornos has had a film about her life and story called </w:t>
      </w:r>
      <w:r>
        <w:rPr>
          <w:i/>
          <w:iCs/>
        </w:rPr>
        <w:t>Monster</w:t>
      </w:r>
      <w:r>
        <w:t>, and is regarded as the first female serial killer in North America.</w:t>
      </w:r>
    </w:p>
  </w:footnote>
  <w:footnote w:id="90">
    <w:p w14:paraId="56DE4994" w14:textId="2562E653" w:rsidR="008B5C30" w:rsidRDefault="008B5C30" w:rsidP="00527BB4">
      <w:pPr>
        <w:pStyle w:val="FootnoteText"/>
      </w:pPr>
      <w:r>
        <w:rPr>
          <w:rStyle w:val="FootnoteReference"/>
        </w:rPr>
        <w:footnoteRef/>
      </w:r>
      <w:r>
        <w:t xml:space="preserve"> Smith, A., (2010) p</w:t>
      </w:r>
      <w:r w:rsidR="00A25BB9">
        <w:t>379</w:t>
      </w:r>
    </w:p>
  </w:footnote>
  <w:footnote w:id="91">
    <w:p w14:paraId="28B99C91" w14:textId="77777777" w:rsidR="008B5C30" w:rsidRPr="00251EB5" w:rsidRDefault="008B5C30" w:rsidP="00527BB4">
      <w:pPr>
        <w:pStyle w:val="FootnoteText"/>
      </w:pPr>
      <w:r>
        <w:rPr>
          <w:rStyle w:val="FootnoteReference"/>
        </w:rPr>
        <w:footnoteRef/>
      </w:r>
      <w:r>
        <w:t xml:space="preserve"> Ovid (Melville; More; Magnus) The Latin by Hugo Magnus gives the word </w:t>
      </w:r>
      <w:r>
        <w:rPr>
          <w:i/>
          <w:iCs/>
        </w:rPr>
        <w:t>hominum</w:t>
      </w:r>
      <w:r>
        <w:t xml:space="preserve"> which both Melville and More translated as men. It can also mean “man”, “person” and “human being” </w:t>
      </w:r>
      <w:hyperlink r:id="rId14" w:history="1">
        <w:r w:rsidRPr="00DD56E2">
          <w:rPr>
            <w:rStyle w:val="Hyperlink"/>
          </w:rPr>
          <w:t>https://www.perseus.tufts.edu/hopper/morph?l=hominum&amp;la=la&amp;can=hominum0&amp;prior=vidisse&amp;d=Perseus:text:1999.02.0029:book=4:card=706&amp;i=1</w:t>
        </w:r>
      </w:hyperlink>
      <w:r>
        <w:t xml:space="preserve"> </w:t>
      </w:r>
    </w:p>
  </w:footnote>
  <w:footnote w:id="92">
    <w:p w14:paraId="73B82C6E" w14:textId="77777777" w:rsidR="008B5C30" w:rsidRDefault="008B5C30" w:rsidP="00527BB4">
      <w:pPr>
        <w:pStyle w:val="FootnoteText"/>
      </w:pPr>
      <w:r>
        <w:rPr>
          <w:rStyle w:val="FootnoteReference"/>
        </w:rPr>
        <w:footnoteRef/>
      </w:r>
      <w:r>
        <w:t xml:space="preserve"> This was covered in my undergraduate dissertation, (Matthews, A., 2021, </w:t>
      </w:r>
      <w:r>
        <w:rPr>
          <w:i/>
          <w:iCs/>
        </w:rPr>
        <w:t>Hubris and Nemesis in Ancient Greek Myths and Their Retellings</w:t>
      </w:r>
      <w:r>
        <w:t>) comparing the ancient sources phrasing ‘men and animals’ to Eowyn’s killing of the Witch King, who “no man could kill”, and Eowyn, being a woman and not a man, was able to do what no man could. In that same sense, Medusa, while turning men and animals to stone, may not necessarily be able to turn women to stone. Additionally, as men and beasts were hunters and predators, and women were primarily homemakers, it was unlikely that Medusa would have perceived other women as a threat and thus had no need to turn women to stone to protect herself.</w:t>
      </w:r>
    </w:p>
  </w:footnote>
  <w:footnote w:id="93">
    <w:p w14:paraId="7B8D7C48" w14:textId="5B9AC614" w:rsidR="008B5C30" w:rsidRPr="00E7797E" w:rsidRDefault="008B5C30" w:rsidP="00527BB4">
      <w:pPr>
        <w:pStyle w:val="FootnoteText"/>
      </w:pPr>
      <w:r>
        <w:rPr>
          <w:rStyle w:val="FootnoteReference"/>
        </w:rPr>
        <w:footnoteRef/>
      </w:r>
      <w:r>
        <w:t xml:space="preserve"> Hedgecock,</w:t>
      </w:r>
      <w:r w:rsidR="00EA4925">
        <w:t>J., (</w:t>
      </w:r>
      <w:r w:rsidR="00F96EC7">
        <w:t>2019)</w:t>
      </w:r>
      <w:r>
        <w:t xml:space="preserve"> p20</w:t>
      </w:r>
    </w:p>
  </w:footnote>
  <w:footnote w:id="94">
    <w:p w14:paraId="7DE5CDF7" w14:textId="5E3285E4" w:rsidR="008B5C30" w:rsidRDefault="008B5C30" w:rsidP="00527BB4">
      <w:pPr>
        <w:pStyle w:val="FootnoteText"/>
      </w:pPr>
      <w:r>
        <w:rPr>
          <w:rStyle w:val="FootnoteReference"/>
        </w:rPr>
        <w:footnoteRef/>
      </w:r>
      <w:r>
        <w:t xml:space="preserve"> </w:t>
      </w:r>
      <w:hyperlink r:id="rId15" w:history="1">
        <w:r w:rsidR="00661DCF" w:rsidRPr="001A700D">
          <w:rPr>
            <w:rStyle w:val="Hyperlink"/>
            <w:rFonts w:ascii="Aptos" w:hAnsi="Aptos"/>
          </w:rPr>
          <w:t>https://www.theoi.com/Pontios/Gorgones.html</w:t>
        </w:r>
      </w:hyperlink>
    </w:p>
  </w:footnote>
  <w:footnote w:id="95">
    <w:p w14:paraId="741B67A6" w14:textId="76FDF705" w:rsidR="008B5C30" w:rsidRDefault="008B5C30" w:rsidP="00527BB4">
      <w:pPr>
        <w:pStyle w:val="FootnoteText"/>
      </w:pPr>
      <w:r>
        <w:rPr>
          <w:rStyle w:val="FootnoteReference"/>
        </w:rPr>
        <w:footnoteRef/>
      </w:r>
      <w:r>
        <w:t xml:space="preserve"> Bell</w:t>
      </w:r>
      <w:r w:rsidR="00D86F2C">
        <w:t>, S., (2011)</w:t>
      </w:r>
      <w:r>
        <w:t xml:space="preserve"> p33</w:t>
      </w:r>
    </w:p>
  </w:footnote>
  <w:footnote w:id="96">
    <w:p w14:paraId="5A64534C" w14:textId="77777777" w:rsidR="008B5C30" w:rsidRDefault="008B5C30" w:rsidP="00017086">
      <w:pPr>
        <w:pStyle w:val="FootnoteText"/>
      </w:pPr>
      <w:r>
        <w:rPr>
          <w:rStyle w:val="FootnoteReference"/>
        </w:rPr>
        <w:footnoteRef/>
      </w:r>
      <w:r>
        <w:t xml:space="preserve"> Witcher wiki; Blood of elves book (uk ed) pg 7, the book states the slitted eyes are viper eyes, whereas the wiki says cat eyes, though both are ambush predators with slitted pupils.</w:t>
      </w:r>
    </w:p>
  </w:footnote>
  <w:footnote w:id="97">
    <w:p w14:paraId="55DC7E86" w14:textId="00EE48E1" w:rsidR="008B5C30" w:rsidRDefault="008B5C30" w:rsidP="00017086">
      <w:pPr>
        <w:pStyle w:val="FootnoteText"/>
      </w:pPr>
      <w:r>
        <w:rPr>
          <w:rStyle w:val="FootnoteReference"/>
        </w:rPr>
        <w:footnoteRef/>
      </w:r>
      <w:r>
        <w:t xml:space="preserve"> </w:t>
      </w:r>
      <w:r w:rsidR="0063557F">
        <w:t>CJ Project Red (2007) The Witcher 1 [game]</w:t>
      </w:r>
    </w:p>
  </w:footnote>
  <w:footnote w:id="98">
    <w:p w14:paraId="06EEB473" w14:textId="3A1B98CC" w:rsidR="008B5C30" w:rsidRDefault="008B5C30" w:rsidP="00017086">
      <w:pPr>
        <w:pStyle w:val="FootnoteText"/>
      </w:pPr>
      <w:r>
        <w:rPr>
          <w:rStyle w:val="FootnoteReference"/>
        </w:rPr>
        <w:footnoteRef/>
      </w:r>
      <w:r>
        <w:t xml:space="preserve"> </w:t>
      </w:r>
      <w:r w:rsidR="0063557F">
        <w:t>CJ Project Red (2007) The Witcher 1 [game]</w:t>
      </w:r>
    </w:p>
  </w:footnote>
  <w:footnote w:id="99">
    <w:p w14:paraId="0E8D441F" w14:textId="50B32A5B" w:rsidR="008B5C30" w:rsidRDefault="008B5C30" w:rsidP="00017086">
      <w:pPr>
        <w:pStyle w:val="FootnoteText"/>
      </w:pPr>
      <w:r>
        <w:rPr>
          <w:rStyle w:val="FootnoteReference"/>
        </w:rPr>
        <w:footnoteRef/>
      </w:r>
      <w:r>
        <w:t xml:space="preserve"> </w:t>
      </w:r>
      <w:r w:rsidR="0063557F">
        <w:t>CJ Project Red (2007) The Witcher 1 [game]</w:t>
      </w:r>
    </w:p>
  </w:footnote>
  <w:footnote w:id="100">
    <w:p w14:paraId="5C7B1068" w14:textId="6B5C90DC" w:rsidR="008B5C30" w:rsidRDefault="008B5C30">
      <w:pPr>
        <w:pStyle w:val="FootnoteText"/>
      </w:pPr>
      <w:r>
        <w:rPr>
          <w:rStyle w:val="FootnoteReference"/>
        </w:rPr>
        <w:footnoteRef/>
      </w:r>
      <w:r>
        <w:t xml:space="preserve"> </w:t>
      </w:r>
      <w:r w:rsidR="0063557F">
        <w:t>CJ Project Red (2007) The Witcher 1 [game]</w:t>
      </w:r>
    </w:p>
  </w:footnote>
  <w:footnote w:id="101">
    <w:p w14:paraId="783159FE" w14:textId="3729E332" w:rsidR="008B5C30" w:rsidRDefault="008B5C30" w:rsidP="00017086">
      <w:pPr>
        <w:pStyle w:val="FootnoteText"/>
      </w:pPr>
      <w:r>
        <w:rPr>
          <w:rStyle w:val="FootnoteReference"/>
        </w:rPr>
        <w:footnoteRef/>
      </w:r>
      <w:r>
        <w:t xml:space="preserve"> Bell</w:t>
      </w:r>
      <w:r w:rsidR="00D86F2C">
        <w:t>, S., (2011)</w:t>
      </w:r>
      <w:r>
        <w:t xml:space="preserve"> p29</w:t>
      </w:r>
    </w:p>
  </w:footnote>
  <w:footnote w:id="102">
    <w:p w14:paraId="18565AEA" w14:textId="77777777" w:rsidR="008B5C30" w:rsidRDefault="008B5C30" w:rsidP="00017086">
      <w:pPr>
        <w:pStyle w:val="FootnoteText"/>
      </w:pPr>
      <w:r>
        <w:rPr>
          <w:rStyle w:val="FootnoteReference"/>
        </w:rPr>
        <w:footnoteRef/>
      </w:r>
      <w:r>
        <w:t xml:space="preserve"> </w:t>
      </w:r>
      <w:hyperlink r:id="rId16" w:history="1">
        <w:r w:rsidRPr="00702290">
          <w:rPr>
            <w:rStyle w:val="Hyperlink"/>
          </w:rPr>
          <w:t>https://witcher.fandom.com/wiki/Trial_of_the_Grasses_registry_tome</w:t>
        </w:r>
      </w:hyperlink>
    </w:p>
  </w:footnote>
  <w:footnote w:id="103">
    <w:p w14:paraId="43EA7D61" w14:textId="77777777" w:rsidR="008B5C30" w:rsidRDefault="008B5C30" w:rsidP="00017086">
      <w:pPr>
        <w:pStyle w:val="FootnoteText"/>
      </w:pPr>
      <w:r>
        <w:rPr>
          <w:rStyle w:val="FootnoteReference"/>
        </w:rPr>
        <w:footnoteRef/>
      </w:r>
      <w:r>
        <w:t xml:space="preserve"> </w:t>
      </w:r>
      <w:hyperlink r:id="rId17" w:history="1">
        <w:r w:rsidRPr="00702290">
          <w:rPr>
            <w:rStyle w:val="Hyperlink"/>
          </w:rPr>
          <w:t>https://witcher.fandom.com/wiki/Trial_of_the_Grasses_registry_tome</w:t>
        </w:r>
      </w:hyperlink>
    </w:p>
  </w:footnote>
  <w:footnote w:id="104">
    <w:p w14:paraId="15D8B8D3" w14:textId="77777777" w:rsidR="008B5C30" w:rsidRDefault="008B5C30" w:rsidP="00017086">
      <w:pPr>
        <w:pStyle w:val="FootnoteText"/>
      </w:pPr>
      <w:r>
        <w:rPr>
          <w:rStyle w:val="FootnoteReference"/>
        </w:rPr>
        <w:footnoteRef/>
      </w:r>
      <w:r>
        <w:t xml:space="preserve"> This would be because of the slitted pupils the boys would get after surviving the Trials of the Grasses. The boys would have eyes of witchers, marking them as different from ordinary humans</w:t>
      </w:r>
    </w:p>
  </w:footnote>
  <w:footnote w:id="105">
    <w:p w14:paraId="36372E2D" w14:textId="77777777" w:rsidR="008B5C30" w:rsidRDefault="008B5C30" w:rsidP="00017086">
      <w:pPr>
        <w:pStyle w:val="FootnoteText"/>
      </w:pPr>
      <w:r>
        <w:rPr>
          <w:rStyle w:val="FootnoteReference"/>
        </w:rPr>
        <w:footnoteRef/>
      </w:r>
      <w:r>
        <w:t xml:space="preserve"> A Child of Surprise was a child that, due to the Laws of Surprise, was given away as a reward. This is due to the Law of Surprise, dating as old as mankind itself, being invoked through phrasing such as “whatever windfall you return home to find would be mine”, while you are as likely to be rewarded with a bumper crop or a newborn pup as a Child of Surprise. One notable Child of Surprise is Princess Cirilla, who is Geralt’s Child of Surprise and she receives the Witcher training (though notably did not go through the Trial of the Grasses), though she was only claimed after the death of her grandparents due to the unwillingness of both the grandparents and Geralt for Cirilla to be claimed. Netflix show</w:t>
      </w:r>
    </w:p>
  </w:footnote>
  <w:footnote w:id="106">
    <w:p w14:paraId="7DF33EAC" w14:textId="77777777" w:rsidR="008B5C30" w:rsidRDefault="008B5C30" w:rsidP="00017086">
      <w:pPr>
        <w:pStyle w:val="FootnoteText"/>
      </w:pPr>
      <w:r>
        <w:rPr>
          <w:rStyle w:val="FootnoteReference"/>
        </w:rPr>
        <w:footnoteRef/>
      </w:r>
      <w:r>
        <w:t xml:space="preserve"> Witcher wiki</w:t>
      </w:r>
    </w:p>
  </w:footnote>
  <w:footnote w:id="107">
    <w:p w14:paraId="77B853E0" w14:textId="5D5F92A5" w:rsidR="008B5C30" w:rsidRDefault="008B5C30" w:rsidP="00017086">
      <w:pPr>
        <w:pStyle w:val="FootnoteText"/>
      </w:pPr>
      <w:r>
        <w:rPr>
          <w:rStyle w:val="FootnoteReference"/>
        </w:rPr>
        <w:footnoteRef/>
      </w:r>
      <w:r>
        <w:t xml:space="preserve"> </w:t>
      </w:r>
      <w:r w:rsidR="0063557F">
        <w:t>CJ Project Red (2007) The Witcher 1 [game]</w:t>
      </w:r>
    </w:p>
  </w:footnote>
  <w:footnote w:id="108">
    <w:p w14:paraId="7576C144" w14:textId="59E3E2E7" w:rsidR="008B5C30" w:rsidRDefault="008B5C30" w:rsidP="00017086">
      <w:pPr>
        <w:pStyle w:val="FootnoteText"/>
      </w:pPr>
      <w:r>
        <w:rPr>
          <w:rStyle w:val="FootnoteReference"/>
        </w:rPr>
        <w:footnoteRef/>
      </w:r>
      <w:r>
        <w:t xml:space="preserve"> </w:t>
      </w:r>
      <w:r w:rsidR="0063557F">
        <w:t>CJ Project Red (2007) The Witcher 1 [game]</w:t>
      </w:r>
    </w:p>
  </w:footnote>
  <w:footnote w:id="109">
    <w:p w14:paraId="67E14882" w14:textId="45C0004D" w:rsidR="008B5C30" w:rsidRDefault="008B5C30" w:rsidP="00017086">
      <w:pPr>
        <w:pStyle w:val="FootnoteText"/>
      </w:pPr>
      <w:r>
        <w:rPr>
          <w:rStyle w:val="FootnoteReference"/>
        </w:rPr>
        <w:footnoteRef/>
      </w:r>
      <w:r>
        <w:t xml:space="preserve"> Bell</w:t>
      </w:r>
      <w:r w:rsidR="00D86F2C">
        <w:t>, S., (2011)</w:t>
      </w:r>
      <w:r>
        <w:t xml:space="preserve"> p33</w:t>
      </w:r>
    </w:p>
  </w:footnote>
  <w:footnote w:id="110">
    <w:p w14:paraId="48A79857" w14:textId="77777777" w:rsidR="008B5C30" w:rsidRDefault="008B5C30" w:rsidP="00A30D97">
      <w:pPr>
        <w:pStyle w:val="FootnoteText"/>
      </w:pPr>
      <w:r>
        <w:rPr>
          <w:rStyle w:val="FootnoteReference"/>
        </w:rPr>
        <w:footnoteRef/>
      </w:r>
      <w:r>
        <w:t xml:space="preserve"> Jordan Peterson, Word to the Wise [youtube]</w:t>
      </w:r>
    </w:p>
  </w:footnote>
  <w:footnote w:id="111">
    <w:p w14:paraId="608C17C5" w14:textId="46200C24" w:rsidR="008B5C30" w:rsidRDefault="008B5C30" w:rsidP="00A30D97">
      <w:pPr>
        <w:pStyle w:val="FootnoteText"/>
      </w:pPr>
      <w:r>
        <w:rPr>
          <w:rStyle w:val="FootnoteReference"/>
        </w:rPr>
        <w:footnoteRef/>
      </w:r>
      <w:r>
        <w:t xml:space="preserve"> </w:t>
      </w:r>
      <w:r w:rsidR="00A25686">
        <w:rPr>
          <w:i/>
          <w:iCs/>
        </w:rPr>
        <w:t>Lord of the Rings</w:t>
      </w:r>
      <w:r w:rsidR="00A25686">
        <w:t xml:space="preserve"> film series; Rings of Power Amazon Prime Series</w:t>
      </w:r>
    </w:p>
  </w:footnote>
  <w:footnote w:id="112">
    <w:p w14:paraId="7978DC6B" w14:textId="5328AC7E" w:rsidR="008B5C30" w:rsidRDefault="008B5C30" w:rsidP="00A30D97">
      <w:pPr>
        <w:pStyle w:val="FootnoteText"/>
      </w:pPr>
      <w:r>
        <w:rPr>
          <w:rStyle w:val="FootnoteReference"/>
        </w:rPr>
        <w:footnoteRef/>
      </w:r>
      <w:r>
        <w:t xml:space="preserve"> Star</w:t>
      </w:r>
      <w:r w:rsidR="002D1837">
        <w:t xml:space="preserve"> </w:t>
      </w:r>
      <w:r>
        <w:t>Wars</w:t>
      </w:r>
      <w:r w:rsidR="002D1837">
        <w:t>: Revenge of the Sith</w:t>
      </w:r>
    </w:p>
  </w:footnote>
  <w:footnote w:id="113">
    <w:p w14:paraId="2CACFEBE" w14:textId="1D92F041" w:rsidR="008B5C30" w:rsidRDefault="008B5C30" w:rsidP="00A30D97">
      <w:pPr>
        <w:pStyle w:val="FootnoteText"/>
      </w:pPr>
      <w:r>
        <w:rPr>
          <w:rStyle w:val="FootnoteReference"/>
        </w:rPr>
        <w:footnoteRef/>
      </w:r>
      <w:r>
        <w:t xml:space="preserve"> Shelley</w:t>
      </w:r>
      <w:r w:rsidR="002D1837">
        <w:t xml:space="preserve">, M., </w:t>
      </w:r>
      <w:r w:rsidR="003D49DE">
        <w:t>(1818)</w:t>
      </w:r>
    </w:p>
  </w:footnote>
  <w:footnote w:id="114">
    <w:p w14:paraId="03B57AE5" w14:textId="77777777" w:rsidR="008B5C30" w:rsidRDefault="008B5C30" w:rsidP="00A30D97">
      <w:pPr>
        <w:pStyle w:val="FootnoteText"/>
      </w:pPr>
      <w:r>
        <w:rPr>
          <w:rStyle w:val="FootnoteReference"/>
        </w:rPr>
        <w:footnoteRef/>
      </w:r>
      <w:r>
        <w:t xml:space="preserve"> Talk about Peterson being controversial</w:t>
      </w:r>
    </w:p>
  </w:footnote>
  <w:footnote w:id="115">
    <w:p w14:paraId="64385BAF" w14:textId="77777777" w:rsidR="008B5C30" w:rsidRDefault="008B5C30" w:rsidP="00A30D97">
      <w:pPr>
        <w:pStyle w:val="FootnoteText"/>
      </w:pPr>
      <w:r>
        <w:rPr>
          <w:rStyle w:val="FootnoteReference"/>
        </w:rPr>
        <w:footnoteRef/>
      </w:r>
      <w:r>
        <w:t xml:space="preserve"> Netflix</w:t>
      </w:r>
    </w:p>
  </w:footnote>
  <w:footnote w:id="116">
    <w:p w14:paraId="61224720" w14:textId="78D55A41" w:rsidR="008B5C30" w:rsidRDefault="008B5C30" w:rsidP="00A30D97">
      <w:pPr>
        <w:pStyle w:val="FootnoteText"/>
      </w:pPr>
      <w:r>
        <w:rPr>
          <w:rStyle w:val="FootnoteReference"/>
        </w:rPr>
        <w:footnoteRef/>
      </w:r>
      <w:r>
        <w:t xml:space="preserve"> </w:t>
      </w:r>
      <w:r w:rsidR="0063557F">
        <w:t>CJ Project Red (2007) The Witcher 1 [game]</w:t>
      </w:r>
    </w:p>
  </w:footnote>
  <w:footnote w:id="117">
    <w:p w14:paraId="7B0F8ECF" w14:textId="77777777" w:rsidR="008B5C30" w:rsidRDefault="008B5C30" w:rsidP="00A30D97">
      <w:pPr>
        <w:pStyle w:val="FootnoteText"/>
      </w:pPr>
      <w:r>
        <w:rPr>
          <w:rStyle w:val="FootnoteReference"/>
        </w:rPr>
        <w:footnoteRef/>
      </w:r>
      <w:r>
        <w:t xml:space="preserve"> Witcher wiki</w:t>
      </w:r>
    </w:p>
  </w:footnote>
  <w:footnote w:id="118">
    <w:p w14:paraId="1EE68287" w14:textId="5B4D186D" w:rsidR="008B5C30" w:rsidRDefault="008B5C30" w:rsidP="00A30D97">
      <w:pPr>
        <w:pStyle w:val="FootnoteText"/>
      </w:pPr>
      <w:r>
        <w:rPr>
          <w:rStyle w:val="FootnoteReference"/>
        </w:rPr>
        <w:footnoteRef/>
      </w:r>
      <w:r>
        <w:t xml:space="preserve"> </w:t>
      </w:r>
      <w:r w:rsidR="0063557F">
        <w:t>CJ Project Red (2007) The Witcher 1 [game]</w:t>
      </w:r>
    </w:p>
  </w:footnote>
  <w:footnote w:id="119">
    <w:p w14:paraId="0C2A3B1B" w14:textId="503E73D4" w:rsidR="008B5C30" w:rsidRDefault="008B5C30" w:rsidP="00A30D97">
      <w:pPr>
        <w:pStyle w:val="FootnoteText"/>
      </w:pPr>
      <w:r>
        <w:rPr>
          <w:rStyle w:val="FootnoteReference"/>
        </w:rPr>
        <w:footnoteRef/>
      </w:r>
      <w:r>
        <w:t xml:space="preserve"> </w:t>
      </w:r>
      <w:r w:rsidR="0063557F">
        <w:t>CJ Project Red (2007) The Witcher 1 [game]</w:t>
      </w:r>
    </w:p>
  </w:footnote>
  <w:footnote w:id="120">
    <w:p w14:paraId="4B2A27EA" w14:textId="01E33E74" w:rsidR="008B5C30" w:rsidRDefault="008B5C30" w:rsidP="00A30D97">
      <w:pPr>
        <w:pStyle w:val="FootnoteText"/>
      </w:pPr>
      <w:r>
        <w:rPr>
          <w:rStyle w:val="FootnoteReference"/>
        </w:rPr>
        <w:footnoteRef/>
      </w:r>
      <w:r>
        <w:t xml:space="preserve"> </w:t>
      </w:r>
      <w:r w:rsidR="0063557F">
        <w:t>CJ Project Red (2007) The Witcher 1 [game]</w:t>
      </w:r>
    </w:p>
  </w:footnote>
  <w:footnote w:id="121">
    <w:p w14:paraId="2B4A2330" w14:textId="77777777" w:rsidR="008B5C30" w:rsidRDefault="008B5C30" w:rsidP="00A30D97">
      <w:pPr>
        <w:pStyle w:val="FootnoteText"/>
      </w:pPr>
      <w:r>
        <w:rPr>
          <w:rStyle w:val="FootnoteReference"/>
        </w:rPr>
        <w:footnoteRef/>
      </w:r>
      <w:r>
        <w:t xml:space="preserve"> Netflix</w:t>
      </w:r>
    </w:p>
  </w:footnote>
  <w:footnote w:id="122">
    <w:p w14:paraId="5634A07C" w14:textId="77777777" w:rsidR="008B5C30" w:rsidRDefault="008B5C30" w:rsidP="00A30D97">
      <w:pPr>
        <w:pStyle w:val="FootnoteText"/>
      </w:pPr>
      <w:r>
        <w:rPr>
          <w:rStyle w:val="FootnoteReference"/>
        </w:rPr>
        <w:footnoteRef/>
      </w:r>
      <w:r>
        <w:t xml:space="preserve"> Netflix</w:t>
      </w:r>
    </w:p>
  </w:footnote>
  <w:footnote w:id="123">
    <w:p w14:paraId="3BFD89CB" w14:textId="77777777" w:rsidR="008B5C30" w:rsidRDefault="008B5C30" w:rsidP="00A30D97">
      <w:pPr>
        <w:pStyle w:val="FootnoteText"/>
      </w:pPr>
      <w:r>
        <w:rPr>
          <w:rStyle w:val="FootnoteReference"/>
        </w:rPr>
        <w:footnoteRef/>
      </w:r>
      <w:r>
        <w:t xml:space="preserve"> Campbell</w:t>
      </w:r>
    </w:p>
  </w:footnote>
  <w:footnote w:id="124">
    <w:p w14:paraId="71FA15ED" w14:textId="77777777" w:rsidR="008B5C30" w:rsidRDefault="008B5C30">
      <w:pPr>
        <w:pStyle w:val="FootnoteText"/>
      </w:pPr>
      <w:r>
        <w:rPr>
          <w:rStyle w:val="FootnoteReference"/>
        </w:rPr>
        <w:footnoteRef/>
      </w:r>
      <w:r>
        <w:t xml:space="preserve"> In gaming, anime and cartoon worlds, overpowered, or OP, refers to the character becoming overwhelmingly powerful</w:t>
      </w:r>
    </w:p>
  </w:footnote>
  <w:footnote w:id="125">
    <w:p w14:paraId="6130C3FF" w14:textId="77777777" w:rsidR="008B5C30" w:rsidRDefault="008B5C30" w:rsidP="00A30D97">
      <w:pPr>
        <w:pStyle w:val="FootnoteText"/>
      </w:pPr>
      <w:r>
        <w:rPr>
          <w:rStyle w:val="FootnoteReference"/>
        </w:rPr>
        <w:footnoteRef/>
      </w:r>
      <w:r>
        <w:t xml:space="preserve"> Overgeared; wiki</w:t>
      </w:r>
    </w:p>
  </w:footnote>
  <w:footnote w:id="126">
    <w:p w14:paraId="26DBF2DE" w14:textId="77777777" w:rsidR="008B5C30" w:rsidRDefault="008B5C30" w:rsidP="00A30D97">
      <w:pPr>
        <w:pStyle w:val="FootnoteText"/>
      </w:pPr>
      <w:r>
        <w:rPr>
          <w:rStyle w:val="FootnoteReference"/>
        </w:rPr>
        <w:footnoteRef/>
      </w:r>
      <w:r>
        <w:t xml:space="preserve"> </w:t>
      </w:r>
      <w:hyperlink r:id="rId18" w:history="1">
        <w:r w:rsidRPr="00332307">
          <w:rPr>
            <w:rStyle w:val="Hyperlink"/>
          </w:rPr>
          <w:t>https://www.youtube.com/watch?v=2dncAQv7F_k</w:t>
        </w:r>
      </w:hyperlink>
    </w:p>
  </w:footnote>
  <w:footnote w:id="127">
    <w:p w14:paraId="5F00F155" w14:textId="77777777" w:rsidR="008B5C30" w:rsidRDefault="008B5C30" w:rsidP="00A30D97">
      <w:pPr>
        <w:pStyle w:val="FootnoteText"/>
      </w:pPr>
      <w:r>
        <w:rPr>
          <w:rStyle w:val="FootnoteReference"/>
        </w:rPr>
        <w:footnoteRef/>
      </w:r>
      <w:r>
        <w:t xml:space="preserve"> Myisha Cherry, ‘Anger: Embracing the Medusa Trope as an Act of Resistance’</w:t>
      </w:r>
    </w:p>
  </w:footnote>
  <w:footnote w:id="128">
    <w:p w14:paraId="42373D0B" w14:textId="77777777" w:rsidR="008B5C30" w:rsidRDefault="008B5C30" w:rsidP="00A30D97">
      <w:pPr>
        <w:pStyle w:val="FootnoteText"/>
      </w:pPr>
      <w:r>
        <w:rPr>
          <w:rStyle w:val="FootnoteReference"/>
        </w:rPr>
        <w:footnoteRef/>
      </w:r>
      <w:r>
        <w:t xml:space="preserve"> Myisha Cherry</w:t>
      </w:r>
    </w:p>
  </w:footnote>
  <w:footnote w:id="129">
    <w:p w14:paraId="5C2DAFCD" w14:textId="77777777" w:rsidR="008B5C30" w:rsidRDefault="008B5C30" w:rsidP="00A30D97">
      <w:pPr>
        <w:pStyle w:val="FootnoteText"/>
      </w:pPr>
      <w:r>
        <w:rPr>
          <w:rStyle w:val="FootnoteReference"/>
        </w:rPr>
        <w:footnoteRef/>
      </w:r>
      <w:r>
        <w:t xml:space="preserve"> Andres (2020) p54; Morse, (2018) p153</w:t>
      </w:r>
    </w:p>
  </w:footnote>
  <w:footnote w:id="130">
    <w:p w14:paraId="5FBE3F63" w14:textId="77777777" w:rsidR="008B5C30" w:rsidRDefault="008B5C30" w:rsidP="00A30D97">
      <w:pPr>
        <w:pStyle w:val="FootnoteText"/>
      </w:pPr>
      <w:r>
        <w:rPr>
          <w:rStyle w:val="FootnoteReference"/>
        </w:rPr>
        <w:footnoteRef/>
      </w:r>
      <w:r>
        <w:t xml:space="preserve"> Glennon, M., (2017)</w:t>
      </w:r>
    </w:p>
  </w:footnote>
  <w:footnote w:id="131">
    <w:p w14:paraId="209292BB" w14:textId="77777777" w:rsidR="008B5C30" w:rsidRDefault="008B5C30" w:rsidP="00A30D97">
      <w:pPr>
        <w:pStyle w:val="FootnoteText"/>
      </w:pPr>
      <w:r>
        <w:rPr>
          <w:rStyle w:val="FootnoteReference"/>
        </w:rPr>
        <w:footnoteRef/>
      </w:r>
      <w:r>
        <w:t xml:space="preserve"> Alban, G.M.E., ‘Medusa as Female Eye or Icon in Atwood, Murdoch, Carter and Plath’ p167</w:t>
      </w:r>
    </w:p>
  </w:footnote>
  <w:footnote w:id="132">
    <w:p w14:paraId="3213DAA3" w14:textId="77777777" w:rsidR="008B5C30" w:rsidRDefault="008B5C30" w:rsidP="00A30D97">
      <w:pPr>
        <w:pStyle w:val="FootnoteText"/>
      </w:pPr>
      <w:r>
        <w:rPr>
          <w:rStyle w:val="FootnoteReference"/>
        </w:rPr>
        <w:footnoteRef/>
      </w:r>
      <w:r>
        <w:t xml:space="preserve"> Ibid p180</w:t>
      </w:r>
    </w:p>
  </w:footnote>
  <w:footnote w:id="133">
    <w:p w14:paraId="3EB77CBA" w14:textId="77777777" w:rsidR="008B5C30" w:rsidRDefault="008B5C30" w:rsidP="00A30D97">
      <w:pPr>
        <w:pStyle w:val="FootnoteText"/>
      </w:pPr>
      <w:r>
        <w:rPr>
          <w:rStyle w:val="FootnoteReference"/>
        </w:rPr>
        <w:footnoteRef/>
      </w:r>
      <w:r>
        <w:t xml:space="preserve"> Weapon Creator</w:t>
      </w:r>
    </w:p>
  </w:footnote>
  <w:footnote w:id="134">
    <w:p w14:paraId="2038B96C" w14:textId="77777777" w:rsidR="008B5C30" w:rsidRDefault="008B5C30" w:rsidP="00A30D97">
      <w:pPr>
        <w:pStyle w:val="FootnoteText"/>
      </w:pPr>
      <w:r>
        <w:rPr>
          <w:rStyle w:val="FootnoteReference"/>
        </w:rPr>
        <w:footnoteRef/>
      </w:r>
      <w:r>
        <w:t xml:space="preserve"> Druid of Seoul Station</w:t>
      </w:r>
    </w:p>
  </w:footnote>
  <w:footnote w:id="135">
    <w:p w14:paraId="3B2E3382" w14:textId="77777777" w:rsidR="008B5C30" w:rsidRDefault="008B5C30" w:rsidP="00A30D97">
      <w:pPr>
        <w:pStyle w:val="FootnoteText"/>
      </w:pPr>
      <w:r>
        <w:rPr>
          <w:rStyle w:val="FootnoteReference"/>
        </w:rPr>
        <w:footnoteRef/>
      </w:r>
      <w:r>
        <w:t xml:space="preserve"> The Perfect Hybrid</w:t>
      </w:r>
    </w:p>
  </w:footnote>
  <w:footnote w:id="136">
    <w:p w14:paraId="767AE2CE" w14:textId="77777777" w:rsidR="008B5C30" w:rsidRDefault="008B5C30" w:rsidP="00A30D97">
      <w:pPr>
        <w:pStyle w:val="FootnoteText"/>
      </w:pPr>
      <w:r>
        <w:rPr>
          <w:rStyle w:val="FootnoteReference"/>
        </w:rPr>
        <w:footnoteRef/>
      </w:r>
      <w:r>
        <w:t xml:space="preserve"> Druid of Seoul Station</w:t>
      </w:r>
    </w:p>
  </w:footnote>
  <w:footnote w:id="137">
    <w:p w14:paraId="635BFE35" w14:textId="77777777" w:rsidR="008B5C30" w:rsidRDefault="008B5C30" w:rsidP="00A30D97">
      <w:pPr>
        <w:pStyle w:val="FootnoteText"/>
      </w:pPr>
      <w:r>
        <w:rPr>
          <w:rStyle w:val="FootnoteReference"/>
        </w:rPr>
        <w:footnoteRef/>
      </w:r>
      <w:r>
        <w:t xml:space="preserve"> Star Wars</w:t>
      </w:r>
    </w:p>
  </w:footnote>
  <w:footnote w:id="138">
    <w:p w14:paraId="5B341D61" w14:textId="77777777" w:rsidR="008B5C30" w:rsidRDefault="008B5C30">
      <w:pPr>
        <w:pStyle w:val="FootnoteText"/>
      </w:pPr>
      <w:r>
        <w:rPr>
          <w:rStyle w:val="FootnoteReference"/>
        </w:rPr>
        <w:footnoteRef/>
      </w:r>
      <w:r>
        <w:t xml:space="preserve"> Buffy</w:t>
      </w:r>
    </w:p>
  </w:footnote>
  <w:footnote w:id="139">
    <w:p w14:paraId="7958022E" w14:textId="11C051B6" w:rsidR="008B5C30" w:rsidRDefault="008B5C30" w:rsidP="00A6315F">
      <w:pPr>
        <w:pStyle w:val="FootnoteText"/>
      </w:pPr>
      <w:r>
        <w:rPr>
          <w:rStyle w:val="FootnoteReference"/>
        </w:rPr>
        <w:footnoteRef/>
      </w:r>
      <w:r>
        <w:t xml:space="preserve"> Twilight</w:t>
      </w:r>
      <w:r w:rsidR="00946802">
        <w:t xml:space="preserve"> </w:t>
      </w:r>
      <w:r w:rsidR="006A68FA">
        <w:t>saga (</w:t>
      </w:r>
      <w:r w:rsidR="00A61793">
        <w:t>2008-2012)</w:t>
      </w:r>
    </w:p>
  </w:footnote>
  <w:footnote w:id="140">
    <w:p w14:paraId="405886C9" w14:textId="77777777" w:rsidR="008B5C30" w:rsidRDefault="008B5C30" w:rsidP="00A6315F">
      <w:pPr>
        <w:pStyle w:val="FootnoteText"/>
      </w:pPr>
      <w:r>
        <w:rPr>
          <w:rStyle w:val="FootnoteReference"/>
        </w:rPr>
        <w:footnoteRef/>
      </w:r>
      <w:r>
        <w:t xml:space="preserve"> Harry Potter</w:t>
      </w:r>
    </w:p>
  </w:footnote>
  <w:footnote w:id="141">
    <w:p w14:paraId="1F37B266" w14:textId="1591A869" w:rsidR="008B5C30" w:rsidRDefault="008B5C30" w:rsidP="003E2064">
      <w:pPr>
        <w:pStyle w:val="FootnoteText"/>
      </w:pPr>
      <w:r>
        <w:rPr>
          <w:rStyle w:val="FootnoteReference"/>
        </w:rPr>
        <w:footnoteRef/>
      </w:r>
      <w:r>
        <w:t xml:space="preserve"> Ovid; Pseudo-Hyginus Fabulae; Pseudo-Hyginus Astronomica</w:t>
      </w:r>
      <w:r w:rsidR="00E06011">
        <w:t xml:space="preserve"> (all available at </w:t>
      </w:r>
      <w:hyperlink r:id="rId19" w:history="1">
        <w:r w:rsidR="00E06011" w:rsidRPr="001A700D">
          <w:rPr>
            <w:rStyle w:val="Hyperlink"/>
          </w:rPr>
          <w:t>https://www.theoi.com/Heros/Lykaon.html</w:t>
        </w:r>
      </w:hyperlink>
      <w:r w:rsidR="00E06011">
        <w:t xml:space="preserve">) </w:t>
      </w:r>
    </w:p>
  </w:footnote>
  <w:footnote w:id="142">
    <w:p w14:paraId="36C3C3AE" w14:textId="77777777" w:rsidR="008B5C30" w:rsidRDefault="008B5C30" w:rsidP="003E2064">
      <w:pPr>
        <w:pStyle w:val="FootnoteText"/>
      </w:pPr>
      <w:r>
        <w:rPr>
          <w:rStyle w:val="FootnoteReference"/>
        </w:rPr>
        <w:footnoteRef/>
      </w:r>
      <w:r>
        <w:t xml:space="preserve"> Ovid, Metamorphoses, (trans Brooks More) 1.163</w:t>
      </w:r>
    </w:p>
  </w:footnote>
  <w:footnote w:id="143">
    <w:p w14:paraId="0F36AEC6" w14:textId="3ED2F899" w:rsidR="008B5C30" w:rsidRDefault="008B5C30" w:rsidP="003E2064">
      <w:pPr>
        <w:pStyle w:val="FootnoteText"/>
      </w:pPr>
      <w:r>
        <w:rPr>
          <w:rStyle w:val="FootnoteReference"/>
        </w:rPr>
        <w:footnoteRef/>
      </w:r>
      <w:r>
        <w:t xml:space="preserve"> Pausanias; Descriptions of Greece,</w:t>
      </w:r>
      <w:r w:rsidRPr="008645BE">
        <w:t xml:space="preserve"> </w:t>
      </w:r>
      <w:r>
        <w:t xml:space="preserve">(trans Jones) 8.2.1-6; Hesiod, Astronomica Fragment 3 (trans Evelyn-White); Pseudo-Apollodorus, Library, (trans Frazer), 3.8.1-2, </w:t>
      </w:r>
      <w:r w:rsidR="00E06011">
        <w:t xml:space="preserve">(all available at </w:t>
      </w:r>
      <w:hyperlink r:id="rId20" w:history="1">
        <w:r w:rsidR="00E06011" w:rsidRPr="001A700D">
          <w:rPr>
            <w:rStyle w:val="Hyperlink"/>
          </w:rPr>
          <w:t>https://www.theoi.com/Heros/Lykaon.html</w:t>
        </w:r>
      </w:hyperlink>
      <w:r w:rsidR="00E06011">
        <w:t>)</w:t>
      </w:r>
    </w:p>
  </w:footnote>
  <w:footnote w:id="144">
    <w:p w14:paraId="3FDB9D20" w14:textId="4F17E970" w:rsidR="008B5C30" w:rsidRDefault="008B5C30" w:rsidP="003E2064">
      <w:pPr>
        <w:pStyle w:val="FootnoteText"/>
      </w:pPr>
      <w:r>
        <w:rPr>
          <w:rStyle w:val="FootnoteReference"/>
        </w:rPr>
        <w:footnoteRef/>
      </w:r>
      <w:r>
        <w:t xml:space="preserve"> Lycophron; Clement of Alexandria, Exhortion to the Greeks 2 (trans Butterworth), Suidas</w:t>
      </w:r>
      <w:r w:rsidR="00BA195A">
        <w:t xml:space="preserve"> </w:t>
      </w:r>
      <w:r w:rsidR="00C3419E">
        <w:t xml:space="preserve">(all available at </w:t>
      </w:r>
      <w:hyperlink r:id="rId21" w:history="1">
        <w:r w:rsidR="00C3419E" w:rsidRPr="001A700D">
          <w:rPr>
            <w:rStyle w:val="Hyperlink"/>
          </w:rPr>
          <w:t>https://www.theoi.com/Heros/Lykaon.html</w:t>
        </w:r>
      </w:hyperlink>
      <w:r w:rsidR="00C3419E">
        <w:t xml:space="preserve">) </w:t>
      </w:r>
    </w:p>
  </w:footnote>
  <w:footnote w:id="145">
    <w:p w14:paraId="67279B21" w14:textId="77777777" w:rsidR="008B5C30" w:rsidRDefault="008B5C30" w:rsidP="003E2064">
      <w:pPr>
        <w:pStyle w:val="FootnoteText"/>
      </w:pPr>
      <w:r>
        <w:rPr>
          <w:rStyle w:val="FootnoteReference"/>
        </w:rPr>
        <w:footnoteRef/>
      </w:r>
      <w:r>
        <w:t xml:space="preserve"> Pseudo-Apollodorus; </w:t>
      </w:r>
    </w:p>
  </w:footnote>
  <w:footnote w:id="146">
    <w:p w14:paraId="75773E44" w14:textId="77777777" w:rsidR="008B5C30" w:rsidRDefault="008B5C30" w:rsidP="003E2064">
      <w:pPr>
        <w:pStyle w:val="FootnoteText"/>
      </w:pPr>
      <w:r>
        <w:rPr>
          <w:rStyle w:val="FootnoteReference"/>
        </w:rPr>
        <w:footnoteRef/>
      </w:r>
      <w:r>
        <w:t xml:space="preserve"> The Witcher [Netflix show] S2E1</w:t>
      </w:r>
    </w:p>
  </w:footnote>
  <w:footnote w:id="147">
    <w:p w14:paraId="7A9CAB83" w14:textId="77777777" w:rsidR="008B5C30" w:rsidRPr="00294472" w:rsidRDefault="008B5C30" w:rsidP="003E2064">
      <w:pPr>
        <w:pStyle w:val="FootnoteText"/>
      </w:pPr>
      <w:r>
        <w:rPr>
          <w:rStyle w:val="FootnoteReference"/>
        </w:rPr>
        <w:footnoteRef/>
      </w:r>
      <w:r>
        <w:t xml:space="preserve"> Obladen, M., (2015), ‘From Right to Sin: Laws on Infanticide in Antiquity’ in </w:t>
      </w:r>
      <w:r>
        <w:rPr>
          <w:i/>
          <w:iCs/>
        </w:rPr>
        <w:t>Neonatology</w:t>
      </w:r>
      <w:r>
        <w:t>, vol 109 issue 1 pg 56 (56-61)</w:t>
      </w:r>
    </w:p>
  </w:footnote>
  <w:footnote w:id="148">
    <w:p w14:paraId="676CC7AF" w14:textId="77777777" w:rsidR="008B5C30" w:rsidRDefault="008B5C30" w:rsidP="003E2064">
      <w:pPr>
        <w:pStyle w:val="FootnoteText"/>
      </w:pPr>
      <w:r>
        <w:rPr>
          <w:rStyle w:val="FootnoteReference"/>
        </w:rPr>
        <w:footnoteRef/>
      </w:r>
      <w:r>
        <w:t xml:space="preserve"> Hyde, W.W., (1917-1918), The Homicide Court of Ancient Athens p319 (319-362)</w:t>
      </w:r>
    </w:p>
  </w:footnote>
  <w:footnote w:id="149">
    <w:p w14:paraId="53357198" w14:textId="77777777" w:rsidR="008B5C30" w:rsidRDefault="008B5C30" w:rsidP="003E2064">
      <w:pPr>
        <w:pStyle w:val="FootnoteText"/>
      </w:pPr>
      <w:r>
        <w:rPr>
          <w:rStyle w:val="FootnoteReference"/>
        </w:rPr>
        <w:footnoteRef/>
      </w:r>
      <w:r>
        <w:t xml:space="preserve"> </w:t>
      </w:r>
      <w:r w:rsidRPr="00AA7F47">
        <w:t>https://www.gov.uk/guidance/compensation-in-the-justice-system</w:t>
      </w:r>
    </w:p>
  </w:footnote>
  <w:footnote w:id="150">
    <w:p w14:paraId="4453B913" w14:textId="77777777" w:rsidR="008B5C30" w:rsidRDefault="008B5C30" w:rsidP="003E2064">
      <w:pPr>
        <w:pStyle w:val="FootnoteText"/>
      </w:pPr>
      <w:r>
        <w:rPr>
          <w:rStyle w:val="FootnoteReference"/>
        </w:rPr>
        <w:footnoteRef/>
      </w:r>
      <w:r>
        <w:t xml:space="preserve"> Ovid; Clash of the Titan</w:t>
      </w:r>
    </w:p>
  </w:footnote>
  <w:footnote w:id="151">
    <w:p w14:paraId="5AEFD41C" w14:textId="77777777" w:rsidR="008B5C30" w:rsidRDefault="008B5C30" w:rsidP="003E2064">
      <w:pPr>
        <w:pStyle w:val="FootnoteText"/>
      </w:pPr>
      <w:r>
        <w:rPr>
          <w:rStyle w:val="FootnoteReference"/>
        </w:rPr>
        <w:footnoteRef/>
      </w:r>
      <w:r>
        <w:t xml:space="preserve"> Ovid</w:t>
      </w:r>
    </w:p>
  </w:footnote>
  <w:footnote w:id="152">
    <w:p w14:paraId="3DA91794" w14:textId="77777777" w:rsidR="008B5C30" w:rsidRDefault="008B5C30" w:rsidP="003E2064">
      <w:pPr>
        <w:pStyle w:val="FootnoteText"/>
      </w:pPr>
      <w:r>
        <w:rPr>
          <w:rStyle w:val="FootnoteReference"/>
        </w:rPr>
        <w:footnoteRef/>
      </w:r>
      <w:r>
        <w:t xml:space="preserve"> Assassin’s Creed: Odyssey</w:t>
      </w:r>
    </w:p>
  </w:footnote>
  <w:footnote w:id="153">
    <w:p w14:paraId="1AFA67B4" w14:textId="77777777" w:rsidR="008B5C30" w:rsidRDefault="008B5C30" w:rsidP="003E2064">
      <w:pPr>
        <w:pStyle w:val="FootnoteText"/>
      </w:pPr>
      <w:r>
        <w:rPr>
          <w:rStyle w:val="FootnoteReference"/>
        </w:rPr>
        <w:footnoteRef/>
      </w:r>
      <w:r>
        <w:t xml:space="preserve"> Assassin’s Creed: Odyssey</w:t>
      </w:r>
    </w:p>
  </w:footnote>
  <w:footnote w:id="154">
    <w:p w14:paraId="13691D30" w14:textId="77777777" w:rsidR="008B5C30" w:rsidRDefault="008B5C30" w:rsidP="003E2064">
      <w:pPr>
        <w:pStyle w:val="FootnoteText"/>
      </w:pPr>
      <w:r>
        <w:rPr>
          <w:rStyle w:val="FootnoteReference"/>
        </w:rPr>
        <w:footnoteRef/>
      </w:r>
      <w:r>
        <w:t xml:space="preserve"> Medusa could be killed, and each time she was killed, her snakes would turn the first person/woman who touched the dead body into the new Medusa, with the exception of the protagonist of the game who was immune.</w:t>
      </w:r>
    </w:p>
  </w:footnote>
  <w:footnote w:id="155">
    <w:p w14:paraId="42918823" w14:textId="77777777" w:rsidR="008B5C30" w:rsidRDefault="008B5C30" w:rsidP="003E2064">
      <w:pPr>
        <w:pStyle w:val="FootnoteText"/>
      </w:pPr>
      <w:r>
        <w:rPr>
          <w:rStyle w:val="FootnoteReference"/>
        </w:rPr>
        <w:footnoteRef/>
      </w:r>
      <w:r>
        <w:t xml:space="preserve"> Percy Jackson and the Lightning Thief</w:t>
      </w:r>
    </w:p>
  </w:footnote>
  <w:footnote w:id="156">
    <w:p w14:paraId="64208E6A" w14:textId="77777777" w:rsidR="008B5C30" w:rsidRDefault="008B5C30" w:rsidP="003E2064">
      <w:pPr>
        <w:pStyle w:val="FootnoteText"/>
      </w:pPr>
      <w:r>
        <w:rPr>
          <w:rStyle w:val="FootnoteReference"/>
        </w:rPr>
        <w:footnoteRef/>
      </w:r>
      <w:r>
        <w:t xml:space="preserve"> Disney+</w:t>
      </w:r>
    </w:p>
  </w:footnote>
  <w:footnote w:id="157">
    <w:p w14:paraId="50046155" w14:textId="77777777" w:rsidR="008B5C30" w:rsidRDefault="008B5C30" w:rsidP="003E2064">
      <w:pPr>
        <w:pStyle w:val="FootnoteText"/>
      </w:pPr>
      <w:r>
        <w:rPr>
          <w:rStyle w:val="FootnoteReference"/>
        </w:rPr>
        <w:footnoteRef/>
      </w:r>
      <w:r>
        <w:t xml:space="preserve"> Disney+</w:t>
      </w:r>
    </w:p>
  </w:footnote>
  <w:footnote w:id="158">
    <w:p w14:paraId="5316D823" w14:textId="77777777" w:rsidR="008B5C30" w:rsidRDefault="008B5C30">
      <w:pPr>
        <w:pStyle w:val="FootnoteText"/>
      </w:pPr>
      <w:r>
        <w:rPr>
          <w:rStyle w:val="FootnoteReference"/>
        </w:rPr>
        <w:footnoteRef/>
      </w:r>
      <w:r>
        <w:t xml:space="preserve"> </w:t>
      </w:r>
    </w:p>
  </w:footnote>
  <w:footnote w:id="159">
    <w:p w14:paraId="2E6EA3E3" w14:textId="77777777" w:rsidR="008B5C30" w:rsidRDefault="008B5C30" w:rsidP="003E2064">
      <w:pPr>
        <w:pStyle w:val="FootnoteText"/>
      </w:pPr>
      <w:r>
        <w:rPr>
          <w:rStyle w:val="FootnoteReference"/>
        </w:rPr>
        <w:footnoteRef/>
      </w:r>
      <w:r>
        <w:t xml:space="preserve"> Disney+</w:t>
      </w:r>
    </w:p>
  </w:footnote>
  <w:footnote w:id="160">
    <w:p w14:paraId="659207E4" w14:textId="77777777" w:rsidR="008B5C30" w:rsidRPr="00395841" w:rsidRDefault="008B5C30" w:rsidP="003E2064">
      <w:pPr>
        <w:pStyle w:val="FootnoteText"/>
      </w:pPr>
      <w:r>
        <w:rPr>
          <w:rStyle w:val="FootnoteReference"/>
        </w:rPr>
        <w:footnoteRef/>
      </w:r>
      <w:r>
        <w:t xml:space="preserve"> Lucan </w:t>
      </w:r>
      <w:r>
        <w:rPr>
          <w:i/>
          <w:iCs/>
        </w:rPr>
        <w:t>Pharsalia</w:t>
      </w:r>
      <w:r>
        <w:t>, 6.624-749 while the translation given uses the word “hell” rather than “underworld”, there is a certain “baggage” that comes with using the word hell that Lucan is unlikely to have been familiar with</w:t>
      </w:r>
    </w:p>
  </w:footnote>
  <w:footnote w:id="161">
    <w:p w14:paraId="2E459A29" w14:textId="77777777" w:rsidR="008B5C30" w:rsidRDefault="008B5C30" w:rsidP="003E2064">
      <w:pPr>
        <w:pStyle w:val="FootnoteText"/>
      </w:pPr>
      <w:r>
        <w:rPr>
          <w:rStyle w:val="FootnoteReference"/>
        </w:rPr>
        <w:footnoteRef/>
      </w:r>
      <w:r>
        <w:t xml:space="preserve"> ibid</w:t>
      </w:r>
    </w:p>
  </w:footnote>
  <w:footnote w:id="162">
    <w:p w14:paraId="3F37D2B0" w14:textId="77777777" w:rsidR="008B5C30" w:rsidRDefault="008B5C30">
      <w:pPr>
        <w:pStyle w:val="FootnoteText"/>
      </w:pPr>
      <w:r>
        <w:rPr>
          <w:rStyle w:val="FootnoteReference"/>
        </w:rPr>
        <w:footnoteRef/>
      </w:r>
      <w:r>
        <w:t xml:space="preserve"> </w:t>
      </w:r>
      <w:r w:rsidRPr="00432238">
        <w:rPr>
          <w:i/>
          <w:iCs/>
        </w:rPr>
        <w:t>Overgeared</w:t>
      </w:r>
    </w:p>
  </w:footnote>
  <w:footnote w:id="163">
    <w:p w14:paraId="5B9A81D4" w14:textId="77777777" w:rsidR="008B5C30" w:rsidRDefault="008B5C30" w:rsidP="003E2064">
      <w:pPr>
        <w:pStyle w:val="FootnoteText"/>
      </w:pPr>
      <w:r>
        <w:rPr>
          <w:rStyle w:val="FootnoteReference"/>
        </w:rPr>
        <w:footnoteRef/>
      </w:r>
      <w:r>
        <w:t xml:space="preserve"> </w:t>
      </w:r>
      <w:hyperlink r:id="rId22" w:history="1">
        <w:r w:rsidRPr="000B1B46">
          <w:rPr>
            <w:rStyle w:val="Hyperlink"/>
          </w:rPr>
          <w:t>https://overgeared.fandom.com/wiki/Mumud</w:t>
        </w:r>
      </w:hyperlink>
      <w:r>
        <w:t xml:space="preserve"> </w:t>
      </w:r>
    </w:p>
  </w:footnote>
  <w:footnote w:id="164">
    <w:p w14:paraId="51737E54" w14:textId="77777777" w:rsidR="008B5C30" w:rsidRDefault="008B5C30">
      <w:pPr>
        <w:pStyle w:val="FootnoteText"/>
      </w:pPr>
      <w:r>
        <w:rPr>
          <w:rStyle w:val="FootnoteReference"/>
        </w:rPr>
        <w:footnoteRef/>
      </w:r>
      <w:r>
        <w:t xml:space="preserve"> </w:t>
      </w:r>
      <w:r w:rsidRPr="00432238">
        <w:rPr>
          <w:i/>
          <w:iCs/>
        </w:rPr>
        <w:t>Solo Leveling; The Lone Necromancer</w:t>
      </w:r>
    </w:p>
  </w:footnote>
  <w:footnote w:id="165">
    <w:p w14:paraId="56C22DF6" w14:textId="77777777" w:rsidR="008B5C30" w:rsidRDefault="008B5C30" w:rsidP="003E2064">
      <w:pPr>
        <w:pStyle w:val="FootnoteText"/>
      </w:pPr>
      <w:r>
        <w:rPr>
          <w:rStyle w:val="FootnoteReference"/>
        </w:rPr>
        <w:footnoteRef/>
      </w:r>
      <w:r>
        <w:t xml:space="preserve"> </w:t>
      </w:r>
      <w:r w:rsidRPr="00432238">
        <w:rPr>
          <w:i/>
          <w:iCs/>
        </w:rPr>
        <w:t>Solo Leveling</w:t>
      </w:r>
    </w:p>
  </w:footnote>
  <w:footnote w:id="166">
    <w:p w14:paraId="726A2136" w14:textId="4D5A8DAC" w:rsidR="008B5C30" w:rsidRPr="00170835" w:rsidRDefault="008B5C30" w:rsidP="003E2064">
      <w:pPr>
        <w:pStyle w:val="FootnoteText"/>
        <w:rPr>
          <w:i/>
          <w:iCs/>
        </w:rPr>
      </w:pPr>
      <w:r>
        <w:rPr>
          <w:rStyle w:val="FootnoteReference"/>
        </w:rPr>
        <w:footnoteRef/>
      </w:r>
      <w:r>
        <w:t xml:space="preserve"> </w:t>
      </w:r>
      <w:r>
        <w:rPr>
          <w:i/>
          <w:iCs/>
        </w:rPr>
        <w:t>The Lone Necromancer</w:t>
      </w:r>
    </w:p>
  </w:footnote>
  <w:footnote w:id="167">
    <w:p w14:paraId="6C891591" w14:textId="77777777" w:rsidR="008B5C30" w:rsidRPr="00FB511E" w:rsidRDefault="008B5C30" w:rsidP="003E2064">
      <w:pPr>
        <w:pStyle w:val="FootnoteText"/>
        <w:rPr>
          <w:i/>
          <w:iCs/>
        </w:rPr>
      </w:pPr>
      <w:r>
        <w:rPr>
          <w:rStyle w:val="FootnoteReference"/>
        </w:rPr>
        <w:footnoteRef/>
      </w:r>
      <w:r>
        <w:t xml:space="preserve"> ibid</w:t>
      </w:r>
    </w:p>
  </w:footnote>
  <w:footnote w:id="168">
    <w:p w14:paraId="620D4CBE" w14:textId="77777777" w:rsidR="008B5C30" w:rsidRDefault="008B5C30" w:rsidP="003E2064">
      <w:pPr>
        <w:pStyle w:val="FootnoteText"/>
      </w:pPr>
      <w:r>
        <w:rPr>
          <w:rStyle w:val="FootnoteReference"/>
        </w:rPr>
        <w:footnoteRef/>
      </w:r>
      <w:r>
        <w:t xml:space="preserve"> Jordan Peterson</w:t>
      </w:r>
    </w:p>
  </w:footnote>
  <w:footnote w:id="169">
    <w:p w14:paraId="3345F29C" w14:textId="77777777" w:rsidR="008B5C30" w:rsidRPr="00FB511E" w:rsidRDefault="008B5C30" w:rsidP="003E2064">
      <w:pPr>
        <w:pStyle w:val="FootnoteText"/>
        <w:rPr>
          <w:i/>
          <w:iCs/>
        </w:rPr>
      </w:pPr>
      <w:r>
        <w:rPr>
          <w:rStyle w:val="FootnoteReference"/>
        </w:rPr>
        <w:footnoteRef/>
      </w:r>
      <w:r>
        <w:t xml:space="preserve"> Webtoon</w:t>
      </w:r>
    </w:p>
  </w:footnote>
  <w:footnote w:id="170">
    <w:p w14:paraId="1D791F7E" w14:textId="77777777" w:rsidR="008B5C30" w:rsidRDefault="008B5C30" w:rsidP="003E2064">
      <w:pPr>
        <w:pStyle w:val="FootnoteText"/>
      </w:pPr>
      <w:r>
        <w:rPr>
          <w:rStyle w:val="FootnoteReference"/>
        </w:rPr>
        <w:footnoteRef/>
      </w:r>
      <w:r>
        <w:t xml:space="preserve"> </w:t>
      </w:r>
      <w:hyperlink r:id="rId23" w:history="1">
        <w:r w:rsidRPr="000B1B46">
          <w:rPr>
            <w:rStyle w:val="Hyperlink"/>
          </w:rPr>
          <w:t>https://overgeared.fandom.com/wiki/Agnus</w:t>
        </w:r>
      </w:hyperlink>
      <w:r>
        <w:t xml:space="preserve"> </w:t>
      </w:r>
    </w:p>
  </w:footnote>
  <w:footnote w:id="171">
    <w:p w14:paraId="4AB9EFED" w14:textId="77777777" w:rsidR="008B5C30" w:rsidRDefault="008B5C30" w:rsidP="003E2064">
      <w:pPr>
        <w:pStyle w:val="FootnoteText"/>
      </w:pPr>
      <w:r>
        <w:rPr>
          <w:rStyle w:val="FootnoteReference"/>
        </w:rPr>
        <w:footnoteRef/>
      </w:r>
      <w:r>
        <w:t xml:space="preserve"> Orpheus myth</w:t>
      </w:r>
    </w:p>
  </w:footnote>
  <w:footnote w:id="172">
    <w:p w14:paraId="5A36380E" w14:textId="77777777" w:rsidR="008B5C30" w:rsidRDefault="008B5C30" w:rsidP="003E2064">
      <w:pPr>
        <w:pStyle w:val="FootnoteText"/>
      </w:pPr>
      <w:r>
        <w:rPr>
          <w:rStyle w:val="FootnoteReference"/>
        </w:rPr>
        <w:footnoteRef/>
      </w:r>
      <w:r>
        <w:t xml:space="preserve"> R. J. Clark, 1978; Bernabé p15</w:t>
      </w:r>
    </w:p>
  </w:footnote>
  <w:footnote w:id="173">
    <w:p w14:paraId="6D114C92" w14:textId="77777777" w:rsidR="008B5C30" w:rsidRDefault="008B5C30" w:rsidP="003E2064">
      <w:pPr>
        <w:pStyle w:val="FootnoteText"/>
      </w:pPr>
      <w:r>
        <w:rPr>
          <w:rStyle w:val="FootnoteReference"/>
        </w:rPr>
        <w:footnoteRef/>
      </w:r>
      <w:r>
        <w:t xml:space="preserve"> R. J. Clark; Alberto Bernabé p15</w:t>
      </w:r>
    </w:p>
  </w:footnote>
  <w:footnote w:id="174">
    <w:p w14:paraId="4BB374ED" w14:textId="77777777" w:rsidR="008B5C30" w:rsidRDefault="008B5C30" w:rsidP="003E2064">
      <w:pPr>
        <w:pStyle w:val="FootnoteText"/>
      </w:pPr>
      <w:r>
        <w:rPr>
          <w:rStyle w:val="FootnoteReference"/>
        </w:rPr>
        <w:footnoteRef/>
      </w:r>
      <w:r>
        <w:t xml:space="preserve"> R. J. Clark; Bernabé p15</w:t>
      </w:r>
    </w:p>
  </w:footnote>
  <w:footnote w:id="175">
    <w:p w14:paraId="3E99738D" w14:textId="2F2024F0" w:rsidR="008B5C30" w:rsidRDefault="008B5C30" w:rsidP="007D2A07">
      <w:pPr>
        <w:pStyle w:val="FootnoteText"/>
      </w:pPr>
      <w:r>
        <w:rPr>
          <w:rStyle w:val="FootnoteReference"/>
        </w:rPr>
        <w:footnoteRef/>
      </w:r>
      <w:r>
        <w:t xml:space="preserve"> </w:t>
      </w:r>
      <w:r w:rsidR="00661DCF">
        <w:rPr>
          <w:i/>
          <w:iCs/>
        </w:rPr>
        <w:t>The Witcher</w:t>
      </w:r>
      <w:r w:rsidR="009850A7">
        <w:rPr>
          <w:i/>
          <w:iCs/>
        </w:rPr>
        <w:t xml:space="preserve"> </w:t>
      </w:r>
      <w:r w:rsidR="009850A7">
        <w:t>[</w:t>
      </w:r>
      <w:r>
        <w:t>Netflix</w:t>
      </w:r>
      <w:r w:rsidR="009850A7">
        <w:t>]</w:t>
      </w:r>
    </w:p>
  </w:footnote>
  <w:footnote w:id="176">
    <w:p w14:paraId="1FF2BEB1" w14:textId="77777777" w:rsidR="008B5C30" w:rsidRDefault="008B5C30" w:rsidP="007D2A07">
      <w:pPr>
        <w:pStyle w:val="FootnoteText"/>
      </w:pPr>
      <w:r>
        <w:rPr>
          <w:rStyle w:val="FootnoteReference"/>
        </w:rPr>
        <w:footnoteRef/>
      </w:r>
      <w:r>
        <w:t xml:space="preserve"> Pausanias</w:t>
      </w:r>
    </w:p>
  </w:footnote>
  <w:footnote w:id="177">
    <w:p w14:paraId="3E8A574E" w14:textId="7F3499BA" w:rsidR="008B5C30" w:rsidRDefault="008B5C30" w:rsidP="007D2A07">
      <w:pPr>
        <w:pStyle w:val="FootnoteText"/>
      </w:pPr>
      <w:r>
        <w:rPr>
          <w:rStyle w:val="FootnoteReference"/>
        </w:rPr>
        <w:footnoteRef/>
      </w:r>
      <w:r>
        <w:t xml:space="preserve"> </w:t>
      </w:r>
      <w:hyperlink r:id="rId24" w:history="1">
        <w:r w:rsidR="00661DCF" w:rsidRPr="001A700D">
          <w:rPr>
            <w:rStyle w:val="Hyperlink"/>
            <w:rFonts w:ascii="Aptos" w:hAnsi="Aptos"/>
          </w:rPr>
          <w:t>https://www.theoi.com/Pontios/Gorgones.html</w:t>
        </w:r>
      </w:hyperlink>
      <w:r>
        <w:t xml:space="preserve"> </w:t>
      </w:r>
    </w:p>
  </w:footnote>
  <w:footnote w:id="178">
    <w:p w14:paraId="5C441E5B" w14:textId="77777777" w:rsidR="008B5C30" w:rsidRDefault="008B5C30" w:rsidP="007D2A07">
      <w:pPr>
        <w:pStyle w:val="FootnoteText"/>
      </w:pPr>
      <w:r>
        <w:rPr>
          <w:rStyle w:val="FootnoteReference"/>
        </w:rPr>
        <w:footnoteRef/>
      </w:r>
      <w:r>
        <w:t xml:space="preserve"> Pseudo-Apollodorus</w:t>
      </w:r>
    </w:p>
  </w:footnote>
  <w:footnote w:id="179">
    <w:p w14:paraId="3C4D6CCA" w14:textId="77777777" w:rsidR="008B5C30" w:rsidRDefault="008B5C30" w:rsidP="007D2A07">
      <w:pPr>
        <w:pStyle w:val="FootnoteText"/>
      </w:pPr>
      <w:r>
        <w:rPr>
          <w:rStyle w:val="FootnoteReference"/>
        </w:rPr>
        <w:footnoteRef/>
      </w:r>
      <w:r>
        <w:t xml:space="preserve"> Pseudo-Apollodorus</w:t>
      </w:r>
    </w:p>
  </w:footnote>
  <w:footnote w:id="180">
    <w:p w14:paraId="01535229" w14:textId="77777777" w:rsidR="008B5C30" w:rsidRDefault="008B5C30" w:rsidP="007D2A07">
      <w:pPr>
        <w:pStyle w:val="FootnoteText"/>
      </w:pPr>
      <w:r>
        <w:rPr>
          <w:rStyle w:val="FootnoteReference"/>
        </w:rPr>
        <w:footnoteRef/>
      </w:r>
      <w:r>
        <w:t xml:space="preserve"> Oxford English Dictionary; Collin’s; Dictionary.com</w:t>
      </w:r>
    </w:p>
  </w:footnote>
  <w:footnote w:id="181">
    <w:p w14:paraId="74839B06" w14:textId="77777777" w:rsidR="008B5C30" w:rsidRDefault="008B5C30" w:rsidP="007D2A07">
      <w:pPr>
        <w:pStyle w:val="FootnoteText"/>
      </w:pPr>
      <w:r>
        <w:rPr>
          <w:rStyle w:val="FootnoteReference"/>
        </w:rPr>
        <w:footnoteRef/>
      </w:r>
      <w:r>
        <w:t xml:space="preserve"> Miriam-Webster; Collins</w:t>
      </w:r>
    </w:p>
  </w:footnote>
  <w:footnote w:id="182">
    <w:p w14:paraId="77DF34DB" w14:textId="77777777" w:rsidR="008B5C30" w:rsidRDefault="008B5C30" w:rsidP="007D2A07">
      <w:pPr>
        <w:pStyle w:val="FootnoteText"/>
      </w:pPr>
      <w:r>
        <w:rPr>
          <w:rStyle w:val="FootnoteReference"/>
        </w:rPr>
        <w:footnoteRef/>
      </w:r>
      <w:r>
        <w:t xml:space="preserve"> Cambridge; Collins; </w:t>
      </w:r>
    </w:p>
  </w:footnote>
  <w:footnote w:id="183">
    <w:p w14:paraId="48FBAEB8" w14:textId="77777777" w:rsidR="008B5C30" w:rsidRDefault="008B5C30">
      <w:pPr>
        <w:pStyle w:val="FootnoteText"/>
      </w:pPr>
      <w:r>
        <w:rPr>
          <w:rStyle w:val="FootnoteReference"/>
        </w:rPr>
        <w:footnoteRef/>
      </w:r>
      <w:r>
        <w:t xml:space="preserve"> </w:t>
      </w:r>
    </w:p>
  </w:footnote>
  <w:footnote w:id="184">
    <w:p w14:paraId="7A6A97BD" w14:textId="77777777" w:rsidR="008B5C30" w:rsidRDefault="008B5C30" w:rsidP="007D2A07">
      <w:pPr>
        <w:pStyle w:val="FootnoteText"/>
      </w:pPr>
      <w:r>
        <w:rPr>
          <w:rStyle w:val="FootnoteReference"/>
        </w:rPr>
        <w:footnoteRef/>
      </w:r>
      <w:r>
        <w:t xml:space="preserve"> Miriam-Webster(monster); Cambridge(monster); Dictionary.com(monster); Collins(monstrous); Miriam-Webster(monstrosity); </w:t>
      </w:r>
    </w:p>
  </w:footnote>
  <w:footnote w:id="185">
    <w:p w14:paraId="664C3820" w14:textId="77777777" w:rsidR="008B5C30" w:rsidRDefault="008B5C30" w:rsidP="007D2A07">
      <w:pPr>
        <w:pStyle w:val="FootnoteText"/>
      </w:pPr>
      <w:r>
        <w:rPr>
          <w:rStyle w:val="FootnoteReference"/>
        </w:rPr>
        <w:footnoteRef/>
      </w:r>
      <w:r>
        <w:t xml:space="preserve"> Oxford English Dictionary; Dictionary.com</w:t>
      </w:r>
    </w:p>
  </w:footnote>
  <w:footnote w:id="186">
    <w:p w14:paraId="1512173E" w14:textId="77777777" w:rsidR="008B5C30" w:rsidRDefault="008B5C30" w:rsidP="007D2A07">
      <w:pPr>
        <w:pStyle w:val="FootnoteText"/>
      </w:pPr>
      <w:r>
        <w:rPr>
          <w:rStyle w:val="FootnoteReference"/>
        </w:rPr>
        <w:footnoteRef/>
      </w:r>
      <w:r>
        <w:t xml:space="preserve"> Oxford English Dictionary; Dictionary.com</w:t>
      </w:r>
    </w:p>
  </w:footnote>
  <w:footnote w:id="187">
    <w:p w14:paraId="72126369" w14:textId="77777777" w:rsidR="008B5C30" w:rsidRDefault="008B5C30">
      <w:pPr>
        <w:pStyle w:val="FootnoteText"/>
      </w:pPr>
      <w:r>
        <w:rPr>
          <w:rStyle w:val="FootnoteReference"/>
        </w:rPr>
        <w:footnoteRef/>
      </w:r>
      <w:r>
        <w:t xml:space="preserve"> Oxford English Dictionary; Collins Dictionary a; Dictionary.com a; Miriam-Webster b; Collins Dictionary b; Cambridge Dictionary c; Collins Dictionary c, </w:t>
      </w:r>
    </w:p>
  </w:footnote>
  <w:footnote w:id="188">
    <w:p w14:paraId="467CB4B2" w14:textId="77777777" w:rsidR="008B5C30" w:rsidRDefault="008B5C30">
      <w:pPr>
        <w:pStyle w:val="FootnoteText"/>
      </w:pPr>
      <w:r>
        <w:rPr>
          <w:rStyle w:val="FootnoteReference"/>
        </w:rPr>
        <w:footnoteRef/>
      </w:r>
      <w:r>
        <w:t xml:space="preserve"> Terrorist squirrels</w:t>
      </w:r>
    </w:p>
  </w:footnote>
  <w:footnote w:id="189">
    <w:p w14:paraId="392CECC0" w14:textId="77777777" w:rsidR="008B5C30" w:rsidRDefault="008B5C30" w:rsidP="007D2A07">
      <w:pPr>
        <w:pStyle w:val="FootnoteText"/>
      </w:pPr>
      <w:r>
        <w:rPr>
          <w:rStyle w:val="FootnoteReference"/>
        </w:rPr>
        <w:footnoteRef/>
      </w:r>
      <w:r>
        <w:t xml:space="preserve"> Collin’s dictionary; Miriam Webster; dictionary.com; </w:t>
      </w:r>
    </w:p>
  </w:footnote>
  <w:footnote w:id="190">
    <w:p w14:paraId="0B8364A9" w14:textId="77777777" w:rsidR="008B5C30" w:rsidRDefault="008B5C30">
      <w:pPr>
        <w:pStyle w:val="FootnoteText"/>
      </w:pPr>
      <w:r>
        <w:rPr>
          <w:rStyle w:val="FootnoteReference"/>
        </w:rPr>
        <w:footnoteRef/>
      </w:r>
      <w:r>
        <w:t xml:space="preserve"> </w:t>
      </w:r>
    </w:p>
  </w:footnote>
  <w:footnote w:id="191">
    <w:p w14:paraId="4AB951E1" w14:textId="77777777" w:rsidR="008B5C30" w:rsidRDefault="008B5C30">
      <w:pPr>
        <w:pStyle w:val="FootnoteText"/>
      </w:pPr>
      <w:r>
        <w:rPr>
          <w:rStyle w:val="FootnoteReference"/>
        </w:rPr>
        <w:footnoteRef/>
      </w:r>
      <w:r>
        <w:t xml:space="preserve"> </w:t>
      </w:r>
    </w:p>
  </w:footnote>
  <w:footnote w:id="192">
    <w:p w14:paraId="4286FE34" w14:textId="77777777" w:rsidR="008B5C30" w:rsidRDefault="008B5C30" w:rsidP="007D2A07">
      <w:pPr>
        <w:pStyle w:val="FootnoteText"/>
      </w:pPr>
      <w:r>
        <w:rPr>
          <w:rStyle w:val="FootnoteReference"/>
        </w:rPr>
        <w:footnoteRef/>
      </w:r>
      <w:r>
        <w:t xml:space="preserve"> </w:t>
      </w:r>
    </w:p>
  </w:footnote>
  <w:footnote w:id="193">
    <w:p w14:paraId="4FD2E615" w14:textId="77777777" w:rsidR="008B5C30" w:rsidRDefault="008B5C30" w:rsidP="007D2A07">
      <w:pPr>
        <w:pStyle w:val="FootnoteText"/>
      </w:pPr>
      <w:r>
        <w:rPr>
          <w:rStyle w:val="FootnoteReference"/>
        </w:rPr>
        <w:footnoteRef/>
      </w:r>
      <w:r>
        <w:t xml:space="preserve"> </w:t>
      </w:r>
    </w:p>
  </w:footnote>
  <w:footnote w:id="194">
    <w:p w14:paraId="68D1A19F" w14:textId="77777777" w:rsidR="008B5C30" w:rsidRDefault="008B5C30" w:rsidP="007D2A07">
      <w:pPr>
        <w:pStyle w:val="FootnoteText"/>
      </w:pPr>
      <w:r>
        <w:rPr>
          <w:rStyle w:val="FootnoteReference"/>
        </w:rPr>
        <w:footnoteRef/>
      </w:r>
      <w:r>
        <w:t xml:space="preserve"> </w:t>
      </w:r>
    </w:p>
  </w:footnote>
  <w:footnote w:id="195">
    <w:p w14:paraId="4D32437A" w14:textId="77777777" w:rsidR="008B5C30" w:rsidRDefault="008B5C30" w:rsidP="007D2A07">
      <w:pPr>
        <w:pStyle w:val="FootnoteText"/>
      </w:pPr>
      <w:r>
        <w:rPr>
          <w:rStyle w:val="FootnoteReference"/>
        </w:rPr>
        <w:footnoteRef/>
      </w:r>
      <w:r>
        <w:t xml:space="preserve"> </w:t>
      </w:r>
    </w:p>
  </w:footnote>
  <w:footnote w:id="196">
    <w:p w14:paraId="1C537CAF" w14:textId="77777777" w:rsidR="008B5C30" w:rsidRDefault="008B5C30" w:rsidP="007D2A07">
      <w:pPr>
        <w:pStyle w:val="FootnoteText"/>
      </w:pPr>
      <w:r>
        <w:rPr>
          <w:rStyle w:val="FootnoteReference"/>
        </w:rPr>
        <w:footnoteRef/>
      </w:r>
      <w:r>
        <w:t xml:space="preserve"> Miriam-Webster(monstrous)</w:t>
      </w:r>
    </w:p>
  </w:footnote>
  <w:footnote w:id="197">
    <w:p w14:paraId="49E3057D" w14:textId="77777777" w:rsidR="008B5C30" w:rsidRDefault="008B5C30" w:rsidP="00065159">
      <w:pPr>
        <w:pStyle w:val="FootnoteText"/>
      </w:pPr>
      <w:r>
        <w:rPr>
          <w:rStyle w:val="FootnoteReference"/>
        </w:rPr>
        <w:footnoteRef/>
      </w:r>
      <w:r>
        <w:t xml:space="preserve"> Oblivion; Skyrim; </w:t>
      </w:r>
    </w:p>
  </w:footnote>
  <w:footnote w:id="198">
    <w:p w14:paraId="255663EE" w14:textId="77777777" w:rsidR="008B5C30" w:rsidRDefault="008B5C30" w:rsidP="00065159">
      <w:pPr>
        <w:pStyle w:val="FootnoteText"/>
      </w:pPr>
      <w:r>
        <w:rPr>
          <w:rStyle w:val="FootnoteReference"/>
        </w:rPr>
        <w:footnoteRef/>
      </w:r>
      <w:r>
        <w:t xml:space="preserve"> </w:t>
      </w:r>
      <w:r w:rsidRPr="007A314D">
        <w:rPr>
          <w:i/>
          <w:iCs/>
        </w:rPr>
        <w:t>Black Desert Mobile</w:t>
      </w:r>
      <w:r>
        <w:t xml:space="preserve"> ‘Demons in the Dark’ knowledge</w:t>
      </w:r>
    </w:p>
  </w:footnote>
  <w:footnote w:id="199">
    <w:p w14:paraId="7E445AED" w14:textId="77777777" w:rsidR="008B5C30" w:rsidRDefault="008B5C30" w:rsidP="00065159">
      <w:pPr>
        <w:pStyle w:val="FootnoteText"/>
      </w:pPr>
      <w:r>
        <w:rPr>
          <w:rStyle w:val="FootnoteReference"/>
        </w:rPr>
        <w:footnoteRef/>
      </w:r>
      <w:r>
        <w:t xml:space="preserve"> Solo Leveling</w:t>
      </w:r>
    </w:p>
  </w:footnote>
  <w:footnote w:id="200">
    <w:p w14:paraId="1F614284" w14:textId="77777777" w:rsidR="008B5C30" w:rsidRDefault="008B5C30" w:rsidP="00065159">
      <w:pPr>
        <w:pStyle w:val="FootnoteText"/>
      </w:pPr>
      <w:r>
        <w:rPr>
          <w:rStyle w:val="FootnoteReference"/>
        </w:rPr>
        <w:footnoteRef/>
      </w:r>
      <w:r>
        <w:t xml:space="preserve"> The Lone Necromancer</w:t>
      </w:r>
    </w:p>
  </w:footnote>
  <w:footnote w:id="201">
    <w:p w14:paraId="714184B6" w14:textId="77777777" w:rsidR="008B5C30" w:rsidRDefault="008B5C30" w:rsidP="00065159">
      <w:pPr>
        <w:pStyle w:val="FootnoteText"/>
      </w:pPr>
      <w:r>
        <w:rPr>
          <w:rStyle w:val="FootnoteReference"/>
        </w:rPr>
        <w:footnoteRef/>
      </w:r>
      <w:r>
        <w:t xml:space="preserve"> Miriam-Webster</w:t>
      </w:r>
    </w:p>
  </w:footnote>
  <w:footnote w:id="202">
    <w:p w14:paraId="798D343F" w14:textId="77777777" w:rsidR="008B5C30" w:rsidRDefault="008B5C30" w:rsidP="00065159">
      <w:pPr>
        <w:pStyle w:val="FootnoteText"/>
      </w:pPr>
      <w:r>
        <w:rPr>
          <w:rStyle w:val="FootnoteReference"/>
        </w:rPr>
        <w:footnoteRef/>
      </w:r>
      <w:r>
        <w:t xml:space="preserve"> Ibid; dictionary.com</w:t>
      </w:r>
    </w:p>
  </w:footnote>
  <w:footnote w:id="203">
    <w:p w14:paraId="391A5816" w14:textId="77777777" w:rsidR="008B5C30" w:rsidRDefault="008B5C30" w:rsidP="00065159">
      <w:pPr>
        <w:pStyle w:val="FootnoteText"/>
      </w:pPr>
      <w:r>
        <w:rPr>
          <w:rStyle w:val="FootnoteReference"/>
        </w:rPr>
        <w:footnoteRef/>
      </w:r>
      <w:r>
        <w:t xml:space="preserve"> Dictionary.com</w:t>
      </w:r>
    </w:p>
  </w:footnote>
  <w:footnote w:id="204">
    <w:p w14:paraId="42B21FEE" w14:textId="77777777" w:rsidR="008B5C30" w:rsidRDefault="008B5C30" w:rsidP="00065159">
      <w:pPr>
        <w:pStyle w:val="FootnoteText"/>
      </w:pPr>
      <w:r>
        <w:rPr>
          <w:rStyle w:val="FootnoteReference"/>
        </w:rPr>
        <w:footnoteRef/>
      </w:r>
      <w:r>
        <w:t xml:space="preserve"> Dictionary.com; collins; Cambridge; Miriam-Webster; Oxford</w:t>
      </w:r>
    </w:p>
  </w:footnote>
  <w:footnote w:id="205">
    <w:p w14:paraId="467FC26E" w14:textId="77777777" w:rsidR="008B5C30" w:rsidRDefault="008B5C30" w:rsidP="00065159">
      <w:pPr>
        <w:pStyle w:val="FootnoteText"/>
      </w:pPr>
      <w:r>
        <w:rPr>
          <w:rStyle w:val="FootnoteReference"/>
        </w:rPr>
        <w:footnoteRef/>
      </w:r>
      <w:r>
        <w:t xml:space="preserve"> Miriam-Webster</w:t>
      </w:r>
    </w:p>
  </w:footnote>
  <w:footnote w:id="206">
    <w:p w14:paraId="2E52CF0D" w14:textId="77777777" w:rsidR="008B5C30" w:rsidRDefault="008B5C30" w:rsidP="00065159">
      <w:pPr>
        <w:pStyle w:val="FootnoteText"/>
      </w:pPr>
      <w:r>
        <w:rPr>
          <w:rStyle w:val="FootnoteReference"/>
        </w:rPr>
        <w:footnoteRef/>
      </w:r>
      <w:r>
        <w:t xml:space="preserve"> Oxford English Dictionary</w:t>
      </w:r>
    </w:p>
  </w:footnote>
  <w:footnote w:id="207">
    <w:p w14:paraId="39DDFE70" w14:textId="77777777" w:rsidR="008B5C30" w:rsidRDefault="008B5C30" w:rsidP="00065159">
      <w:pPr>
        <w:pStyle w:val="FootnoteText"/>
      </w:pPr>
      <w:r>
        <w:rPr>
          <w:rStyle w:val="FootnoteReference"/>
        </w:rPr>
        <w:footnoteRef/>
      </w:r>
      <w:r>
        <w:t xml:space="preserve"> Black Desert Mobile</w:t>
      </w:r>
    </w:p>
  </w:footnote>
  <w:footnote w:id="208">
    <w:p w14:paraId="1476EAED" w14:textId="77777777" w:rsidR="008B5C30" w:rsidRDefault="008B5C30" w:rsidP="00065159">
      <w:pPr>
        <w:pStyle w:val="FootnoteText"/>
      </w:pPr>
      <w:r>
        <w:rPr>
          <w:rStyle w:val="FootnoteReference"/>
        </w:rPr>
        <w:footnoteRef/>
      </w:r>
      <w:r>
        <w:t xml:space="preserve"> The Lone Necromancer</w:t>
      </w:r>
    </w:p>
  </w:footnote>
  <w:footnote w:id="209">
    <w:p w14:paraId="311F5094" w14:textId="77777777" w:rsidR="008B5C30" w:rsidRDefault="008B5C30" w:rsidP="00065159">
      <w:pPr>
        <w:pStyle w:val="FootnoteText"/>
      </w:pPr>
      <w:r>
        <w:rPr>
          <w:rStyle w:val="FootnoteReference"/>
        </w:rPr>
        <w:footnoteRef/>
      </w:r>
      <w:r>
        <w:t xml:space="preserve"> Solo Leveling</w:t>
      </w:r>
    </w:p>
  </w:footnote>
  <w:footnote w:id="210">
    <w:p w14:paraId="19630660" w14:textId="77777777" w:rsidR="008B5C30" w:rsidRDefault="008B5C30" w:rsidP="00065159">
      <w:pPr>
        <w:pStyle w:val="FootnoteText"/>
      </w:pPr>
      <w:r>
        <w:rPr>
          <w:rStyle w:val="FootnoteReference"/>
        </w:rPr>
        <w:footnoteRef/>
      </w:r>
      <w:r>
        <w:t xml:space="preserve"> Kim, M., </w:t>
      </w:r>
    </w:p>
  </w:footnote>
  <w:footnote w:id="211">
    <w:p w14:paraId="06F844BB" w14:textId="77777777" w:rsidR="008B5C30" w:rsidRDefault="008B5C30" w:rsidP="00065159">
      <w:pPr>
        <w:pStyle w:val="FootnoteText"/>
      </w:pPr>
      <w:r>
        <w:rPr>
          <w:rStyle w:val="FootnoteReference"/>
        </w:rPr>
        <w:footnoteRef/>
      </w:r>
      <w:r>
        <w:t xml:space="preserve"> </w:t>
      </w:r>
    </w:p>
  </w:footnote>
  <w:footnote w:id="212">
    <w:p w14:paraId="7D7161B8" w14:textId="77777777" w:rsidR="008B5C30" w:rsidRDefault="008B5C30">
      <w:pPr>
        <w:pStyle w:val="FootnoteText"/>
      </w:pPr>
      <w:r>
        <w:rPr>
          <w:rStyle w:val="FootnoteReference"/>
        </w:rPr>
        <w:footnoteRef/>
      </w:r>
      <w: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BEBAFF" w14:textId="77777777" w:rsidR="008B5C30" w:rsidRDefault="008B5C30">
    <w:pPr>
      <w:pStyle w:val="Header"/>
    </w:pPr>
    <w:r>
      <w:t>47 words in headings/subtitles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0707A9"/>
    <w:multiLevelType w:val="hybridMultilevel"/>
    <w:tmpl w:val="70AE1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625F8B"/>
    <w:multiLevelType w:val="hybridMultilevel"/>
    <w:tmpl w:val="3D9A9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F27AFF"/>
    <w:multiLevelType w:val="multilevel"/>
    <w:tmpl w:val="D60C1F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2DF5AA3"/>
    <w:multiLevelType w:val="multilevel"/>
    <w:tmpl w:val="C8026C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9AF3C91"/>
    <w:multiLevelType w:val="hybridMultilevel"/>
    <w:tmpl w:val="F30EE856"/>
    <w:lvl w:ilvl="0" w:tplc="FE78D04E">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835DC3"/>
    <w:multiLevelType w:val="multilevel"/>
    <w:tmpl w:val="744E67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21D14AC"/>
    <w:multiLevelType w:val="hybridMultilevel"/>
    <w:tmpl w:val="B3900BD4"/>
    <w:lvl w:ilvl="0" w:tplc="FEFA6046">
      <w:numFmt w:val="bullet"/>
      <w:lvlText w:val=""/>
      <w:lvlJc w:val="left"/>
      <w:pPr>
        <w:ind w:left="720" w:hanging="360"/>
      </w:pPr>
      <w:rPr>
        <w:rFonts w:ascii="Symbol" w:eastAsiaTheme="minorEastAsia"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B85FAC"/>
    <w:multiLevelType w:val="multilevel"/>
    <w:tmpl w:val="13AE70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7EC4D81"/>
    <w:multiLevelType w:val="hybridMultilevel"/>
    <w:tmpl w:val="FEF6ADEC"/>
    <w:lvl w:ilvl="0" w:tplc="7F626CF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273162"/>
    <w:multiLevelType w:val="multilevel"/>
    <w:tmpl w:val="D60C1F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9D65B47"/>
    <w:multiLevelType w:val="hybridMultilevel"/>
    <w:tmpl w:val="1A8AA35C"/>
    <w:lvl w:ilvl="0" w:tplc="E912F010">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6423543">
    <w:abstractNumId w:val="5"/>
  </w:num>
  <w:num w:numId="2" w16cid:durableId="1348826283">
    <w:abstractNumId w:val="4"/>
  </w:num>
  <w:num w:numId="3" w16cid:durableId="639072728">
    <w:abstractNumId w:val="3"/>
  </w:num>
  <w:num w:numId="4" w16cid:durableId="1510171915">
    <w:abstractNumId w:val="8"/>
  </w:num>
  <w:num w:numId="5" w16cid:durableId="361174785">
    <w:abstractNumId w:val="1"/>
  </w:num>
  <w:num w:numId="6" w16cid:durableId="435096203">
    <w:abstractNumId w:val="0"/>
  </w:num>
  <w:num w:numId="7" w16cid:durableId="1198658808">
    <w:abstractNumId w:val="7"/>
  </w:num>
  <w:num w:numId="8" w16cid:durableId="1262254020">
    <w:abstractNumId w:val="10"/>
  </w:num>
  <w:num w:numId="9" w16cid:durableId="1777629652">
    <w:abstractNumId w:val="2"/>
  </w:num>
  <w:num w:numId="10" w16cid:durableId="520435842">
    <w:abstractNumId w:val="6"/>
  </w:num>
  <w:num w:numId="11" w16cid:durableId="1401169520">
    <w:abstractNumId w:val="9"/>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Anna Matthews">
    <w15:presenceInfo w15:providerId="Windows Live" w15:userId="14bbc4df47c6948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C30"/>
    <w:rsid w:val="00013406"/>
    <w:rsid w:val="000153AF"/>
    <w:rsid w:val="00026D90"/>
    <w:rsid w:val="000647D6"/>
    <w:rsid w:val="000A48C7"/>
    <w:rsid w:val="000B09C1"/>
    <w:rsid w:val="000E07D5"/>
    <w:rsid w:val="000F4A1E"/>
    <w:rsid w:val="00104CAB"/>
    <w:rsid w:val="001511CD"/>
    <w:rsid w:val="001625AB"/>
    <w:rsid w:val="00182652"/>
    <w:rsid w:val="001B5553"/>
    <w:rsid w:val="00282357"/>
    <w:rsid w:val="00293C12"/>
    <w:rsid w:val="002A629C"/>
    <w:rsid w:val="002D1837"/>
    <w:rsid w:val="002E63A2"/>
    <w:rsid w:val="002F25D9"/>
    <w:rsid w:val="003356E2"/>
    <w:rsid w:val="00361B56"/>
    <w:rsid w:val="003A634B"/>
    <w:rsid w:val="003D49DE"/>
    <w:rsid w:val="003E699C"/>
    <w:rsid w:val="004045A0"/>
    <w:rsid w:val="00404E1A"/>
    <w:rsid w:val="00432238"/>
    <w:rsid w:val="004640C0"/>
    <w:rsid w:val="004D74A2"/>
    <w:rsid w:val="00504D92"/>
    <w:rsid w:val="0051659C"/>
    <w:rsid w:val="00535118"/>
    <w:rsid w:val="00557268"/>
    <w:rsid w:val="00626FC4"/>
    <w:rsid w:val="0063557F"/>
    <w:rsid w:val="00661DCF"/>
    <w:rsid w:val="00663A07"/>
    <w:rsid w:val="00667517"/>
    <w:rsid w:val="006A68FA"/>
    <w:rsid w:val="006C12C5"/>
    <w:rsid w:val="006C432B"/>
    <w:rsid w:val="006D2F0B"/>
    <w:rsid w:val="006D730A"/>
    <w:rsid w:val="006E1142"/>
    <w:rsid w:val="006E4C5C"/>
    <w:rsid w:val="00747381"/>
    <w:rsid w:val="007A50B7"/>
    <w:rsid w:val="008110E2"/>
    <w:rsid w:val="00820C8C"/>
    <w:rsid w:val="00827D40"/>
    <w:rsid w:val="00861055"/>
    <w:rsid w:val="00876179"/>
    <w:rsid w:val="008A54BC"/>
    <w:rsid w:val="008B43F4"/>
    <w:rsid w:val="008B5C30"/>
    <w:rsid w:val="009202D1"/>
    <w:rsid w:val="00946802"/>
    <w:rsid w:val="00974006"/>
    <w:rsid w:val="009820AD"/>
    <w:rsid w:val="009850A7"/>
    <w:rsid w:val="009963DB"/>
    <w:rsid w:val="00997E3F"/>
    <w:rsid w:val="009D2118"/>
    <w:rsid w:val="009D6040"/>
    <w:rsid w:val="009D6B27"/>
    <w:rsid w:val="009E6B58"/>
    <w:rsid w:val="00A00768"/>
    <w:rsid w:val="00A04305"/>
    <w:rsid w:val="00A23A9D"/>
    <w:rsid w:val="00A25686"/>
    <w:rsid w:val="00A25BB9"/>
    <w:rsid w:val="00A31434"/>
    <w:rsid w:val="00A412B3"/>
    <w:rsid w:val="00A61793"/>
    <w:rsid w:val="00A94D81"/>
    <w:rsid w:val="00AA331C"/>
    <w:rsid w:val="00AB3A41"/>
    <w:rsid w:val="00AB780E"/>
    <w:rsid w:val="00B06AB4"/>
    <w:rsid w:val="00B16813"/>
    <w:rsid w:val="00BA195A"/>
    <w:rsid w:val="00BB41D4"/>
    <w:rsid w:val="00BB771F"/>
    <w:rsid w:val="00BD76EA"/>
    <w:rsid w:val="00C15669"/>
    <w:rsid w:val="00C3419E"/>
    <w:rsid w:val="00C44AEF"/>
    <w:rsid w:val="00C65E27"/>
    <w:rsid w:val="00CD7657"/>
    <w:rsid w:val="00CF3D42"/>
    <w:rsid w:val="00D149D9"/>
    <w:rsid w:val="00D17DAE"/>
    <w:rsid w:val="00D60FC7"/>
    <w:rsid w:val="00D86F2C"/>
    <w:rsid w:val="00DB0617"/>
    <w:rsid w:val="00DE0CD1"/>
    <w:rsid w:val="00DE289E"/>
    <w:rsid w:val="00E0002A"/>
    <w:rsid w:val="00E06011"/>
    <w:rsid w:val="00E67BC8"/>
    <w:rsid w:val="00E8580C"/>
    <w:rsid w:val="00EA4925"/>
    <w:rsid w:val="00EB4AF3"/>
    <w:rsid w:val="00F6125E"/>
    <w:rsid w:val="00F76C20"/>
    <w:rsid w:val="00F96EC7"/>
    <w:rsid w:val="00FB0CBD"/>
    <w:rsid w:val="00FB2F9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0FA3D3"/>
  <w15:chartTrackingRefBased/>
  <w15:docId w15:val="{650EF978-E5D8-4BA2-B1B9-B6878D67DE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C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B5C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B5C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C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C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C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C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C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C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C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B5C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B5C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C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C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C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C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C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C30"/>
    <w:rPr>
      <w:rFonts w:eastAsiaTheme="majorEastAsia" w:cstheme="majorBidi"/>
      <w:color w:val="272727" w:themeColor="text1" w:themeTint="D8"/>
    </w:rPr>
  </w:style>
  <w:style w:type="paragraph" w:styleId="Title">
    <w:name w:val="Title"/>
    <w:basedOn w:val="Normal"/>
    <w:next w:val="Normal"/>
    <w:link w:val="TitleChar"/>
    <w:uiPriority w:val="10"/>
    <w:qFormat/>
    <w:rsid w:val="008B5C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C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C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C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C30"/>
    <w:pPr>
      <w:spacing w:before="160"/>
      <w:jc w:val="center"/>
    </w:pPr>
    <w:rPr>
      <w:i/>
      <w:iCs/>
      <w:color w:val="404040" w:themeColor="text1" w:themeTint="BF"/>
    </w:rPr>
  </w:style>
  <w:style w:type="character" w:customStyle="1" w:styleId="QuoteChar">
    <w:name w:val="Quote Char"/>
    <w:basedOn w:val="DefaultParagraphFont"/>
    <w:link w:val="Quote"/>
    <w:uiPriority w:val="29"/>
    <w:rsid w:val="008B5C30"/>
    <w:rPr>
      <w:i/>
      <w:iCs/>
      <w:color w:val="404040" w:themeColor="text1" w:themeTint="BF"/>
    </w:rPr>
  </w:style>
  <w:style w:type="paragraph" w:styleId="ListParagraph">
    <w:name w:val="List Paragraph"/>
    <w:basedOn w:val="Normal"/>
    <w:uiPriority w:val="34"/>
    <w:qFormat/>
    <w:rsid w:val="008B5C30"/>
    <w:pPr>
      <w:ind w:left="720"/>
      <w:contextualSpacing/>
    </w:pPr>
  </w:style>
  <w:style w:type="character" w:styleId="IntenseEmphasis">
    <w:name w:val="Intense Emphasis"/>
    <w:basedOn w:val="DefaultParagraphFont"/>
    <w:uiPriority w:val="21"/>
    <w:qFormat/>
    <w:rsid w:val="008B5C30"/>
    <w:rPr>
      <w:i/>
      <w:iCs/>
      <w:color w:val="0F4761" w:themeColor="accent1" w:themeShade="BF"/>
    </w:rPr>
  </w:style>
  <w:style w:type="paragraph" w:styleId="IntenseQuote">
    <w:name w:val="Intense Quote"/>
    <w:basedOn w:val="Normal"/>
    <w:next w:val="Normal"/>
    <w:link w:val="IntenseQuoteChar"/>
    <w:uiPriority w:val="30"/>
    <w:qFormat/>
    <w:rsid w:val="008B5C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C30"/>
    <w:rPr>
      <w:i/>
      <w:iCs/>
      <w:color w:val="0F4761" w:themeColor="accent1" w:themeShade="BF"/>
    </w:rPr>
  </w:style>
  <w:style w:type="character" w:styleId="IntenseReference">
    <w:name w:val="Intense Reference"/>
    <w:basedOn w:val="DefaultParagraphFont"/>
    <w:uiPriority w:val="32"/>
    <w:qFormat/>
    <w:rsid w:val="008B5C30"/>
    <w:rPr>
      <w:b/>
      <w:bCs/>
      <w:smallCaps/>
      <w:color w:val="0F4761" w:themeColor="accent1" w:themeShade="BF"/>
      <w:spacing w:val="5"/>
    </w:rPr>
  </w:style>
  <w:style w:type="paragraph" w:styleId="FootnoteText">
    <w:name w:val="footnote text"/>
    <w:basedOn w:val="Normal"/>
    <w:link w:val="FootnoteTextChar"/>
    <w:uiPriority w:val="99"/>
    <w:semiHidden/>
    <w:unhideWhenUsed/>
    <w:rsid w:val="008B5C3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B5C30"/>
    <w:rPr>
      <w:sz w:val="20"/>
      <w:szCs w:val="20"/>
    </w:rPr>
  </w:style>
  <w:style w:type="character" w:styleId="FootnoteReference">
    <w:name w:val="footnote reference"/>
    <w:basedOn w:val="DefaultParagraphFont"/>
    <w:uiPriority w:val="99"/>
    <w:semiHidden/>
    <w:unhideWhenUsed/>
    <w:rsid w:val="008B5C30"/>
    <w:rPr>
      <w:vertAlign w:val="superscript"/>
    </w:rPr>
  </w:style>
  <w:style w:type="character" w:styleId="CommentReference">
    <w:name w:val="annotation reference"/>
    <w:basedOn w:val="DefaultParagraphFont"/>
    <w:uiPriority w:val="99"/>
    <w:semiHidden/>
    <w:unhideWhenUsed/>
    <w:rsid w:val="008B5C30"/>
    <w:rPr>
      <w:sz w:val="16"/>
      <w:szCs w:val="16"/>
    </w:rPr>
  </w:style>
  <w:style w:type="paragraph" w:styleId="CommentText">
    <w:name w:val="annotation text"/>
    <w:basedOn w:val="Normal"/>
    <w:link w:val="CommentTextChar"/>
    <w:uiPriority w:val="99"/>
    <w:unhideWhenUsed/>
    <w:rsid w:val="008B5C30"/>
    <w:pPr>
      <w:spacing w:line="240" w:lineRule="auto"/>
    </w:pPr>
    <w:rPr>
      <w:sz w:val="20"/>
      <w:szCs w:val="20"/>
    </w:rPr>
  </w:style>
  <w:style w:type="character" w:customStyle="1" w:styleId="CommentTextChar">
    <w:name w:val="Comment Text Char"/>
    <w:basedOn w:val="DefaultParagraphFont"/>
    <w:link w:val="CommentText"/>
    <w:uiPriority w:val="99"/>
    <w:rsid w:val="008B5C30"/>
    <w:rPr>
      <w:sz w:val="20"/>
      <w:szCs w:val="20"/>
    </w:rPr>
  </w:style>
  <w:style w:type="character" w:styleId="Hyperlink">
    <w:name w:val="Hyperlink"/>
    <w:basedOn w:val="DefaultParagraphFont"/>
    <w:uiPriority w:val="99"/>
    <w:unhideWhenUsed/>
    <w:rsid w:val="008B5C30"/>
    <w:rPr>
      <w:color w:val="467886" w:themeColor="hyperlink"/>
      <w:u w:val="single"/>
    </w:rPr>
  </w:style>
  <w:style w:type="paragraph" w:styleId="Header">
    <w:name w:val="header"/>
    <w:basedOn w:val="Normal"/>
    <w:link w:val="HeaderChar"/>
    <w:uiPriority w:val="99"/>
    <w:unhideWhenUsed/>
    <w:rsid w:val="008B5C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5C30"/>
  </w:style>
  <w:style w:type="paragraph" w:styleId="Footer">
    <w:name w:val="footer"/>
    <w:basedOn w:val="Normal"/>
    <w:link w:val="FooterChar"/>
    <w:uiPriority w:val="99"/>
    <w:unhideWhenUsed/>
    <w:rsid w:val="008B5C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5C30"/>
  </w:style>
  <w:style w:type="paragraph" w:styleId="Caption">
    <w:name w:val="caption"/>
    <w:basedOn w:val="Normal"/>
    <w:next w:val="Normal"/>
    <w:uiPriority w:val="35"/>
    <w:unhideWhenUsed/>
    <w:qFormat/>
    <w:rsid w:val="008B5C30"/>
    <w:pPr>
      <w:spacing w:after="0" w:line="240" w:lineRule="auto"/>
    </w:pPr>
    <w:rPr>
      <w:i/>
      <w:iCs/>
      <w:color w:val="0E2841" w:themeColor="text2"/>
      <w:sz w:val="18"/>
      <w:szCs w:val="18"/>
    </w:rPr>
  </w:style>
  <w:style w:type="paragraph" w:styleId="TOCHeading">
    <w:name w:val="TOC Heading"/>
    <w:basedOn w:val="Heading1"/>
    <w:next w:val="Normal"/>
    <w:uiPriority w:val="39"/>
    <w:unhideWhenUsed/>
    <w:qFormat/>
    <w:rsid w:val="000153AF"/>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0153AF"/>
    <w:pPr>
      <w:spacing w:after="100" w:line="259" w:lineRule="auto"/>
      <w:ind w:left="220"/>
    </w:pPr>
    <w:rPr>
      <w:rFonts w:cs="Times New Roman"/>
      <w:kern w:val="0"/>
      <w:sz w:val="22"/>
      <w:szCs w:val="22"/>
      <w:lang w:val="en-US" w:eastAsia="en-US"/>
      <w14:ligatures w14:val="none"/>
    </w:rPr>
  </w:style>
  <w:style w:type="paragraph" w:styleId="TOC1">
    <w:name w:val="toc 1"/>
    <w:basedOn w:val="Normal"/>
    <w:next w:val="Normal"/>
    <w:autoRedefine/>
    <w:uiPriority w:val="39"/>
    <w:unhideWhenUsed/>
    <w:rsid w:val="000153AF"/>
    <w:pPr>
      <w:spacing w:after="100" w:line="259" w:lineRule="auto"/>
    </w:pPr>
    <w:rPr>
      <w:rFonts w:cs="Times New Roman"/>
      <w:kern w:val="0"/>
      <w:sz w:val="22"/>
      <w:szCs w:val="22"/>
      <w:lang w:val="en-US" w:eastAsia="en-US"/>
      <w14:ligatures w14:val="none"/>
    </w:rPr>
  </w:style>
  <w:style w:type="paragraph" w:styleId="TOC3">
    <w:name w:val="toc 3"/>
    <w:basedOn w:val="Normal"/>
    <w:next w:val="Normal"/>
    <w:autoRedefine/>
    <w:uiPriority w:val="39"/>
    <w:unhideWhenUsed/>
    <w:rsid w:val="000153AF"/>
    <w:pPr>
      <w:spacing w:after="100" w:line="259" w:lineRule="auto"/>
      <w:ind w:left="440"/>
    </w:pPr>
    <w:rPr>
      <w:rFonts w:cs="Times New Roman"/>
      <w:kern w:val="0"/>
      <w:sz w:val="22"/>
      <w:szCs w:val="22"/>
      <w:lang w:val="en-US" w:eastAsia="en-US"/>
      <w14:ligatures w14:val="none"/>
    </w:rPr>
  </w:style>
  <w:style w:type="character" w:styleId="UnresolvedMention">
    <w:name w:val="Unresolved Mention"/>
    <w:basedOn w:val="DefaultParagraphFont"/>
    <w:uiPriority w:val="99"/>
    <w:semiHidden/>
    <w:unhideWhenUsed/>
    <w:rsid w:val="00861055"/>
    <w:rPr>
      <w:color w:val="605E5C"/>
      <w:shd w:val="clear" w:color="auto" w:fill="E1DFDD"/>
    </w:rPr>
  </w:style>
  <w:style w:type="character" w:styleId="FollowedHyperlink">
    <w:name w:val="FollowedHyperlink"/>
    <w:basedOn w:val="DefaultParagraphFont"/>
    <w:uiPriority w:val="99"/>
    <w:semiHidden/>
    <w:unhideWhenUsed/>
    <w:rsid w:val="000E07D5"/>
    <w:rPr>
      <w:color w:val="96607D" w:themeColor="followedHyperlink"/>
      <w:u w:val="single"/>
    </w:rPr>
  </w:style>
  <w:style w:type="paragraph" w:styleId="Bibliography">
    <w:name w:val="Bibliography"/>
    <w:basedOn w:val="Normal"/>
    <w:next w:val="Normal"/>
    <w:uiPriority w:val="37"/>
    <w:unhideWhenUsed/>
    <w:rsid w:val="000E07D5"/>
    <w:pPr>
      <w:spacing w:after="0" w:line="240" w:lineRule="auto"/>
    </w:pPr>
    <w:rPr>
      <w:rFonts w:ascii="Times New Roman" w:eastAsia="Times New Roman" w:hAnsi="Times New Roman" w:cs="Times New Roman"/>
      <w:kern w:val="0"/>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microsoft.com/office/2018/08/relationships/commentsExtensible" Target="commentsExtensible.xml"/><Relationship Id="rId18" Type="http://schemas.openxmlformats.org/officeDocument/2006/relationships/image" Target="media/image7.jpeg"/><Relationship Id="rId26" Type="http://schemas.openxmlformats.org/officeDocument/2006/relationships/image" Target="media/image15.jpeg"/><Relationship Id="rId39" Type="http://schemas.openxmlformats.org/officeDocument/2006/relationships/hyperlink" Target="https://dictionary.cambridge.org/dictionary/english/monster" TargetMode="External"/><Relationship Id="rId21" Type="http://schemas.openxmlformats.org/officeDocument/2006/relationships/image" Target="media/image10.jpeg"/><Relationship Id="rId34" Type="http://schemas.openxmlformats.org/officeDocument/2006/relationships/hyperlink" Target="https://www.youtube.com/watch?v=EvdOHRFarqM&amp;list=PL0CinIvZRR4o8lAsvEkpBz2rtgqk2NH7u&amp;index=4" TargetMode="External"/><Relationship Id="rId42" Type="http://schemas.openxmlformats.org/officeDocument/2006/relationships/hyperlink" Target="https://www.myishacherry.org/wp-content/uploads/2020/07/Medusa-trope.pdf" TargetMode="External"/><Relationship Id="rId47" Type="http://schemas.openxmlformats.org/officeDocument/2006/relationships/hyperlink" Target="https://www.dictionary.com/browse/monster" TargetMode="External"/><Relationship Id="rId50" Type="http://schemas.openxmlformats.org/officeDocument/2006/relationships/hyperlink" Target="https://www.youtube.com/watch?v=2dncAQv7F_k" TargetMode="External"/><Relationship Id="rId55" Type="http://schemas.openxmlformats.org/officeDocument/2006/relationships/hyperlink" Target="https://latinlexicon.org/definition.php?p1=1013012&amp;p2=p" TargetMode="External"/><Relationship Id="rId63" Type="http://schemas.openxmlformats.org/officeDocument/2006/relationships/hyperlink" Target="https://www.merriam-webster.com/dictionary/monstrosity" TargetMode="External"/><Relationship Id="rId68" Type="http://schemas.openxmlformats.org/officeDocument/2006/relationships/hyperlink" Target="https://www.theoi.com/Heros/Lykaon.html" TargetMode="External"/><Relationship Id="rId76" Type="http://schemas.openxmlformats.org/officeDocument/2006/relationships/hyperlink" Target="https://www.theoi.com/Ther/DrakonHydra.html" TargetMode="External"/><Relationship Id="rId84" Type="http://schemas.openxmlformats.org/officeDocument/2006/relationships/hyperlink" Target="https://assassinscreed.fandom.com/wiki/Medusa" TargetMode="External"/><Relationship Id="rId89" Type="http://schemas.microsoft.com/office/2011/relationships/people" Target="people.xml"/><Relationship Id="rId7" Type="http://schemas.openxmlformats.org/officeDocument/2006/relationships/endnotes" Target="endnotes.xml"/><Relationship Id="rId71" Type="http://schemas.openxmlformats.org/officeDocument/2006/relationships/hyperlink" Target="https://www.theoi.com/Cult/ZeusTitles.html" TargetMode="External"/><Relationship Id="rId2" Type="http://schemas.openxmlformats.org/officeDocument/2006/relationships/numbering" Target="numbering.xml"/><Relationship Id="rId16" Type="http://schemas.openxmlformats.org/officeDocument/2006/relationships/image" Target="media/image5.jpeg"/><Relationship Id="rId29" Type="http://schemas.openxmlformats.org/officeDocument/2006/relationships/hyperlink" Target="https://doi.org/10.3390/arts9040102" TargetMode="External"/><Relationship Id="rId11" Type="http://schemas.microsoft.com/office/2011/relationships/commentsExtended" Target="commentsExtended.xml"/><Relationship Id="rId24" Type="http://schemas.openxmlformats.org/officeDocument/2006/relationships/image" Target="media/image13.jpeg"/><Relationship Id="rId32" Type="http://schemas.openxmlformats.org/officeDocument/2006/relationships/hyperlink" Target="https://www.youtube.com/watch?v=YTThhNj1DXk&amp;list=PL0CinIvZRR4o8lAsvEkpBz2rtgqk2NH7u&amp;index=2" TargetMode="External"/><Relationship Id="rId37" Type="http://schemas.openxmlformats.org/officeDocument/2006/relationships/hyperlink" Target="https://www.youtube.com/watch?v=bR30ZdZYG_A&amp;list=PL0CinIvZRR4o8lAsvEkpBz2rtgqk2NH7u&amp;index=7" TargetMode="External"/><Relationship Id="rId40" Type="http://schemas.openxmlformats.org/officeDocument/2006/relationships/hyperlink" Target="https://dictionary.cambridge.org/dictionary/english/monstrous" TargetMode="External"/><Relationship Id="rId45" Type="http://schemas.openxmlformats.org/officeDocument/2006/relationships/hyperlink" Target="https://www.collinsdictionary.com/dictionary/english/monstrous" TargetMode="External"/><Relationship Id="rId53" Type="http://schemas.openxmlformats.org/officeDocument/2006/relationships/hyperlink" Target="https://assassinscreed.fandom.com/wiki/Writhing_Dread" TargetMode="External"/><Relationship Id="rId58" Type="http://schemas.openxmlformats.org/officeDocument/2006/relationships/hyperlink" Target="https://witcher.fandom.com/wiki/Berengar" TargetMode="External"/><Relationship Id="rId66" Type="http://schemas.openxmlformats.org/officeDocument/2006/relationships/hyperlink" Target="http://www.camrea.org/2016/09/23/medusa-and-the-gorgons-the-origins-of-the-legendary-tale/" TargetMode="External"/><Relationship Id="rId74" Type="http://schemas.openxmlformats.org/officeDocument/2006/relationships/hyperlink" Target="https://www.theoi.com/greek-mythology/heracles.html" TargetMode="External"/><Relationship Id="rId79" Type="http://schemas.openxmlformats.org/officeDocument/2006/relationships/hyperlink" Target="https://www.theoi.com/Pontios/Seirenes.html" TargetMode="External"/><Relationship Id="rId87"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hyperlink" Target="https://www.merriam-webster.com/dictionary/monster" TargetMode="External"/><Relationship Id="rId82" Type="http://schemas.openxmlformats.org/officeDocument/2006/relationships/hyperlink" Target="https://www.theoi.com/Pontios/Gorgones.html" TargetMode="External"/><Relationship Id="rId90" Type="http://schemas.openxmlformats.org/officeDocument/2006/relationships/theme" Target="theme/theme1.xml"/><Relationship Id="rId19" Type="http://schemas.openxmlformats.org/officeDocument/2006/relationships/image" Target="media/image8.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jpeg"/><Relationship Id="rId22" Type="http://schemas.openxmlformats.org/officeDocument/2006/relationships/image" Target="media/image11.jpeg"/><Relationship Id="rId27" Type="http://schemas.openxmlformats.org/officeDocument/2006/relationships/image" Target="media/image16.jpeg"/><Relationship Id="rId30" Type="http://schemas.openxmlformats.org/officeDocument/2006/relationships/hyperlink" Target="https://www-proquest-com.ezproxy.uwtsd.ac.uk/scholarly-journals/witcher-lauren-schmidt-hissrich/docview/2708068064/se-2?accountid=130472" TargetMode="External"/><Relationship Id="rId35" Type="http://schemas.openxmlformats.org/officeDocument/2006/relationships/hyperlink" Target="https://www.youtube.com/watch?v=3IM38p0D4QM&amp;list=PL0CinIvZRR4o8lAsvEkpBz2rtgqk2NH7u&amp;index=5" TargetMode="External"/><Relationship Id="rId43" Type="http://schemas.openxmlformats.org/officeDocument/2006/relationships/hyperlink" Target="https://www.youtube.com/watch?v=K-m6fHj63dA" TargetMode="External"/><Relationship Id="rId48" Type="http://schemas.openxmlformats.org/officeDocument/2006/relationships/hyperlink" Target="https://www.dltk-kids.com/world/greece/m-story-medusa-and-athena.htm" TargetMode="External"/><Relationship Id="rId56" Type="http://schemas.openxmlformats.org/officeDocument/2006/relationships/hyperlink" Target="https://overgeared.fandom.com/wiki/Agnus" TargetMode="External"/><Relationship Id="rId64" Type="http://schemas.openxmlformats.org/officeDocument/2006/relationships/hyperlink" Target="https://www.bbc.co.uk/sounds/play/p0b0k55k" TargetMode="External"/><Relationship Id="rId69" Type="http://schemas.openxmlformats.org/officeDocument/2006/relationships/hyperlink" Target="https://www.theoi.com/Pontios/Gorgones.html" TargetMode="External"/><Relationship Id="rId77" Type="http://schemas.openxmlformats.org/officeDocument/2006/relationships/hyperlink" Target="https://www.theoi.com/Heros/Perseus.html" TargetMode="External"/><Relationship Id="rId8" Type="http://schemas.openxmlformats.org/officeDocument/2006/relationships/image" Target="media/image1.png"/><Relationship Id="rId51" Type="http://schemas.openxmlformats.org/officeDocument/2006/relationships/hyperlink" Target="https://assassinscreed.fandom.com/wiki/Gorgon" TargetMode="External"/><Relationship Id="rId72" Type="http://schemas.openxmlformats.org/officeDocument/2006/relationships/hyperlink" Target="https://www.theoi.com/Olympios/Athena.html" TargetMode="External"/><Relationship Id="rId80" Type="http://schemas.openxmlformats.org/officeDocument/2006/relationships/hyperlink" Target="https://www.youtube.com/watch?v=-gYpCIbZjUQ" TargetMode="External"/><Relationship Id="rId85" Type="http://schemas.openxmlformats.org/officeDocument/2006/relationships/hyperlink" Target="https://assassinscreed.fandom.com/wiki/Medusa" TargetMode="External"/><Relationship Id="rId3" Type="http://schemas.openxmlformats.org/officeDocument/2006/relationships/styles" Target="styles.xml"/><Relationship Id="rId12" Type="http://schemas.microsoft.com/office/2016/09/relationships/commentsIds" Target="commentsIds.xml"/><Relationship Id="rId17" Type="http://schemas.openxmlformats.org/officeDocument/2006/relationships/image" Target="media/image6.jpeg"/><Relationship Id="rId25" Type="http://schemas.openxmlformats.org/officeDocument/2006/relationships/image" Target="media/image14.jpeg"/><Relationship Id="rId33" Type="http://schemas.openxmlformats.org/officeDocument/2006/relationships/hyperlink" Target="https://www.youtube.com/watch?v=3xcDf0-QT-0&amp;list=PL0CinIvZRR4o8lAsvEkpBz2rtgqk2NH7u&amp;index=3" TargetMode="External"/><Relationship Id="rId38" Type="http://schemas.openxmlformats.org/officeDocument/2006/relationships/hyperlink" Target="https://www.youtube.com/watch?v=pmav7TtKlNU&amp;list=PL0CinIvZRR4o8lAsvEkpBz2rtgqk2NH7u&amp;index=12" TargetMode="External"/><Relationship Id="rId46" Type="http://schemas.openxmlformats.org/officeDocument/2006/relationships/hyperlink" Target="https://www.collinsdictionary.com/dictionary/english/monstrosity" TargetMode="External"/><Relationship Id="rId59" Type="http://schemas.openxmlformats.org/officeDocument/2006/relationships/hyperlink" Target="https://witcher.fandom.com/wiki/Geralt_of_Rivia" TargetMode="External"/><Relationship Id="rId67" Type="http://schemas.openxmlformats.org/officeDocument/2006/relationships/hyperlink" Target="https://www.youtube.com/watch?v=rnDDGXiCMwM" TargetMode="External"/><Relationship Id="rId20" Type="http://schemas.openxmlformats.org/officeDocument/2006/relationships/image" Target="media/image9.jpeg"/><Relationship Id="rId41" Type="http://schemas.openxmlformats.org/officeDocument/2006/relationships/hyperlink" Target="https://dictionary.cambridge.org/dictionary/english/monstrosity" TargetMode="External"/><Relationship Id="rId54" Type="http://schemas.openxmlformats.org/officeDocument/2006/relationships/hyperlink" Target="https://latinlexicon.org/definition.php?p1=1010070" TargetMode="External"/><Relationship Id="rId62" Type="http://schemas.openxmlformats.org/officeDocument/2006/relationships/hyperlink" Target="https://merriam-webster.com/dictionary/monstrous" TargetMode="External"/><Relationship Id="rId70" Type="http://schemas.openxmlformats.org/officeDocument/2006/relationships/hyperlink" Target="https://www.theoi.com/Olympios/Zeus.html" TargetMode="External"/><Relationship Id="rId75" Type="http://schemas.openxmlformats.org/officeDocument/2006/relationships/hyperlink" Target="https://www.theoi.com/Ther/Khimaira.html" TargetMode="External"/><Relationship Id="rId83" Type="http://schemas.openxmlformats.org/officeDocument/2006/relationships/hyperlink" Target="https://www.theoi.com/Pontios/Gorgones.html" TargetMode="External"/><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image" Target="media/image12.jpeg"/><Relationship Id="rId28" Type="http://schemas.openxmlformats.org/officeDocument/2006/relationships/hyperlink" Target="https://www.lesetudesclassiques.be/index.php/lec/article/viewFile/378/347" TargetMode="External"/><Relationship Id="rId36" Type="http://schemas.openxmlformats.org/officeDocument/2006/relationships/hyperlink" Target="https://www.youtube.com/watch?v=QWTDzc3dpEE&amp;list=PL0CinIvZRR4o8lAsvEkpBz2rtgqk2NH7u&amp;index=6" TargetMode="External"/><Relationship Id="rId49" Type="http://schemas.openxmlformats.org/officeDocument/2006/relationships/hyperlink" Target="https://www.ayael-kadri.ca/wp-content/uploads/2021/10/Creative-Project-El-kadri-Aya-.pdf" TargetMode="External"/><Relationship Id="rId57" Type="http://schemas.openxmlformats.org/officeDocument/2006/relationships/hyperlink" Target="https://overgeared.fandom.com/wiki/Mumud" TargetMode="External"/><Relationship Id="rId10" Type="http://schemas.openxmlformats.org/officeDocument/2006/relationships/comments" Target="comments.xml"/><Relationship Id="rId31" Type="http://schemas.openxmlformats.org/officeDocument/2006/relationships/hyperlink" Target="https://www.youtube.com/watch?v=YKUUez1PIac&amp;list=PL0CinIvZRR4o8lAsvEkpBz2rtgqk2NH7u&amp;index=1" TargetMode="External"/><Relationship Id="rId44" Type="http://schemas.openxmlformats.org/officeDocument/2006/relationships/hyperlink" Target="https://www.collinsdictionary.com/dictionary/english/monster" TargetMode="External"/><Relationship Id="rId52" Type="http://schemas.openxmlformats.org/officeDocument/2006/relationships/hyperlink" Target="https://assassinscreed.fandom.com/wiki/Medusa" TargetMode="External"/><Relationship Id="rId60" Type="http://schemas.openxmlformats.org/officeDocument/2006/relationships/hyperlink" Target="https://www.perseus.tufts.edu/hopper/morph?l=hominum&amp;la=la&amp;can=hominum0&amp;prior=vidisse&amp;d=Perseus:text:1999.02.0029:book=4:card=706&amp;i=1" TargetMode="External"/><Relationship Id="rId65" Type="http://schemas.openxmlformats.org/officeDocument/2006/relationships/hyperlink" Target="https://www.oed.com/dictionary/monster_n" TargetMode="External"/><Relationship Id="rId73" Type="http://schemas.openxmlformats.org/officeDocument/2006/relationships/hyperlink" Target="https://www.theoi.com/Khthonios/Haides.html" TargetMode="External"/><Relationship Id="rId78" Type="http://schemas.openxmlformats.org/officeDocument/2006/relationships/hyperlink" Target="https://www.theoi.com/Ther/LeonNemeios.html" TargetMode="External"/><Relationship Id="rId81" Type="http://schemas.openxmlformats.org/officeDocument/2006/relationships/hyperlink" Target="https://www.namuseum.gr/en/monthly_artefact/the-fatal-look-of-medusa/" TargetMode="External"/><Relationship Id="rId86" Type="http://schemas.openxmlformats.org/officeDocument/2006/relationships/header" Target="header1.xml"/></Relationships>
</file>

<file path=word/_rels/footnotes.xml.rels><?xml version="1.0" encoding="UTF-8" standalone="yes"?>
<Relationships xmlns="http://schemas.openxmlformats.org/package/2006/relationships"><Relationship Id="rId8" Type="http://schemas.openxmlformats.org/officeDocument/2006/relationships/hyperlink" Target="https://outils.biblissima.fr/fr/eulexis-web/?lemma=%CF%84%CE%AD%CF%81%CE%B1%CF%82&amp;dict=LSJ" TargetMode="External"/><Relationship Id="rId13" Type="http://schemas.openxmlformats.org/officeDocument/2006/relationships/hyperlink" Target="https://www.bbc.co.uk/sounds/play/p0b0k55k" TargetMode="External"/><Relationship Id="rId18" Type="http://schemas.openxmlformats.org/officeDocument/2006/relationships/hyperlink" Target="https://www.youtube.com/watch?v=2dncAQv7F_k" TargetMode="External"/><Relationship Id="rId3" Type="http://schemas.openxmlformats.org/officeDocument/2006/relationships/hyperlink" Target="https://witcher.fandom.com/wiki/Trial_of_the_Grasses_registry_tome" TargetMode="External"/><Relationship Id="rId21" Type="http://schemas.openxmlformats.org/officeDocument/2006/relationships/hyperlink" Target="https://www.theoi.com/Heros/Lykaon.html" TargetMode="External"/><Relationship Id="rId7" Type="http://schemas.openxmlformats.org/officeDocument/2006/relationships/hyperlink" Target="https://en.m.wikipedia.org/wiki/Andrew_Lintott" TargetMode="External"/><Relationship Id="rId12" Type="http://schemas.openxmlformats.org/officeDocument/2006/relationships/hyperlink" Target="https://www.thinkdigitalacademy.org/wp-content/uploads/2021/11/Greek-mythology-The-Story-of-Medusa-and-Athena.pdf" TargetMode="External"/><Relationship Id="rId17" Type="http://schemas.openxmlformats.org/officeDocument/2006/relationships/hyperlink" Target="https://witcher.fandom.com/wiki/Trial_of_the_Grasses_registry_tome" TargetMode="External"/><Relationship Id="rId2" Type="http://schemas.openxmlformats.org/officeDocument/2006/relationships/hyperlink" Target="https://www.theoi.com/Khthonios/Haides.html" TargetMode="External"/><Relationship Id="rId16" Type="http://schemas.openxmlformats.org/officeDocument/2006/relationships/hyperlink" Target="https://witcher.fandom.com/wiki/Trial_of_the_Grasses_registry_tome" TargetMode="External"/><Relationship Id="rId20" Type="http://schemas.openxmlformats.org/officeDocument/2006/relationships/hyperlink" Target="https://www.theoi.com/Heros/Lykaon.html" TargetMode="External"/><Relationship Id="rId1" Type="http://schemas.openxmlformats.org/officeDocument/2006/relationships/hyperlink" Target="https://www.theoi.com/Pontios/Gorgones.html" TargetMode="External"/><Relationship Id="rId6" Type="http://schemas.openxmlformats.org/officeDocument/2006/relationships/hyperlink" Target="https://latinlexicon.org/definition.php?p1=1013012&amp;p2=p" TargetMode="External"/><Relationship Id="rId11" Type="http://schemas.openxmlformats.org/officeDocument/2006/relationships/hyperlink" Target="https://www.dltk-kids.com/world/greece/m-story-medusa-and-athena.htm" TargetMode="External"/><Relationship Id="rId24" Type="http://schemas.openxmlformats.org/officeDocument/2006/relationships/hyperlink" Target="https://www.theoi.com/Pontios/Gorgones.html" TargetMode="External"/><Relationship Id="rId5" Type="http://schemas.openxmlformats.org/officeDocument/2006/relationships/hyperlink" Target="https://latinlexicon.org/definition.php?p1=1010070" TargetMode="External"/><Relationship Id="rId15" Type="http://schemas.openxmlformats.org/officeDocument/2006/relationships/hyperlink" Target="https://www.theoi.com/Pontios/Gorgones.html" TargetMode="External"/><Relationship Id="rId23" Type="http://schemas.openxmlformats.org/officeDocument/2006/relationships/hyperlink" Target="https://overgeared.fandom.com/wiki/Agnus" TargetMode="External"/><Relationship Id="rId10" Type="http://schemas.openxmlformats.org/officeDocument/2006/relationships/hyperlink" Target="https://www.theoi.com/Heros/Lykaon.html" TargetMode="External"/><Relationship Id="rId19" Type="http://schemas.openxmlformats.org/officeDocument/2006/relationships/hyperlink" Target="https://www.theoi.com/Heros/Lykaon.html" TargetMode="External"/><Relationship Id="rId4" Type="http://schemas.openxmlformats.org/officeDocument/2006/relationships/hyperlink" Target="https://latinlexicon.org/definition.php?p1=1010070" TargetMode="External"/><Relationship Id="rId9" Type="http://schemas.openxmlformats.org/officeDocument/2006/relationships/hyperlink" Target="https://www.theoi.com/Heros/Lykaon.html" TargetMode="External"/><Relationship Id="rId14" Type="http://schemas.openxmlformats.org/officeDocument/2006/relationships/hyperlink" Target="https://www.perseus.tufts.edu/hopper/morph?l=hominum&amp;la=la&amp;can=hominum0&amp;prior=vidisse&amp;d=Perseus:text:1999.02.0029:book=4:card=706&amp;i=1" TargetMode="External"/><Relationship Id="rId22" Type="http://schemas.openxmlformats.org/officeDocument/2006/relationships/hyperlink" Target="https://overgeared.fandom.com/wiki/Mumu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562BE4B-C694-4937-9DB6-4F13D3A436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67</Pages>
  <Words>15963</Words>
  <Characters>104719</Characters>
  <Application>Microsoft Office Word</Application>
  <DocSecurity>0</DocSecurity>
  <Lines>2908</Lines>
  <Paragraphs>2234</Paragraphs>
  <ScaleCrop>false</ScaleCrop>
  <Company/>
  <LinksUpToDate>false</LinksUpToDate>
  <CharactersWithSpaces>118448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Matthews</dc:creator>
  <cp:keywords/>
  <dc:description/>
  <cp:lastModifiedBy>Anna Matthews</cp:lastModifiedBy>
  <cp:revision>98</cp:revision>
  <dcterms:created xsi:type="dcterms:W3CDTF">2025-09-30T17:18:00Z</dcterms:created>
  <dcterms:modified xsi:type="dcterms:W3CDTF">2025-09-30T22:59:00Z</dcterms:modified>
</cp:coreProperties>
</file>