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71C4E9" w14:textId="485C43AD" w:rsidR="003107B4" w:rsidRDefault="003107B4" w:rsidP="003107B4">
      <w:pPr>
        <w:jc w:val="center"/>
        <w:rPr>
          <w:sz w:val="36"/>
          <w:szCs w:val="36"/>
        </w:rPr>
      </w:pPr>
      <w:r w:rsidRPr="003107B4">
        <w:rPr>
          <w:sz w:val="36"/>
          <w:szCs w:val="36"/>
        </w:rPr>
        <w:t>Contemporary issues in Criminal Justice</w:t>
      </w:r>
      <w:r w:rsidR="00D8235F">
        <w:rPr>
          <w:sz w:val="36"/>
          <w:szCs w:val="36"/>
        </w:rPr>
        <w:t xml:space="preserve"> </w:t>
      </w:r>
    </w:p>
    <w:p w14:paraId="093BA6F6" w14:textId="77777777" w:rsidR="003107B4" w:rsidRDefault="003107B4" w:rsidP="00157CD9">
      <w:pPr>
        <w:rPr>
          <w:sz w:val="36"/>
          <w:szCs w:val="36"/>
        </w:rPr>
      </w:pPr>
    </w:p>
    <w:p w14:paraId="2BA41666" w14:textId="77777777" w:rsidR="00157CD9" w:rsidRDefault="00157CD9" w:rsidP="00157CD9">
      <w:pPr>
        <w:rPr>
          <w:sz w:val="36"/>
          <w:szCs w:val="36"/>
        </w:rPr>
      </w:pPr>
    </w:p>
    <w:p w14:paraId="7A006100" w14:textId="77777777" w:rsidR="003107B4" w:rsidRDefault="003107B4" w:rsidP="003107B4">
      <w:pPr>
        <w:jc w:val="center"/>
        <w:rPr>
          <w:sz w:val="36"/>
          <w:szCs w:val="36"/>
        </w:rPr>
      </w:pPr>
    </w:p>
    <w:p w14:paraId="4DC804DC" w14:textId="0AB2466C" w:rsidR="003107B4" w:rsidRDefault="00157CD9" w:rsidP="003107B4">
      <w:pPr>
        <w:jc w:val="center"/>
        <w:rPr>
          <w:sz w:val="36"/>
          <w:szCs w:val="36"/>
        </w:rPr>
      </w:pPr>
      <w:r>
        <w:fldChar w:fldCharType="begin"/>
      </w:r>
      <w:r>
        <w:instrText xml:space="preserve"> INCLUDEPICTURE "https://i.guim.co.uk/img/static/sys-images/Guardian/Pix/pictures/2014/2/2/1391358315802/Andrzej-Krauze-illustrati-011.jpg?width=465&amp;dpr=1&amp;s=none&amp;crop=none" \* MERGEFORMATINET </w:instrText>
      </w:r>
      <w:r>
        <w:fldChar w:fldCharType="separate"/>
      </w:r>
      <w:r>
        <w:rPr>
          <w:noProof/>
        </w:rPr>
        <w:drawing>
          <wp:inline distT="0" distB="0" distL="0" distR="0" wp14:anchorId="74445AF9" wp14:editId="7D62F611">
            <wp:extent cx="5731510" cy="3437255"/>
            <wp:effectExtent l="0" t="0" r="0" b="4445"/>
            <wp:docPr id="828674780" name="Picture 1" descr="Andrzej Krauze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drzej Krauze illustra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437255"/>
                    </a:xfrm>
                    <a:prstGeom prst="rect">
                      <a:avLst/>
                    </a:prstGeom>
                    <a:noFill/>
                    <a:ln>
                      <a:noFill/>
                    </a:ln>
                  </pic:spPr>
                </pic:pic>
              </a:graphicData>
            </a:graphic>
          </wp:inline>
        </w:drawing>
      </w:r>
      <w:r>
        <w:fldChar w:fldCharType="end"/>
      </w:r>
    </w:p>
    <w:p w14:paraId="03DC3899" w14:textId="402A7643" w:rsidR="003107B4" w:rsidRPr="00157CD9" w:rsidRDefault="00157CD9" w:rsidP="00157CD9">
      <w:pPr>
        <w:rPr>
          <w:rFonts w:ascii="Arial" w:hAnsi="Arial" w:cs="Arial"/>
          <w:sz w:val="20"/>
          <w:szCs w:val="20"/>
        </w:rPr>
      </w:pPr>
      <w:r w:rsidRPr="00157CD9">
        <w:rPr>
          <w:rFonts w:ascii="Arial" w:hAnsi="Arial" w:cs="Arial"/>
          <w:sz w:val="20"/>
          <w:szCs w:val="20"/>
        </w:rPr>
        <w:t xml:space="preserve">Image: </w:t>
      </w:r>
      <w:r w:rsidRPr="00157CD9">
        <w:rPr>
          <w:rFonts w:ascii="Arial" w:hAnsi="Arial" w:cs="Arial"/>
          <w:color w:val="000000"/>
          <w:sz w:val="20"/>
          <w:szCs w:val="20"/>
        </w:rPr>
        <w:t>(</w:t>
      </w:r>
      <w:proofErr w:type="spellStart"/>
      <w:r w:rsidRPr="00157CD9">
        <w:rPr>
          <w:rFonts w:ascii="Arial" w:hAnsi="Arial" w:cs="Arial"/>
          <w:color w:val="000000"/>
          <w:sz w:val="20"/>
          <w:szCs w:val="20"/>
        </w:rPr>
        <w:t>Starmer</w:t>
      </w:r>
      <w:proofErr w:type="spellEnd"/>
      <w:r w:rsidRPr="00157CD9">
        <w:rPr>
          <w:rFonts w:ascii="Arial" w:hAnsi="Arial" w:cs="Arial"/>
          <w:color w:val="000000"/>
          <w:sz w:val="20"/>
          <w:szCs w:val="20"/>
        </w:rPr>
        <w:t>, 2014)</w:t>
      </w:r>
    </w:p>
    <w:p w14:paraId="260F8728" w14:textId="77777777" w:rsidR="003107B4" w:rsidRDefault="003107B4" w:rsidP="003107B4">
      <w:pPr>
        <w:jc w:val="center"/>
        <w:rPr>
          <w:sz w:val="36"/>
          <w:szCs w:val="36"/>
        </w:rPr>
      </w:pPr>
    </w:p>
    <w:p w14:paraId="4DFF4F45" w14:textId="77777777" w:rsidR="003107B4" w:rsidRDefault="003107B4" w:rsidP="003107B4">
      <w:pPr>
        <w:jc w:val="center"/>
        <w:rPr>
          <w:sz w:val="36"/>
          <w:szCs w:val="36"/>
        </w:rPr>
      </w:pPr>
    </w:p>
    <w:p w14:paraId="11A074A5" w14:textId="77777777" w:rsidR="003107B4" w:rsidRDefault="003107B4" w:rsidP="003107B4">
      <w:pPr>
        <w:jc w:val="center"/>
        <w:rPr>
          <w:sz w:val="36"/>
          <w:szCs w:val="36"/>
        </w:rPr>
      </w:pPr>
    </w:p>
    <w:p w14:paraId="5D51D540" w14:textId="77777777" w:rsidR="003107B4" w:rsidRDefault="003107B4" w:rsidP="00157CD9">
      <w:pPr>
        <w:rPr>
          <w:sz w:val="36"/>
          <w:szCs w:val="36"/>
        </w:rPr>
      </w:pPr>
    </w:p>
    <w:p w14:paraId="30918656" w14:textId="6B75095D" w:rsidR="003107B4" w:rsidRPr="002029B6" w:rsidRDefault="003107B4" w:rsidP="00157CD9">
      <w:pPr>
        <w:jc w:val="center"/>
        <w:rPr>
          <w:rFonts w:ascii="Arial" w:hAnsi="Arial" w:cs="Arial"/>
          <w:sz w:val="36"/>
          <w:szCs w:val="36"/>
        </w:rPr>
      </w:pPr>
      <w:r w:rsidRPr="002029B6">
        <w:rPr>
          <w:rFonts w:ascii="Arial" w:hAnsi="Arial" w:cs="Arial"/>
          <w:sz w:val="36"/>
          <w:szCs w:val="36"/>
        </w:rPr>
        <w:t>Sadie May Mason</w:t>
      </w:r>
    </w:p>
    <w:p w14:paraId="59DB5A25" w14:textId="77777777" w:rsidR="003107B4" w:rsidRPr="002029B6" w:rsidRDefault="003107B4" w:rsidP="00157CD9">
      <w:pPr>
        <w:jc w:val="center"/>
        <w:rPr>
          <w:rFonts w:ascii="Arial" w:hAnsi="Arial" w:cs="Arial"/>
          <w:sz w:val="36"/>
          <w:szCs w:val="36"/>
        </w:rPr>
      </w:pPr>
      <w:r w:rsidRPr="002029B6">
        <w:rPr>
          <w:rFonts w:ascii="Arial" w:hAnsi="Arial" w:cs="Arial"/>
          <w:sz w:val="36"/>
          <w:szCs w:val="36"/>
        </w:rPr>
        <w:t>2204171</w:t>
      </w:r>
    </w:p>
    <w:p w14:paraId="4F1E3387" w14:textId="77777777" w:rsidR="003107B4" w:rsidRDefault="003107B4" w:rsidP="00157CD9">
      <w:pPr>
        <w:jc w:val="center"/>
        <w:rPr>
          <w:rFonts w:ascii="Arial" w:hAnsi="Arial" w:cs="Arial"/>
          <w:sz w:val="36"/>
          <w:szCs w:val="36"/>
        </w:rPr>
      </w:pPr>
      <w:r w:rsidRPr="002029B6">
        <w:rPr>
          <w:rFonts w:ascii="Arial" w:hAnsi="Arial" w:cs="Arial"/>
          <w:sz w:val="36"/>
          <w:szCs w:val="36"/>
        </w:rPr>
        <w:t>BMCJ7007D</w:t>
      </w:r>
    </w:p>
    <w:p w14:paraId="65AA74FB" w14:textId="77777777" w:rsidR="003107B4" w:rsidRDefault="003107B4" w:rsidP="003107B4">
      <w:pPr>
        <w:jc w:val="center"/>
        <w:rPr>
          <w:sz w:val="36"/>
          <w:szCs w:val="36"/>
        </w:rPr>
      </w:pPr>
    </w:p>
    <w:p w14:paraId="4BFE15E0" w14:textId="2BB372F5" w:rsidR="00157CD9" w:rsidRPr="00D9207B" w:rsidRDefault="00157CD9" w:rsidP="00D9207B">
      <w:pPr>
        <w:pStyle w:val="NormalWeb"/>
        <w:spacing w:line="360" w:lineRule="auto"/>
        <w:rPr>
          <w:rFonts w:ascii="Arial" w:hAnsi="Arial" w:cs="Arial"/>
          <w:color w:val="000000"/>
        </w:rPr>
      </w:pPr>
      <w:r w:rsidRPr="00D9207B">
        <w:rPr>
          <w:rFonts w:ascii="Arial" w:hAnsi="Arial" w:cs="Arial"/>
          <w:color w:val="000000"/>
        </w:rPr>
        <w:lastRenderedPageBreak/>
        <w:t xml:space="preserve">The position of </w:t>
      </w:r>
      <w:r w:rsidR="00D9207B" w:rsidRPr="00D9207B">
        <w:rPr>
          <w:rFonts w:ascii="Arial" w:hAnsi="Arial" w:cs="Arial"/>
          <w:color w:val="000000"/>
        </w:rPr>
        <w:t xml:space="preserve">vulnerable victims </w:t>
      </w:r>
      <w:r w:rsidR="00844FB8">
        <w:rPr>
          <w:rFonts w:ascii="Arial" w:hAnsi="Arial" w:cs="Arial"/>
          <w:color w:val="000000"/>
        </w:rPr>
        <w:t>has</w:t>
      </w:r>
      <w:r w:rsidR="00D9207B" w:rsidRPr="00D9207B">
        <w:rPr>
          <w:rFonts w:ascii="Arial" w:hAnsi="Arial" w:cs="Arial"/>
          <w:color w:val="000000"/>
        </w:rPr>
        <w:t xml:space="preserve"> become a central concern in contemporary criminal justice policy, reflecting that justice processes do not operate equally across groups </w:t>
      </w:r>
      <w:r w:rsidRPr="00D9207B">
        <w:rPr>
          <w:rFonts w:ascii="Arial" w:hAnsi="Arial" w:cs="Arial"/>
          <w:color w:val="000000"/>
        </w:rPr>
        <w:t>(Crown Office and Procurator Fiscal Service (COPFS), 2024). In line with United Kingdom (UK) parliament (2023a), vulnerable victims, commonly understood as individuals whose personal characteristics or social circumstances increase both their risk of victimisation and their difficulty engaging with justice processes, include victims of domestic abuse, sexual violence, those with mental health needs, migrants and individuals experiencing socioeconomic marginalisation. Despite a policy shift towards a more victim-centred approach in England and Wales, including the introduction of the Victims Code by United Kingdom Government (2020)</w:t>
      </w:r>
      <w:r w:rsidRPr="00D9207B">
        <w:rPr>
          <w:rStyle w:val="apple-converted-space"/>
          <w:rFonts w:ascii="Arial" w:eastAsiaTheme="majorEastAsia" w:hAnsi="Arial" w:cs="Arial"/>
          <w:color w:val="000000"/>
        </w:rPr>
        <w:t xml:space="preserve"> </w:t>
      </w:r>
      <w:r w:rsidRPr="00D9207B">
        <w:rPr>
          <w:rFonts w:ascii="Arial" w:hAnsi="Arial" w:cs="Arial"/>
          <w:color w:val="000000"/>
        </w:rPr>
        <w:t>and ongoing reform consultations, empirical evidence suggests that vulnerable victims continue to face significant structural and procedural barriers when interacting with the criminal justice system.</w:t>
      </w:r>
    </w:p>
    <w:p w14:paraId="2D93C3B0" w14:textId="4DF9B317" w:rsidR="00157CD9" w:rsidRPr="00157CD9" w:rsidRDefault="00157CD9" w:rsidP="00157CD9">
      <w:pPr>
        <w:pStyle w:val="NormalWeb"/>
        <w:spacing w:line="360" w:lineRule="auto"/>
        <w:rPr>
          <w:rFonts w:ascii="Arial" w:hAnsi="Arial" w:cs="Arial"/>
          <w:color w:val="000000"/>
        </w:rPr>
      </w:pPr>
      <w:r w:rsidRPr="00157CD9">
        <w:rPr>
          <w:rFonts w:ascii="Arial" w:hAnsi="Arial" w:cs="Arial"/>
          <w:color w:val="000000"/>
        </w:rPr>
        <w:t>Recent data highlights the scale of this issue. Victim confidence in the criminal justice system remains critically low, with fewer than half of victims believing they would receive justice if they reported a crime (Victims’ Commissioner, 2025</w:t>
      </w:r>
      <w:r w:rsidR="005E2CFB">
        <w:rPr>
          <w:rFonts w:ascii="Arial" w:hAnsi="Arial" w:cs="Arial"/>
          <w:color w:val="000000"/>
        </w:rPr>
        <w:t>a</w:t>
      </w:r>
      <w:r w:rsidRPr="00157CD9">
        <w:rPr>
          <w:rFonts w:ascii="Arial" w:hAnsi="Arial" w:cs="Arial"/>
          <w:color w:val="000000"/>
        </w:rPr>
        <w:t>). This lack of confidence is reflected in victim experiences, with the majority reporting dissatisfaction with how their case was handled by the police, particularly in relation to communication and support (Victims’ Commissioner, 2023). These findings indicate a widening gap between policy ambitions and lived experiences, suggesting that reforms have yet to translate into meaningful improvements for victims, particularly those who are most vulnerable. Furthermore, structural inefficiencies such as prolonged court delays continue to exacerbate victim harm, with the Crown Court backlog reaching record levels and many victims waiting extended periods for cases to reach trial (Victim Support, 2023).</w:t>
      </w:r>
    </w:p>
    <w:p w14:paraId="562C0491" w14:textId="45D1B26F" w:rsidR="00157CD9" w:rsidRPr="00157CD9" w:rsidRDefault="00157CD9" w:rsidP="00157CD9">
      <w:pPr>
        <w:pStyle w:val="NormalWeb"/>
        <w:spacing w:line="360" w:lineRule="auto"/>
        <w:rPr>
          <w:rFonts w:ascii="Arial" w:hAnsi="Arial" w:cs="Arial"/>
          <w:color w:val="000000"/>
        </w:rPr>
      </w:pPr>
      <w:r w:rsidRPr="00157CD9">
        <w:rPr>
          <w:rFonts w:ascii="Arial" w:hAnsi="Arial" w:cs="Arial"/>
          <w:color w:val="000000"/>
        </w:rPr>
        <w:t>This essay argues that, despite increasing rhetorical emphasis on victim-centred justice, the criminal justice system remains structurally ill-equipped to meet the needs of vulnerable victims (</w:t>
      </w:r>
      <w:proofErr w:type="spellStart"/>
      <w:r w:rsidRPr="00157CD9">
        <w:rPr>
          <w:rFonts w:ascii="Arial" w:hAnsi="Arial" w:cs="Arial"/>
          <w:color w:val="000000"/>
        </w:rPr>
        <w:t>Walklate</w:t>
      </w:r>
      <w:proofErr w:type="spellEnd"/>
      <w:r w:rsidRPr="00157CD9">
        <w:rPr>
          <w:rFonts w:ascii="Arial" w:hAnsi="Arial" w:cs="Arial"/>
          <w:color w:val="000000"/>
        </w:rPr>
        <w:t xml:space="preserve">, 2011; Duggan, 2020). Difficulties arise not only from practical barriers, such as accessibility challenges, evidential </w:t>
      </w:r>
      <w:proofErr w:type="gramStart"/>
      <w:r w:rsidRPr="00157CD9">
        <w:rPr>
          <w:rFonts w:ascii="Arial" w:hAnsi="Arial" w:cs="Arial"/>
          <w:color w:val="000000"/>
        </w:rPr>
        <w:t>thresholds</w:t>
      </w:r>
      <w:proofErr w:type="gramEnd"/>
      <w:r w:rsidRPr="00157CD9">
        <w:rPr>
          <w:rFonts w:ascii="Arial" w:hAnsi="Arial" w:cs="Arial"/>
          <w:color w:val="000000"/>
        </w:rPr>
        <w:t xml:space="preserve"> and procedural delays (His Majesty’s Inspectorate of Constabulary and fire &amp; Rescue Services (HMICFRS), 2021; Victim Support, 2023), but also from deeper institutional dynamics, including credibility assessments shaped by the notion of the </w:t>
      </w:r>
      <w:r w:rsidRPr="00157CD9">
        <w:rPr>
          <w:rFonts w:ascii="Arial" w:hAnsi="Arial" w:cs="Arial"/>
          <w:color w:val="000000"/>
        </w:rPr>
        <w:lastRenderedPageBreak/>
        <w:t>“ideal victim” (Christie, 1986) and systemic inequalities explained through intersectionality (Crenshaw, 1989; UK Parliament, 2023</w:t>
      </w:r>
      <w:r>
        <w:rPr>
          <w:rFonts w:ascii="Arial" w:hAnsi="Arial" w:cs="Arial"/>
          <w:color w:val="000000"/>
        </w:rPr>
        <w:t>a</w:t>
      </w:r>
      <w:r w:rsidRPr="00157CD9">
        <w:rPr>
          <w:rFonts w:ascii="Arial" w:hAnsi="Arial" w:cs="Arial"/>
          <w:color w:val="000000"/>
        </w:rPr>
        <w:t>). In addition, procedural justice theory (Tyler, 2006) highlights the importance of trust and perceived fairness in shaping victim engagement; however, declining confidence in justice institutions suggests that these principles are not consistently realised in practice (Victims’ Commissioner, 2025). As policy commentary has argued, the system often fails to provide the level of protection and support that vulnerable victims require, undermining both legitimacy and effectiveness (</w:t>
      </w:r>
      <w:proofErr w:type="spellStart"/>
      <w:r w:rsidRPr="00157CD9">
        <w:rPr>
          <w:rFonts w:ascii="Arial" w:hAnsi="Arial" w:cs="Arial"/>
          <w:color w:val="000000"/>
        </w:rPr>
        <w:t>Starmer</w:t>
      </w:r>
      <w:proofErr w:type="spellEnd"/>
      <w:r w:rsidRPr="00157CD9">
        <w:rPr>
          <w:rFonts w:ascii="Arial" w:hAnsi="Arial" w:cs="Arial"/>
          <w:color w:val="000000"/>
        </w:rPr>
        <w:t>, 2014).</w:t>
      </w:r>
    </w:p>
    <w:p w14:paraId="19AD36A2" w14:textId="77777777" w:rsidR="00844FB8" w:rsidRPr="00844FB8" w:rsidRDefault="00157CD9" w:rsidP="00844FB8">
      <w:pPr>
        <w:pStyle w:val="NormalWeb"/>
        <w:spacing w:line="360" w:lineRule="auto"/>
        <w:rPr>
          <w:rFonts w:ascii="Arial" w:hAnsi="Arial" w:cs="Arial"/>
          <w:color w:val="000000"/>
        </w:rPr>
      </w:pPr>
      <w:r w:rsidRPr="00844FB8">
        <w:rPr>
          <w:rFonts w:ascii="Arial" w:hAnsi="Arial" w:cs="Arial"/>
          <w:color w:val="000000"/>
        </w:rPr>
        <w:t>Through a critical evaluation of contemporary research, policy frameworks and empirical data, this essay will examine the key difficulties faced by vulnerable victims across the criminal justice process, including barriers to reporting, challenges within police investigations, limitations of prosecution and court procedures and the impact of secondary victimisation (</w:t>
      </w:r>
      <w:proofErr w:type="spellStart"/>
      <w:r w:rsidRPr="00844FB8">
        <w:rPr>
          <w:rFonts w:ascii="Arial" w:hAnsi="Arial" w:cs="Arial"/>
          <w:color w:val="000000"/>
        </w:rPr>
        <w:t>Hohl</w:t>
      </w:r>
      <w:proofErr w:type="spellEnd"/>
      <w:r w:rsidRPr="00844FB8">
        <w:rPr>
          <w:rFonts w:ascii="Arial" w:hAnsi="Arial" w:cs="Arial"/>
          <w:color w:val="000000"/>
        </w:rPr>
        <w:t xml:space="preserve"> and Stanko, 2015; Brooks-Hay et al, 2018). It will further assess the extent to which recent reforms address these issues, drawing on evidence which suggests that, despite policy developments, victims continue to experience inconsistent support and engagement across criminal justice agencies (Ministry of Justice, 2023</w:t>
      </w:r>
      <w:r w:rsidR="005E2CFB" w:rsidRPr="00844FB8">
        <w:rPr>
          <w:rFonts w:ascii="Arial" w:hAnsi="Arial" w:cs="Arial"/>
          <w:color w:val="000000"/>
        </w:rPr>
        <w:t>a</w:t>
      </w:r>
      <w:r w:rsidRPr="00844FB8">
        <w:rPr>
          <w:rFonts w:ascii="Arial" w:hAnsi="Arial" w:cs="Arial"/>
          <w:color w:val="000000"/>
        </w:rPr>
        <w:t xml:space="preserve">; House of Commons Justice Committee, 2023). Ultimately, this essay contends that without meaningful structural and cultural transformation, encompassing greater accountability, adequate resourcing and the embedding of trauma-informed practice, </w:t>
      </w:r>
      <w:r w:rsidR="00844FB8" w:rsidRPr="00844FB8">
        <w:rPr>
          <w:rFonts w:ascii="Arial" w:hAnsi="Arial" w:cs="Arial"/>
          <w:color w:val="000000"/>
        </w:rPr>
        <w:t>the criminal justice system risks continuing to reproduce, rather than meaningfully address, existing inequalities (Gill et al., 2022), raising questions about whether victim-centred justice has been realised in practice or remains largely rhetorical.</w:t>
      </w:r>
    </w:p>
    <w:p w14:paraId="602C98BA" w14:textId="00F523D3" w:rsidR="00157CD9" w:rsidRPr="00844FB8" w:rsidRDefault="00157CD9" w:rsidP="00844FB8">
      <w:pPr>
        <w:pStyle w:val="NormalWeb"/>
        <w:spacing w:line="360" w:lineRule="auto"/>
        <w:rPr>
          <w:rFonts w:ascii="Arial" w:hAnsi="Arial" w:cs="Arial"/>
          <w:color w:val="000000"/>
        </w:rPr>
      </w:pPr>
      <w:r w:rsidRPr="00844FB8">
        <w:rPr>
          <w:rFonts w:ascii="Arial" w:hAnsi="Arial" w:cs="Arial"/>
          <w:color w:val="000000"/>
        </w:rPr>
        <w:t>The concept of vulnerability within the criminal justice system (CJS) is widely recognised as complex and contested, with no single universally accepted definition (</w:t>
      </w:r>
      <w:proofErr w:type="spellStart"/>
      <w:r w:rsidRPr="00844FB8">
        <w:rPr>
          <w:rFonts w:ascii="Arial" w:hAnsi="Arial" w:cs="Arial"/>
          <w:color w:val="000000"/>
        </w:rPr>
        <w:t>Spalek</w:t>
      </w:r>
      <w:proofErr w:type="spellEnd"/>
      <w:r w:rsidRPr="00844FB8">
        <w:rPr>
          <w:rFonts w:ascii="Arial" w:hAnsi="Arial" w:cs="Arial"/>
          <w:color w:val="000000"/>
        </w:rPr>
        <w:t>, 2017; Duggan, 2020). While legal and policy frameworks often attempt to categorise vulnerability through identifiable characteristics, such as age, disability, or the nature of the offence, academic literature increasingly emphasises that vulnerability should be understood as a dynamic and socially constructed condition rather than a fixed individual trait (</w:t>
      </w:r>
      <w:proofErr w:type="spellStart"/>
      <w:r w:rsidRPr="00844FB8">
        <w:rPr>
          <w:rFonts w:ascii="Arial" w:hAnsi="Arial" w:cs="Arial"/>
          <w:color w:val="000000"/>
        </w:rPr>
        <w:t>Walklate</w:t>
      </w:r>
      <w:proofErr w:type="spellEnd"/>
      <w:r w:rsidRPr="00844FB8">
        <w:rPr>
          <w:rFonts w:ascii="Arial" w:hAnsi="Arial" w:cs="Arial"/>
          <w:color w:val="000000"/>
        </w:rPr>
        <w:t xml:space="preserve">, 2011; Burton et al, 2021). </w:t>
      </w:r>
      <w:r w:rsidR="00844FB8" w:rsidRPr="00844FB8">
        <w:rPr>
          <w:rFonts w:ascii="Arial" w:hAnsi="Arial" w:cs="Arial"/>
          <w:color w:val="000000"/>
        </w:rPr>
        <w:t xml:space="preserve">This shifts the focus from individual deficits to structural and institutional contexts shaping victim experiences, thereby raising critical questions about whether legal frameworks </w:t>
      </w:r>
      <w:r w:rsidR="00844FB8" w:rsidRPr="00844FB8">
        <w:rPr>
          <w:rFonts w:ascii="Arial" w:hAnsi="Arial" w:cs="Arial"/>
          <w:color w:val="000000"/>
        </w:rPr>
        <w:lastRenderedPageBreak/>
        <w:t>grounded in individualised assessments are capable of effectively addressing systemic inequality.</w:t>
      </w:r>
    </w:p>
    <w:p w14:paraId="7DD88938" w14:textId="11AC0A96" w:rsidR="00157CD9" w:rsidRPr="00D9207B" w:rsidRDefault="00157CD9" w:rsidP="00D9207B">
      <w:pPr>
        <w:pStyle w:val="NormalWeb"/>
        <w:spacing w:line="360" w:lineRule="auto"/>
        <w:rPr>
          <w:rFonts w:ascii="Arial" w:hAnsi="Arial" w:cs="Arial"/>
          <w:color w:val="000000"/>
        </w:rPr>
      </w:pPr>
      <w:r w:rsidRPr="00D9207B">
        <w:rPr>
          <w:rFonts w:ascii="Arial" w:hAnsi="Arial" w:cs="Arial"/>
          <w:color w:val="000000"/>
        </w:rPr>
        <w:t xml:space="preserve">At a policy level, vulnerability is frequently operationalised in terms of an individual’s ability to participate effectively in criminal justice processes, particularly in giving evidence during investigations and trials (Ministry of Justice, 2020). However, such definitions have been criticised for being narrowly procedural, prioritising courtroom functionality over the broader lived experiences of victims (Roberts, 2015). By focusing primarily on evidential capacity, these frameworks risk overlooking the cumulative social, </w:t>
      </w:r>
      <w:proofErr w:type="gramStart"/>
      <w:r w:rsidRPr="00D9207B">
        <w:rPr>
          <w:rFonts w:ascii="Arial" w:hAnsi="Arial" w:cs="Arial"/>
          <w:color w:val="000000"/>
        </w:rPr>
        <w:t>economic</w:t>
      </w:r>
      <w:proofErr w:type="gramEnd"/>
      <w:r w:rsidRPr="00D9207B">
        <w:rPr>
          <w:rFonts w:ascii="Arial" w:hAnsi="Arial" w:cs="Arial"/>
          <w:color w:val="000000"/>
        </w:rPr>
        <w:t xml:space="preserve"> and psychological factors that may inhibit victim engagement long before a case reaches court. As a result, </w:t>
      </w:r>
      <w:r w:rsidR="00D9207B" w:rsidRPr="00D9207B">
        <w:rPr>
          <w:rFonts w:ascii="Arial" w:hAnsi="Arial" w:cs="Arial"/>
          <w:color w:val="000000"/>
        </w:rPr>
        <w:t xml:space="preserve">vulnerability is often recognised only at later stages of the justice process, limiting the effectiveness of early </w:t>
      </w:r>
      <w:proofErr w:type="gramStart"/>
      <w:r w:rsidR="00D9207B" w:rsidRPr="00D9207B">
        <w:rPr>
          <w:rFonts w:ascii="Arial" w:hAnsi="Arial" w:cs="Arial"/>
          <w:color w:val="000000"/>
        </w:rPr>
        <w:t>intervention</w:t>
      </w:r>
      <w:proofErr w:type="gramEnd"/>
      <w:r w:rsidR="00D9207B" w:rsidRPr="00D9207B">
        <w:rPr>
          <w:rFonts w:ascii="Arial" w:hAnsi="Arial" w:cs="Arial"/>
          <w:color w:val="000000"/>
        </w:rPr>
        <w:t xml:space="preserve"> and reinforcing patterns of exclusion (Roberts, 2015).</w:t>
      </w:r>
    </w:p>
    <w:p w14:paraId="1B0770DE" w14:textId="4F9B53AC" w:rsidR="00157CD9" w:rsidRPr="00157CD9" w:rsidRDefault="00157CD9" w:rsidP="00157CD9">
      <w:pPr>
        <w:pStyle w:val="NormalWeb"/>
        <w:spacing w:line="360" w:lineRule="auto"/>
        <w:rPr>
          <w:rFonts w:ascii="Arial" w:hAnsi="Arial" w:cs="Arial"/>
          <w:color w:val="000000"/>
        </w:rPr>
      </w:pPr>
      <w:r w:rsidRPr="00157CD9">
        <w:rPr>
          <w:rFonts w:ascii="Arial" w:hAnsi="Arial" w:cs="Arial"/>
          <w:color w:val="000000"/>
        </w:rPr>
        <w:t xml:space="preserve">A key theoretical framework underpinning the analysis of vulnerability is Christie’s (1986) concept of the “ideal victim,” which highlights how societal expectations shape perceptions of victim legitimacy. According to this framework, individuals who are perceived as weak, </w:t>
      </w:r>
      <w:proofErr w:type="gramStart"/>
      <w:r w:rsidRPr="00157CD9">
        <w:rPr>
          <w:rFonts w:ascii="Arial" w:hAnsi="Arial" w:cs="Arial"/>
          <w:color w:val="000000"/>
        </w:rPr>
        <w:t>innocent</w:t>
      </w:r>
      <w:proofErr w:type="gramEnd"/>
      <w:r w:rsidRPr="00157CD9">
        <w:rPr>
          <w:rFonts w:ascii="Arial" w:hAnsi="Arial" w:cs="Arial"/>
          <w:color w:val="000000"/>
        </w:rPr>
        <w:t xml:space="preserve"> and blameless are more likely to be recognised as genuine victims, while those who deviate from these norms may be viewed with suspicion. Contemporary research suggests that this distinction continues to influence criminal justice responses, with victims who have complex needs, such as substance misuse issues, prior offending histories, or unstable living conditions, often receiving less sympathetic treatment (McMillan, 2018; </w:t>
      </w:r>
      <w:proofErr w:type="spellStart"/>
      <w:r w:rsidRPr="00157CD9">
        <w:rPr>
          <w:rFonts w:ascii="Arial" w:hAnsi="Arial" w:cs="Arial"/>
          <w:color w:val="000000"/>
        </w:rPr>
        <w:t>Sleath</w:t>
      </w:r>
      <w:proofErr w:type="spellEnd"/>
      <w:r w:rsidRPr="00157CD9">
        <w:rPr>
          <w:rFonts w:ascii="Arial" w:hAnsi="Arial" w:cs="Arial"/>
          <w:color w:val="000000"/>
        </w:rPr>
        <w:t xml:space="preserve"> and Bull, 2017). This demonstrates that vulnerability is not simply about need, but also about social recognition and credibility, both of which significantly impact access to justice.</w:t>
      </w:r>
    </w:p>
    <w:p w14:paraId="5840B956" w14:textId="74D18E4D" w:rsidR="00157CD9" w:rsidRPr="00157CD9" w:rsidRDefault="00157CD9" w:rsidP="00157CD9">
      <w:pPr>
        <w:pStyle w:val="NormalWeb"/>
        <w:spacing w:line="360" w:lineRule="auto"/>
        <w:rPr>
          <w:rFonts w:ascii="Arial" w:hAnsi="Arial" w:cs="Arial"/>
          <w:color w:val="000000"/>
        </w:rPr>
      </w:pPr>
      <w:r w:rsidRPr="00157CD9">
        <w:rPr>
          <w:rFonts w:ascii="Arial" w:hAnsi="Arial" w:cs="Arial"/>
          <w:color w:val="000000"/>
        </w:rPr>
        <w:t xml:space="preserve">Feminist criminological perspectives further highlight the gendered nature of vulnerability, particularly in relation to domestic abuse and sexual violence. Heidensohn and Silvestri (2012) argue that women’s victimisation is shaped by entrenched power imbalances and societal norms, which are often reproduced within criminal justice institutions. For example, victims of sexual violence frequently encounter scepticism and victim-blaming attitudes, which can discourage reporting and contribute to high attrition rates in such cases (Kelly et al, 2005; </w:t>
      </w:r>
      <w:proofErr w:type="spellStart"/>
      <w:r w:rsidRPr="00157CD9">
        <w:rPr>
          <w:rFonts w:ascii="Arial" w:hAnsi="Arial" w:cs="Arial"/>
          <w:color w:val="000000"/>
        </w:rPr>
        <w:t>Hohl</w:t>
      </w:r>
      <w:proofErr w:type="spellEnd"/>
      <w:r w:rsidRPr="00157CD9">
        <w:rPr>
          <w:rFonts w:ascii="Arial" w:hAnsi="Arial" w:cs="Arial"/>
          <w:color w:val="000000"/>
        </w:rPr>
        <w:t xml:space="preserve"> and Stanko, 2015). These dynamics illustrate how institutional practices may reinforce, </w:t>
      </w:r>
      <w:r w:rsidRPr="00157CD9">
        <w:rPr>
          <w:rFonts w:ascii="Arial" w:hAnsi="Arial" w:cs="Arial"/>
          <w:color w:val="000000"/>
        </w:rPr>
        <w:lastRenderedPageBreak/>
        <w:t>rather than challenge, existing inequalities, particularly for victims whose experiences do not align with dominant narratives of victimhood.</w:t>
      </w:r>
    </w:p>
    <w:p w14:paraId="2C8414C1" w14:textId="3441DBAB" w:rsidR="00157CD9" w:rsidRPr="00157CD9" w:rsidRDefault="00157CD9" w:rsidP="00157CD9">
      <w:pPr>
        <w:pStyle w:val="NormalWeb"/>
        <w:spacing w:line="360" w:lineRule="auto"/>
        <w:rPr>
          <w:rFonts w:ascii="Arial" w:hAnsi="Arial" w:cs="Arial"/>
          <w:color w:val="000000"/>
        </w:rPr>
      </w:pPr>
      <w:r w:rsidRPr="00157CD9">
        <w:rPr>
          <w:rFonts w:ascii="Arial" w:hAnsi="Arial" w:cs="Arial"/>
          <w:color w:val="000000"/>
        </w:rPr>
        <w:t xml:space="preserve">Intersectionality provides an additional layer of analysis by examining how overlapping social identities, such as race, gender, </w:t>
      </w:r>
      <w:proofErr w:type="gramStart"/>
      <w:r w:rsidRPr="00157CD9">
        <w:rPr>
          <w:rFonts w:ascii="Arial" w:hAnsi="Arial" w:cs="Arial"/>
          <w:color w:val="000000"/>
        </w:rPr>
        <w:t>class</w:t>
      </w:r>
      <w:proofErr w:type="gramEnd"/>
      <w:r w:rsidRPr="00157CD9">
        <w:rPr>
          <w:rFonts w:ascii="Arial" w:hAnsi="Arial" w:cs="Arial"/>
          <w:color w:val="000000"/>
        </w:rPr>
        <w:t xml:space="preserve"> and immigration status, interact to shape experiences of vulnerability (Crenshaw, 1989). Research demonstrates that individuals from marginalised backgrounds often face compounded barriers within the CJS, including language difficulties, cultural </w:t>
      </w:r>
      <w:proofErr w:type="gramStart"/>
      <w:r w:rsidRPr="00157CD9">
        <w:rPr>
          <w:rFonts w:ascii="Arial" w:hAnsi="Arial" w:cs="Arial"/>
          <w:color w:val="000000"/>
        </w:rPr>
        <w:t>stigma</w:t>
      </w:r>
      <w:proofErr w:type="gramEnd"/>
      <w:r w:rsidRPr="00157CD9">
        <w:rPr>
          <w:rFonts w:ascii="Arial" w:hAnsi="Arial" w:cs="Arial"/>
          <w:color w:val="000000"/>
        </w:rPr>
        <w:t xml:space="preserve"> and mistrust of authorities (</w:t>
      </w:r>
      <w:proofErr w:type="spellStart"/>
      <w:r w:rsidRPr="00157CD9">
        <w:rPr>
          <w:rFonts w:ascii="Arial" w:hAnsi="Arial" w:cs="Arial"/>
          <w:color w:val="000000"/>
        </w:rPr>
        <w:t>Erez</w:t>
      </w:r>
      <w:proofErr w:type="spellEnd"/>
      <w:r w:rsidRPr="00157CD9">
        <w:rPr>
          <w:rFonts w:ascii="Arial" w:hAnsi="Arial" w:cs="Arial"/>
          <w:color w:val="000000"/>
        </w:rPr>
        <w:t xml:space="preserve"> and Bosworth, 2003; </w:t>
      </w:r>
      <w:proofErr w:type="spellStart"/>
      <w:r w:rsidRPr="00157CD9">
        <w:rPr>
          <w:rFonts w:ascii="Arial" w:hAnsi="Arial" w:cs="Arial"/>
          <w:color w:val="000000"/>
        </w:rPr>
        <w:t>Chantler</w:t>
      </w:r>
      <w:proofErr w:type="spellEnd"/>
      <w:r w:rsidRPr="00157CD9">
        <w:rPr>
          <w:rFonts w:ascii="Arial" w:hAnsi="Arial" w:cs="Arial"/>
          <w:color w:val="000000"/>
        </w:rPr>
        <w:t xml:space="preserve"> and </w:t>
      </w:r>
      <w:proofErr w:type="spellStart"/>
      <w:r w:rsidRPr="00157CD9">
        <w:rPr>
          <w:rFonts w:ascii="Arial" w:hAnsi="Arial" w:cs="Arial"/>
          <w:color w:val="000000"/>
        </w:rPr>
        <w:t>Gangoli</w:t>
      </w:r>
      <w:proofErr w:type="spellEnd"/>
      <w:r w:rsidRPr="00157CD9">
        <w:rPr>
          <w:rFonts w:ascii="Arial" w:hAnsi="Arial" w:cs="Arial"/>
          <w:color w:val="000000"/>
        </w:rPr>
        <w:t>, 2011). For example, migrant victims of domestic abuse may be reluctant to engage with the criminal justice system due to fears surrounding immigration enforcement. This concern is evidenced by the super-complaint submitted by Liberty and Southall Black Sisters, which highlighted how data-sharing practices between police and immigration authorities created a significant “chilling effect” on reporting among migrant victims (HMICFRS, 2020). The investigation found that victims were often deterred from seeking help due to fears of deportation or legal repercussions, demonstrating how institutional practices can actively undermine victim engagement. Similarly, ethnic minority victims may perceive policing practices as discriminatory, further eroding trust in law enforcement and reducing willingness to report offences. These findings highlight the limitations of one-size-fits-all approaches to victim support, emphasising the need for more nuanced and culturally competent responses.</w:t>
      </w:r>
    </w:p>
    <w:p w14:paraId="5B44D9B2" w14:textId="77777777" w:rsidR="00157CD9" w:rsidRDefault="00157CD9" w:rsidP="00157CD9">
      <w:pPr>
        <w:pStyle w:val="NormalWeb"/>
        <w:spacing w:line="360" w:lineRule="auto"/>
        <w:rPr>
          <w:rFonts w:ascii="Arial" w:hAnsi="Arial" w:cs="Arial"/>
          <w:color w:val="000000"/>
        </w:rPr>
      </w:pPr>
      <w:r w:rsidRPr="00157CD9">
        <w:rPr>
          <w:rFonts w:ascii="Arial" w:hAnsi="Arial" w:cs="Arial"/>
          <w:color w:val="000000"/>
        </w:rPr>
        <w:t xml:space="preserve">In addition to structural and social factors, vulnerability is also shaped by the psychological impact of victimisation itself. Trauma can significantly affect memory, </w:t>
      </w:r>
      <w:proofErr w:type="gramStart"/>
      <w:r w:rsidRPr="00157CD9">
        <w:rPr>
          <w:rFonts w:ascii="Arial" w:hAnsi="Arial" w:cs="Arial"/>
          <w:color w:val="000000"/>
        </w:rPr>
        <w:t>communication</w:t>
      </w:r>
      <w:proofErr w:type="gramEnd"/>
      <w:r w:rsidRPr="00157CD9">
        <w:rPr>
          <w:rFonts w:ascii="Arial" w:hAnsi="Arial" w:cs="Arial"/>
          <w:color w:val="000000"/>
        </w:rPr>
        <w:t xml:space="preserve"> and decision-making, often resulting in fragmented or inconsistent accounts of events (Ellison and Munro, 2017). Within the adversarial framework of the criminal justice system, such inconsistencies may be interpreted as indicators of unreliability, thereby undermining victim credibility. This reflects a fundamental tension between legal expectations of rational, coherent testimony and the realities of trauma, further disadvantaging vulnerable victims within investigative and court processes.</w:t>
      </w:r>
    </w:p>
    <w:p w14:paraId="1C447484" w14:textId="728E61A5" w:rsidR="00157CD9" w:rsidRPr="00157CD9" w:rsidRDefault="00157CD9" w:rsidP="00157CD9">
      <w:pPr>
        <w:pStyle w:val="NormalWeb"/>
        <w:spacing w:line="360" w:lineRule="auto"/>
        <w:rPr>
          <w:rFonts w:ascii="Arial" w:hAnsi="Arial" w:cs="Arial"/>
          <w:color w:val="000000"/>
        </w:rPr>
      </w:pPr>
      <w:r w:rsidRPr="00157CD9">
        <w:rPr>
          <w:rFonts w:ascii="Arial" w:hAnsi="Arial" w:cs="Arial"/>
          <w:color w:val="000000"/>
        </w:rPr>
        <w:t xml:space="preserve">Critically, the criminal justice system does not merely respond to vulnerability but can actively produce and exacerbate it. The concept of secondary victimisation refers to </w:t>
      </w:r>
      <w:r w:rsidRPr="00157CD9">
        <w:rPr>
          <w:rFonts w:ascii="Arial" w:hAnsi="Arial" w:cs="Arial"/>
          <w:color w:val="000000"/>
        </w:rPr>
        <w:lastRenderedPageBreak/>
        <w:t xml:space="preserve">the additional harm experienced by victims </w:t>
      </w:r>
      <w:proofErr w:type="gramStart"/>
      <w:r w:rsidRPr="00157CD9">
        <w:rPr>
          <w:rFonts w:ascii="Arial" w:hAnsi="Arial" w:cs="Arial"/>
          <w:color w:val="000000"/>
        </w:rPr>
        <w:t>as a result of</w:t>
      </w:r>
      <w:proofErr w:type="gramEnd"/>
      <w:r w:rsidRPr="00157CD9">
        <w:rPr>
          <w:rFonts w:ascii="Arial" w:hAnsi="Arial" w:cs="Arial"/>
          <w:color w:val="000000"/>
        </w:rPr>
        <w:t xml:space="preserve"> their interactions with criminal justice agencies, including dismissive attitudes, lack of communication, and procedural delays (Campbell, 2005). Empirical studies have shown that negative experiences with police and courts can lead to feelings of re-traumatisation, </w:t>
      </w:r>
      <w:proofErr w:type="gramStart"/>
      <w:r w:rsidRPr="00157CD9">
        <w:rPr>
          <w:rFonts w:ascii="Arial" w:hAnsi="Arial" w:cs="Arial"/>
          <w:color w:val="000000"/>
        </w:rPr>
        <w:t>disengagement</w:t>
      </w:r>
      <w:proofErr w:type="gramEnd"/>
      <w:r w:rsidRPr="00157CD9">
        <w:rPr>
          <w:rFonts w:ascii="Arial" w:hAnsi="Arial" w:cs="Arial"/>
          <w:color w:val="000000"/>
        </w:rPr>
        <w:t xml:space="preserve"> and loss of trust in the justice system (Orth, 2002). This reinforces the argument that vulnerability is not solely an individual condition but is shaped and often intensified by institutional practices and systemic failures.</w:t>
      </w:r>
    </w:p>
    <w:p w14:paraId="5C7312E8" w14:textId="77777777" w:rsidR="00157CD9" w:rsidRDefault="00157CD9" w:rsidP="00157CD9">
      <w:pPr>
        <w:pStyle w:val="NormalWeb"/>
        <w:spacing w:line="360" w:lineRule="auto"/>
        <w:rPr>
          <w:rFonts w:ascii="Arial" w:hAnsi="Arial" w:cs="Arial"/>
          <w:color w:val="000000"/>
        </w:rPr>
      </w:pPr>
      <w:r w:rsidRPr="00157CD9">
        <w:rPr>
          <w:rFonts w:ascii="Arial" w:hAnsi="Arial" w:cs="Arial"/>
          <w:color w:val="000000"/>
        </w:rPr>
        <w:t xml:space="preserve">Overall, conceptualising vulnerability within the criminal justice system requires a multidimensional approach that integrates legal definitions, theoretical </w:t>
      </w:r>
      <w:proofErr w:type="gramStart"/>
      <w:r w:rsidRPr="00157CD9">
        <w:rPr>
          <w:rFonts w:ascii="Arial" w:hAnsi="Arial" w:cs="Arial"/>
          <w:color w:val="000000"/>
        </w:rPr>
        <w:t>frameworks</w:t>
      </w:r>
      <w:proofErr w:type="gramEnd"/>
      <w:r w:rsidRPr="00157CD9">
        <w:rPr>
          <w:rFonts w:ascii="Arial" w:hAnsi="Arial" w:cs="Arial"/>
          <w:color w:val="000000"/>
        </w:rPr>
        <w:t xml:space="preserve"> and empirical evidence. Rather than viewing vulnerability as an inherent characteristic, it is more accurately understood as a dynamic and socially constructed condition, shaped by the interaction between individuals and institutional processes (</w:t>
      </w:r>
      <w:proofErr w:type="spellStart"/>
      <w:r w:rsidRPr="00157CD9">
        <w:rPr>
          <w:rFonts w:ascii="Arial" w:hAnsi="Arial" w:cs="Arial"/>
          <w:color w:val="000000"/>
        </w:rPr>
        <w:t>Walklate</w:t>
      </w:r>
      <w:proofErr w:type="spellEnd"/>
      <w:r w:rsidRPr="00157CD9">
        <w:rPr>
          <w:rFonts w:ascii="Arial" w:hAnsi="Arial" w:cs="Arial"/>
          <w:color w:val="000000"/>
        </w:rPr>
        <w:t xml:space="preserve">, 2011; </w:t>
      </w:r>
      <w:proofErr w:type="spellStart"/>
      <w:r w:rsidRPr="00157CD9">
        <w:rPr>
          <w:rFonts w:ascii="Arial" w:hAnsi="Arial" w:cs="Arial"/>
          <w:color w:val="000000"/>
        </w:rPr>
        <w:t>Spalek</w:t>
      </w:r>
      <w:proofErr w:type="spellEnd"/>
      <w:r w:rsidRPr="00157CD9">
        <w:rPr>
          <w:rFonts w:ascii="Arial" w:hAnsi="Arial" w:cs="Arial"/>
          <w:color w:val="000000"/>
        </w:rPr>
        <w:t>, 2017). This perspective is essential for critically evaluating the difficulties faced by vulnerable victims, as it highlights the extent to which these challenges are embedded within the structures and practices of the criminal justice system itself.</w:t>
      </w:r>
    </w:p>
    <w:p w14:paraId="025BFE07" w14:textId="18B71515" w:rsidR="00157CD9" w:rsidRPr="00D9207B" w:rsidRDefault="00157CD9" w:rsidP="00D9207B">
      <w:pPr>
        <w:pStyle w:val="NormalWeb"/>
        <w:spacing w:line="360" w:lineRule="auto"/>
        <w:rPr>
          <w:rFonts w:ascii="Arial" w:hAnsi="Arial" w:cs="Arial"/>
          <w:color w:val="000000"/>
        </w:rPr>
      </w:pPr>
      <w:r w:rsidRPr="00D9207B">
        <w:rPr>
          <w:rFonts w:ascii="Arial" w:hAnsi="Arial" w:cs="Arial"/>
          <w:color w:val="000000"/>
        </w:rPr>
        <w:t xml:space="preserve">Barriers to reporting crime represent one of the most significant challenges faced by vulnerable victims (CJS), often preventing individuals from accessing justice altogether (Victims’ Commissioner, 2025). Despite policy commitments to encourage victim engagement, a substantial proportion of crimes, particularly those involving domestic abuse, sexual violence and hate crime remain unreported (Office for National Statistics (ONS), 2024). </w:t>
      </w:r>
      <w:r w:rsidR="00D9207B" w:rsidRPr="00D9207B">
        <w:rPr>
          <w:rFonts w:ascii="Arial" w:hAnsi="Arial" w:cs="Arial"/>
          <w:color w:val="000000"/>
        </w:rPr>
        <w:t>This underreporting reflects structural and institutional barriers affecting vulnerable groups (</w:t>
      </w:r>
      <w:r w:rsidRPr="00D9207B">
        <w:rPr>
          <w:rFonts w:ascii="Arial" w:hAnsi="Arial" w:cs="Arial"/>
          <w:color w:val="000000"/>
        </w:rPr>
        <w:t>Tackling Hate, 2023).</w:t>
      </w:r>
    </w:p>
    <w:p w14:paraId="53F888A0" w14:textId="740C3EA6" w:rsidR="00157CD9" w:rsidRPr="00844FB8" w:rsidRDefault="00157CD9" w:rsidP="00844FB8">
      <w:pPr>
        <w:pStyle w:val="NormalWeb"/>
        <w:spacing w:line="360" w:lineRule="auto"/>
        <w:rPr>
          <w:rFonts w:ascii="Arial" w:hAnsi="Arial" w:cs="Arial"/>
          <w:color w:val="000000"/>
        </w:rPr>
      </w:pPr>
      <w:r w:rsidRPr="00844FB8">
        <w:rPr>
          <w:rFonts w:ascii="Arial" w:hAnsi="Arial" w:cs="Arial"/>
          <w:color w:val="000000"/>
        </w:rPr>
        <w:t xml:space="preserve">In line with </w:t>
      </w:r>
      <w:proofErr w:type="spellStart"/>
      <w:r w:rsidRPr="00844FB8">
        <w:rPr>
          <w:rFonts w:ascii="Arial" w:hAnsi="Arial" w:cs="Arial"/>
          <w:color w:val="000000"/>
        </w:rPr>
        <w:t>Wieberneit</w:t>
      </w:r>
      <w:proofErr w:type="spellEnd"/>
      <w:r w:rsidRPr="00844FB8">
        <w:rPr>
          <w:rFonts w:ascii="Arial" w:hAnsi="Arial" w:cs="Arial"/>
          <w:color w:val="000000"/>
        </w:rPr>
        <w:t xml:space="preserve"> et al (2024) a key factor influencing reporting behaviour is a lack of trust in criminal justice institutions</w:t>
      </w:r>
      <w:r w:rsidR="00844FB8" w:rsidRPr="00844FB8">
        <w:rPr>
          <w:rFonts w:ascii="Arial" w:hAnsi="Arial" w:cs="Arial"/>
          <w:color w:val="000000"/>
        </w:rPr>
        <w:t>, however, this should not be understood as a failure of victim engagement, but as a rational response to perceived institutional ineffectiveness</w:t>
      </w:r>
      <w:r w:rsidRPr="00844FB8">
        <w:rPr>
          <w:rFonts w:ascii="Arial" w:hAnsi="Arial" w:cs="Arial"/>
          <w:color w:val="000000"/>
        </w:rPr>
        <w:t xml:space="preserve">. Research consistently demonstrates that victims are less likely to report crimes if they perceive the system as ineffective, </w:t>
      </w:r>
      <w:proofErr w:type="gramStart"/>
      <w:r w:rsidRPr="00844FB8">
        <w:rPr>
          <w:rFonts w:ascii="Arial" w:hAnsi="Arial" w:cs="Arial"/>
          <w:color w:val="000000"/>
        </w:rPr>
        <w:t>unsupportive</w:t>
      </w:r>
      <w:proofErr w:type="gramEnd"/>
      <w:r w:rsidRPr="00844FB8">
        <w:rPr>
          <w:rFonts w:ascii="Arial" w:hAnsi="Arial" w:cs="Arial"/>
          <w:color w:val="000000"/>
        </w:rPr>
        <w:t xml:space="preserve"> or biased (College of Policing, 2021). This is particularly evident among marginalised communities, where historical experiences of discrimination and over-policing contribute to scepticism towards law enforcement. For example, according to Independent Office for Police Conduct (IOPC) (2024), ethnic minority individuals may </w:t>
      </w:r>
      <w:r w:rsidRPr="00844FB8">
        <w:rPr>
          <w:rFonts w:ascii="Arial" w:hAnsi="Arial" w:cs="Arial"/>
          <w:color w:val="000000"/>
        </w:rPr>
        <w:lastRenderedPageBreak/>
        <w:t>be less willing to engage with police due to concerns about unfair treatment or previous negative encounters, highlighting how institutional legitimacy directly shapes reporting decisions. This aligns with broader evidence suggesting that perceptions of procedural unfairness undermine public confidence and reduce cooperation with the police.</w:t>
      </w:r>
    </w:p>
    <w:p w14:paraId="1D12EB0E" w14:textId="77777777" w:rsidR="00157CD9" w:rsidRPr="00157CD9" w:rsidRDefault="00157CD9" w:rsidP="00157CD9">
      <w:pPr>
        <w:pStyle w:val="NormalWeb"/>
        <w:spacing w:line="360" w:lineRule="auto"/>
        <w:rPr>
          <w:rFonts w:ascii="Arial" w:hAnsi="Arial" w:cs="Arial"/>
          <w:color w:val="000000"/>
        </w:rPr>
      </w:pPr>
      <w:r w:rsidRPr="00157CD9">
        <w:rPr>
          <w:rFonts w:ascii="Arial" w:hAnsi="Arial" w:cs="Arial"/>
          <w:color w:val="000000"/>
        </w:rPr>
        <w:t>Fear of repercussions also plays a significant role in deterring reporting, particularly for victims whose circumstances create additional vulnerabilities. Victims of domestic abuse may fear retaliation from perpetrators, especially in cases involving coercive control or ongoing dependency (</w:t>
      </w:r>
      <w:proofErr w:type="spellStart"/>
      <w:r w:rsidRPr="00157CD9">
        <w:rPr>
          <w:rFonts w:ascii="Arial" w:hAnsi="Arial" w:cs="Arial"/>
          <w:color w:val="000000"/>
        </w:rPr>
        <w:t>SafeLives</w:t>
      </w:r>
      <w:proofErr w:type="spellEnd"/>
      <w:r w:rsidRPr="00157CD9">
        <w:rPr>
          <w:rFonts w:ascii="Arial" w:hAnsi="Arial" w:cs="Arial"/>
          <w:color w:val="000000"/>
        </w:rPr>
        <w:t>, 2022). Similarly, individuals with insecure immigration status may avoid reporting crimes due to concerns about information sharing between police and immigration authorities, which can result in detention or deportation. Recent policy debates have highlighted how such practices create a “deterrent effect,” effectively excluding some of the most vulnerable victims from accessing justice (Migration Observatory, 2023). These findings demonstrate that the decision to report is often shaped by rational assessments of risk rather than a lack of willingness to seek justice.</w:t>
      </w:r>
    </w:p>
    <w:p w14:paraId="6A1D1DC4" w14:textId="73D57840" w:rsidR="00157CD9" w:rsidRPr="00844FB8" w:rsidRDefault="00157CD9" w:rsidP="00D9207B">
      <w:pPr>
        <w:pStyle w:val="NormalWeb"/>
        <w:spacing w:line="360" w:lineRule="auto"/>
        <w:rPr>
          <w:rFonts w:ascii="Arial" w:hAnsi="Arial" w:cs="Arial"/>
          <w:color w:val="000000"/>
        </w:rPr>
      </w:pPr>
      <w:r w:rsidRPr="00844FB8">
        <w:rPr>
          <w:rFonts w:ascii="Arial" w:hAnsi="Arial" w:cs="Arial"/>
          <w:color w:val="000000"/>
        </w:rPr>
        <w:t xml:space="preserve">Practical and structural barriers further compound these challenges. Accessibility issues, including language barriers, lack of disability support and limited availability of culturally appropriate services, can significantly hinder victims’ ability to report offences (Victims’ Commissioner, 2024). In addition, increasing reliance on digital reporting mechanisms may inadvertently exclude individuals who lack access to technology or digital literacy, particularly older adults and those experiencing socioeconomic disadvantage (Justice, 2018). </w:t>
      </w:r>
      <w:r w:rsidR="00844FB8" w:rsidRPr="00844FB8">
        <w:rPr>
          <w:rFonts w:ascii="Arial" w:hAnsi="Arial" w:cs="Arial"/>
          <w:color w:val="000000"/>
        </w:rPr>
        <w:t>These barriers illustrate how inequalities are embedded within reporting processes</w:t>
      </w:r>
      <w:r w:rsidRPr="00844FB8">
        <w:rPr>
          <w:rFonts w:ascii="Arial" w:hAnsi="Arial" w:cs="Arial"/>
          <w:color w:val="000000"/>
        </w:rPr>
        <w:t>.</w:t>
      </w:r>
      <w:r w:rsidR="00D9207B" w:rsidRPr="00844FB8">
        <w:rPr>
          <w:rFonts w:ascii="Arial" w:hAnsi="Arial" w:cs="Arial"/>
          <w:color w:val="000000"/>
        </w:rPr>
        <w:t xml:space="preserve"> This suggests that underreporting is not simply a failure of victim engagement, but an indicator of systemic barriers embedded within the structure of the criminal justice system itself.</w:t>
      </w:r>
    </w:p>
    <w:p w14:paraId="7A0A2FAF" w14:textId="792CE0C4" w:rsidR="00157CD9" w:rsidRPr="00157CD9" w:rsidRDefault="00157CD9" w:rsidP="00157CD9">
      <w:pPr>
        <w:pStyle w:val="NormalWeb"/>
        <w:spacing w:line="360" w:lineRule="auto"/>
        <w:rPr>
          <w:rFonts w:ascii="Arial" w:hAnsi="Arial" w:cs="Arial"/>
          <w:color w:val="000000"/>
        </w:rPr>
      </w:pPr>
      <w:r w:rsidRPr="00157CD9">
        <w:rPr>
          <w:rFonts w:ascii="Arial" w:hAnsi="Arial" w:cs="Arial"/>
          <w:color w:val="000000"/>
        </w:rPr>
        <w:t xml:space="preserve">Another critical issue is the perceived seriousness and credibility of offences. Victims may be discouraged from reporting if they believe their experience will not be taken seriously or will not meet evidential thresholds required for investigation (Crown Prosecution Service (CPS), 2023). This is particularly relevant in cases of sexual violence, where concerns about being disbelieved or subjected to intrusive questioning can deter victims from coming forward (Cheatham, 2019). Recent </w:t>
      </w:r>
      <w:r w:rsidRPr="00157CD9">
        <w:rPr>
          <w:rFonts w:ascii="Arial" w:hAnsi="Arial" w:cs="Arial"/>
          <w:color w:val="000000"/>
        </w:rPr>
        <w:lastRenderedPageBreak/>
        <w:t>evidence indicates that many victims withdraw from the process at an early stage due to negative expectations of how they will be treated, suggesting that anticipated secondary victimisation is itself a barrier to reporting (</w:t>
      </w:r>
      <w:proofErr w:type="spellStart"/>
      <w:r w:rsidRPr="00157CD9">
        <w:rPr>
          <w:rFonts w:ascii="Arial" w:hAnsi="Arial" w:cs="Arial"/>
          <w:color w:val="000000"/>
        </w:rPr>
        <w:t>Gekoski</w:t>
      </w:r>
      <w:proofErr w:type="spellEnd"/>
      <w:r w:rsidRPr="00157CD9">
        <w:rPr>
          <w:rFonts w:ascii="Arial" w:hAnsi="Arial" w:cs="Arial"/>
          <w:color w:val="000000"/>
        </w:rPr>
        <w:t xml:space="preserve"> et al, 2026)</w:t>
      </w:r>
    </w:p>
    <w:p w14:paraId="2A937A72" w14:textId="4BCBBC1E" w:rsidR="00157CD9" w:rsidRPr="00157CD9" w:rsidRDefault="00157CD9" w:rsidP="00157CD9">
      <w:pPr>
        <w:pStyle w:val="NormalWeb"/>
        <w:spacing w:line="360" w:lineRule="auto"/>
        <w:rPr>
          <w:rFonts w:ascii="Arial" w:hAnsi="Arial" w:cs="Arial"/>
          <w:color w:val="000000"/>
        </w:rPr>
      </w:pPr>
      <w:r w:rsidRPr="00157CD9">
        <w:rPr>
          <w:rFonts w:ascii="Arial" w:hAnsi="Arial" w:cs="Arial"/>
          <w:color w:val="000000"/>
        </w:rPr>
        <w:t>Importantly, these barriers do not operate in isolation but interact in ways that intensify vulnerability. For example, a migrant woman experiencing domestic abuse may simultaneously face fear of deportation, language barriers and economic dependency, creating multiple disincentives to report (</w:t>
      </w:r>
      <w:proofErr w:type="spellStart"/>
      <w:r w:rsidRPr="00157CD9">
        <w:rPr>
          <w:rFonts w:ascii="Arial" w:hAnsi="Arial" w:cs="Arial"/>
          <w:color w:val="000000"/>
        </w:rPr>
        <w:t>Hulley</w:t>
      </w:r>
      <w:proofErr w:type="spellEnd"/>
      <w:r w:rsidRPr="00157CD9">
        <w:rPr>
          <w:rStyle w:val="apple-converted-space"/>
          <w:rFonts w:ascii="Arial" w:eastAsiaTheme="majorEastAsia" w:hAnsi="Arial" w:cs="Arial"/>
          <w:color w:val="000000"/>
        </w:rPr>
        <w:t> </w:t>
      </w:r>
      <w:r w:rsidRPr="00157CD9">
        <w:rPr>
          <w:rStyle w:val="Emphasis"/>
          <w:rFonts w:ascii="Arial" w:eastAsiaTheme="majorEastAsia" w:hAnsi="Arial" w:cs="Arial"/>
          <w:color w:val="000000"/>
        </w:rPr>
        <w:t>et al</w:t>
      </w:r>
      <w:r w:rsidRPr="00157CD9">
        <w:rPr>
          <w:rFonts w:ascii="Arial" w:hAnsi="Arial" w:cs="Arial"/>
          <w:color w:val="000000"/>
        </w:rPr>
        <w:t>, 2023; Scottish Government, 2024; UK Parliament, 2023b). This highlights the cumulative nature of disadvantage, reinforcing the argument that vulnerability must be understood through an intersectional lens (Yong, 2024; UN Women, 2019). The result is a significant “justice gap,” in which those most at risk of harm are often the least likely to access formal justice mechanisms (Femi-Ajao</w:t>
      </w:r>
      <w:r w:rsidRPr="00157CD9">
        <w:rPr>
          <w:rStyle w:val="apple-converted-space"/>
          <w:rFonts w:ascii="Arial" w:eastAsiaTheme="majorEastAsia" w:hAnsi="Arial" w:cs="Arial"/>
          <w:color w:val="000000"/>
        </w:rPr>
        <w:t> </w:t>
      </w:r>
      <w:r w:rsidRPr="00157CD9">
        <w:rPr>
          <w:rStyle w:val="Emphasis"/>
          <w:rFonts w:ascii="Arial" w:eastAsiaTheme="majorEastAsia" w:hAnsi="Arial" w:cs="Arial"/>
          <w:color w:val="000000"/>
        </w:rPr>
        <w:t>et al</w:t>
      </w:r>
      <w:r w:rsidRPr="00157CD9">
        <w:rPr>
          <w:rFonts w:ascii="Arial" w:hAnsi="Arial" w:cs="Arial"/>
          <w:color w:val="000000"/>
        </w:rPr>
        <w:t>, 2020; Women’s Aid, 2025).</w:t>
      </w:r>
    </w:p>
    <w:p w14:paraId="4BE84C30" w14:textId="227B8C87" w:rsidR="00844FB8" w:rsidRPr="00844FB8" w:rsidRDefault="00157CD9" w:rsidP="00844FB8">
      <w:pPr>
        <w:pStyle w:val="NormalWeb"/>
        <w:spacing w:line="360" w:lineRule="auto"/>
        <w:rPr>
          <w:rFonts w:ascii="Arial" w:hAnsi="Arial" w:cs="Arial"/>
          <w:color w:val="000000"/>
        </w:rPr>
      </w:pPr>
      <w:r w:rsidRPr="00844FB8">
        <w:rPr>
          <w:rFonts w:ascii="Arial" w:hAnsi="Arial" w:cs="Arial"/>
          <w:color w:val="000000"/>
        </w:rPr>
        <w:t xml:space="preserve">Overall, barriers to reporting reflect a fundamental tension within the criminal justice system: while policy frameworks emphasise victim engagement, the structural realities of inequality, mistrust and institutional practice continue to discourage participation among vulnerable groups (UK Government, 2025; Victims’ Commissioner, 2025). </w:t>
      </w:r>
      <w:r w:rsidR="00844FB8" w:rsidRPr="00844FB8">
        <w:rPr>
          <w:rFonts w:ascii="Arial" w:hAnsi="Arial" w:cs="Arial"/>
          <w:color w:val="000000"/>
        </w:rPr>
        <w:t>Addressing these barriers therefore requires more than procedural reform; it necessitates a fundamental reconfiguration of how justice institutions engage with vulnerabilit</w:t>
      </w:r>
      <w:r w:rsidR="00844FB8">
        <w:rPr>
          <w:rFonts w:ascii="Arial" w:hAnsi="Arial" w:cs="Arial"/>
          <w:color w:val="000000"/>
        </w:rPr>
        <w:t xml:space="preserve">y. </w:t>
      </w:r>
    </w:p>
    <w:p w14:paraId="60CF00A8" w14:textId="50F11610" w:rsidR="00157CD9" w:rsidRPr="00157CD9" w:rsidRDefault="00157CD9" w:rsidP="00157CD9">
      <w:pPr>
        <w:pStyle w:val="NormalWeb"/>
        <w:spacing w:line="360" w:lineRule="auto"/>
        <w:rPr>
          <w:rFonts w:ascii="Arial" w:hAnsi="Arial" w:cs="Arial"/>
          <w:color w:val="000000"/>
        </w:rPr>
      </w:pPr>
      <w:r w:rsidRPr="00157CD9">
        <w:rPr>
          <w:rFonts w:ascii="Arial" w:hAnsi="Arial" w:cs="Arial"/>
          <w:color w:val="000000"/>
        </w:rPr>
        <w:t xml:space="preserve">Following the initial decision to report a crime, the police response represents a critical stage in determining whether vulnerable victims </w:t>
      </w:r>
      <w:proofErr w:type="gramStart"/>
      <w:r w:rsidRPr="00157CD9">
        <w:rPr>
          <w:rFonts w:ascii="Arial" w:hAnsi="Arial" w:cs="Arial"/>
          <w:color w:val="000000"/>
        </w:rPr>
        <w:t>are able to</w:t>
      </w:r>
      <w:proofErr w:type="gramEnd"/>
      <w:r w:rsidRPr="00157CD9">
        <w:rPr>
          <w:rFonts w:ascii="Arial" w:hAnsi="Arial" w:cs="Arial"/>
          <w:color w:val="000000"/>
        </w:rPr>
        <w:t xml:space="preserve"> access justice (College of Policing, 2022; HMICFRS, 2023). While policy frameworks emphasise victim-centred policing, evidence suggests that investigative practices can reproduce inequalities through discretionary decision-making, credibility assessments and institutional cultures that disadvantage vulnerable individuals (McKee</w:t>
      </w:r>
      <w:r w:rsidRPr="00157CD9">
        <w:rPr>
          <w:rStyle w:val="apple-converted-space"/>
          <w:rFonts w:ascii="Arial" w:eastAsiaTheme="majorEastAsia" w:hAnsi="Arial" w:cs="Arial"/>
          <w:color w:val="000000"/>
        </w:rPr>
        <w:t> </w:t>
      </w:r>
      <w:r w:rsidRPr="00157CD9">
        <w:rPr>
          <w:rStyle w:val="Emphasis"/>
          <w:rFonts w:ascii="Arial" w:eastAsiaTheme="majorEastAsia" w:hAnsi="Arial" w:cs="Arial"/>
          <w:color w:val="000000"/>
        </w:rPr>
        <w:t>et al</w:t>
      </w:r>
      <w:r w:rsidRPr="00157CD9">
        <w:rPr>
          <w:rFonts w:ascii="Arial" w:hAnsi="Arial" w:cs="Arial"/>
          <w:color w:val="000000"/>
        </w:rPr>
        <w:t>., 2023; Long and Pemberton, 2020).</w:t>
      </w:r>
    </w:p>
    <w:p w14:paraId="14AA4D19" w14:textId="79469214" w:rsidR="00157CD9" w:rsidRPr="00D9207B" w:rsidRDefault="005E2CFB" w:rsidP="00D9207B">
      <w:pPr>
        <w:pStyle w:val="NormalWeb"/>
        <w:spacing w:line="360" w:lineRule="auto"/>
        <w:rPr>
          <w:rFonts w:ascii="Arial" w:hAnsi="Arial" w:cs="Arial"/>
          <w:color w:val="000000"/>
        </w:rPr>
      </w:pPr>
      <w:r w:rsidRPr="00D9207B">
        <w:rPr>
          <w:rFonts w:ascii="Arial" w:hAnsi="Arial" w:cs="Arial"/>
          <w:color w:val="000000"/>
        </w:rPr>
        <w:t xml:space="preserve">As stated by </w:t>
      </w:r>
      <w:proofErr w:type="spellStart"/>
      <w:r w:rsidRPr="00D9207B">
        <w:rPr>
          <w:rFonts w:ascii="Arial" w:hAnsi="Arial" w:cs="Arial"/>
          <w:color w:val="000000"/>
        </w:rPr>
        <w:t>Inzunza</w:t>
      </w:r>
      <w:proofErr w:type="spellEnd"/>
      <w:r w:rsidRPr="00D9207B">
        <w:rPr>
          <w:rFonts w:ascii="Arial" w:hAnsi="Arial" w:cs="Arial"/>
          <w:color w:val="000000"/>
        </w:rPr>
        <w:t xml:space="preserve"> (2022), a</w:t>
      </w:r>
      <w:r w:rsidR="00157CD9" w:rsidRPr="00D9207B">
        <w:rPr>
          <w:rFonts w:ascii="Arial" w:hAnsi="Arial" w:cs="Arial"/>
          <w:color w:val="000000"/>
        </w:rPr>
        <w:t xml:space="preserve"> central issue within police investigations is the assessment of victim credibility, </w:t>
      </w:r>
      <w:r w:rsidR="00D9207B" w:rsidRPr="00D9207B">
        <w:rPr>
          <w:rFonts w:ascii="Arial" w:hAnsi="Arial" w:cs="Arial"/>
          <w:color w:val="000000"/>
        </w:rPr>
        <w:t xml:space="preserve">which influences whether cases are pursued. </w:t>
      </w:r>
      <w:r w:rsidR="00157CD9" w:rsidRPr="00D9207B">
        <w:rPr>
          <w:rFonts w:ascii="Arial" w:hAnsi="Arial" w:cs="Arial"/>
          <w:color w:val="000000"/>
        </w:rPr>
        <w:t xml:space="preserve">Research indicates that police officers often rely on informal judgments about the reliability and believability of victims, particularly in cases lacking corroborative evidence (Crown Prosecution Service (CPS), 2023). </w:t>
      </w:r>
      <w:r w:rsidR="00D9207B" w:rsidRPr="00D9207B">
        <w:rPr>
          <w:rFonts w:ascii="Arial" w:hAnsi="Arial" w:cs="Arial"/>
          <w:color w:val="000000"/>
        </w:rPr>
        <w:t xml:space="preserve">These assessments are shaped </w:t>
      </w:r>
      <w:r w:rsidR="00D9207B" w:rsidRPr="00D9207B">
        <w:rPr>
          <w:rFonts w:ascii="Arial" w:hAnsi="Arial" w:cs="Arial"/>
          <w:color w:val="000000"/>
        </w:rPr>
        <w:lastRenderedPageBreak/>
        <w:t xml:space="preserve">by implicit biases and expectations of victim behaviour. </w:t>
      </w:r>
      <w:r w:rsidR="00157CD9" w:rsidRPr="00D9207B">
        <w:rPr>
          <w:rFonts w:ascii="Arial" w:hAnsi="Arial" w:cs="Arial"/>
          <w:color w:val="000000"/>
        </w:rPr>
        <w:t>As a result, victims who do not conform to normative expectations</w:t>
      </w:r>
      <w:r w:rsidRPr="00D9207B">
        <w:rPr>
          <w:rFonts w:ascii="Arial" w:hAnsi="Arial" w:cs="Arial"/>
          <w:color w:val="000000"/>
        </w:rPr>
        <w:t xml:space="preserve">, </w:t>
      </w:r>
      <w:r w:rsidR="00157CD9" w:rsidRPr="00D9207B">
        <w:rPr>
          <w:rFonts w:ascii="Arial" w:hAnsi="Arial" w:cs="Arial"/>
          <w:color w:val="000000"/>
        </w:rPr>
        <w:t xml:space="preserve">such as those who delay reporting, have mental health </w:t>
      </w:r>
      <w:proofErr w:type="gramStart"/>
      <w:r w:rsidR="00157CD9" w:rsidRPr="00D9207B">
        <w:rPr>
          <w:rFonts w:ascii="Arial" w:hAnsi="Arial" w:cs="Arial"/>
          <w:color w:val="000000"/>
        </w:rPr>
        <w:t>needs</w:t>
      </w:r>
      <w:proofErr w:type="gramEnd"/>
      <w:r w:rsidR="00157CD9" w:rsidRPr="00D9207B">
        <w:rPr>
          <w:rFonts w:ascii="Arial" w:hAnsi="Arial" w:cs="Arial"/>
          <w:color w:val="000000"/>
        </w:rPr>
        <w:t xml:space="preserve"> or maintain contact with perpetrators</w:t>
      </w:r>
      <w:r w:rsidRPr="00D9207B">
        <w:rPr>
          <w:rFonts w:ascii="Arial" w:hAnsi="Arial" w:cs="Arial"/>
          <w:color w:val="000000"/>
        </w:rPr>
        <w:t xml:space="preserve">, </w:t>
      </w:r>
      <w:r w:rsidR="00157CD9" w:rsidRPr="00D9207B">
        <w:rPr>
          <w:rFonts w:ascii="Arial" w:hAnsi="Arial" w:cs="Arial"/>
          <w:color w:val="000000"/>
        </w:rPr>
        <w:t>may be perceived as less credible, reducing the likelihood of cases progressing through the criminal justice system</w:t>
      </w:r>
      <w:r w:rsidRPr="00D9207B">
        <w:rPr>
          <w:rFonts w:ascii="Arial" w:hAnsi="Arial" w:cs="Arial"/>
          <w:color w:val="000000"/>
        </w:rPr>
        <w:t xml:space="preserve"> (Centre for Women’s Justice</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et al</w:t>
      </w:r>
      <w:r w:rsidRPr="00D9207B">
        <w:rPr>
          <w:rFonts w:ascii="Arial" w:hAnsi="Arial" w:cs="Arial"/>
          <w:color w:val="000000"/>
        </w:rPr>
        <w:t>, 2020)</w:t>
      </w:r>
      <w:r w:rsidR="00157CD9" w:rsidRPr="00D9207B">
        <w:rPr>
          <w:rFonts w:ascii="Arial" w:hAnsi="Arial" w:cs="Arial"/>
          <w:color w:val="000000"/>
        </w:rPr>
        <w:t>.</w:t>
      </w:r>
    </w:p>
    <w:p w14:paraId="4A6CF756" w14:textId="2A048DCC" w:rsidR="00157CD9" w:rsidRPr="005E2CFB" w:rsidRDefault="00157CD9" w:rsidP="005E2CFB">
      <w:pPr>
        <w:spacing w:before="100" w:beforeAutospacing="1" w:after="100" w:afterAutospacing="1" w:line="360" w:lineRule="auto"/>
        <w:rPr>
          <w:rFonts w:ascii="Arial" w:eastAsia="Times New Roman" w:hAnsi="Arial" w:cs="Arial"/>
          <w:color w:val="000000"/>
          <w:kern w:val="0"/>
          <w:lang w:eastAsia="en-GB"/>
          <w14:ligatures w14:val="none"/>
        </w:rPr>
      </w:pPr>
      <w:r w:rsidRPr="005E2CFB">
        <w:rPr>
          <w:rFonts w:ascii="Arial" w:hAnsi="Arial" w:cs="Arial"/>
          <w:color w:val="000000"/>
        </w:rPr>
        <w:t>This issue is particularly evident in cases of sexual violence, where investigative practices have been criticised for focusing disproportionately on the behaviour and credibility of victims rather than the actions of suspects</w:t>
      </w:r>
      <w:r w:rsidR="005E2CFB" w:rsidRPr="005E2CFB">
        <w:rPr>
          <w:rFonts w:ascii="Arial" w:hAnsi="Arial" w:cs="Arial"/>
          <w:color w:val="000000"/>
        </w:rPr>
        <w:t xml:space="preserve"> </w:t>
      </w:r>
      <w:r w:rsidR="005E2CFB" w:rsidRPr="005E2CFB">
        <w:rPr>
          <w:rFonts w:ascii="Arial" w:eastAsia="Times New Roman" w:hAnsi="Arial" w:cs="Arial"/>
          <w:color w:val="000000"/>
          <w:kern w:val="0"/>
          <w:lang w:eastAsia="en-GB"/>
          <w14:ligatures w14:val="none"/>
        </w:rPr>
        <w:t>(</w:t>
      </w:r>
      <w:proofErr w:type="spellStart"/>
      <w:r w:rsidR="005E2CFB" w:rsidRPr="005E2CFB">
        <w:rPr>
          <w:rFonts w:ascii="Arial" w:eastAsia="Times New Roman" w:hAnsi="Arial" w:cs="Arial"/>
          <w:color w:val="000000"/>
          <w:kern w:val="0"/>
          <w:lang w:eastAsia="en-GB"/>
          <w14:ligatures w14:val="none"/>
        </w:rPr>
        <w:t>Pordes</w:t>
      </w:r>
      <w:proofErr w:type="spellEnd"/>
      <w:r w:rsidR="005E2CFB" w:rsidRPr="005E2CFB">
        <w:rPr>
          <w:rFonts w:ascii="Arial" w:eastAsia="Times New Roman" w:hAnsi="Arial" w:cs="Arial"/>
          <w:color w:val="000000"/>
          <w:kern w:val="0"/>
          <w:lang w:eastAsia="en-GB"/>
          <w14:ligatures w14:val="none"/>
        </w:rPr>
        <w:t xml:space="preserve"> et al, 2025)</w:t>
      </w:r>
      <w:r w:rsidRPr="005E2CFB">
        <w:rPr>
          <w:rFonts w:ascii="Arial" w:hAnsi="Arial" w:cs="Arial"/>
          <w:color w:val="000000"/>
        </w:rPr>
        <w:t>. Recent research demonstrates that police responses can contribute to secondary victimisation, with victims experiencing disbelief, blame and intrusive questioning during the investigative process (</w:t>
      </w:r>
      <w:proofErr w:type="spellStart"/>
      <w:r w:rsidRPr="005E2CFB">
        <w:rPr>
          <w:rFonts w:ascii="Arial" w:hAnsi="Arial" w:cs="Arial"/>
          <w:color w:val="000000"/>
        </w:rPr>
        <w:t>Gekoski</w:t>
      </w:r>
      <w:proofErr w:type="spellEnd"/>
      <w:r w:rsidRPr="005E2CFB">
        <w:rPr>
          <w:rFonts w:ascii="Arial" w:hAnsi="Arial" w:cs="Arial"/>
          <w:color w:val="000000"/>
        </w:rPr>
        <w:t xml:space="preserve">, Horvath and Davies, 2026). Such practices not only risk retraumatising victims but may also influence case outcomes, as credibility assessments can shape decisions regarding evidence collection, suspect </w:t>
      </w:r>
      <w:proofErr w:type="gramStart"/>
      <w:r w:rsidRPr="005E2CFB">
        <w:rPr>
          <w:rFonts w:ascii="Arial" w:hAnsi="Arial" w:cs="Arial"/>
          <w:color w:val="000000"/>
        </w:rPr>
        <w:t>interviews</w:t>
      </w:r>
      <w:proofErr w:type="gramEnd"/>
      <w:r w:rsidRPr="005E2CFB">
        <w:rPr>
          <w:rFonts w:ascii="Arial" w:hAnsi="Arial" w:cs="Arial"/>
          <w:color w:val="000000"/>
        </w:rPr>
        <w:t xml:space="preserve"> and referrals to the Crown Prosecution Service. This highlights the extent to which investigative processes are influenced by cultural narratives, including rape myths, which continue to inform perceptions of “genuine” victimhood.</w:t>
      </w:r>
    </w:p>
    <w:p w14:paraId="7A570B26" w14:textId="0AF4455D" w:rsidR="00157CD9" w:rsidRPr="005E2CFB" w:rsidRDefault="00157CD9" w:rsidP="005E2CFB">
      <w:pPr>
        <w:pStyle w:val="NormalWeb"/>
        <w:spacing w:line="360" w:lineRule="auto"/>
        <w:rPr>
          <w:rFonts w:ascii="Arial" w:hAnsi="Arial" w:cs="Arial"/>
          <w:color w:val="000000"/>
        </w:rPr>
      </w:pPr>
      <w:r w:rsidRPr="005E2CFB">
        <w:rPr>
          <w:rFonts w:ascii="Arial" w:hAnsi="Arial" w:cs="Arial"/>
          <w:color w:val="000000"/>
        </w:rPr>
        <w:t>Disparities in police responses are further compounded by structural inequalities, particularly in relation to race. Evidence from the Independent Office for Police Conduct (IOPC) (2024) identifies ongoing racial disproportionality in the use of police powers and in the handling of complaints, raising concerns about institutional bias within policing practices. These disparities have significant implications for victim engagement, as perceptions of discrimination may influence both the willingness to report crimes and the experience of those who do engage with the police. Importantly, such findings suggest that unequal treatment is not limited to isolated incidents but reflects broader patterns within policing institutions</w:t>
      </w:r>
      <w:r w:rsidR="005E2CFB" w:rsidRPr="005E2CFB">
        <w:rPr>
          <w:rFonts w:ascii="Arial" w:hAnsi="Arial" w:cs="Arial"/>
          <w:color w:val="000000"/>
        </w:rPr>
        <w:t xml:space="preserve"> (IOPC, 2023)</w:t>
      </w:r>
      <w:r w:rsidRPr="005E2CFB">
        <w:rPr>
          <w:rFonts w:ascii="Arial" w:hAnsi="Arial" w:cs="Arial"/>
          <w:color w:val="000000"/>
        </w:rPr>
        <w:t>.</w:t>
      </w:r>
    </w:p>
    <w:p w14:paraId="465F20FD" w14:textId="314BDC89" w:rsidR="005E2CFB" w:rsidRPr="00844FB8" w:rsidRDefault="00157CD9" w:rsidP="005E2CFB">
      <w:pPr>
        <w:pStyle w:val="NormalWeb"/>
        <w:spacing w:line="360" w:lineRule="auto"/>
        <w:jc w:val="both"/>
        <w:rPr>
          <w:rFonts w:ascii="Arial" w:hAnsi="Arial" w:cs="Arial"/>
          <w:color w:val="000000"/>
        </w:rPr>
      </w:pPr>
      <w:r w:rsidRPr="00844FB8">
        <w:rPr>
          <w:rFonts w:ascii="Arial" w:hAnsi="Arial" w:cs="Arial"/>
          <w:color w:val="000000"/>
        </w:rPr>
        <w:t>In addition to issues of bias and credibility, resource constraints and organisational pressures also shape police responses to vulnerable victims. High caseloads, limited specialist training and performance targets may contribute to a prioritisation of cases perceived as more likely to result in successful outcomes, leading to the attrition of more</w:t>
      </w:r>
      <w:r w:rsidR="005E2CFB" w:rsidRPr="00844FB8">
        <w:rPr>
          <w:rFonts w:ascii="Arial" w:hAnsi="Arial" w:cs="Arial"/>
          <w:color w:val="000000"/>
        </w:rPr>
        <w:t xml:space="preserve"> </w:t>
      </w:r>
      <w:r w:rsidRPr="00844FB8">
        <w:rPr>
          <w:rFonts w:ascii="Arial" w:hAnsi="Arial" w:cs="Arial"/>
          <w:color w:val="000000"/>
        </w:rPr>
        <w:t xml:space="preserve">complex or resource-intensive cases (HMICFRS, 2021). </w:t>
      </w:r>
      <w:r w:rsidR="005E2CFB" w:rsidRPr="00844FB8">
        <w:rPr>
          <w:rFonts w:ascii="Arial" w:hAnsi="Arial" w:cs="Arial"/>
          <w:color w:val="000000"/>
        </w:rPr>
        <w:t xml:space="preserve">This can disproportionately affect vulnerable victims, whose cases may involve evidential challenges, ongoing risk factors or additional support needs. Consequently, the </w:t>
      </w:r>
      <w:r w:rsidR="005E2CFB" w:rsidRPr="00844FB8">
        <w:rPr>
          <w:rFonts w:ascii="Arial" w:hAnsi="Arial" w:cs="Arial"/>
          <w:color w:val="000000"/>
        </w:rPr>
        <w:lastRenderedPageBreak/>
        <w:t>investigative stage may function as a point of exclusion, where cases are filtered out before reaching prosecution, with evidence indicating that a significant proportion of police investigations are closed before progressing further (Victims’ Commissioner, 2025).</w:t>
      </w:r>
      <w:r w:rsidR="005E2CFB" w:rsidRPr="00844FB8">
        <w:rPr>
          <w:rStyle w:val="apple-converted-space"/>
          <w:rFonts w:ascii="Arial" w:eastAsiaTheme="majorEastAsia" w:hAnsi="Arial" w:cs="Arial"/>
          <w:color w:val="000000"/>
        </w:rPr>
        <w:t> </w:t>
      </w:r>
      <w:r w:rsidR="005E2CFB" w:rsidRPr="00844FB8">
        <w:rPr>
          <w:rFonts w:ascii="Arial" w:hAnsi="Arial" w:cs="Arial"/>
          <w:color w:val="000000"/>
        </w:rPr>
        <w:t xml:space="preserve">Critically, these issues demonstrate that police investigations are not purely objective processes but are shaped by a combination of individual discretion, organisational </w:t>
      </w:r>
      <w:proofErr w:type="gramStart"/>
      <w:r w:rsidR="005E2CFB" w:rsidRPr="00844FB8">
        <w:rPr>
          <w:rFonts w:ascii="Arial" w:hAnsi="Arial" w:cs="Arial"/>
          <w:color w:val="000000"/>
        </w:rPr>
        <w:t>constraints</w:t>
      </w:r>
      <w:proofErr w:type="gramEnd"/>
      <w:r w:rsidR="005E2CFB" w:rsidRPr="00844FB8">
        <w:rPr>
          <w:rFonts w:ascii="Arial" w:hAnsi="Arial" w:cs="Arial"/>
          <w:color w:val="000000"/>
        </w:rPr>
        <w:t xml:space="preserve"> and wider cultural influences (College of Policing, 2023; </w:t>
      </w:r>
      <w:proofErr w:type="spellStart"/>
      <w:r w:rsidR="005E2CFB" w:rsidRPr="00844FB8">
        <w:rPr>
          <w:rFonts w:ascii="Arial" w:hAnsi="Arial" w:cs="Arial"/>
          <w:color w:val="000000"/>
        </w:rPr>
        <w:t>Inzunza</w:t>
      </w:r>
      <w:proofErr w:type="spellEnd"/>
      <w:r w:rsidR="005E2CFB" w:rsidRPr="00844FB8">
        <w:rPr>
          <w:rFonts w:ascii="Arial" w:hAnsi="Arial" w:cs="Arial"/>
          <w:color w:val="000000"/>
        </w:rPr>
        <w:t>, 2022). The cumulative effect is a system in which vulnerable victims may be disadvantaged at multiple points within the investigative process, reducing the likelihood of achieving justice (Victims’ Commissioner, 2025; UK Government, 2025). While recent reforms have sought to improve police responses, including increased emphasis on victim-centred approaches and specialist training, the persistence of these challenges suggests that deeper structural and cultural change is required to ensure equitable treatment (HMICFRS, 2023; Independent Office for Police Conduct (IOPC), 2024).</w:t>
      </w:r>
      <w:r w:rsidR="00844FB8" w:rsidRPr="00844FB8">
        <w:rPr>
          <w:rFonts w:ascii="Arial" w:hAnsi="Arial" w:cs="Arial"/>
          <w:color w:val="000000"/>
        </w:rPr>
        <w:t xml:space="preserve"> This suggests that investigative practices are embedded within broader institutional cultures that systematically disadvantage certain victims.</w:t>
      </w:r>
    </w:p>
    <w:p w14:paraId="7DFE5C84" w14:textId="6D9CD93D" w:rsidR="005E2CFB" w:rsidRPr="005E2CFB" w:rsidRDefault="005E2CFB" w:rsidP="005E2CFB">
      <w:pPr>
        <w:pStyle w:val="NormalWeb"/>
        <w:spacing w:line="360" w:lineRule="auto"/>
        <w:rPr>
          <w:rFonts w:ascii="Arial" w:hAnsi="Arial" w:cs="Arial"/>
          <w:color w:val="000000"/>
        </w:rPr>
      </w:pPr>
      <w:r w:rsidRPr="005E2CFB">
        <w:rPr>
          <w:rFonts w:ascii="Arial" w:hAnsi="Arial" w:cs="Arial"/>
          <w:color w:val="000000"/>
        </w:rPr>
        <w:t xml:space="preserve">Following the investigative stage, the transition to prosecution represents a further point at which cases involving vulnerable victims may be discontinued, with evidence indicating that attrition frequently occurs prior to charge due to evidential and procedural constraints (Ministry of Justice, 2024; Crown Prosecution Service, 2024). This stage is governed by formal evidential and public interest tests, most notably the requirement for a “realistic prospect of conviction” as outlined in the Crown Prosecution Service (CPS) Code (Crown Prosecution Service, 2024). While this threshold is intended to ensure fairness and consistency, it has been widely criticised for disproportionately affecting cases involving vulnerable victims, where evidence is often complex, contested or heavily reliant on testimony rather than corroboration (Daly and </w:t>
      </w:r>
      <w:proofErr w:type="spellStart"/>
      <w:r w:rsidRPr="005E2CFB">
        <w:rPr>
          <w:rFonts w:ascii="Arial" w:hAnsi="Arial" w:cs="Arial"/>
          <w:color w:val="000000"/>
        </w:rPr>
        <w:t>Bouhours</w:t>
      </w:r>
      <w:proofErr w:type="spellEnd"/>
      <w:r w:rsidRPr="005E2CFB">
        <w:rPr>
          <w:rFonts w:ascii="Arial" w:hAnsi="Arial" w:cs="Arial"/>
          <w:color w:val="000000"/>
        </w:rPr>
        <w:t xml:space="preserve">, 2010; </w:t>
      </w:r>
      <w:proofErr w:type="spellStart"/>
      <w:r w:rsidRPr="005E2CFB">
        <w:rPr>
          <w:rFonts w:ascii="Arial" w:hAnsi="Arial" w:cs="Arial"/>
          <w:color w:val="000000"/>
        </w:rPr>
        <w:t>Westmarland</w:t>
      </w:r>
      <w:proofErr w:type="spellEnd"/>
      <w:r w:rsidRPr="005E2CFB">
        <w:rPr>
          <w:rFonts w:ascii="Arial" w:hAnsi="Arial" w:cs="Arial"/>
          <w:color w:val="000000"/>
        </w:rPr>
        <w:t xml:space="preserve"> et al, 2018). As a result, prosecutorial decision-making may function as a filtering mechanism, privileging cases that align with evidential expectations while excluding those that present greater complexity (Burman, 2009).</w:t>
      </w:r>
    </w:p>
    <w:p w14:paraId="6EB1AEAB" w14:textId="7E19243B" w:rsidR="005E2CFB" w:rsidRPr="005E2CFB" w:rsidRDefault="005E2CFB" w:rsidP="005E2CFB">
      <w:pPr>
        <w:pStyle w:val="NormalWeb"/>
        <w:spacing w:line="360" w:lineRule="auto"/>
        <w:rPr>
          <w:rFonts w:ascii="Arial" w:hAnsi="Arial" w:cs="Arial"/>
          <w:color w:val="000000"/>
        </w:rPr>
      </w:pPr>
      <w:r w:rsidRPr="005E2CFB">
        <w:rPr>
          <w:rFonts w:ascii="Arial" w:hAnsi="Arial" w:cs="Arial"/>
          <w:color w:val="000000"/>
        </w:rPr>
        <w:t xml:space="preserve">The impact of evidential thresholds is particularly pronounced in cases involving interpersonal violence, where the nature of offending presents inherent challenges for proof. Research demonstrates that offences such as rape and domestic abuse </w:t>
      </w:r>
      <w:r w:rsidRPr="005E2CFB">
        <w:rPr>
          <w:rFonts w:ascii="Arial" w:hAnsi="Arial" w:cs="Arial"/>
          <w:color w:val="000000"/>
        </w:rPr>
        <w:lastRenderedPageBreak/>
        <w:t xml:space="preserve">frequently lack independent witnesses and rely on victim accounts, which can be subject to scrutiny and challenge within prosecutorial decision-making (Hester, 2013; Crown Prosecution Service, 2023). Recent data further indicates persistently low charge and prosecution rates for such offences, reflecting systemic difficulties in progressing cases through the criminal justice process (Ministry of Justice, 2024). This </w:t>
      </w:r>
      <w:r w:rsidRPr="00844FB8">
        <w:rPr>
          <w:rFonts w:ascii="Arial" w:hAnsi="Arial" w:cs="Arial"/>
          <w:color w:val="000000"/>
        </w:rPr>
        <w:t xml:space="preserve">suggests that attrition at the prosecution stage is not solely a reflection of evidential </w:t>
      </w:r>
      <w:proofErr w:type="gramStart"/>
      <w:r w:rsidRPr="00844FB8">
        <w:rPr>
          <w:rFonts w:ascii="Arial" w:hAnsi="Arial" w:cs="Arial"/>
          <w:color w:val="000000"/>
        </w:rPr>
        <w:t xml:space="preserve">weakness, </w:t>
      </w:r>
      <w:r w:rsidR="00844FB8" w:rsidRPr="00844FB8">
        <w:rPr>
          <w:rFonts w:ascii="Arial" w:hAnsi="Arial" w:cs="Arial"/>
          <w:color w:val="000000"/>
        </w:rPr>
        <w:t>but</w:t>
      </w:r>
      <w:proofErr w:type="gramEnd"/>
      <w:r w:rsidR="00844FB8" w:rsidRPr="00844FB8">
        <w:rPr>
          <w:rFonts w:ascii="Arial" w:hAnsi="Arial" w:cs="Arial"/>
          <w:color w:val="000000"/>
        </w:rPr>
        <w:t xml:space="preserve"> reflects the limitations of legal frameworks that prioritise evidential certainty over the complexities of victimisation</w:t>
      </w:r>
      <w:r w:rsidR="00844FB8" w:rsidRPr="005E2CFB">
        <w:rPr>
          <w:rFonts w:ascii="Arial" w:hAnsi="Arial" w:cs="Arial"/>
          <w:color w:val="000000"/>
        </w:rPr>
        <w:t xml:space="preserve"> </w:t>
      </w:r>
      <w:r w:rsidRPr="005E2CFB">
        <w:rPr>
          <w:rFonts w:ascii="Arial" w:hAnsi="Arial" w:cs="Arial"/>
          <w:color w:val="000000"/>
        </w:rPr>
        <w:t>(</w:t>
      </w:r>
      <w:proofErr w:type="spellStart"/>
      <w:r w:rsidRPr="005E2CFB">
        <w:rPr>
          <w:rFonts w:ascii="Arial" w:hAnsi="Arial" w:cs="Arial"/>
          <w:color w:val="000000"/>
        </w:rPr>
        <w:t>Westmarland</w:t>
      </w:r>
      <w:proofErr w:type="spellEnd"/>
      <w:r w:rsidRPr="005E2CFB">
        <w:rPr>
          <w:rFonts w:ascii="Arial" w:hAnsi="Arial" w:cs="Arial"/>
          <w:color w:val="000000"/>
        </w:rPr>
        <w:t xml:space="preserve"> and Kelly, 2013).</w:t>
      </w:r>
    </w:p>
    <w:p w14:paraId="056C20AA" w14:textId="6903EA71" w:rsidR="005E2CFB" w:rsidRPr="005E2CFB" w:rsidRDefault="005E2CFB" w:rsidP="005E2CFB">
      <w:pPr>
        <w:pStyle w:val="NormalWeb"/>
        <w:spacing w:line="360" w:lineRule="auto"/>
        <w:rPr>
          <w:rFonts w:ascii="Arial" w:hAnsi="Arial" w:cs="Arial"/>
          <w:color w:val="000000"/>
        </w:rPr>
      </w:pPr>
      <w:r w:rsidRPr="005E2CFB">
        <w:rPr>
          <w:rFonts w:ascii="Arial" w:hAnsi="Arial" w:cs="Arial"/>
          <w:color w:val="000000"/>
        </w:rPr>
        <w:t xml:space="preserve">Where cases do proceed to court, the adversarial nature of criminal proceedings introduces additional barriers for vulnerable victims. The trial process is structured around the testing of evidence through cross-examination, which places significant emphasis on consistency, </w:t>
      </w:r>
      <w:proofErr w:type="gramStart"/>
      <w:r w:rsidRPr="005E2CFB">
        <w:rPr>
          <w:rFonts w:ascii="Arial" w:hAnsi="Arial" w:cs="Arial"/>
          <w:color w:val="000000"/>
        </w:rPr>
        <w:t>memory</w:t>
      </w:r>
      <w:proofErr w:type="gramEnd"/>
      <w:r w:rsidRPr="005E2CFB">
        <w:rPr>
          <w:rFonts w:ascii="Arial" w:hAnsi="Arial" w:cs="Arial"/>
          <w:color w:val="000000"/>
        </w:rPr>
        <w:t xml:space="preserve"> and credibility (Ellison and Munro, 2019). Empirical research has shown that cross-examination can be experienced as distressing and disorienting, particularly for victims of sexual violence, with questioning often focusing on personal behaviour and perceived inconsistencies (Smith and Skinner, 2017; </w:t>
      </w:r>
      <w:proofErr w:type="spellStart"/>
      <w:r w:rsidRPr="005E2CFB">
        <w:rPr>
          <w:rFonts w:ascii="Arial" w:hAnsi="Arial" w:cs="Arial"/>
          <w:color w:val="000000"/>
        </w:rPr>
        <w:t>Westmarland</w:t>
      </w:r>
      <w:proofErr w:type="spellEnd"/>
      <w:r w:rsidRPr="005E2CFB">
        <w:rPr>
          <w:rFonts w:ascii="Arial" w:hAnsi="Arial" w:cs="Arial"/>
          <w:color w:val="000000"/>
        </w:rPr>
        <w:t xml:space="preserve"> et al, 2018). These practices reflect the continued influence of adversarial norms, which prioritise evidential challenge over the minimisation of harm to victims.</w:t>
      </w:r>
    </w:p>
    <w:p w14:paraId="67930FB0" w14:textId="4378764B" w:rsidR="005E2CFB" w:rsidRPr="005E2CFB" w:rsidRDefault="005E2CFB" w:rsidP="005E2CFB">
      <w:pPr>
        <w:pStyle w:val="NormalWeb"/>
        <w:spacing w:line="360" w:lineRule="auto"/>
        <w:rPr>
          <w:rFonts w:ascii="Arial" w:hAnsi="Arial" w:cs="Arial"/>
          <w:color w:val="000000"/>
        </w:rPr>
      </w:pPr>
      <w:r w:rsidRPr="005E2CFB">
        <w:rPr>
          <w:rFonts w:ascii="Arial" w:hAnsi="Arial" w:cs="Arial"/>
          <w:color w:val="000000"/>
        </w:rPr>
        <w:t>Although special measures have been introduced to support vulnerable witnesses, their implementation and effectiveness remain uneven. Evaluations indicate that while provisions such as video-recorded evidence and the use of screens can improve aspects of the court experience, they do not fundamentally alter the structure of adversarial proceedings or eliminate the pressures associated with giving evidence (</w:t>
      </w:r>
      <w:proofErr w:type="spellStart"/>
      <w:r w:rsidRPr="005E2CFB">
        <w:rPr>
          <w:rFonts w:ascii="Arial" w:hAnsi="Arial" w:cs="Arial"/>
          <w:color w:val="000000"/>
        </w:rPr>
        <w:t>Plotnikoff</w:t>
      </w:r>
      <w:proofErr w:type="spellEnd"/>
      <w:r w:rsidRPr="005E2CFB">
        <w:rPr>
          <w:rFonts w:ascii="Arial" w:hAnsi="Arial" w:cs="Arial"/>
          <w:color w:val="000000"/>
        </w:rPr>
        <w:t xml:space="preserve"> and </w:t>
      </w:r>
      <w:proofErr w:type="spellStart"/>
      <w:r w:rsidRPr="005E2CFB">
        <w:rPr>
          <w:rFonts w:ascii="Arial" w:hAnsi="Arial" w:cs="Arial"/>
          <w:color w:val="000000"/>
        </w:rPr>
        <w:t>Woolfson</w:t>
      </w:r>
      <w:proofErr w:type="spellEnd"/>
      <w:r w:rsidRPr="005E2CFB">
        <w:rPr>
          <w:rFonts w:ascii="Arial" w:hAnsi="Arial" w:cs="Arial"/>
          <w:color w:val="000000"/>
        </w:rPr>
        <w:t xml:space="preserve">, 2020; Ministry of Justice, 2023b). </w:t>
      </w:r>
      <w:r w:rsidR="00844FB8" w:rsidRPr="00844FB8">
        <w:rPr>
          <w:rFonts w:ascii="Arial" w:hAnsi="Arial" w:cs="Arial"/>
          <w:color w:val="000000"/>
        </w:rPr>
        <w:t xml:space="preserve">This highlights a fundamental limitation of reform, in that procedural adaptations operate within, rather than challenge, adversarial structures. </w:t>
      </w:r>
      <w:r w:rsidRPr="005E2CFB">
        <w:rPr>
          <w:rFonts w:ascii="Arial" w:hAnsi="Arial" w:cs="Arial"/>
          <w:color w:val="000000"/>
        </w:rPr>
        <w:t>As a result, vulnerable victims may continue to face significant challenges in participating effectively within court processes, despite the presence of formal safeguards.</w:t>
      </w:r>
    </w:p>
    <w:p w14:paraId="5AFE820E" w14:textId="77777777" w:rsidR="005E2CFB" w:rsidRPr="005E2CFB" w:rsidRDefault="005E2CFB" w:rsidP="005E2CFB">
      <w:pPr>
        <w:pStyle w:val="NormalWeb"/>
        <w:spacing w:line="360" w:lineRule="auto"/>
        <w:rPr>
          <w:rFonts w:ascii="Arial" w:hAnsi="Arial" w:cs="Arial"/>
          <w:color w:val="000000"/>
        </w:rPr>
      </w:pPr>
      <w:r w:rsidRPr="005E2CFB">
        <w:rPr>
          <w:rFonts w:ascii="Arial" w:hAnsi="Arial" w:cs="Arial"/>
          <w:color w:val="000000"/>
        </w:rPr>
        <w:t xml:space="preserve">In addition to procedural challenges, delays within the court system further contribute to attrition and victim disengagement. Evidence from the National Audit Office (2024) highlights substantial backlogs in the Crown Court, resulting in extended waiting </w:t>
      </w:r>
      <w:r w:rsidRPr="005E2CFB">
        <w:rPr>
          <w:rFonts w:ascii="Arial" w:hAnsi="Arial" w:cs="Arial"/>
          <w:color w:val="000000"/>
        </w:rPr>
        <w:lastRenderedPageBreak/>
        <w:t>times for trials. Such delays have been shown to negatively impact victim engagement, with prolonged uncertainty contributing to withdrawal from proceedings and difficulties in maintaining evidence over time (Victim Support, 2023). The effects of delay are particularly pronounced for vulnerable victims, whose personal circumstances may make sustained engagement with the criminal justice process more difficult.</w:t>
      </w:r>
    </w:p>
    <w:p w14:paraId="6656D81B" w14:textId="77777777" w:rsidR="005E2CFB" w:rsidRPr="005E2CFB" w:rsidRDefault="005E2CFB" w:rsidP="005E2CFB">
      <w:pPr>
        <w:pStyle w:val="NormalWeb"/>
        <w:spacing w:line="360" w:lineRule="auto"/>
        <w:rPr>
          <w:rFonts w:ascii="Arial" w:hAnsi="Arial" w:cs="Arial"/>
          <w:color w:val="000000"/>
        </w:rPr>
      </w:pPr>
      <w:r w:rsidRPr="005E2CFB">
        <w:rPr>
          <w:rFonts w:ascii="Arial" w:hAnsi="Arial" w:cs="Arial"/>
          <w:color w:val="000000"/>
        </w:rPr>
        <w:t>Taken together, these issues demonstrate that the prosecution and court stages are not neutral mechanisms of justice, but are shaped by evidential standards, procedural design and systemic pressures that can disadvantage vulnerable victims (Ministry of Justice, 2024; National Audit Office, 2024). While reforms have sought to improve victim experiences, including enhanced support measures and procedural adaptations, the persistence of attrition and structural barriers suggests that current approaches remain insufficient to ensure equitable access to justice.</w:t>
      </w:r>
    </w:p>
    <w:p w14:paraId="34C58E7C" w14:textId="5FAB6565" w:rsidR="005E2CFB" w:rsidRPr="005E2CFB" w:rsidRDefault="005E2CFB" w:rsidP="005E2CFB">
      <w:pPr>
        <w:pStyle w:val="NormalWeb"/>
        <w:spacing w:line="360" w:lineRule="auto"/>
        <w:rPr>
          <w:rFonts w:ascii="Arial" w:hAnsi="Arial" w:cs="Arial"/>
          <w:color w:val="000000"/>
        </w:rPr>
      </w:pPr>
      <w:r w:rsidRPr="005E2CFB">
        <w:rPr>
          <w:rFonts w:ascii="Arial" w:hAnsi="Arial" w:cs="Arial"/>
          <w:color w:val="000000"/>
        </w:rPr>
        <w:t xml:space="preserve">Across the criminal justice process, vulnerable victims are not only required to navigate formal procedures but may also experience additional forms of harm arising from their interactions with criminal justice institutions. This phenomenon, commonly referred to as secondary victimisation, reflects the ways in which systemic practices, institutional cultures and procedural requirements can compound the impact of the original offence (Campbell, 2005; </w:t>
      </w:r>
      <w:proofErr w:type="spellStart"/>
      <w:r w:rsidRPr="005E2CFB">
        <w:rPr>
          <w:rFonts w:ascii="Arial" w:hAnsi="Arial" w:cs="Arial"/>
          <w:color w:val="000000"/>
        </w:rPr>
        <w:t>Gekoski</w:t>
      </w:r>
      <w:proofErr w:type="spellEnd"/>
      <w:r w:rsidRPr="005E2CFB">
        <w:rPr>
          <w:rFonts w:ascii="Arial" w:hAnsi="Arial" w:cs="Arial"/>
          <w:color w:val="000000"/>
        </w:rPr>
        <w:t xml:space="preserve"> et al, 2026). Rather than functioning solely as mechanisms of redress, criminal justice processes may therefore operate as sites in which harm is reproduced, particularly for those already positioned as vulnerable.</w:t>
      </w:r>
    </w:p>
    <w:p w14:paraId="192F1897" w14:textId="71BDDAA8" w:rsidR="005E2CFB" w:rsidRPr="00844FB8" w:rsidRDefault="005E2CFB" w:rsidP="005E2CFB">
      <w:pPr>
        <w:pStyle w:val="NormalWeb"/>
        <w:spacing w:line="360" w:lineRule="auto"/>
        <w:rPr>
          <w:rFonts w:ascii="Arial" w:hAnsi="Arial" w:cs="Arial"/>
          <w:color w:val="000000"/>
        </w:rPr>
      </w:pPr>
      <w:r w:rsidRPr="00844FB8">
        <w:rPr>
          <w:rFonts w:ascii="Arial" w:hAnsi="Arial" w:cs="Arial"/>
          <w:color w:val="000000"/>
        </w:rPr>
        <w:t xml:space="preserve">Secondary victimisation can arise at multiple stages of the justice process, including police investigations, prosecutorial </w:t>
      </w:r>
      <w:proofErr w:type="gramStart"/>
      <w:r w:rsidRPr="00844FB8">
        <w:rPr>
          <w:rFonts w:ascii="Arial" w:hAnsi="Arial" w:cs="Arial"/>
          <w:color w:val="000000"/>
        </w:rPr>
        <w:t>decision-making</w:t>
      </w:r>
      <w:proofErr w:type="gramEnd"/>
      <w:r w:rsidRPr="00844FB8">
        <w:rPr>
          <w:rFonts w:ascii="Arial" w:hAnsi="Arial" w:cs="Arial"/>
          <w:color w:val="000000"/>
        </w:rPr>
        <w:t xml:space="preserve"> and court proceedings. Research has demonstrated that victims may experience dismissive attitudes, lack of communication and procedural insensitivity, all of which contribute to feelings of marginalisation and distress (Orth, 2002; </w:t>
      </w:r>
      <w:proofErr w:type="spellStart"/>
      <w:r w:rsidRPr="00844FB8">
        <w:rPr>
          <w:rFonts w:ascii="Arial" w:hAnsi="Arial" w:cs="Arial"/>
          <w:color w:val="000000"/>
        </w:rPr>
        <w:t>Pordes</w:t>
      </w:r>
      <w:proofErr w:type="spellEnd"/>
      <w:r w:rsidRPr="00844FB8">
        <w:rPr>
          <w:rFonts w:ascii="Arial" w:hAnsi="Arial" w:cs="Arial"/>
          <w:color w:val="000000"/>
        </w:rPr>
        <w:t xml:space="preserve"> et al, 2025). </w:t>
      </w:r>
      <w:r w:rsidR="00844FB8" w:rsidRPr="00844FB8">
        <w:rPr>
          <w:rFonts w:ascii="Arial" w:hAnsi="Arial" w:cs="Arial"/>
          <w:color w:val="000000"/>
        </w:rPr>
        <w:t xml:space="preserve">These experiences reflect broader institutional patterns shaped by organisational priorities and resource constraints </w:t>
      </w:r>
      <w:r w:rsidRPr="00844FB8">
        <w:rPr>
          <w:rFonts w:ascii="Arial" w:hAnsi="Arial" w:cs="Arial"/>
          <w:color w:val="000000"/>
        </w:rPr>
        <w:t>(HMICFRS, 2023). As such, secondary victimisation is best understood not as an unintended consequence, but as a structural feature of the criminal justice system.</w:t>
      </w:r>
    </w:p>
    <w:p w14:paraId="3D2B01C8" w14:textId="39A08406" w:rsidR="005E2CFB" w:rsidRPr="00844FB8" w:rsidRDefault="005E2CFB" w:rsidP="00844FB8">
      <w:pPr>
        <w:pStyle w:val="NormalWeb"/>
        <w:spacing w:line="360" w:lineRule="auto"/>
        <w:rPr>
          <w:rFonts w:ascii="Arial" w:hAnsi="Arial" w:cs="Arial"/>
          <w:color w:val="000000"/>
        </w:rPr>
      </w:pPr>
      <w:r w:rsidRPr="00844FB8">
        <w:rPr>
          <w:rFonts w:ascii="Arial" w:hAnsi="Arial" w:cs="Arial"/>
          <w:color w:val="000000"/>
        </w:rPr>
        <w:lastRenderedPageBreak/>
        <w:t xml:space="preserve">The cumulative impact of these experiences can significantly affect victim engagement and case outcomes. Evidence indicates that negative interactions with criminal justice agencies are associated with increased rates of withdrawal from proceedings, reduced willingness to participate in future cases and long-term mistrust of justice institutions (Victims’ Commissioner, 2025; Victim Support, 2023). </w:t>
      </w:r>
      <w:r w:rsidR="00844FB8" w:rsidRPr="00844FB8">
        <w:rPr>
          <w:rFonts w:ascii="Arial" w:hAnsi="Arial" w:cs="Arial"/>
          <w:color w:val="000000"/>
        </w:rPr>
        <w:t>This undermines both victim engagement and justice outcomes</w:t>
      </w:r>
      <w:r w:rsidRPr="00844FB8">
        <w:rPr>
          <w:rFonts w:ascii="Arial" w:hAnsi="Arial" w:cs="Arial"/>
          <w:color w:val="000000"/>
        </w:rPr>
        <w:t>, as disengagement undermines the ability of institutions to investigate and prosecute offences effectively. In this sense, secondary victimisation contributes directly to the attrition patterns identified throughout earlier sections of this essay.</w:t>
      </w:r>
    </w:p>
    <w:p w14:paraId="6CB88CE4" w14:textId="77777777" w:rsidR="005E2CFB" w:rsidRPr="005E2CFB" w:rsidRDefault="005E2CFB" w:rsidP="005E2CFB">
      <w:pPr>
        <w:pStyle w:val="NormalWeb"/>
        <w:spacing w:line="360" w:lineRule="auto"/>
        <w:rPr>
          <w:rFonts w:ascii="Arial" w:hAnsi="Arial" w:cs="Arial"/>
          <w:color w:val="000000"/>
        </w:rPr>
      </w:pPr>
      <w:r w:rsidRPr="005E2CFB">
        <w:rPr>
          <w:rFonts w:ascii="Arial" w:hAnsi="Arial" w:cs="Arial"/>
          <w:color w:val="000000"/>
        </w:rPr>
        <w:t>While recent policy developments have sought to address these issues, including the introduction of trauma-informed approaches and enhanced victim support provisions, evidence suggests that such reforms have had limited impact in practice. The UK Government (2025) acknowledges that existing responses remain fragmented and inconsistent, with significant variation in the quality of support provided across different regions and agencies. Similarly, oversight bodies have highlighted ongoing concerns regarding the implementation of victim-centred practices, noting that improvements in policy have not always translated into meaningful changes in victim experience (Independent Office for Police Conduct (IOPC), 2024; HMICFRS, 2023). This gap between policy and practice reflects a broader challenge within the criminal justice system, in which reform initiatives often fail to address underlying structural and cultural dynamics.</w:t>
      </w:r>
    </w:p>
    <w:p w14:paraId="0E2B4B0F" w14:textId="7106A45C" w:rsidR="005E2CFB" w:rsidRPr="00844FB8" w:rsidRDefault="005E2CFB" w:rsidP="005E2CFB">
      <w:pPr>
        <w:pStyle w:val="NormalWeb"/>
        <w:spacing w:line="360" w:lineRule="auto"/>
        <w:rPr>
          <w:rFonts w:ascii="Arial" w:hAnsi="Arial" w:cs="Arial"/>
          <w:color w:val="000000"/>
        </w:rPr>
      </w:pPr>
      <w:r w:rsidRPr="00844FB8">
        <w:rPr>
          <w:rFonts w:ascii="Arial" w:hAnsi="Arial" w:cs="Arial"/>
          <w:color w:val="000000"/>
        </w:rPr>
        <w:t xml:space="preserve">Critically, the persistence of these issues suggests that current approaches to reform are insufficiently transformative. While procedural adjustments and additional resources may improve certain aspects of the system, they do not fundamentally alter the institutional logics that shape how victims are treated. </w:t>
      </w:r>
      <w:r w:rsidR="00844FB8" w:rsidRPr="00844FB8">
        <w:rPr>
          <w:rFonts w:ascii="Arial" w:hAnsi="Arial" w:cs="Arial"/>
          <w:color w:val="000000"/>
        </w:rPr>
        <w:t xml:space="preserve">These challenges are not confined to a single stage but arise across the criminal justice process </w:t>
      </w:r>
      <w:r w:rsidRPr="00844FB8">
        <w:rPr>
          <w:rFonts w:ascii="Arial" w:hAnsi="Arial" w:cs="Arial"/>
          <w:color w:val="000000"/>
        </w:rPr>
        <w:t xml:space="preserve">but emerge from the interaction of evidential standards, organisational </w:t>
      </w:r>
      <w:proofErr w:type="gramStart"/>
      <w:r w:rsidRPr="00844FB8">
        <w:rPr>
          <w:rFonts w:ascii="Arial" w:hAnsi="Arial" w:cs="Arial"/>
          <w:color w:val="000000"/>
        </w:rPr>
        <w:t>practices</w:t>
      </w:r>
      <w:proofErr w:type="gramEnd"/>
      <w:r w:rsidRPr="00844FB8">
        <w:rPr>
          <w:rFonts w:ascii="Arial" w:hAnsi="Arial" w:cs="Arial"/>
          <w:color w:val="000000"/>
        </w:rPr>
        <w:t xml:space="preserve"> and cultural assumptions (</w:t>
      </w:r>
      <w:proofErr w:type="spellStart"/>
      <w:r w:rsidRPr="00844FB8">
        <w:rPr>
          <w:rFonts w:ascii="Arial" w:hAnsi="Arial" w:cs="Arial"/>
          <w:color w:val="000000"/>
        </w:rPr>
        <w:t>Ruge</w:t>
      </w:r>
      <w:proofErr w:type="spellEnd"/>
      <w:r w:rsidRPr="00844FB8">
        <w:rPr>
          <w:rFonts w:ascii="Arial" w:hAnsi="Arial" w:cs="Arial"/>
          <w:color w:val="000000"/>
        </w:rPr>
        <w:t xml:space="preserve">-Jones et al, 2024). This indicates that meaningful change requires a more comprehensive re-evaluation of how vulnerability is understood and addressed within the </w:t>
      </w:r>
      <w:proofErr w:type="gramStart"/>
      <w:r w:rsidRPr="00844FB8">
        <w:rPr>
          <w:rFonts w:ascii="Arial" w:hAnsi="Arial" w:cs="Arial"/>
          <w:color w:val="000000"/>
        </w:rPr>
        <w:t>system as a whole</w:t>
      </w:r>
      <w:proofErr w:type="gramEnd"/>
      <w:r w:rsidRPr="00844FB8">
        <w:rPr>
          <w:rFonts w:ascii="Arial" w:hAnsi="Arial" w:cs="Arial"/>
          <w:color w:val="000000"/>
        </w:rPr>
        <w:t>.</w:t>
      </w:r>
    </w:p>
    <w:p w14:paraId="49897FAB" w14:textId="51FEE0A4" w:rsidR="005E2CFB" w:rsidRPr="005E2CFB" w:rsidRDefault="005E2CFB" w:rsidP="005E2CFB">
      <w:pPr>
        <w:pStyle w:val="NormalWeb"/>
        <w:spacing w:line="360" w:lineRule="auto"/>
        <w:rPr>
          <w:rFonts w:ascii="Arial" w:hAnsi="Arial" w:cs="Arial"/>
          <w:color w:val="000000"/>
        </w:rPr>
      </w:pPr>
      <w:r w:rsidRPr="005E2CFB">
        <w:rPr>
          <w:rFonts w:ascii="Arial" w:hAnsi="Arial" w:cs="Arial"/>
          <w:color w:val="000000"/>
        </w:rPr>
        <w:t xml:space="preserve">Intersectional approaches highlight how vulnerability is shaped by overlapping social identities and structural disadvantages, requiring responses that are both flexible and </w:t>
      </w:r>
      <w:r w:rsidRPr="005E2CFB">
        <w:rPr>
          <w:rFonts w:ascii="Arial" w:hAnsi="Arial" w:cs="Arial"/>
          <w:color w:val="000000"/>
        </w:rPr>
        <w:lastRenderedPageBreak/>
        <w:t>context-sensitive (United Nations Women (UN Women), 2019; UK Parliament, 2023). Without such an approach, reforms risk reproducing existing inequalities by failing to account for the diverse experiences of victims.</w:t>
      </w:r>
    </w:p>
    <w:p w14:paraId="130FD704" w14:textId="77777777" w:rsidR="00844FB8" w:rsidRPr="00844FB8" w:rsidRDefault="00844FB8" w:rsidP="00844FB8">
      <w:pPr>
        <w:pStyle w:val="NormalWeb"/>
        <w:spacing w:line="360" w:lineRule="auto"/>
        <w:rPr>
          <w:rFonts w:ascii="Arial" w:hAnsi="Arial" w:cs="Arial"/>
          <w:color w:val="000000"/>
        </w:rPr>
      </w:pPr>
      <w:r w:rsidRPr="00844FB8">
        <w:rPr>
          <w:rFonts w:ascii="Arial" w:hAnsi="Arial" w:cs="Arial"/>
          <w:color w:val="000000"/>
        </w:rPr>
        <w:t>Ultimately, the evidence demonstrates that, despite increasing emphasis on victim-centred justice, the criminal justice system remains structurally ill-equipped to meet the needs of vulnerable victims. Difficulties arise not only from individual barriers, but from cumulative systemic challenges embedded within institutional practices. Secondary victimisation, attrition and unequal access to justice reflect deeper structural limitations.</w:t>
      </w:r>
    </w:p>
    <w:p w14:paraId="61B85F76" w14:textId="77777777" w:rsidR="00844FB8" w:rsidRPr="00844FB8" w:rsidRDefault="00844FB8" w:rsidP="00844FB8">
      <w:pPr>
        <w:pStyle w:val="NormalWeb"/>
        <w:spacing w:line="360" w:lineRule="auto"/>
        <w:rPr>
          <w:rFonts w:ascii="Arial" w:hAnsi="Arial" w:cs="Arial"/>
          <w:color w:val="000000"/>
        </w:rPr>
      </w:pPr>
      <w:r w:rsidRPr="00844FB8">
        <w:rPr>
          <w:rFonts w:ascii="Arial" w:hAnsi="Arial" w:cs="Arial"/>
          <w:color w:val="000000"/>
        </w:rPr>
        <w:t>Current reforms remain insufficiently transformative, failing to address the underlying cultural and structural foundations of inequality. Without a fundamental shift in how vulnerability is understood and operationalised, victim-centred justice risks remaining largely rhetorical rather than producing meaningful change.</w:t>
      </w:r>
    </w:p>
    <w:p w14:paraId="45BF7301" w14:textId="77777777" w:rsidR="00157CD9" w:rsidRPr="00157CD9" w:rsidRDefault="00157CD9" w:rsidP="00157CD9">
      <w:pPr>
        <w:pStyle w:val="NormalWeb"/>
        <w:spacing w:line="360" w:lineRule="auto"/>
        <w:rPr>
          <w:rFonts w:ascii="Arial" w:hAnsi="Arial" w:cs="Arial"/>
          <w:color w:val="000000"/>
        </w:rPr>
      </w:pPr>
    </w:p>
    <w:p w14:paraId="49DAC7B6" w14:textId="77777777" w:rsidR="00157CD9" w:rsidRPr="00157CD9" w:rsidRDefault="00157CD9" w:rsidP="00157CD9">
      <w:pPr>
        <w:pStyle w:val="NormalWeb"/>
        <w:spacing w:line="360" w:lineRule="auto"/>
        <w:rPr>
          <w:rFonts w:ascii="Arial" w:hAnsi="Arial" w:cs="Arial"/>
          <w:color w:val="000000"/>
        </w:rPr>
      </w:pPr>
    </w:p>
    <w:p w14:paraId="3D634F4C" w14:textId="77777777" w:rsidR="00157CD9" w:rsidRDefault="00157CD9" w:rsidP="00157CD9">
      <w:pPr>
        <w:pStyle w:val="NormalWeb"/>
        <w:rPr>
          <w:color w:val="000000"/>
        </w:rPr>
      </w:pPr>
    </w:p>
    <w:p w14:paraId="65874BE5" w14:textId="77777777" w:rsidR="00157CD9" w:rsidRPr="00157CD9" w:rsidRDefault="00157CD9" w:rsidP="00157CD9">
      <w:pPr>
        <w:pStyle w:val="NormalWeb"/>
        <w:spacing w:line="360" w:lineRule="auto"/>
        <w:rPr>
          <w:rFonts w:ascii="Arial" w:hAnsi="Arial" w:cs="Arial"/>
          <w:color w:val="000000"/>
        </w:rPr>
      </w:pPr>
    </w:p>
    <w:p w14:paraId="284DABC7" w14:textId="77777777" w:rsidR="00157CD9" w:rsidRPr="00157CD9" w:rsidRDefault="00157CD9" w:rsidP="00157CD9">
      <w:pPr>
        <w:pStyle w:val="NormalWeb"/>
        <w:spacing w:line="360" w:lineRule="auto"/>
        <w:rPr>
          <w:rFonts w:ascii="Arial" w:hAnsi="Arial" w:cs="Arial"/>
          <w:color w:val="000000"/>
        </w:rPr>
      </w:pPr>
    </w:p>
    <w:p w14:paraId="5A59E041" w14:textId="65B07837" w:rsidR="00157CD9" w:rsidRDefault="00157CD9" w:rsidP="00157CD9">
      <w:pPr>
        <w:rPr>
          <w:sz w:val="36"/>
          <w:szCs w:val="36"/>
        </w:rPr>
      </w:pPr>
    </w:p>
    <w:p w14:paraId="338AA5FE" w14:textId="77777777" w:rsidR="00D9207B" w:rsidRDefault="00D9207B" w:rsidP="00157CD9">
      <w:pPr>
        <w:rPr>
          <w:sz w:val="36"/>
          <w:szCs w:val="36"/>
        </w:rPr>
      </w:pPr>
    </w:p>
    <w:p w14:paraId="7A54B511" w14:textId="77777777" w:rsidR="00D9207B" w:rsidRDefault="00D9207B" w:rsidP="00157CD9">
      <w:pPr>
        <w:rPr>
          <w:sz w:val="36"/>
          <w:szCs w:val="36"/>
        </w:rPr>
      </w:pPr>
    </w:p>
    <w:p w14:paraId="5D1731BB" w14:textId="3DD13AE1" w:rsidR="00D9207B" w:rsidRPr="00844FB8" w:rsidRDefault="00844FB8" w:rsidP="00157CD9">
      <w:pPr>
        <w:rPr>
          <w:rFonts w:ascii="Arial" w:hAnsi="Arial" w:cs="Arial"/>
        </w:rPr>
      </w:pPr>
      <w:r w:rsidRPr="00844FB8">
        <w:rPr>
          <w:rFonts w:ascii="Arial" w:hAnsi="Arial" w:cs="Arial"/>
        </w:rPr>
        <w:t>Word count 4125</w:t>
      </w:r>
      <w:r>
        <w:rPr>
          <w:rFonts w:ascii="Arial" w:hAnsi="Arial" w:cs="Arial"/>
        </w:rPr>
        <w:t xml:space="preserve"> </w:t>
      </w:r>
      <w:proofErr w:type="spellStart"/>
      <w:r>
        <w:rPr>
          <w:rFonts w:ascii="Arial" w:hAnsi="Arial" w:cs="Arial"/>
        </w:rPr>
        <w:t>inc</w:t>
      </w:r>
      <w:proofErr w:type="spellEnd"/>
      <w:r>
        <w:rPr>
          <w:rFonts w:ascii="Arial" w:hAnsi="Arial" w:cs="Arial"/>
        </w:rPr>
        <w:t xml:space="preserve"> in text </w:t>
      </w:r>
      <w:proofErr w:type="spellStart"/>
      <w:r>
        <w:rPr>
          <w:rFonts w:ascii="Arial" w:hAnsi="Arial" w:cs="Arial"/>
        </w:rPr>
        <w:t>ciations</w:t>
      </w:r>
      <w:proofErr w:type="spellEnd"/>
    </w:p>
    <w:p w14:paraId="1C42383D" w14:textId="77777777" w:rsidR="00844FB8" w:rsidRDefault="00844FB8" w:rsidP="00C35A22">
      <w:pPr>
        <w:pStyle w:val="Heading1"/>
        <w:rPr>
          <w:rFonts w:ascii="Arial" w:hAnsi="Arial" w:cs="Arial"/>
          <w:color w:val="000000" w:themeColor="text1"/>
          <w:sz w:val="24"/>
          <w:szCs w:val="24"/>
          <w:u w:val="single"/>
        </w:rPr>
      </w:pPr>
      <w:bookmarkStart w:id="0" w:name="_Toc218713275"/>
    </w:p>
    <w:p w14:paraId="00BE0C8F" w14:textId="17A7D279" w:rsidR="00C35A22" w:rsidRPr="00E004D8" w:rsidRDefault="00C35A22" w:rsidP="00C35A22">
      <w:pPr>
        <w:pStyle w:val="Heading1"/>
        <w:rPr>
          <w:rFonts w:ascii="Arial" w:hAnsi="Arial" w:cs="Arial"/>
          <w:color w:val="000000" w:themeColor="text1"/>
          <w:sz w:val="24"/>
          <w:szCs w:val="24"/>
          <w:u w:val="single"/>
        </w:rPr>
      </w:pPr>
      <w:r w:rsidRPr="00E004D8">
        <w:rPr>
          <w:rFonts w:ascii="Arial" w:hAnsi="Arial" w:cs="Arial"/>
          <w:color w:val="000000" w:themeColor="text1"/>
          <w:sz w:val="24"/>
          <w:szCs w:val="24"/>
          <w:u w:val="single"/>
        </w:rPr>
        <w:t>Acknowledgement</w:t>
      </w:r>
      <w:bookmarkEnd w:id="0"/>
      <w:r w:rsidRPr="00E004D8">
        <w:rPr>
          <w:rFonts w:ascii="Arial" w:hAnsi="Arial" w:cs="Arial"/>
          <w:color w:val="000000" w:themeColor="text1"/>
          <w:sz w:val="24"/>
          <w:szCs w:val="24"/>
          <w:u w:val="single"/>
        </w:rPr>
        <w:t xml:space="preserve"> </w:t>
      </w:r>
    </w:p>
    <w:p w14:paraId="15F47170" w14:textId="290863BC" w:rsidR="00C35A22" w:rsidRPr="000A4DDA" w:rsidRDefault="00C35A22" w:rsidP="00C35A22">
      <w:pPr>
        <w:pStyle w:val="NormalWeb"/>
        <w:spacing w:line="360" w:lineRule="auto"/>
        <w:rPr>
          <w:rFonts w:ascii="Arial" w:hAnsi="Arial" w:cs="Arial"/>
        </w:rPr>
      </w:pPr>
      <w:r w:rsidRPr="000A4DDA">
        <w:rPr>
          <w:rFonts w:ascii="Arial" w:hAnsi="Arial" w:cs="Arial"/>
        </w:rPr>
        <w:t xml:space="preserve">I acknowledge the use of cite this for me and chat GPT on </w:t>
      </w:r>
      <w:r>
        <w:rPr>
          <w:rFonts w:ascii="Arial" w:hAnsi="Arial" w:cs="Arial"/>
        </w:rPr>
        <w:t>14</w:t>
      </w:r>
      <w:r w:rsidRPr="000A4DDA">
        <w:rPr>
          <w:rFonts w:ascii="Arial" w:hAnsi="Arial" w:cs="Arial"/>
        </w:rPr>
        <w:t>/</w:t>
      </w:r>
      <w:r>
        <w:rPr>
          <w:rFonts w:ascii="Arial" w:hAnsi="Arial" w:cs="Arial"/>
        </w:rPr>
        <w:t>4/26</w:t>
      </w:r>
      <w:r w:rsidRPr="000A4DDA">
        <w:rPr>
          <w:rFonts w:ascii="Arial" w:hAnsi="Arial" w:cs="Arial"/>
        </w:rPr>
        <w:t xml:space="preserve"> to arrange my reference list. I used the prompt(s): </w:t>
      </w:r>
    </w:p>
    <w:p w14:paraId="5DB0A4F6" w14:textId="0D9A1D0A" w:rsidR="00C35A22" w:rsidRPr="00C35A22" w:rsidRDefault="00C35A22" w:rsidP="00C35A22">
      <w:pPr>
        <w:pStyle w:val="NormalWeb"/>
        <w:numPr>
          <w:ilvl w:val="0"/>
          <w:numId w:val="2"/>
        </w:numPr>
        <w:spacing w:line="360" w:lineRule="auto"/>
        <w:rPr>
          <w:rFonts w:ascii="Arial" w:hAnsi="Arial" w:cs="Arial"/>
        </w:rPr>
      </w:pPr>
      <w:r w:rsidRPr="00C35A22">
        <w:rPr>
          <w:rFonts w:ascii="Arial" w:hAnsi="Arial" w:cs="Arial"/>
        </w:rPr>
        <w:t xml:space="preserve"> </w:t>
      </w:r>
      <w:r w:rsidRPr="00C35A22">
        <w:rPr>
          <w:rFonts w:ascii="Arial" w:hAnsi="Arial" w:cs="Arial"/>
          <w:color w:val="000000"/>
        </w:rPr>
        <w:t>Please put these references in alphabetical order</w:t>
      </w:r>
      <w:r w:rsidRPr="00C35A22">
        <w:rPr>
          <w:rStyle w:val="apple-converted-space"/>
          <w:rFonts w:ascii="Arial" w:eastAsiaTheme="majorEastAsia" w:hAnsi="Arial" w:cs="Arial"/>
          <w:color w:val="000000"/>
        </w:rPr>
        <w:t> </w:t>
      </w:r>
    </w:p>
    <w:p w14:paraId="5CB55D73" w14:textId="77777777" w:rsidR="00C35A22" w:rsidRPr="00C35A22" w:rsidRDefault="00C35A22" w:rsidP="00C35A22">
      <w:pPr>
        <w:pStyle w:val="NormalWeb"/>
        <w:numPr>
          <w:ilvl w:val="0"/>
          <w:numId w:val="2"/>
        </w:numPr>
        <w:spacing w:line="360" w:lineRule="auto"/>
        <w:rPr>
          <w:rFonts w:ascii="Arial" w:hAnsi="Arial" w:cs="Arial"/>
        </w:rPr>
      </w:pPr>
      <w:r w:rsidRPr="00C35A22">
        <w:rPr>
          <w:rFonts w:ascii="Arial" w:hAnsi="Arial" w:cs="Arial"/>
          <w:color w:val="000000"/>
        </w:rPr>
        <w:t>If there are any repeat citations with the same dates also, please label them a, b, c etc after the dates that are given.</w:t>
      </w:r>
    </w:p>
    <w:p w14:paraId="34CEF279" w14:textId="77777777" w:rsidR="00C35A22" w:rsidRPr="00C35A22" w:rsidRDefault="00C35A22" w:rsidP="00C35A22">
      <w:pPr>
        <w:pStyle w:val="NormalWeb"/>
        <w:numPr>
          <w:ilvl w:val="0"/>
          <w:numId w:val="2"/>
        </w:numPr>
        <w:spacing w:line="360" w:lineRule="auto"/>
        <w:rPr>
          <w:rFonts w:ascii="Arial" w:hAnsi="Arial" w:cs="Arial"/>
        </w:rPr>
      </w:pPr>
      <w:r w:rsidRPr="00C35A22">
        <w:rPr>
          <w:rFonts w:ascii="Arial" w:hAnsi="Arial" w:cs="Arial"/>
          <w:color w:val="000000"/>
        </w:rPr>
        <w:t>Just provide it here, thank you.</w:t>
      </w:r>
    </w:p>
    <w:p w14:paraId="0238E2CE" w14:textId="77777777" w:rsidR="00C35A22" w:rsidRPr="000A4DDA" w:rsidRDefault="00C35A22" w:rsidP="00C35A22">
      <w:pPr>
        <w:pStyle w:val="NormalWeb"/>
        <w:spacing w:line="360" w:lineRule="auto"/>
        <w:rPr>
          <w:rFonts w:ascii="Arial" w:hAnsi="Arial" w:cs="Arial"/>
        </w:rPr>
      </w:pPr>
      <w:r w:rsidRPr="000A4DDA">
        <w:rPr>
          <w:rFonts w:ascii="Arial" w:hAnsi="Arial" w:cs="Arial"/>
        </w:rPr>
        <w:t xml:space="preserve">I confirm that I have not presented any AI generated text as my own work. I confirm I have copies of my drafts, notes, and other resources I used before, and after the use of AI tools which I may be asked to provide in evidence. </w:t>
      </w:r>
    </w:p>
    <w:p w14:paraId="31D98487" w14:textId="77777777" w:rsidR="00C35A22" w:rsidRDefault="00C35A22">
      <w:pPr>
        <w:rPr>
          <w:rFonts w:ascii="Arial" w:hAnsi="Arial" w:cs="Arial"/>
          <w:u w:val="single"/>
        </w:rPr>
      </w:pPr>
      <w:r>
        <w:rPr>
          <w:rFonts w:ascii="Arial" w:hAnsi="Arial" w:cs="Arial"/>
          <w:u w:val="single"/>
        </w:rPr>
        <w:br w:type="page"/>
      </w:r>
    </w:p>
    <w:p w14:paraId="3E1B0584" w14:textId="49CBFDEF" w:rsidR="00D9207B" w:rsidRDefault="00D9207B" w:rsidP="00157CD9">
      <w:pPr>
        <w:rPr>
          <w:rFonts w:ascii="Arial" w:hAnsi="Arial" w:cs="Arial"/>
          <w:u w:val="single"/>
        </w:rPr>
      </w:pPr>
      <w:r w:rsidRPr="00D9207B">
        <w:rPr>
          <w:rFonts w:ascii="Arial" w:hAnsi="Arial" w:cs="Arial"/>
          <w:u w:val="single"/>
        </w:rPr>
        <w:t xml:space="preserve">References </w:t>
      </w:r>
    </w:p>
    <w:p w14:paraId="48F1B379" w14:textId="77777777" w:rsidR="00D9207B" w:rsidRDefault="00D9207B" w:rsidP="00157CD9">
      <w:pPr>
        <w:rPr>
          <w:rFonts w:ascii="Arial" w:hAnsi="Arial" w:cs="Arial"/>
          <w:u w:val="single"/>
        </w:rPr>
      </w:pPr>
    </w:p>
    <w:p w14:paraId="19048866"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Brooks-Hay, O., Burman, M. and Bradley, L. (2018)</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Domestic abuse and the criminal justice system: An integrated approach to policy and practice</w:t>
      </w:r>
      <w:r w:rsidRPr="00D9207B">
        <w:rPr>
          <w:rFonts w:ascii="Arial" w:hAnsi="Arial" w:cs="Arial"/>
          <w:color w:val="000000"/>
        </w:rPr>
        <w:t>. London: Palgrave Macmillan.</w:t>
      </w:r>
    </w:p>
    <w:p w14:paraId="5DF17803"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Burman, M. (2009) ‘Rape attrition in England and Wales’,</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Journal of Criminal Law</w:t>
      </w:r>
      <w:r w:rsidRPr="00D9207B">
        <w:rPr>
          <w:rFonts w:ascii="Arial" w:hAnsi="Arial" w:cs="Arial"/>
          <w:color w:val="000000"/>
        </w:rPr>
        <w:t>, 73(4), pp. 1–17.</w:t>
      </w:r>
    </w:p>
    <w:p w14:paraId="1395E575"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Burton, M., Sanders-McDonagh, E. and McCracken, K. (2021)</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Domestic abuse and safeguarding: Policy and practice</w:t>
      </w:r>
      <w:r w:rsidRPr="00D9207B">
        <w:rPr>
          <w:rFonts w:ascii="Arial" w:hAnsi="Arial" w:cs="Arial"/>
          <w:color w:val="000000"/>
        </w:rPr>
        <w:t>. London: Routledge.</w:t>
      </w:r>
    </w:p>
    <w:p w14:paraId="78906F39"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Campbell, R. (2005) ‘What really happened? A validation study of rape survivors’ help-seeking experiences with the legal and medical systems’,</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Violence and Victims</w:t>
      </w:r>
      <w:r w:rsidRPr="00D9207B">
        <w:rPr>
          <w:rFonts w:ascii="Arial" w:hAnsi="Arial" w:cs="Arial"/>
          <w:color w:val="000000"/>
        </w:rPr>
        <w:t>, 20(1), pp. 55–68.</w:t>
      </w:r>
    </w:p>
    <w:p w14:paraId="5807E6F9"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 xml:space="preserve">Centre for Women’s Justice, End Violence Against Women Coalition, </w:t>
      </w:r>
      <w:proofErr w:type="spellStart"/>
      <w:r w:rsidRPr="00D9207B">
        <w:rPr>
          <w:rFonts w:ascii="Arial" w:hAnsi="Arial" w:cs="Arial"/>
          <w:color w:val="000000"/>
        </w:rPr>
        <w:t>Imkaan</w:t>
      </w:r>
      <w:proofErr w:type="spellEnd"/>
      <w:r w:rsidRPr="00D9207B">
        <w:rPr>
          <w:rFonts w:ascii="Arial" w:hAnsi="Arial" w:cs="Arial"/>
          <w:color w:val="000000"/>
        </w:rPr>
        <w:t xml:space="preserve"> and Rape Crisis England &amp; Wales (2020)</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The decriminalisation of rape: Why the justice system is failing rape survivors and what needs to change</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6" w:tgtFrame="_new" w:history="1">
        <w:r w:rsidRPr="00D9207B">
          <w:rPr>
            <w:rStyle w:val="Hyperlink"/>
            <w:rFonts w:ascii="Arial" w:eastAsiaTheme="majorEastAsia" w:hAnsi="Arial" w:cs="Arial"/>
          </w:rPr>
          <w:t>https://www.endviolenceagainstwomen.org.uk/wp-content/uploads/C-Decriminalisation-of-Rape-Report-CWJ-EVAW-IMKAAN-RCEW-NOV-2020.pdf</w:t>
        </w:r>
      </w:hyperlink>
      <w:r w:rsidRPr="00D9207B">
        <w:rPr>
          <w:rStyle w:val="apple-converted-space"/>
          <w:rFonts w:ascii="Arial" w:eastAsiaTheme="majorEastAsia" w:hAnsi="Arial" w:cs="Arial"/>
          <w:color w:val="000000"/>
        </w:rPr>
        <w:t> </w:t>
      </w:r>
      <w:r w:rsidRPr="00D9207B">
        <w:rPr>
          <w:rFonts w:ascii="Arial" w:hAnsi="Arial" w:cs="Arial"/>
          <w:color w:val="000000"/>
        </w:rPr>
        <w:t>(Accessed: 7 April 2026).</w:t>
      </w:r>
    </w:p>
    <w:p w14:paraId="4234D5AB" w14:textId="77777777" w:rsidR="00D9207B" w:rsidRPr="00D9207B" w:rsidRDefault="00D9207B" w:rsidP="00D9207B">
      <w:pPr>
        <w:pStyle w:val="NormalWeb"/>
        <w:spacing w:line="360" w:lineRule="auto"/>
        <w:rPr>
          <w:rFonts w:ascii="Arial" w:hAnsi="Arial" w:cs="Arial"/>
          <w:color w:val="000000"/>
        </w:rPr>
      </w:pPr>
      <w:proofErr w:type="spellStart"/>
      <w:r w:rsidRPr="00D9207B">
        <w:rPr>
          <w:rFonts w:ascii="Arial" w:hAnsi="Arial" w:cs="Arial"/>
          <w:color w:val="000000"/>
        </w:rPr>
        <w:t>Chantler</w:t>
      </w:r>
      <w:proofErr w:type="spellEnd"/>
      <w:r w:rsidRPr="00D9207B">
        <w:rPr>
          <w:rFonts w:ascii="Arial" w:hAnsi="Arial" w:cs="Arial"/>
          <w:color w:val="000000"/>
        </w:rPr>
        <w:t xml:space="preserve">, K. and </w:t>
      </w:r>
      <w:proofErr w:type="spellStart"/>
      <w:r w:rsidRPr="00D9207B">
        <w:rPr>
          <w:rFonts w:ascii="Arial" w:hAnsi="Arial" w:cs="Arial"/>
          <w:color w:val="000000"/>
        </w:rPr>
        <w:t>Gangoli</w:t>
      </w:r>
      <w:proofErr w:type="spellEnd"/>
      <w:r w:rsidRPr="00D9207B">
        <w:rPr>
          <w:rFonts w:ascii="Arial" w:hAnsi="Arial" w:cs="Arial"/>
          <w:color w:val="000000"/>
        </w:rPr>
        <w:t xml:space="preserve">, G. (2011) ‘Violence against women in </w:t>
      </w:r>
      <w:proofErr w:type="spellStart"/>
      <w:r w:rsidRPr="00D9207B">
        <w:rPr>
          <w:rFonts w:ascii="Arial" w:hAnsi="Arial" w:cs="Arial"/>
          <w:color w:val="000000"/>
        </w:rPr>
        <w:t>minoritised</w:t>
      </w:r>
      <w:proofErr w:type="spellEnd"/>
      <w:r w:rsidRPr="00D9207B">
        <w:rPr>
          <w:rFonts w:ascii="Arial" w:hAnsi="Arial" w:cs="Arial"/>
          <w:color w:val="000000"/>
        </w:rPr>
        <w:t xml:space="preserve"> communities’,</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British Journal of Social Work</w:t>
      </w:r>
      <w:r w:rsidRPr="00D9207B">
        <w:rPr>
          <w:rFonts w:ascii="Arial" w:hAnsi="Arial" w:cs="Arial"/>
          <w:color w:val="000000"/>
        </w:rPr>
        <w:t>, 41(8), pp. 1512–1528.</w:t>
      </w:r>
    </w:p>
    <w:p w14:paraId="7FF5DA95"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Cheatham, I. (2019)</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The injustice of justice: Female sexual violence victims and the fear of coming forward</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7" w:tgtFrame="_new" w:history="1">
        <w:r w:rsidRPr="00D9207B">
          <w:rPr>
            <w:rStyle w:val="Hyperlink"/>
            <w:rFonts w:ascii="Arial" w:eastAsiaTheme="majorEastAsia" w:hAnsi="Arial" w:cs="Arial"/>
          </w:rPr>
          <w:t>https://thesurvivorstrust.org/wp-content/uploads/2024/01/POL3039_Dissertation_Original.pdf</w:t>
        </w:r>
      </w:hyperlink>
      <w:r w:rsidRPr="00D9207B">
        <w:rPr>
          <w:rStyle w:val="apple-converted-space"/>
          <w:rFonts w:ascii="Arial" w:eastAsiaTheme="majorEastAsia" w:hAnsi="Arial" w:cs="Arial"/>
          <w:color w:val="000000"/>
        </w:rPr>
        <w:t> </w:t>
      </w:r>
      <w:r w:rsidRPr="00D9207B">
        <w:rPr>
          <w:rFonts w:ascii="Arial" w:hAnsi="Arial" w:cs="Arial"/>
          <w:color w:val="000000"/>
        </w:rPr>
        <w:t>(Accessed: 7 April 2026).</w:t>
      </w:r>
    </w:p>
    <w:p w14:paraId="15CF81B0"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Christie, N. (1986) ‘The ideal victim’, in Fattah, E. (ed.)</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From Crime Policy to Victim Policy</w:t>
      </w:r>
      <w:r w:rsidRPr="00D9207B">
        <w:rPr>
          <w:rFonts w:ascii="Arial" w:hAnsi="Arial" w:cs="Arial"/>
          <w:color w:val="000000"/>
        </w:rPr>
        <w:t>. London: Macmillan.</w:t>
      </w:r>
    </w:p>
    <w:p w14:paraId="54AF04A5"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College of Policing (2021)</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Engaging with victims and witnesses</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8" w:tgtFrame="_new" w:history="1">
        <w:r w:rsidRPr="00D9207B">
          <w:rPr>
            <w:rStyle w:val="Hyperlink"/>
            <w:rFonts w:ascii="Arial" w:eastAsiaTheme="majorEastAsia" w:hAnsi="Arial" w:cs="Arial"/>
          </w:rPr>
          <w:t>https://www.college.police.uk</w:t>
        </w:r>
      </w:hyperlink>
      <w:r w:rsidRPr="00D9207B">
        <w:rPr>
          <w:rFonts w:ascii="Arial" w:hAnsi="Arial" w:cs="Arial"/>
          <w:color w:val="000000"/>
        </w:rPr>
        <w:t>(Accessed: 7 April 2026).</w:t>
      </w:r>
    </w:p>
    <w:p w14:paraId="59520143"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College of Policing (2022)</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Authorised Professional Practice: Victims and witnesses</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9" w:tgtFrame="_new" w:history="1">
        <w:r w:rsidRPr="00D9207B">
          <w:rPr>
            <w:rStyle w:val="Hyperlink"/>
            <w:rFonts w:ascii="Arial" w:eastAsiaTheme="majorEastAsia" w:hAnsi="Arial" w:cs="Arial"/>
          </w:rPr>
          <w:t>https://www.college.police.uk</w:t>
        </w:r>
      </w:hyperlink>
      <w:r w:rsidRPr="00D9207B">
        <w:rPr>
          <w:rStyle w:val="apple-converted-space"/>
          <w:rFonts w:ascii="Arial" w:eastAsiaTheme="majorEastAsia" w:hAnsi="Arial" w:cs="Arial"/>
          <w:color w:val="000000"/>
        </w:rPr>
        <w:t> </w:t>
      </w:r>
      <w:r w:rsidRPr="00D9207B">
        <w:rPr>
          <w:rFonts w:ascii="Arial" w:hAnsi="Arial" w:cs="Arial"/>
          <w:color w:val="000000"/>
        </w:rPr>
        <w:t>(Accessed: 7 April 2026).</w:t>
      </w:r>
    </w:p>
    <w:p w14:paraId="3A074095"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College of Policing (2023)</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Authorised Professional Practice: Investigation</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10" w:tgtFrame="_new" w:history="1">
        <w:r w:rsidRPr="00D9207B">
          <w:rPr>
            <w:rStyle w:val="Hyperlink"/>
            <w:rFonts w:ascii="Arial" w:eastAsiaTheme="majorEastAsia" w:hAnsi="Arial" w:cs="Arial"/>
          </w:rPr>
          <w:t>https://www.college.police.uk</w:t>
        </w:r>
      </w:hyperlink>
      <w:r w:rsidRPr="00D9207B">
        <w:rPr>
          <w:rStyle w:val="apple-converted-space"/>
          <w:rFonts w:ascii="Arial" w:eastAsiaTheme="majorEastAsia" w:hAnsi="Arial" w:cs="Arial"/>
          <w:color w:val="000000"/>
        </w:rPr>
        <w:t> </w:t>
      </w:r>
      <w:r w:rsidRPr="00D9207B">
        <w:rPr>
          <w:rFonts w:ascii="Arial" w:hAnsi="Arial" w:cs="Arial"/>
          <w:color w:val="000000"/>
        </w:rPr>
        <w:t>(Accessed: 7 April 2026).</w:t>
      </w:r>
    </w:p>
    <w:p w14:paraId="4345546B"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Crenshaw, K. (1989) ‘Demarginalizing the intersection of race and sex’,</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University of Chicago Legal Forum</w:t>
      </w:r>
      <w:r w:rsidRPr="00D9207B">
        <w:rPr>
          <w:rFonts w:ascii="Arial" w:hAnsi="Arial" w:cs="Arial"/>
          <w:color w:val="000000"/>
        </w:rPr>
        <w:t>, pp. 139–167.</w:t>
      </w:r>
    </w:p>
    <w:p w14:paraId="55C460DD"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Crown Office and Procurator Fiscal Service (COPFS) (2024)</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Vulnerable victims and witnesses</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11" w:tgtFrame="_new" w:history="1">
        <w:r w:rsidRPr="00D9207B">
          <w:rPr>
            <w:rStyle w:val="Hyperlink"/>
            <w:rFonts w:ascii="Arial" w:eastAsiaTheme="majorEastAsia" w:hAnsi="Arial" w:cs="Arial"/>
          </w:rPr>
          <w:t>https://www.copfs.gov.uk/services/support-at-court/vulnerable-victims-and-witnesses/</w:t>
        </w:r>
      </w:hyperlink>
      <w:r w:rsidRPr="00D9207B">
        <w:rPr>
          <w:rStyle w:val="apple-converted-space"/>
          <w:rFonts w:ascii="Arial" w:eastAsiaTheme="majorEastAsia" w:hAnsi="Arial" w:cs="Arial"/>
          <w:color w:val="000000"/>
        </w:rPr>
        <w:t> </w:t>
      </w:r>
      <w:r w:rsidRPr="00D9207B">
        <w:rPr>
          <w:rFonts w:ascii="Arial" w:hAnsi="Arial" w:cs="Arial"/>
          <w:color w:val="000000"/>
        </w:rPr>
        <w:t>(Accessed: 7 April 2026).</w:t>
      </w:r>
    </w:p>
    <w:p w14:paraId="69C4EFE0"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Crown Prosecution Service (2023)</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Violence against women and girls report</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12" w:tgtFrame="_new" w:history="1">
        <w:r w:rsidRPr="00D9207B">
          <w:rPr>
            <w:rStyle w:val="Hyperlink"/>
            <w:rFonts w:ascii="Arial" w:eastAsiaTheme="majorEastAsia" w:hAnsi="Arial" w:cs="Arial"/>
          </w:rPr>
          <w:t>https://www.cps.gov.uk</w:t>
        </w:r>
      </w:hyperlink>
      <w:r w:rsidRPr="00D9207B">
        <w:rPr>
          <w:rFonts w:ascii="Arial" w:hAnsi="Arial" w:cs="Arial"/>
          <w:color w:val="000000"/>
        </w:rPr>
        <w:t>(Accessed: 7 April 2026).</w:t>
      </w:r>
    </w:p>
    <w:p w14:paraId="43334C4D"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Crown Prosecution Service (2024)</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The Code for Crown Prosecutors</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13" w:tgtFrame="_new" w:history="1">
        <w:r w:rsidRPr="00D9207B">
          <w:rPr>
            <w:rStyle w:val="Hyperlink"/>
            <w:rFonts w:ascii="Arial" w:eastAsiaTheme="majorEastAsia" w:hAnsi="Arial" w:cs="Arial"/>
          </w:rPr>
          <w:t>https://www.cps.gov.uk</w:t>
        </w:r>
      </w:hyperlink>
      <w:r w:rsidRPr="00D9207B">
        <w:rPr>
          <w:rFonts w:ascii="Arial" w:hAnsi="Arial" w:cs="Arial"/>
          <w:color w:val="000000"/>
        </w:rPr>
        <w:t>(Accessed: 7 April 2026).</w:t>
      </w:r>
    </w:p>
    <w:p w14:paraId="2202FD57"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 xml:space="preserve">Daly, K. and </w:t>
      </w:r>
      <w:proofErr w:type="spellStart"/>
      <w:r w:rsidRPr="00D9207B">
        <w:rPr>
          <w:rFonts w:ascii="Arial" w:hAnsi="Arial" w:cs="Arial"/>
          <w:color w:val="000000"/>
        </w:rPr>
        <w:t>Bouhours</w:t>
      </w:r>
      <w:proofErr w:type="spellEnd"/>
      <w:r w:rsidRPr="00D9207B">
        <w:rPr>
          <w:rFonts w:ascii="Arial" w:hAnsi="Arial" w:cs="Arial"/>
          <w:color w:val="000000"/>
        </w:rPr>
        <w:t>, B. (2010) ‘Rape and attrition in the legal process’,</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Crime and Justice</w:t>
      </w:r>
      <w:r w:rsidRPr="00D9207B">
        <w:rPr>
          <w:rFonts w:ascii="Arial" w:hAnsi="Arial" w:cs="Arial"/>
          <w:color w:val="000000"/>
        </w:rPr>
        <w:t>, 39(1), pp. 565–650.</w:t>
      </w:r>
    </w:p>
    <w:p w14:paraId="67BDC480"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Duggan, M. (2020)</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The Criminalisation of Victims</w:t>
      </w:r>
      <w:r w:rsidRPr="00D9207B">
        <w:rPr>
          <w:rFonts w:ascii="Arial" w:hAnsi="Arial" w:cs="Arial"/>
          <w:color w:val="000000"/>
        </w:rPr>
        <w:t>. London: Palgrave Macmillan.</w:t>
      </w:r>
    </w:p>
    <w:p w14:paraId="762850CB"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 xml:space="preserve">Ellison, </w:t>
      </w:r>
      <w:proofErr w:type="gramStart"/>
      <w:r w:rsidRPr="00D9207B">
        <w:rPr>
          <w:rFonts w:ascii="Arial" w:hAnsi="Arial" w:cs="Arial"/>
          <w:color w:val="000000"/>
        </w:rPr>
        <w:t>L.</w:t>
      </w:r>
      <w:proofErr w:type="gramEnd"/>
      <w:r w:rsidRPr="00D9207B">
        <w:rPr>
          <w:rFonts w:ascii="Arial" w:hAnsi="Arial" w:cs="Arial"/>
          <w:color w:val="000000"/>
        </w:rPr>
        <w:t xml:space="preserve"> and Munro, V.E. (2017) ‘Taking trauma seriously: Critical reflections on the criminal justice process’,</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International Journal of Evidence &amp; Proof</w:t>
      </w:r>
      <w:r w:rsidRPr="00D9207B">
        <w:rPr>
          <w:rFonts w:ascii="Arial" w:hAnsi="Arial" w:cs="Arial"/>
          <w:color w:val="000000"/>
        </w:rPr>
        <w:t>, 21(3), pp. 183–208.</w:t>
      </w:r>
    </w:p>
    <w:p w14:paraId="03B063FA"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 xml:space="preserve">Ellison, </w:t>
      </w:r>
      <w:proofErr w:type="gramStart"/>
      <w:r w:rsidRPr="00D9207B">
        <w:rPr>
          <w:rFonts w:ascii="Arial" w:hAnsi="Arial" w:cs="Arial"/>
          <w:color w:val="000000"/>
        </w:rPr>
        <w:t>L.</w:t>
      </w:r>
      <w:proofErr w:type="gramEnd"/>
      <w:r w:rsidRPr="00D9207B">
        <w:rPr>
          <w:rFonts w:ascii="Arial" w:hAnsi="Arial" w:cs="Arial"/>
          <w:color w:val="000000"/>
        </w:rPr>
        <w:t xml:space="preserve"> and Munro, V.E. (2019) ‘Barriers to justice in sexual offence trials’,</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Social &amp; Legal Studies</w:t>
      </w:r>
      <w:r w:rsidRPr="00D9207B">
        <w:rPr>
          <w:rFonts w:ascii="Arial" w:hAnsi="Arial" w:cs="Arial"/>
          <w:color w:val="000000"/>
        </w:rPr>
        <w:t>, 28(3), pp. 1–20.</w:t>
      </w:r>
    </w:p>
    <w:p w14:paraId="20F81469" w14:textId="77777777" w:rsidR="00D9207B" w:rsidRPr="00D9207B" w:rsidRDefault="00D9207B" w:rsidP="00D9207B">
      <w:pPr>
        <w:pStyle w:val="NormalWeb"/>
        <w:spacing w:line="360" w:lineRule="auto"/>
        <w:rPr>
          <w:rFonts w:ascii="Arial" w:hAnsi="Arial" w:cs="Arial"/>
          <w:color w:val="000000"/>
        </w:rPr>
      </w:pPr>
      <w:proofErr w:type="spellStart"/>
      <w:r w:rsidRPr="00D9207B">
        <w:rPr>
          <w:rFonts w:ascii="Arial" w:hAnsi="Arial" w:cs="Arial"/>
          <w:color w:val="000000"/>
        </w:rPr>
        <w:t>Erez</w:t>
      </w:r>
      <w:proofErr w:type="spellEnd"/>
      <w:r w:rsidRPr="00D9207B">
        <w:rPr>
          <w:rFonts w:ascii="Arial" w:hAnsi="Arial" w:cs="Arial"/>
          <w:color w:val="000000"/>
        </w:rPr>
        <w:t>, E. and Bosworth, M. (2003) ‘Immigration, race and victimization’,</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Theoretical Criminology</w:t>
      </w:r>
      <w:r w:rsidRPr="00D9207B">
        <w:rPr>
          <w:rFonts w:ascii="Arial" w:hAnsi="Arial" w:cs="Arial"/>
          <w:color w:val="000000"/>
        </w:rPr>
        <w:t>, 7(3), pp. 381–397.</w:t>
      </w:r>
    </w:p>
    <w:p w14:paraId="6833C886"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Femi-Ajao, O., Kendal, S. and Lovell, K. (2020) ‘A qualitative systematic review…’,</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Ethnicity &amp; Health</w:t>
      </w:r>
      <w:r w:rsidRPr="00D9207B">
        <w:rPr>
          <w:rFonts w:ascii="Arial" w:hAnsi="Arial" w:cs="Arial"/>
          <w:color w:val="000000"/>
        </w:rPr>
        <w:t>, 25(5), pp. 732–746.</w:t>
      </w:r>
    </w:p>
    <w:p w14:paraId="25A0A85B" w14:textId="77777777" w:rsidR="00D9207B" w:rsidRPr="00D9207B" w:rsidRDefault="00D9207B" w:rsidP="00D9207B">
      <w:pPr>
        <w:pStyle w:val="NormalWeb"/>
        <w:spacing w:line="360" w:lineRule="auto"/>
        <w:rPr>
          <w:rFonts w:ascii="Arial" w:hAnsi="Arial" w:cs="Arial"/>
          <w:color w:val="000000"/>
        </w:rPr>
      </w:pPr>
      <w:proofErr w:type="spellStart"/>
      <w:r w:rsidRPr="00D9207B">
        <w:rPr>
          <w:rFonts w:ascii="Arial" w:hAnsi="Arial" w:cs="Arial"/>
          <w:color w:val="000000"/>
        </w:rPr>
        <w:t>Gekoski</w:t>
      </w:r>
      <w:proofErr w:type="spellEnd"/>
      <w:r w:rsidRPr="00D9207B">
        <w:rPr>
          <w:rFonts w:ascii="Arial" w:hAnsi="Arial" w:cs="Arial"/>
          <w:color w:val="000000"/>
        </w:rPr>
        <w:t>, A., Horvath, M.A.H. and Davies, K. (2026) ‘Police officers’ perspectives…’,</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Psychology, Crime &amp; Law</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14" w:tgtFrame="_new" w:history="1">
        <w:r w:rsidRPr="00D9207B">
          <w:rPr>
            <w:rStyle w:val="Hyperlink"/>
            <w:rFonts w:ascii="Arial" w:eastAsiaTheme="majorEastAsia" w:hAnsi="Arial" w:cs="Arial"/>
          </w:rPr>
          <w:t>https://www.tandfonline.com/doi/full/10.1080/1068316X.2025.2611338</w:t>
        </w:r>
      </w:hyperlink>
      <w:r w:rsidRPr="00D9207B">
        <w:rPr>
          <w:rStyle w:val="apple-converted-space"/>
          <w:rFonts w:ascii="Arial" w:eastAsiaTheme="majorEastAsia" w:hAnsi="Arial" w:cs="Arial"/>
          <w:color w:val="000000"/>
        </w:rPr>
        <w:t> </w:t>
      </w:r>
      <w:r w:rsidRPr="00D9207B">
        <w:rPr>
          <w:rFonts w:ascii="Arial" w:hAnsi="Arial" w:cs="Arial"/>
          <w:color w:val="000000"/>
        </w:rPr>
        <w:t>(Accessed: 7 April 2026).</w:t>
      </w:r>
    </w:p>
    <w:p w14:paraId="1F675F36"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Gill, A.K., Harrison, K. and Patel, P. (2022)</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Violence against women in the criminal justice system</w:t>
      </w:r>
      <w:r w:rsidRPr="00D9207B">
        <w:rPr>
          <w:rFonts w:ascii="Arial" w:hAnsi="Arial" w:cs="Arial"/>
          <w:color w:val="000000"/>
        </w:rPr>
        <w:t>. Bristol: Policy Press.</w:t>
      </w:r>
    </w:p>
    <w:p w14:paraId="5BBC5E47"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Heidensohn, F. and Silvestri, M. (2012) ‘Gender and crime’, in Maguire et al. (eds.)</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The Oxford Handbook of Criminology</w:t>
      </w:r>
      <w:r w:rsidRPr="00D9207B">
        <w:rPr>
          <w:rFonts w:ascii="Arial" w:hAnsi="Arial" w:cs="Arial"/>
          <w:color w:val="000000"/>
        </w:rPr>
        <w:t>. Oxford: Oxford University Press.</w:t>
      </w:r>
    </w:p>
    <w:p w14:paraId="6479A474"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Hester, M. (2013)</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Who does what to whom?</w:t>
      </w:r>
      <w:r w:rsidRPr="00D9207B">
        <w:rPr>
          <w:rStyle w:val="apple-converted-space"/>
          <w:rFonts w:ascii="Arial" w:eastAsiaTheme="majorEastAsia" w:hAnsi="Arial" w:cs="Arial"/>
          <w:color w:val="000000"/>
        </w:rPr>
        <w:t> </w:t>
      </w:r>
      <w:r w:rsidRPr="00D9207B">
        <w:rPr>
          <w:rFonts w:ascii="Arial" w:hAnsi="Arial" w:cs="Arial"/>
          <w:color w:val="000000"/>
        </w:rPr>
        <w:t>Bristol: Policy Press.</w:t>
      </w:r>
    </w:p>
    <w:p w14:paraId="29A6EE1A"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His Majesty’s Inspectorate of Constabulary and Fire &amp; Rescue Services (HMICFRS) (2020)</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Safe to share?</w:t>
      </w:r>
      <w:r w:rsidRPr="00D9207B">
        <w:rPr>
          <w:rStyle w:val="apple-converted-space"/>
          <w:rFonts w:ascii="Arial" w:eastAsiaTheme="majorEastAsia" w:hAnsi="Arial" w:cs="Arial"/>
          <w:color w:val="000000"/>
        </w:rPr>
        <w:t> </w:t>
      </w:r>
      <w:r w:rsidRPr="00D9207B">
        <w:rPr>
          <w:rFonts w:ascii="Arial" w:hAnsi="Arial" w:cs="Arial"/>
          <w:color w:val="000000"/>
        </w:rPr>
        <w:t>Available at:</w:t>
      </w:r>
      <w:r w:rsidRPr="00D9207B">
        <w:rPr>
          <w:rStyle w:val="apple-converted-space"/>
          <w:rFonts w:ascii="Arial" w:eastAsiaTheme="majorEastAsia" w:hAnsi="Arial" w:cs="Arial"/>
          <w:color w:val="000000"/>
        </w:rPr>
        <w:t> </w:t>
      </w:r>
      <w:hyperlink r:id="rId15" w:tgtFrame="_new" w:history="1">
        <w:r w:rsidRPr="00D9207B">
          <w:rPr>
            <w:rStyle w:val="Hyperlink"/>
            <w:rFonts w:ascii="Arial" w:eastAsiaTheme="majorEastAsia" w:hAnsi="Arial" w:cs="Arial"/>
          </w:rPr>
          <w:t>https://www.justiceinspectorates.gov.uk/hmicfrs/publications/safe-to-share/</w:t>
        </w:r>
      </w:hyperlink>
      <w:r w:rsidRPr="00D9207B">
        <w:rPr>
          <w:rStyle w:val="apple-converted-space"/>
          <w:rFonts w:ascii="Arial" w:eastAsiaTheme="majorEastAsia" w:hAnsi="Arial" w:cs="Arial"/>
          <w:color w:val="000000"/>
        </w:rPr>
        <w:t> </w:t>
      </w:r>
      <w:r w:rsidRPr="00D9207B">
        <w:rPr>
          <w:rFonts w:ascii="Arial" w:hAnsi="Arial" w:cs="Arial"/>
          <w:color w:val="000000"/>
        </w:rPr>
        <w:t>(Accessed: 7 April 2026).</w:t>
      </w:r>
    </w:p>
    <w:p w14:paraId="04092DDF"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His Majesty’s Inspectorate of Constabulary and Fire &amp; Rescue Services (HMICFRS) (2021)</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The police response to vulnerable people</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16" w:tgtFrame="_new" w:history="1">
        <w:r w:rsidRPr="00D9207B">
          <w:rPr>
            <w:rStyle w:val="Hyperlink"/>
            <w:rFonts w:ascii="Arial" w:eastAsiaTheme="majorEastAsia" w:hAnsi="Arial" w:cs="Arial"/>
          </w:rPr>
          <w:t>https://www.justiceinspectorates.gov.uk/hmicfrs/publications/the-police-response-to-vulnerable-people/</w:t>
        </w:r>
      </w:hyperlink>
      <w:r w:rsidRPr="00D9207B">
        <w:rPr>
          <w:rStyle w:val="apple-converted-space"/>
          <w:rFonts w:ascii="Arial" w:eastAsiaTheme="majorEastAsia" w:hAnsi="Arial" w:cs="Arial"/>
          <w:color w:val="000000"/>
        </w:rPr>
        <w:t> </w:t>
      </w:r>
      <w:r w:rsidRPr="00D9207B">
        <w:rPr>
          <w:rFonts w:ascii="Arial" w:hAnsi="Arial" w:cs="Arial"/>
          <w:color w:val="000000"/>
        </w:rPr>
        <w:t>(Accessed: 7 April 2026).</w:t>
      </w:r>
    </w:p>
    <w:p w14:paraId="6F316FFE"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His Majesty’s Inspectorate of Constabulary and Fire &amp; Rescue Services (HMICFRS) (2023)</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State of policing</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17" w:tgtFrame="_new" w:history="1">
        <w:r w:rsidRPr="00D9207B">
          <w:rPr>
            <w:rStyle w:val="Hyperlink"/>
            <w:rFonts w:ascii="Arial" w:eastAsiaTheme="majorEastAsia" w:hAnsi="Arial" w:cs="Arial"/>
          </w:rPr>
          <w:t>https://www.justiceinspectorates.gov.uk</w:t>
        </w:r>
      </w:hyperlink>
    </w:p>
    <w:p w14:paraId="56A25503" w14:textId="77777777" w:rsidR="00D9207B" w:rsidRPr="00D9207B" w:rsidRDefault="00D9207B" w:rsidP="00D9207B">
      <w:pPr>
        <w:pStyle w:val="NormalWeb"/>
        <w:spacing w:line="360" w:lineRule="auto"/>
        <w:rPr>
          <w:rFonts w:ascii="Arial" w:hAnsi="Arial" w:cs="Arial"/>
          <w:color w:val="000000"/>
        </w:rPr>
      </w:pPr>
      <w:proofErr w:type="spellStart"/>
      <w:r w:rsidRPr="00D9207B">
        <w:rPr>
          <w:rFonts w:ascii="Arial" w:hAnsi="Arial" w:cs="Arial"/>
          <w:color w:val="000000"/>
        </w:rPr>
        <w:t>Hohl</w:t>
      </w:r>
      <w:proofErr w:type="spellEnd"/>
      <w:r w:rsidRPr="00D9207B">
        <w:rPr>
          <w:rFonts w:ascii="Arial" w:hAnsi="Arial" w:cs="Arial"/>
          <w:color w:val="000000"/>
        </w:rPr>
        <w:t>, K. and Stanko, E.A. (2015) ‘Complaints of rape…’,</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European Journal of Criminology</w:t>
      </w:r>
      <w:r w:rsidRPr="00D9207B">
        <w:rPr>
          <w:rFonts w:ascii="Arial" w:hAnsi="Arial" w:cs="Arial"/>
          <w:color w:val="000000"/>
        </w:rPr>
        <w:t>, 12(3), pp. 324–341.</w:t>
      </w:r>
    </w:p>
    <w:p w14:paraId="2CA449F4"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House of Commons Justice Committee (2023)</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Court capacity and backlog</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18" w:tgtFrame="_new" w:history="1">
        <w:r w:rsidRPr="00D9207B">
          <w:rPr>
            <w:rStyle w:val="Hyperlink"/>
            <w:rFonts w:ascii="Arial" w:eastAsiaTheme="majorEastAsia" w:hAnsi="Arial" w:cs="Arial"/>
          </w:rPr>
          <w:t>https://committees.parliament.uk/publications/</w:t>
        </w:r>
      </w:hyperlink>
      <w:r w:rsidRPr="00D9207B">
        <w:rPr>
          <w:rStyle w:val="apple-converted-space"/>
          <w:rFonts w:ascii="Arial" w:eastAsiaTheme="majorEastAsia" w:hAnsi="Arial" w:cs="Arial"/>
          <w:color w:val="000000"/>
        </w:rPr>
        <w:t> </w:t>
      </w:r>
      <w:r w:rsidRPr="00D9207B">
        <w:rPr>
          <w:rFonts w:ascii="Arial" w:hAnsi="Arial" w:cs="Arial"/>
          <w:color w:val="000000"/>
        </w:rPr>
        <w:t>(Accessed: 7 April 2026).</w:t>
      </w:r>
    </w:p>
    <w:p w14:paraId="35B5E4C4" w14:textId="77777777" w:rsidR="00D9207B" w:rsidRPr="00D9207B" w:rsidRDefault="00D9207B" w:rsidP="00D9207B">
      <w:pPr>
        <w:pStyle w:val="NormalWeb"/>
        <w:spacing w:line="360" w:lineRule="auto"/>
        <w:rPr>
          <w:rFonts w:ascii="Arial" w:hAnsi="Arial" w:cs="Arial"/>
          <w:color w:val="000000"/>
        </w:rPr>
      </w:pPr>
      <w:proofErr w:type="spellStart"/>
      <w:r w:rsidRPr="00D9207B">
        <w:rPr>
          <w:rFonts w:ascii="Arial" w:hAnsi="Arial" w:cs="Arial"/>
          <w:color w:val="000000"/>
        </w:rPr>
        <w:t>Hulley</w:t>
      </w:r>
      <w:proofErr w:type="spellEnd"/>
      <w:r w:rsidRPr="00D9207B">
        <w:rPr>
          <w:rFonts w:ascii="Arial" w:hAnsi="Arial" w:cs="Arial"/>
          <w:color w:val="000000"/>
        </w:rPr>
        <w:t>, J., Haynes, A. and Bows, H. (2023) ‘Intimate partner violence…’,</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Trauma, Violence, &amp; Abuse</w:t>
      </w:r>
      <w:r w:rsidRPr="00D9207B">
        <w:rPr>
          <w:rFonts w:ascii="Arial" w:hAnsi="Arial" w:cs="Arial"/>
          <w:color w:val="000000"/>
        </w:rPr>
        <w:t>.</w:t>
      </w:r>
    </w:p>
    <w:p w14:paraId="1E1605DA"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Independent Office for Police Conduct (IOPC) (2023)</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Challenging race discrimination…</w:t>
      </w:r>
      <w:r w:rsidRPr="00D9207B">
        <w:rPr>
          <w:rStyle w:val="apple-converted-space"/>
          <w:rFonts w:ascii="Arial" w:eastAsiaTheme="majorEastAsia" w:hAnsi="Arial" w:cs="Arial"/>
          <w:color w:val="000000"/>
        </w:rPr>
        <w:t> </w:t>
      </w:r>
      <w:r w:rsidRPr="00D9207B">
        <w:rPr>
          <w:rFonts w:ascii="Arial" w:hAnsi="Arial" w:cs="Arial"/>
          <w:color w:val="000000"/>
        </w:rPr>
        <w:t>Available at:</w:t>
      </w:r>
      <w:r w:rsidRPr="00D9207B">
        <w:rPr>
          <w:rStyle w:val="apple-converted-space"/>
          <w:rFonts w:ascii="Arial" w:eastAsiaTheme="majorEastAsia" w:hAnsi="Arial" w:cs="Arial"/>
          <w:color w:val="000000"/>
        </w:rPr>
        <w:t> </w:t>
      </w:r>
      <w:hyperlink r:id="rId19" w:tgtFrame="_new" w:history="1">
        <w:r w:rsidRPr="00D9207B">
          <w:rPr>
            <w:rStyle w:val="Hyperlink"/>
            <w:rFonts w:ascii="Arial" w:eastAsiaTheme="majorEastAsia" w:hAnsi="Arial" w:cs="Arial"/>
          </w:rPr>
          <w:t>https://www.policeconduct.gov.uk/news/challenging-race-discrimination-policing-my-reflections-national-black-police-association</w:t>
        </w:r>
      </w:hyperlink>
      <w:r w:rsidRPr="00D9207B">
        <w:rPr>
          <w:rStyle w:val="apple-converted-space"/>
          <w:rFonts w:ascii="Arial" w:eastAsiaTheme="majorEastAsia" w:hAnsi="Arial" w:cs="Arial"/>
          <w:color w:val="000000"/>
        </w:rPr>
        <w:t> </w:t>
      </w:r>
      <w:r w:rsidRPr="00D9207B">
        <w:rPr>
          <w:rFonts w:ascii="Arial" w:hAnsi="Arial" w:cs="Arial"/>
          <w:color w:val="000000"/>
        </w:rPr>
        <w:t>(Accessed: 7 April 2026).</w:t>
      </w:r>
    </w:p>
    <w:p w14:paraId="4DEB3D15"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Independent Office for Police Conduct (IOPC) (2024)</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Race discrimination report</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20" w:tgtFrame="_new" w:history="1">
        <w:r w:rsidRPr="00D9207B">
          <w:rPr>
            <w:rStyle w:val="Hyperlink"/>
            <w:rFonts w:ascii="Arial" w:eastAsiaTheme="majorEastAsia" w:hAnsi="Arial" w:cs="Arial"/>
          </w:rPr>
          <w:t>https://www.policeconduct.gov.uk/sites/default/files/documents/iopc-race-discrimination-report-November-24.pdf</w:t>
        </w:r>
      </w:hyperlink>
      <w:r w:rsidRPr="00D9207B">
        <w:rPr>
          <w:rFonts w:ascii="Arial" w:hAnsi="Arial" w:cs="Arial"/>
          <w:color w:val="000000"/>
        </w:rPr>
        <w:t>(Accessed: 7 April 2026).</w:t>
      </w:r>
    </w:p>
    <w:p w14:paraId="54933402" w14:textId="77777777" w:rsidR="00D9207B" w:rsidRPr="00D9207B" w:rsidRDefault="00D9207B" w:rsidP="00D9207B">
      <w:pPr>
        <w:pStyle w:val="NormalWeb"/>
        <w:spacing w:line="360" w:lineRule="auto"/>
        <w:rPr>
          <w:rFonts w:ascii="Arial" w:hAnsi="Arial" w:cs="Arial"/>
          <w:color w:val="000000"/>
        </w:rPr>
      </w:pPr>
      <w:proofErr w:type="spellStart"/>
      <w:r w:rsidRPr="00D9207B">
        <w:rPr>
          <w:rFonts w:ascii="Arial" w:hAnsi="Arial" w:cs="Arial"/>
          <w:color w:val="000000"/>
        </w:rPr>
        <w:t>Inzunza</w:t>
      </w:r>
      <w:proofErr w:type="spellEnd"/>
      <w:r w:rsidRPr="00D9207B">
        <w:rPr>
          <w:rFonts w:ascii="Arial" w:hAnsi="Arial" w:cs="Arial"/>
          <w:color w:val="000000"/>
        </w:rPr>
        <w:t xml:space="preserve">, M. (2022) ‘The significance of victim </w:t>
      </w:r>
      <w:proofErr w:type="spellStart"/>
      <w:r w:rsidRPr="00D9207B">
        <w:rPr>
          <w:rFonts w:ascii="Arial" w:hAnsi="Arial" w:cs="Arial"/>
          <w:color w:val="000000"/>
        </w:rPr>
        <w:t>ideality</w:t>
      </w:r>
      <w:proofErr w:type="spellEnd"/>
      <w:r w:rsidRPr="00D9207B">
        <w:rPr>
          <w:rFonts w:ascii="Arial" w:hAnsi="Arial" w:cs="Arial"/>
          <w:color w:val="000000"/>
        </w:rPr>
        <w:t>…’,</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International Journal of Law, Crime and Justice</w:t>
      </w:r>
      <w:r w:rsidRPr="00D9207B">
        <w:rPr>
          <w:rFonts w:ascii="Arial" w:hAnsi="Arial" w:cs="Arial"/>
          <w:color w:val="000000"/>
        </w:rPr>
        <w:t>, 68.</w:t>
      </w:r>
    </w:p>
    <w:p w14:paraId="2E3F015A"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Justice (2018)</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Preventing digital exclusion from online justice</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21" w:tgtFrame="_new" w:history="1">
        <w:r w:rsidRPr="00D9207B">
          <w:rPr>
            <w:rStyle w:val="Hyperlink"/>
            <w:rFonts w:ascii="Arial" w:eastAsiaTheme="majorEastAsia" w:hAnsi="Arial" w:cs="Arial"/>
          </w:rPr>
          <w:t>https://files.justice.org.uk</w:t>
        </w:r>
      </w:hyperlink>
      <w:r w:rsidRPr="00D9207B">
        <w:rPr>
          <w:rStyle w:val="apple-converted-space"/>
          <w:rFonts w:ascii="Arial" w:eastAsiaTheme="majorEastAsia" w:hAnsi="Arial" w:cs="Arial"/>
          <w:color w:val="000000"/>
        </w:rPr>
        <w:t> </w:t>
      </w:r>
      <w:r w:rsidRPr="00D9207B">
        <w:rPr>
          <w:rFonts w:ascii="Arial" w:hAnsi="Arial" w:cs="Arial"/>
          <w:color w:val="000000"/>
        </w:rPr>
        <w:t>(Accessed: 7 April 2026).</w:t>
      </w:r>
    </w:p>
    <w:p w14:paraId="42239E41"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Kelly, L., Lovett, J. and Regan, L. (2005)</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A gap or a chasm?</w:t>
      </w:r>
      <w:r w:rsidRPr="00D9207B">
        <w:rPr>
          <w:rStyle w:val="apple-converted-space"/>
          <w:rFonts w:ascii="Arial" w:eastAsiaTheme="majorEastAsia" w:hAnsi="Arial" w:cs="Arial"/>
          <w:color w:val="000000"/>
        </w:rPr>
        <w:t> </w:t>
      </w:r>
      <w:r w:rsidRPr="00D9207B">
        <w:rPr>
          <w:rFonts w:ascii="Arial" w:hAnsi="Arial" w:cs="Arial"/>
          <w:color w:val="000000"/>
        </w:rPr>
        <w:t>London: Home Office.</w:t>
      </w:r>
    </w:p>
    <w:p w14:paraId="6B7B052B"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Long, M. and Pemberton, A. (2020) ‘Victims, justice and the criminal justice system’,</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International Review of Victimology</w:t>
      </w:r>
      <w:r w:rsidRPr="00D9207B">
        <w:rPr>
          <w:rFonts w:ascii="Arial" w:hAnsi="Arial" w:cs="Arial"/>
          <w:color w:val="000000"/>
        </w:rPr>
        <w:t>, 26(1), pp. 3–19.</w:t>
      </w:r>
    </w:p>
    <w:p w14:paraId="69822F7D"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McKee, K., Johnson, K. and Wilson, H. (2023) ‘Discretion and decision-making…’,</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Policing and Society</w:t>
      </w:r>
      <w:r w:rsidRPr="00D9207B">
        <w:rPr>
          <w:rFonts w:ascii="Arial" w:hAnsi="Arial" w:cs="Arial"/>
          <w:color w:val="000000"/>
        </w:rPr>
        <w:t>, 33(4), pp. 456–472.</w:t>
      </w:r>
    </w:p>
    <w:p w14:paraId="4264CBC4"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McMillan, L. (2018) ‘Police officers’ perceptions of victims’,</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British Journal of Criminology</w:t>
      </w:r>
      <w:r w:rsidRPr="00D9207B">
        <w:rPr>
          <w:rFonts w:ascii="Arial" w:hAnsi="Arial" w:cs="Arial"/>
          <w:color w:val="000000"/>
        </w:rPr>
        <w:t>, 58(1), pp. 87–105.</w:t>
      </w:r>
    </w:p>
    <w:p w14:paraId="2FE9F39F"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Migration Observatory (2023)</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Migrants and access to public services in the UK</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22" w:tgtFrame="_new" w:history="1">
        <w:r w:rsidRPr="00D9207B">
          <w:rPr>
            <w:rStyle w:val="Hyperlink"/>
            <w:rFonts w:ascii="Arial" w:eastAsiaTheme="majorEastAsia" w:hAnsi="Arial" w:cs="Arial"/>
          </w:rPr>
          <w:t>https://migrationobservatory.ox.ac.uk</w:t>
        </w:r>
      </w:hyperlink>
      <w:r w:rsidRPr="00D9207B">
        <w:rPr>
          <w:rStyle w:val="apple-converted-space"/>
          <w:rFonts w:ascii="Arial" w:eastAsiaTheme="majorEastAsia" w:hAnsi="Arial" w:cs="Arial"/>
          <w:color w:val="000000"/>
        </w:rPr>
        <w:t> </w:t>
      </w:r>
      <w:r w:rsidRPr="00D9207B">
        <w:rPr>
          <w:rFonts w:ascii="Arial" w:hAnsi="Arial" w:cs="Arial"/>
          <w:color w:val="000000"/>
        </w:rPr>
        <w:t>(Accessed: 7 April 2026).</w:t>
      </w:r>
    </w:p>
    <w:p w14:paraId="3D33F74C"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Ministry of Justice (2020)</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Achieving best evidence in criminal proceedings</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23" w:tgtFrame="_new" w:history="1">
        <w:r w:rsidRPr="00D9207B">
          <w:rPr>
            <w:rStyle w:val="Hyperlink"/>
            <w:rFonts w:ascii="Arial" w:eastAsiaTheme="majorEastAsia" w:hAnsi="Arial" w:cs="Arial"/>
          </w:rPr>
          <w:t>https://www.gov.uk</w:t>
        </w:r>
      </w:hyperlink>
    </w:p>
    <w:p w14:paraId="0DA304F7"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Ministry of Justice (2023a)</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Victims’ experiences…</w:t>
      </w:r>
      <w:r w:rsidRPr="00D9207B">
        <w:rPr>
          <w:rStyle w:val="apple-converted-space"/>
          <w:rFonts w:ascii="Arial" w:eastAsiaTheme="majorEastAsia" w:hAnsi="Arial" w:cs="Arial"/>
          <w:color w:val="000000"/>
        </w:rPr>
        <w:t> </w:t>
      </w:r>
      <w:r w:rsidRPr="00D9207B">
        <w:rPr>
          <w:rFonts w:ascii="Arial" w:hAnsi="Arial" w:cs="Arial"/>
          <w:color w:val="000000"/>
        </w:rPr>
        <w:t>Available at:</w:t>
      </w:r>
      <w:r w:rsidRPr="00D9207B">
        <w:rPr>
          <w:rStyle w:val="apple-converted-space"/>
          <w:rFonts w:ascii="Arial" w:eastAsiaTheme="majorEastAsia" w:hAnsi="Arial" w:cs="Arial"/>
          <w:color w:val="000000"/>
        </w:rPr>
        <w:t> </w:t>
      </w:r>
      <w:hyperlink r:id="rId24" w:tgtFrame="_new" w:history="1">
        <w:r w:rsidRPr="00D9207B">
          <w:rPr>
            <w:rStyle w:val="Hyperlink"/>
            <w:rFonts w:ascii="Arial" w:eastAsiaTheme="majorEastAsia" w:hAnsi="Arial" w:cs="Arial"/>
          </w:rPr>
          <w:t>https://www.gov.uk</w:t>
        </w:r>
      </w:hyperlink>
    </w:p>
    <w:p w14:paraId="42022FDA"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Ministry of Justice (2023b)</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Evaluation of special measures…</w:t>
      </w:r>
      <w:r w:rsidRPr="00D9207B">
        <w:rPr>
          <w:rStyle w:val="apple-converted-space"/>
          <w:rFonts w:ascii="Arial" w:eastAsiaTheme="majorEastAsia" w:hAnsi="Arial" w:cs="Arial"/>
          <w:color w:val="000000"/>
        </w:rPr>
        <w:t> </w:t>
      </w:r>
      <w:r w:rsidRPr="00D9207B">
        <w:rPr>
          <w:rFonts w:ascii="Arial" w:hAnsi="Arial" w:cs="Arial"/>
          <w:color w:val="000000"/>
        </w:rPr>
        <w:t>Available at:</w:t>
      </w:r>
      <w:r w:rsidRPr="00D9207B">
        <w:rPr>
          <w:rStyle w:val="apple-converted-space"/>
          <w:rFonts w:ascii="Arial" w:eastAsiaTheme="majorEastAsia" w:hAnsi="Arial" w:cs="Arial"/>
          <w:color w:val="000000"/>
        </w:rPr>
        <w:t> </w:t>
      </w:r>
      <w:hyperlink r:id="rId25" w:tgtFrame="_new" w:history="1">
        <w:r w:rsidRPr="00D9207B">
          <w:rPr>
            <w:rStyle w:val="Hyperlink"/>
            <w:rFonts w:ascii="Arial" w:eastAsiaTheme="majorEastAsia" w:hAnsi="Arial" w:cs="Arial"/>
          </w:rPr>
          <w:t>https://www.gov.uk</w:t>
        </w:r>
      </w:hyperlink>
    </w:p>
    <w:p w14:paraId="68F299E8"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Ministry of Justice (2024)</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Criminal justice statistics quarterly</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26" w:tgtFrame="_new" w:history="1">
        <w:r w:rsidRPr="00D9207B">
          <w:rPr>
            <w:rStyle w:val="Hyperlink"/>
            <w:rFonts w:ascii="Arial" w:eastAsiaTheme="majorEastAsia" w:hAnsi="Arial" w:cs="Arial"/>
          </w:rPr>
          <w:t>https://www.gov.uk</w:t>
        </w:r>
      </w:hyperlink>
    </w:p>
    <w:p w14:paraId="3E073FB5"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Office for National Statistics (ONS) (2024)</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Crime in England and Wales</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27" w:tgtFrame="_new" w:history="1">
        <w:r w:rsidRPr="00D9207B">
          <w:rPr>
            <w:rStyle w:val="Hyperlink"/>
            <w:rFonts w:ascii="Arial" w:eastAsiaTheme="majorEastAsia" w:hAnsi="Arial" w:cs="Arial"/>
          </w:rPr>
          <w:t>https://www.ons.gov.uk</w:t>
        </w:r>
      </w:hyperlink>
    </w:p>
    <w:p w14:paraId="3723E835"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Orth, U. (2002) ‘Secondary victimization…’,</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Social Justice Research</w:t>
      </w:r>
      <w:r w:rsidRPr="00D9207B">
        <w:rPr>
          <w:rFonts w:ascii="Arial" w:hAnsi="Arial" w:cs="Arial"/>
          <w:color w:val="000000"/>
        </w:rPr>
        <w:t>, 15(4), pp. 313–325.</w:t>
      </w:r>
    </w:p>
    <w:p w14:paraId="779010D8" w14:textId="77777777" w:rsidR="00D9207B" w:rsidRPr="00D9207B" w:rsidRDefault="00D9207B" w:rsidP="00D9207B">
      <w:pPr>
        <w:pStyle w:val="NormalWeb"/>
        <w:spacing w:line="360" w:lineRule="auto"/>
        <w:rPr>
          <w:rFonts w:ascii="Arial" w:hAnsi="Arial" w:cs="Arial"/>
          <w:color w:val="000000"/>
        </w:rPr>
      </w:pPr>
      <w:proofErr w:type="spellStart"/>
      <w:r w:rsidRPr="00D9207B">
        <w:rPr>
          <w:rFonts w:ascii="Arial" w:hAnsi="Arial" w:cs="Arial"/>
          <w:color w:val="000000"/>
        </w:rPr>
        <w:t>Plotnikoff</w:t>
      </w:r>
      <w:proofErr w:type="spellEnd"/>
      <w:r w:rsidRPr="00D9207B">
        <w:rPr>
          <w:rFonts w:ascii="Arial" w:hAnsi="Arial" w:cs="Arial"/>
          <w:color w:val="000000"/>
        </w:rPr>
        <w:t xml:space="preserve">, J. and </w:t>
      </w:r>
      <w:proofErr w:type="spellStart"/>
      <w:r w:rsidRPr="00D9207B">
        <w:rPr>
          <w:rFonts w:ascii="Arial" w:hAnsi="Arial" w:cs="Arial"/>
          <w:color w:val="000000"/>
        </w:rPr>
        <w:t>Woolfson</w:t>
      </w:r>
      <w:proofErr w:type="spellEnd"/>
      <w:r w:rsidRPr="00D9207B">
        <w:rPr>
          <w:rFonts w:ascii="Arial" w:hAnsi="Arial" w:cs="Arial"/>
          <w:color w:val="000000"/>
        </w:rPr>
        <w:t>, R. (2020)</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Measuring up?</w:t>
      </w:r>
      <w:r w:rsidRPr="00D9207B">
        <w:rPr>
          <w:rStyle w:val="apple-converted-space"/>
          <w:rFonts w:ascii="Arial" w:eastAsiaTheme="majorEastAsia" w:hAnsi="Arial" w:cs="Arial"/>
          <w:color w:val="000000"/>
        </w:rPr>
        <w:t> </w:t>
      </w:r>
      <w:r w:rsidRPr="00D9207B">
        <w:rPr>
          <w:rFonts w:ascii="Arial" w:hAnsi="Arial" w:cs="Arial"/>
          <w:color w:val="000000"/>
        </w:rPr>
        <w:t>London: NSPCC.</w:t>
      </w:r>
    </w:p>
    <w:p w14:paraId="6CE31545" w14:textId="77777777" w:rsidR="00D9207B" w:rsidRPr="00D9207B" w:rsidRDefault="00D9207B" w:rsidP="00D9207B">
      <w:pPr>
        <w:pStyle w:val="NormalWeb"/>
        <w:spacing w:line="360" w:lineRule="auto"/>
        <w:rPr>
          <w:rFonts w:ascii="Arial" w:hAnsi="Arial" w:cs="Arial"/>
          <w:color w:val="000000"/>
        </w:rPr>
      </w:pPr>
      <w:proofErr w:type="spellStart"/>
      <w:r w:rsidRPr="00D9207B">
        <w:rPr>
          <w:rFonts w:ascii="Arial" w:hAnsi="Arial" w:cs="Arial"/>
          <w:color w:val="000000"/>
        </w:rPr>
        <w:t>Pordes</w:t>
      </w:r>
      <w:proofErr w:type="spellEnd"/>
      <w:r w:rsidRPr="00D9207B">
        <w:rPr>
          <w:rFonts w:ascii="Arial" w:hAnsi="Arial" w:cs="Arial"/>
          <w:color w:val="000000"/>
        </w:rPr>
        <w:t xml:space="preserve">, J., </w:t>
      </w:r>
      <w:proofErr w:type="spellStart"/>
      <w:r w:rsidRPr="00D9207B">
        <w:rPr>
          <w:rFonts w:ascii="Arial" w:hAnsi="Arial" w:cs="Arial"/>
          <w:color w:val="000000"/>
        </w:rPr>
        <w:t>Blockley</w:t>
      </w:r>
      <w:proofErr w:type="spellEnd"/>
      <w:r w:rsidRPr="00D9207B">
        <w:rPr>
          <w:rFonts w:ascii="Arial" w:hAnsi="Arial" w:cs="Arial"/>
          <w:color w:val="000000"/>
        </w:rPr>
        <w:t>, T. and Bell, V. (2025) ‘Disclosing sexual abuse…’,</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International Journal of Criminology and Policing Education</w:t>
      </w:r>
      <w:r w:rsidRPr="00D9207B">
        <w:rPr>
          <w:rFonts w:ascii="Arial" w:hAnsi="Arial" w:cs="Arial"/>
          <w:color w:val="000000"/>
        </w:rPr>
        <w:t>.</w:t>
      </w:r>
    </w:p>
    <w:p w14:paraId="5EB3D9FF"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Roberts, J.V. (2015) ‘The role of victims…’,</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Crime and Justice</w:t>
      </w:r>
      <w:r w:rsidRPr="00D9207B">
        <w:rPr>
          <w:rFonts w:ascii="Arial" w:hAnsi="Arial" w:cs="Arial"/>
          <w:color w:val="000000"/>
        </w:rPr>
        <w:t>, 44(1), pp. 71–112.</w:t>
      </w:r>
    </w:p>
    <w:p w14:paraId="34BEF510" w14:textId="77777777" w:rsidR="00D9207B" w:rsidRPr="00D9207B" w:rsidRDefault="00D9207B" w:rsidP="00D9207B">
      <w:pPr>
        <w:pStyle w:val="NormalWeb"/>
        <w:spacing w:line="360" w:lineRule="auto"/>
        <w:rPr>
          <w:rFonts w:ascii="Arial" w:hAnsi="Arial" w:cs="Arial"/>
          <w:color w:val="000000"/>
        </w:rPr>
      </w:pPr>
      <w:proofErr w:type="spellStart"/>
      <w:r w:rsidRPr="00D9207B">
        <w:rPr>
          <w:rFonts w:ascii="Arial" w:hAnsi="Arial" w:cs="Arial"/>
          <w:color w:val="000000"/>
        </w:rPr>
        <w:t>Ruge</w:t>
      </w:r>
      <w:proofErr w:type="spellEnd"/>
      <w:r w:rsidRPr="00D9207B">
        <w:rPr>
          <w:rFonts w:ascii="Arial" w:hAnsi="Arial" w:cs="Arial"/>
          <w:color w:val="000000"/>
        </w:rPr>
        <w:t>-Jones, L. et al. (2024) ‘Interacting barriers’,</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Management Communication Quarterly</w:t>
      </w:r>
      <w:r w:rsidRPr="00D9207B">
        <w:rPr>
          <w:rFonts w:ascii="Arial" w:hAnsi="Arial" w:cs="Arial"/>
          <w:color w:val="000000"/>
        </w:rPr>
        <w:t>, 39(1), pp. 120–155.</w:t>
      </w:r>
    </w:p>
    <w:p w14:paraId="1CCC3018" w14:textId="77777777" w:rsidR="00D9207B" w:rsidRPr="00D9207B" w:rsidRDefault="00D9207B" w:rsidP="00D9207B">
      <w:pPr>
        <w:pStyle w:val="NormalWeb"/>
        <w:spacing w:line="360" w:lineRule="auto"/>
        <w:rPr>
          <w:rFonts w:ascii="Arial" w:hAnsi="Arial" w:cs="Arial"/>
          <w:color w:val="000000"/>
        </w:rPr>
      </w:pPr>
      <w:proofErr w:type="spellStart"/>
      <w:r w:rsidRPr="00D9207B">
        <w:rPr>
          <w:rFonts w:ascii="Arial" w:hAnsi="Arial" w:cs="Arial"/>
          <w:color w:val="000000"/>
        </w:rPr>
        <w:t>SafeLives</w:t>
      </w:r>
      <w:proofErr w:type="spellEnd"/>
      <w:r w:rsidRPr="00D9207B">
        <w:rPr>
          <w:rFonts w:ascii="Arial" w:hAnsi="Arial" w:cs="Arial"/>
          <w:color w:val="000000"/>
        </w:rPr>
        <w:t xml:space="preserve"> (2022)</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Domestic abuse and barriers to reporting</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28" w:tgtFrame="_new" w:history="1">
        <w:r w:rsidRPr="00D9207B">
          <w:rPr>
            <w:rStyle w:val="Hyperlink"/>
            <w:rFonts w:ascii="Arial" w:eastAsiaTheme="majorEastAsia" w:hAnsi="Arial" w:cs="Arial"/>
          </w:rPr>
          <w:t>https://safelives.org.uk</w:t>
        </w:r>
      </w:hyperlink>
    </w:p>
    <w:p w14:paraId="605DD4EB"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Scottish Government (2024)</w:t>
      </w:r>
      <w:r w:rsidRPr="00D9207B">
        <w:rPr>
          <w:rStyle w:val="apple-converted-space"/>
          <w:rFonts w:ascii="Arial" w:eastAsiaTheme="majorEastAsia" w:hAnsi="Arial" w:cs="Arial"/>
          <w:color w:val="000000"/>
        </w:rPr>
        <w:t> </w:t>
      </w:r>
      <w:proofErr w:type="spellStart"/>
      <w:r w:rsidRPr="00D9207B">
        <w:rPr>
          <w:rStyle w:val="Emphasis"/>
          <w:rFonts w:ascii="Arial" w:eastAsiaTheme="majorEastAsia" w:hAnsi="Arial" w:cs="Arial"/>
          <w:color w:val="000000"/>
        </w:rPr>
        <w:t>Minoritised</w:t>
      </w:r>
      <w:proofErr w:type="spellEnd"/>
      <w:r w:rsidRPr="00D9207B">
        <w:rPr>
          <w:rStyle w:val="Emphasis"/>
          <w:rFonts w:ascii="Arial" w:eastAsiaTheme="majorEastAsia" w:hAnsi="Arial" w:cs="Arial"/>
          <w:color w:val="000000"/>
        </w:rPr>
        <w:t xml:space="preserve"> ethnic women’s experiences…</w:t>
      </w:r>
      <w:r w:rsidRPr="00D9207B">
        <w:rPr>
          <w:rStyle w:val="apple-converted-space"/>
          <w:rFonts w:ascii="Arial" w:eastAsiaTheme="majorEastAsia" w:hAnsi="Arial" w:cs="Arial"/>
          <w:color w:val="000000"/>
        </w:rPr>
        <w:t> </w:t>
      </w:r>
      <w:r w:rsidRPr="00D9207B">
        <w:rPr>
          <w:rFonts w:ascii="Arial" w:hAnsi="Arial" w:cs="Arial"/>
          <w:color w:val="000000"/>
        </w:rPr>
        <w:t>Available at:</w:t>
      </w:r>
      <w:r w:rsidRPr="00D9207B">
        <w:rPr>
          <w:rStyle w:val="apple-converted-space"/>
          <w:rFonts w:ascii="Arial" w:eastAsiaTheme="majorEastAsia" w:hAnsi="Arial" w:cs="Arial"/>
          <w:color w:val="000000"/>
        </w:rPr>
        <w:t> </w:t>
      </w:r>
      <w:hyperlink r:id="rId29" w:tgtFrame="_new" w:history="1">
        <w:r w:rsidRPr="00D9207B">
          <w:rPr>
            <w:rStyle w:val="Hyperlink"/>
            <w:rFonts w:ascii="Arial" w:eastAsiaTheme="majorEastAsia" w:hAnsi="Arial" w:cs="Arial"/>
          </w:rPr>
          <w:t>https://www.gov.scot</w:t>
        </w:r>
      </w:hyperlink>
    </w:p>
    <w:p w14:paraId="0ABE3129" w14:textId="77777777" w:rsidR="00D9207B" w:rsidRPr="00D9207B" w:rsidRDefault="00D9207B" w:rsidP="00D9207B">
      <w:pPr>
        <w:pStyle w:val="NormalWeb"/>
        <w:spacing w:line="360" w:lineRule="auto"/>
        <w:rPr>
          <w:rFonts w:ascii="Arial" w:hAnsi="Arial" w:cs="Arial"/>
          <w:color w:val="000000"/>
        </w:rPr>
      </w:pPr>
      <w:proofErr w:type="spellStart"/>
      <w:r w:rsidRPr="00D9207B">
        <w:rPr>
          <w:rFonts w:ascii="Arial" w:hAnsi="Arial" w:cs="Arial"/>
          <w:color w:val="000000"/>
        </w:rPr>
        <w:t>Sleath</w:t>
      </w:r>
      <w:proofErr w:type="spellEnd"/>
      <w:r w:rsidRPr="00D9207B">
        <w:rPr>
          <w:rFonts w:ascii="Arial" w:hAnsi="Arial" w:cs="Arial"/>
          <w:color w:val="000000"/>
        </w:rPr>
        <w:t>, E. and Bull, R. (2017) ‘Police perceptions of vulnerable victims’,</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Policing and Society</w:t>
      </w:r>
      <w:r w:rsidRPr="00D9207B">
        <w:rPr>
          <w:rFonts w:ascii="Arial" w:hAnsi="Arial" w:cs="Arial"/>
          <w:color w:val="000000"/>
        </w:rPr>
        <w:t>, 27(6).</w:t>
      </w:r>
    </w:p>
    <w:p w14:paraId="3D70BA0D"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Smith, O. and Skinner, T. (2017) ‘How rape myths…’,</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Social &amp; Legal Studies</w:t>
      </w:r>
      <w:r w:rsidRPr="00D9207B">
        <w:rPr>
          <w:rFonts w:ascii="Arial" w:hAnsi="Arial" w:cs="Arial"/>
          <w:color w:val="000000"/>
        </w:rPr>
        <w:t>, 26(4), pp. 441–466.</w:t>
      </w:r>
    </w:p>
    <w:p w14:paraId="289E5B7E" w14:textId="77777777" w:rsidR="00D9207B" w:rsidRPr="00D9207B" w:rsidRDefault="00D9207B" w:rsidP="00D9207B">
      <w:pPr>
        <w:pStyle w:val="NormalWeb"/>
        <w:spacing w:line="360" w:lineRule="auto"/>
        <w:rPr>
          <w:rFonts w:ascii="Arial" w:hAnsi="Arial" w:cs="Arial"/>
          <w:color w:val="000000"/>
        </w:rPr>
      </w:pPr>
      <w:proofErr w:type="spellStart"/>
      <w:r w:rsidRPr="00D9207B">
        <w:rPr>
          <w:rFonts w:ascii="Arial" w:hAnsi="Arial" w:cs="Arial"/>
          <w:color w:val="000000"/>
        </w:rPr>
        <w:t>Spalek</w:t>
      </w:r>
      <w:proofErr w:type="spellEnd"/>
      <w:r w:rsidRPr="00D9207B">
        <w:rPr>
          <w:rFonts w:ascii="Arial" w:hAnsi="Arial" w:cs="Arial"/>
          <w:color w:val="000000"/>
        </w:rPr>
        <w:t>, B. (2017)</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Crime Victims</w:t>
      </w:r>
      <w:r w:rsidRPr="00D9207B">
        <w:rPr>
          <w:rFonts w:ascii="Arial" w:hAnsi="Arial" w:cs="Arial"/>
          <w:color w:val="000000"/>
        </w:rPr>
        <w:t>. London: Palgrave.</w:t>
      </w:r>
    </w:p>
    <w:p w14:paraId="5E28B149" w14:textId="77777777" w:rsidR="00D9207B" w:rsidRPr="00D9207B" w:rsidRDefault="00D9207B" w:rsidP="00D9207B">
      <w:pPr>
        <w:pStyle w:val="NormalWeb"/>
        <w:spacing w:line="360" w:lineRule="auto"/>
        <w:rPr>
          <w:rFonts w:ascii="Arial" w:hAnsi="Arial" w:cs="Arial"/>
          <w:color w:val="000000"/>
        </w:rPr>
      </w:pPr>
      <w:proofErr w:type="spellStart"/>
      <w:r w:rsidRPr="00D9207B">
        <w:rPr>
          <w:rFonts w:ascii="Arial" w:hAnsi="Arial" w:cs="Arial"/>
          <w:color w:val="000000"/>
        </w:rPr>
        <w:t>Starmer</w:t>
      </w:r>
      <w:proofErr w:type="spellEnd"/>
      <w:r w:rsidRPr="00D9207B">
        <w:rPr>
          <w:rFonts w:ascii="Arial" w:hAnsi="Arial" w:cs="Arial"/>
          <w:color w:val="000000"/>
        </w:rPr>
        <w:t>, K. (2014)</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Britain’s criminal justice system fails the vulnerable…</w:t>
      </w:r>
      <w:r w:rsidRPr="00D9207B">
        <w:rPr>
          <w:rStyle w:val="apple-converted-space"/>
          <w:rFonts w:ascii="Arial" w:eastAsiaTheme="majorEastAsia" w:hAnsi="Arial" w:cs="Arial"/>
          <w:color w:val="000000"/>
        </w:rPr>
        <w:t> </w:t>
      </w:r>
      <w:r w:rsidRPr="00D9207B">
        <w:rPr>
          <w:rFonts w:ascii="Arial" w:hAnsi="Arial" w:cs="Arial"/>
          <w:color w:val="000000"/>
        </w:rPr>
        <w:t>The Guardian.</w:t>
      </w:r>
    </w:p>
    <w:p w14:paraId="5A26266B"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Tackling Hate (2023)</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Hate crime reporting barriers</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30" w:tgtFrame="_new" w:history="1">
        <w:r w:rsidRPr="00D9207B">
          <w:rPr>
            <w:rStyle w:val="Hyperlink"/>
            <w:rFonts w:ascii="Arial" w:eastAsiaTheme="majorEastAsia" w:hAnsi="Arial" w:cs="Arial"/>
          </w:rPr>
          <w:t>https://tacklinghate.org</w:t>
        </w:r>
      </w:hyperlink>
    </w:p>
    <w:p w14:paraId="049CBC1A"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Tyler, T. (2006)</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Why People Obey the Law</w:t>
      </w:r>
      <w:r w:rsidRPr="00D9207B">
        <w:rPr>
          <w:rFonts w:ascii="Arial" w:hAnsi="Arial" w:cs="Arial"/>
          <w:color w:val="000000"/>
        </w:rPr>
        <w:t>. Princeton: Princeton University Press.</w:t>
      </w:r>
    </w:p>
    <w:p w14:paraId="0BE8F423"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United Kingdom Government (2020)</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Victims’ Code</w:t>
      </w:r>
      <w:r w:rsidRPr="00D9207B">
        <w:rPr>
          <w:rFonts w:ascii="Arial" w:hAnsi="Arial" w:cs="Arial"/>
          <w:color w:val="000000"/>
        </w:rPr>
        <w:t>. Available at:</w:t>
      </w:r>
      <w:r w:rsidRPr="00D9207B">
        <w:rPr>
          <w:rStyle w:val="apple-converted-space"/>
          <w:rFonts w:ascii="Arial" w:eastAsiaTheme="majorEastAsia" w:hAnsi="Arial" w:cs="Arial"/>
          <w:color w:val="000000"/>
        </w:rPr>
        <w:t> </w:t>
      </w:r>
      <w:hyperlink r:id="rId31" w:tgtFrame="_new" w:history="1">
        <w:r w:rsidRPr="00D9207B">
          <w:rPr>
            <w:rStyle w:val="Hyperlink"/>
            <w:rFonts w:ascii="Arial" w:eastAsiaTheme="majorEastAsia" w:hAnsi="Arial" w:cs="Arial"/>
          </w:rPr>
          <w:t>https://www.gov.uk</w:t>
        </w:r>
      </w:hyperlink>
    </w:p>
    <w:p w14:paraId="02EA8928"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United Kingdom Government (2025)</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Shifting the scales…</w:t>
      </w:r>
      <w:r w:rsidRPr="00D9207B">
        <w:rPr>
          <w:rStyle w:val="apple-converted-space"/>
          <w:rFonts w:ascii="Arial" w:eastAsiaTheme="majorEastAsia" w:hAnsi="Arial" w:cs="Arial"/>
          <w:color w:val="000000"/>
        </w:rPr>
        <w:t> </w:t>
      </w:r>
      <w:r w:rsidRPr="00D9207B">
        <w:rPr>
          <w:rFonts w:ascii="Arial" w:hAnsi="Arial" w:cs="Arial"/>
          <w:color w:val="000000"/>
        </w:rPr>
        <w:t>Available at:</w:t>
      </w:r>
      <w:r w:rsidRPr="00D9207B">
        <w:rPr>
          <w:rStyle w:val="apple-converted-space"/>
          <w:rFonts w:ascii="Arial" w:eastAsiaTheme="majorEastAsia" w:hAnsi="Arial" w:cs="Arial"/>
          <w:color w:val="000000"/>
        </w:rPr>
        <w:t> </w:t>
      </w:r>
      <w:hyperlink r:id="rId32" w:tgtFrame="_new" w:history="1">
        <w:r w:rsidRPr="00D9207B">
          <w:rPr>
            <w:rStyle w:val="Hyperlink"/>
            <w:rFonts w:ascii="Arial" w:eastAsiaTheme="majorEastAsia" w:hAnsi="Arial" w:cs="Arial"/>
          </w:rPr>
          <w:t>https://www.gov.uk</w:t>
        </w:r>
      </w:hyperlink>
    </w:p>
    <w:p w14:paraId="7A9C7DF9"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United Kingdom Parliament (2023a)</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Criminalisation of victims…</w:t>
      </w:r>
    </w:p>
    <w:p w14:paraId="6099AD5F"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United Kingdom Parliament (2023b)</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Violence against women and girls briefing</w:t>
      </w:r>
      <w:r w:rsidRPr="00D9207B">
        <w:rPr>
          <w:rFonts w:ascii="Arial" w:hAnsi="Arial" w:cs="Arial"/>
          <w:color w:val="000000"/>
        </w:rPr>
        <w:t>.</w:t>
      </w:r>
    </w:p>
    <w:p w14:paraId="029D0648"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United Nations Women (2019)</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The value of intersectionality…</w:t>
      </w:r>
    </w:p>
    <w:p w14:paraId="5D06B9CB"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Victim Support (2023)</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Crown Court backlog hits record high again</w:t>
      </w:r>
      <w:r w:rsidRPr="00D9207B">
        <w:rPr>
          <w:rFonts w:ascii="Arial" w:hAnsi="Arial" w:cs="Arial"/>
          <w:color w:val="000000"/>
        </w:rPr>
        <w:t>.</w:t>
      </w:r>
    </w:p>
    <w:p w14:paraId="66127F15"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Victims’ Commissioner (2023)</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Victim Survey 2022 results</w:t>
      </w:r>
      <w:r w:rsidRPr="00D9207B">
        <w:rPr>
          <w:rFonts w:ascii="Arial" w:hAnsi="Arial" w:cs="Arial"/>
          <w:color w:val="000000"/>
        </w:rPr>
        <w:t>.</w:t>
      </w:r>
    </w:p>
    <w:p w14:paraId="6EA22D68"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Victims’ Commissioner (2024)</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Annual report</w:t>
      </w:r>
      <w:r w:rsidRPr="00D9207B">
        <w:rPr>
          <w:rFonts w:ascii="Arial" w:hAnsi="Arial" w:cs="Arial"/>
          <w:color w:val="000000"/>
        </w:rPr>
        <w:t>.</w:t>
      </w:r>
    </w:p>
    <w:p w14:paraId="5EB4D462" w14:textId="2A778262" w:rsidR="00D9207B" w:rsidRPr="00D9207B" w:rsidRDefault="00E87FBD" w:rsidP="00D9207B">
      <w:pPr>
        <w:pStyle w:val="NormalWeb"/>
        <w:spacing w:line="360" w:lineRule="auto"/>
        <w:rPr>
          <w:rFonts w:ascii="Arial" w:hAnsi="Arial" w:cs="Arial"/>
          <w:color w:val="000000"/>
        </w:rPr>
      </w:pPr>
      <w:r w:rsidRPr="00D9207B">
        <w:rPr>
          <w:rFonts w:ascii="Arial" w:hAnsi="Arial" w:cs="Arial"/>
          <w:color w:val="000000"/>
        </w:rPr>
        <w:t xml:space="preserve">Victims’ </w:t>
      </w:r>
      <w:r w:rsidR="00D9207B" w:rsidRPr="00D9207B">
        <w:rPr>
          <w:rFonts w:ascii="Arial" w:hAnsi="Arial" w:cs="Arial"/>
          <w:color w:val="000000"/>
        </w:rPr>
        <w:t>Commissioner (2025)</w:t>
      </w:r>
      <w:r w:rsidR="00D9207B" w:rsidRPr="00D9207B">
        <w:rPr>
          <w:rStyle w:val="apple-converted-space"/>
          <w:rFonts w:ascii="Arial" w:eastAsiaTheme="majorEastAsia" w:hAnsi="Arial" w:cs="Arial"/>
          <w:color w:val="000000"/>
        </w:rPr>
        <w:t> </w:t>
      </w:r>
      <w:r w:rsidR="00D9207B" w:rsidRPr="00D9207B">
        <w:rPr>
          <w:rStyle w:val="Emphasis"/>
          <w:rFonts w:ascii="Arial" w:eastAsiaTheme="majorEastAsia" w:hAnsi="Arial" w:cs="Arial"/>
          <w:color w:val="000000"/>
        </w:rPr>
        <w:t>Fewer than half of victims…</w:t>
      </w:r>
    </w:p>
    <w:p w14:paraId="5A449921" w14:textId="77777777" w:rsidR="00D9207B" w:rsidRPr="00D9207B" w:rsidRDefault="00D9207B" w:rsidP="00D9207B">
      <w:pPr>
        <w:pStyle w:val="NormalWeb"/>
        <w:spacing w:line="360" w:lineRule="auto"/>
        <w:rPr>
          <w:rFonts w:ascii="Arial" w:hAnsi="Arial" w:cs="Arial"/>
          <w:color w:val="000000"/>
        </w:rPr>
      </w:pPr>
      <w:proofErr w:type="spellStart"/>
      <w:r w:rsidRPr="00D9207B">
        <w:rPr>
          <w:rFonts w:ascii="Arial" w:hAnsi="Arial" w:cs="Arial"/>
          <w:color w:val="000000"/>
        </w:rPr>
        <w:t>Walklate</w:t>
      </w:r>
      <w:proofErr w:type="spellEnd"/>
      <w:r w:rsidRPr="00D9207B">
        <w:rPr>
          <w:rFonts w:ascii="Arial" w:hAnsi="Arial" w:cs="Arial"/>
          <w:color w:val="000000"/>
        </w:rPr>
        <w:t>, S. (2011)</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Reframing Criminal Victimisation</w:t>
      </w:r>
      <w:r w:rsidRPr="00D9207B">
        <w:rPr>
          <w:rFonts w:ascii="Arial" w:hAnsi="Arial" w:cs="Arial"/>
          <w:color w:val="000000"/>
        </w:rPr>
        <w:t>. London: Routledge.</w:t>
      </w:r>
    </w:p>
    <w:p w14:paraId="14B3658D" w14:textId="77777777" w:rsidR="00D9207B" w:rsidRPr="00D9207B" w:rsidRDefault="00D9207B" w:rsidP="00D9207B">
      <w:pPr>
        <w:pStyle w:val="NormalWeb"/>
        <w:spacing w:line="360" w:lineRule="auto"/>
        <w:rPr>
          <w:rFonts w:ascii="Arial" w:hAnsi="Arial" w:cs="Arial"/>
          <w:color w:val="000000"/>
        </w:rPr>
      </w:pPr>
      <w:proofErr w:type="spellStart"/>
      <w:r w:rsidRPr="00D9207B">
        <w:rPr>
          <w:rFonts w:ascii="Arial" w:hAnsi="Arial" w:cs="Arial"/>
          <w:color w:val="000000"/>
        </w:rPr>
        <w:t>Westmarland</w:t>
      </w:r>
      <w:proofErr w:type="spellEnd"/>
      <w:r w:rsidRPr="00D9207B">
        <w:rPr>
          <w:rFonts w:ascii="Arial" w:hAnsi="Arial" w:cs="Arial"/>
          <w:color w:val="000000"/>
        </w:rPr>
        <w:t>, N. and Kelly, L. (2013)</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Why extending rape attrition matters</w:t>
      </w:r>
      <w:r w:rsidRPr="00D9207B">
        <w:rPr>
          <w:rFonts w:ascii="Arial" w:hAnsi="Arial" w:cs="Arial"/>
          <w:color w:val="000000"/>
        </w:rPr>
        <w:t>. London: Routledge.</w:t>
      </w:r>
    </w:p>
    <w:p w14:paraId="414B8E8A" w14:textId="77777777" w:rsidR="00D9207B" w:rsidRPr="00D9207B" w:rsidRDefault="00D9207B" w:rsidP="00D9207B">
      <w:pPr>
        <w:pStyle w:val="NormalWeb"/>
        <w:spacing w:line="360" w:lineRule="auto"/>
        <w:rPr>
          <w:rFonts w:ascii="Arial" w:hAnsi="Arial" w:cs="Arial"/>
          <w:color w:val="000000"/>
        </w:rPr>
      </w:pPr>
      <w:proofErr w:type="spellStart"/>
      <w:r w:rsidRPr="00D9207B">
        <w:rPr>
          <w:rFonts w:ascii="Arial" w:hAnsi="Arial" w:cs="Arial"/>
          <w:color w:val="000000"/>
        </w:rPr>
        <w:t>Westmarland</w:t>
      </w:r>
      <w:proofErr w:type="spellEnd"/>
      <w:r w:rsidRPr="00D9207B">
        <w:rPr>
          <w:rFonts w:ascii="Arial" w:hAnsi="Arial" w:cs="Arial"/>
          <w:color w:val="000000"/>
        </w:rPr>
        <w:t>, N., McGlynn, C. and Humphreys, C. (2018)</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 xml:space="preserve">Justice, </w:t>
      </w:r>
      <w:proofErr w:type="gramStart"/>
      <w:r w:rsidRPr="00D9207B">
        <w:rPr>
          <w:rStyle w:val="Emphasis"/>
          <w:rFonts w:ascii="Arial" w:eastAsiaTheme="majorEastAsia" w:hAnsi="Arial" w:cs="Arial"/>
          <w:color w:val="000000"/>
        </w:rPr>
        <w:t>fairness</w:t>
      </w:r>
      <w:proofErr w:type="gramEnd"/>
      <w:r w:rsidRPr="00D9207B">
        <w:rPr>
          <w:rStyle w:val="Emphasis"/>
          <w:rFonts w:ascii="Arial" w:eastAsiaTheme="majorEastAsia" w:hAnsi="Arial" w:cs="Arial"/>
          <w:color w:val="000000"/>
        </w:rPr>
        <w:t xml:space="preserve"> and the rape trial</w:t>
      </w:r>
      <w:r w:rsidRPr="00D9207B">
        <w:rPr>
          <w:rFonts w:ascii="Arial" w:hAnsi="Arial" w:cs="Arial"/>
          <w:color w:val="000000"/>
        </w:rPr>
        <w:t>. London: Routledge.</w:t>
      </w:r>
    </w:p>
    <w:p w14:paraId="0AA82671" w14:textId="77777777" w:rsidR="00D9207B" w:rsidRPr="00D9207B" w:rsidRDefault="00D9207B" w:rsidP="00D9207B">
      <w:pPr>
        <w:pStyle w:val="NormalWeb"/>
        <w:spacing w:line="360" w:lineRule="auto"/>
        <w:rPr>
          <w:rFonts w:ascii="Arial" w:hAnsi="Arial" w:cs="Arial"/>
          <w:color w:val="000000"/>
        </w:rPr>
      </w:pPr>
      <w:proofErr w:type="spellStart"/>
      <w:r w:rsidRPr="00D9207B">
        <w:rPr>
          <w:rFonts w:ascii="Arial" w:hAnsi="Arial" w:cs="Arial"/>
          <w:color w:val="000000"/>
        </w:rPr>
        <w:t>Wieberneit</w:t>
      </w:r>
      <w:proofErr w:type="spellEnd"/>
      <w:r w:rsidRPr="00D9207B">
        <w:rPr>
          <w:rFonts w:ascii="Arial" w:hAnsi="Arial" w:cs="Arial"/>
          <w:color w:val="000000"/>
        </w:rPr>
        <w:t>, M. et al. (2024) ‘Silenced survivors…’.</w:t>
      </w:r>
    </w:p>
    <w:p w14:paraId="6FD77C83"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Women’s Aid (2025)</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Barriers to safety…</w:t>
      </w:r>
    </w:p>
    <w:p w14:paraId="38D0A806" w14:textId="77777777" w:rsidR="00D9207B" w:rsidRPr="00D9207B" w:rsidRDefault="00D9207B" w:rsidP="00D9207B">
      <w:pPr>
        <w:pStyle w:val="NormalWeb"/>
        <w:spacing w:line="360" w:lineRule="auto"/>
        <w:rPr>
          <w:rFonts w:ascii="Arial" w:hAnsi="Arial" w:cs="Arial"/>
          <w:color w:val="000000"/>
        </w:rPr>
      </w:pPr>
      <w:r w:rsidRPr="00D9207B">
        <w:rPr>
          <w:rFonts w:ascii="Arial" w:hAnsi="Arial" w:cs="Arial"/>
          <w:color w:val="000000"/>
        </w:rPr>
        <w:t>Yong, A. (2024) ‘Domestic abuse and being a migrant woman…’,</w:t>
      </w:r>
      <w:r w:rsidRPr="00D9207B">
        <w:rPr>
          <w:rStyle w:val="apple-converted-space"/>
          <w:rFonts w:ascii="Arial" w:eastAsiaTheme="majorEastAsia" w:hAnsi="Arial" w:cs="Arial"/>
          <w:color w:val="000000"/>
        </w:rPr>
        <w:t> </w:t>
      </w:r>
      <w:r w:rsidRPr="00D9207B">
        <w:rPr>
          <w:rStyle w:val="Emphasis"/>
          <w:rFonts w:ascii="Arial" w:eastAsiaTheme="majorEastAsia" w:hAnsi="Arial" w:cs="Arial"/>
          <w:color w:val="000000"/>
        </w:rPr>
        <w:t>Journal of Poverty and Social Justice</w:t>
      </w:r>
      <w:r w:rsidRPr="00D9207B">
        <w:rPr>
          <w:rFonts w:ascii="Arial" w:hAnsi="Arial" w:cs="Arial"/>
          <w:color w:val="000000"/>
        </w:rPr>
        <w:t>.</w:t>
      </w:r>
    </w:p>
    <w:p w14:paraId="50E35191" w14:textId="77777777" w:rsidR="00D9207B" w:rsidRPr="00D9207B" w:rsidRDefault="00D9207B" w:rsidP="00157CD9">
      <w:pPr>
        <w:rPr>
          <w:rFonts w:ascii="Arial" w:hAnsi="Arial" w:cs="Arial"/>
          <w:u w:val="single"/>
        </w:rPr>
      </w:pPr>
    </w:p>
    <w:sectPr w:rsidR="00D9207B" w:rsidRPr="00D920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953A18"/>
    <w:multiLevelType w:val="hybridMultilevel"/>
    <w:tmpl w:val="32B2222E"/>
    <w:lvl w:ilvl="0" w:tplc="07D82D82">
      <w:start w:val="1"/>
      <w:numFmt w:val="decimal"/>
      <w:lvlText w:val="%1."/>
      <w:lvlJc w:val="left"/>
      <w:pPr>
        <w:ind w:left="720" w:hanging="360"/>
      </w:pPr>
      <w:rPr>
        <w:rFonts w:ascii="Aptos" w:hAnsi="Apto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101B89"/>
    <w:multiLevelType w:val="multilevel"/>
    <w:tmpl w:val="1DA8F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21687">
    <w:abstractNumId w:val="1"/>
  </w:num>
  <w:num w:numId="2" w16cid:durableId="1210679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7B4"/>
    <w:rsid w:val="00024A51"/>
    <w:rsid w:val="00157CD9"/>
    <w:rsid w:val="003107B4"/>
    <w:rsid w:val="005E2CFB"/>
    <w:rsid w:val="00844FB8"/>
    <w:rsid w:val="00A21A5B"/>
    <w:rsid w:val="00C35A22"/>
    <w:rsid w:val="00D3333F"/>
    <w:rsid w:val="00D8235F"/>
    <w:rsid w:val="00D9207B"/>
    <w:rsid w:val="00E87FBD"/>
    <w:rsid w:val="00F51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BD8F68"/>
  <w15:chartTrackingRefBased/>
  <w15:docId w15:val="{30ADB609-50B1-0942-8F99-C127E3941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07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07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07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07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07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07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07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07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07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7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07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07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07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07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07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07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07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07B4"/>
    <w:rPr>
      <w:rFonts w:eastAsiaTheme="majorEastAsia" w:cstheme="majorBidi"/>
      <w:color w:val="272727" w:themeColor="text1" w:themeTint="D8"/>
    </w:rPr>
  </w:style>
  <w:style w:type="paragraph" w:styleId="Title">
    <w:name w:val="Title"/>
    <w:basedOn w:val="Normal"/>
    <w:next w:val="Normal"/>
    <w:link w:val="TitleChar"/>
    <w:uiPriority w:val="10"/>
    <w:qFormat/>
    <w:rsid w:val="003107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07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07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07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07B4"/>
    <w:pPr>
      <w:spacing w:before="160"/>
      <w:jc w:val="center"/>
    </w:pPr>
    <w:rPr>
      <w:i/>
      <w:iCs/>
      <w:color w:val="404040" w:themeColor="text1" w:themeTint="BF"/>
    </w:rPr>
  </w:style>
  <w:style w:type="character" w:customStyle="1" w:styleId="QuoteChar">
    <w:name w:val="Quote Char"/>
    <w:basedOn w:val="DefaultParagraphFont"/>
    <w:link w:val="Quote"/>
    <w:uiPriority w:val="29"/>
    <w:rsid w:val="003107B4"/>
    <w:rPr>
      <w:i/>
      <w:iCs/>
      <w:color w:val="404040" w:themeColor="text1" w:themeTint="BF"/>
    </w:rPr>
  </w:style>
  <w:style w:type="paragraph" w:styleId="ListParagraph">
    <w:name w:val="List Paragraph"/>
    <w:basedOn w:val="Normal"/>
    <w:uiPriority w:val="34"/>
    <w:qFormat/>
    <w:rsid w:val="003107B4"/>
    <w:pPr>
      <w:ind w:left="720"/>
      <w:contextualSpacing/>
    </w:pPr>
  </w:style>
  <w:style w:type="character" w:styleId="IntenseEmphasis">
    <w:name w:val="Intense Emphasis"/>
    <w:basedOn w:val="DefaultParagraphFont"/>
    <w:uiPriority w:val="21"/>
    <w:qFormat/>
    <w:rsid w:val="003107B4"/>
    <w:rPr>
      <w:i/>
      <w:iCs/>
      <w:color w:val="0F4761" w:themeColor="accent1" w:themeShade="BF"/>
    </w:rPr>
  </w:style>
  <w:style w:type="paragraph" w:styleId="IntenseQuote">
    <w:name w:val="Intense Quote"/>
    <w:basedOn w:val="Normal"/>
    <w:next w:val="Normal"/>
    <w:link w:val="IntenseQuoteChar"/>
    <w:uiPriority w:val="30"/>
    <w:qFormat/>
    <w:rsid w:val="003107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07B4"/>
    <w:rPr>
      <w:i/>
      <w:iCs/>
      <w:color w:val="0F4761" w:themeColor="accent1" w:themeShade="BF"/>
    </w:rPr>
  </w:style>
  <w:style w:type="character" w:styleId="IntenseReference">
    <w:name w:val="Intense Reference"/>
    <w:basedOn w:val="DefaultParagraphFont"/>
    <w:uiPriority w:val="32"/>
    <w:qFormat/>
    <w:rsid w:val="003107B4"/>
    <w:rPr>
      <w:b/>
      <w:bCs/>
      <w:smallCaps/>
      <w:color w:val="0F4761" w:themeColor="accent1" w:themeShade="BF"/>
      <w:spacing w:val="5"/>
    </w:rPr>
  </w:style>
  <w:style w:type="paragraph" w:styleId="NormalWeb">
    <w:name w:val="Normal (Web)"/>
    <w:basedOn w:val="Normal"/>
    <w:uiPriority w:val="99"/>
    <w:unhideWhenUsed/>
    <w:rsid w:val="00157CD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57CD9"/>
  </w:style>
  <w:style w:type="character" w:customStyle="1" w:styleId="whitespace-normal">
    <w:name w:val="whitespace-normal"/>
    <w:basedOn w:val="DefaultParagraphFont"/>
    <w:rsid w:val="00157CD9"/>
  </w:style>
  <w:style w:type="character" w:styleId="Emphasis">
    <w:name w:val="Emphasis"/>
    <w:basedOn w:val="DefaultParagraphFont"/>
    <w:uiPriority w:val="20"/>
    <w:qFormat/>
    <w:rsid w:val="00157CD9"/>
    <w:rPr>
      <w:i/>
      <w:iCs/>
    </w:rPr>
  </w:style>
  <w:style w:type="character" w:styleId="Hyperlink">
    <w:name w:val="Hyperlink"/>
    <w:basedOn w:val="DefaultParagraphFont"/>
    <w:uiPriority w:val="99"/>
    <w:semiHidden/>
    <w:unhideWhenUsed/>
    <w:rsid w:val="00D9207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484918">
      <w:bodyDiv w:val="1"/>
      <w:marLeft w:val="0"/>
      <w:marRight w:val="0"/>
      <w:marTop w:val="0"/>
      <w:marBottom w:val="0"/>
      <w:divBdr>
        <w:top w:val="none" w:sz="0" w:space="0" w:color="auto"/>
        <w:left w:val="none" w:sz="0" w:space="0" w:color="auto"/>
        <w:bottom w:val="none" w:sz="0" w:space="0" w:color="auto"/>
        <w:right w:val="none" w:sz="0" w:space="0" w:color="auto"/>
      </w:divBdr>
    </w:div>
    <w:div w:id="26227232">
      <w:bodyDiv w:val="1"/>
      <w:marLeft w:val="0"/>
      <w:marRight w:val="0"/>
      <w:marTop w:val="0"/>
      <w:marBottom w:val="0"/>
      <w:divBdr>
        <w:top w:val="none" w:sz="0" w:space="0" w:color="auto"/>
        <w:left w:val="none" w:sz="0" w:space="0" w:color="auto"/>
        <w:bottom w:val="none" w:sz="0" w:space="0" w:color="auto"/>
        <w:right w:val="none" w:sz="0" w:space="0" w:color="auto"/>
      </w:divBdr>
    </w:div>
    <w:div w:id="35014567">
      <w:bodyDiv w:val="1"/>
      <w:marLeft w:val="0"/>
      <w:marRight w:val="0"/>
      <w:marTop w:val="0"/>
      <w:marBottom w:val="0"/>
      <w:divBdr>
        <w:top w:val="none" w:sz="0" w:space="0" w:color="auto"/>
        <w:left w:val="none" w:sz="0" w:space="0" w:color="auto"/>
        <w:bottom w:val="none" w:sz="0" w:space="0" w:color="auto"/>
        <w:right w:val="none" w:sz="0" w:space="0" w:color="auto"/>
      </w:divBdr>
      <w:divsChild>
        <w:div w:id="929653964">
          <w:marLeft w:val="0"/>
          <w:marRight w:val="0"/>
          <w:marTop w:val="0"/>
          <w:marBottom w:val="0"/>
          <w:divBdr>
            <w:top w:val="none" w:sz="0" w:space="0" w:color="auto"/>
            <w:left w:val="none" w:sz="0" w:space="0" w:color="auto"/>
            <w:bottom w:val="none" w:sz="0" w:space="0" w:color="auto"/>
            <w:right w:val="none" w:sz="0" w:space="0" w:color="auto"/>
          </w:divBdr>
        </w:div>
      </w:divsChild>
    </w:div>
    <w:div w:id="96760104">
      <w:bodyDiv w:val="1"/>
      <w:marLeft w:val="0"/>
      <w:marRight w:val="0"/>
      <w:marTop w:val="0"/>
      <w:marBottom w:val="0"/>
      <w:divBdr>
        <w:top w:val="none" w:sz="0" w:space="0" w:color="auto"/>
        <w:left w:val="none" w:sz="0" w:space="0" w:color="auto"/>
        <w:bottom w:val="none" w:sz="0" w:space="0" w:color="auto"/>
        <w:right w:val="none" w:sz="0" w:space="0" w:color="auto"/>
      </w:divBdr>
      <w:divsChild>
        <w:div w:id="11259751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5999040">
      <w:bodyDiv w:val="1"/>
      <w:marLeft w:val="0"/>
      <w:marRight w:val="0"/>
      <w:marTop w:val="0"/>
      <w:marBottom w:val="0"/>
      <w:divBdr>
        <w:top w:val="none" w:sz="0" w:space="0" w:color="auto"/>
        <w:left w:val="none" w:sz="0" w:space="0" w:color="auto"/>
        <w:bottom w:val="none" w:sz="0" w:space="0" w:color="auto"/>
        <w:right w:val="none" w:sz="0" w:space="0" w:color="auto"/>
      </w:divBdr>
      <w:divsChild>
        <w:div w:id="1478622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0947724">
      <w:bodyDiv w:val="1"/>
      <w:marLeft w:val="0"/>
      <w:marRight w:val="0"/>
      <w:marTop w:val="0"/>
      <w:marBottom w:val="0"/>
      <w:divBdr>
        <w:top w:val="none" w:sz="0" w:space="0" w:color="auto"/>
        <w:left w:val="none" w:sz="0" w:space="0" w:color="auto"/>
        <w:bottom w:val="none" w:sz="0" w:space="0" w:color="auto"/>
        <w:right w:val="none" w:sz="0" w:space="0" w:color="auto"/>
      </w:divBdr>
      <w:divsChild>
        <w:div w:id="1285199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9992764">
      <w:bodyDiv w:val="1"/>
      <w:marLeft w:val="0"/>
      <w:marRight w:val="0"/>
      <w:marTop w:val="0"/>
      <w:marBottom w:val="0"/>
      <w:divBdr>
        <w:top w:val="none" w:sz="0" w:space="0" w:color="auto"/>
        <w:left w:val="none" w:sz="0" w:space="0" w:color="auto"/>
        <w:bottom w:val="none" w:sz="0" w:space="0" w:color="auto"/>
        <w:right w:val="none" w:sz="0" w:space="0" w:color="auto"/>
      </w:divBdr>
      <w:divsChild>
        <w:div w:id="14500517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7478335">
      <w:bodyDiv w:val="1"/>
      <w:marLeft w:val="0"/>
      <w:marRight w:val="0"/>
      <w:marTop w:val="0"/>
      <w:marBottom w:val="0"/>
      <w:divBdr>
        <w:top w:val="none" w:sz="0" w:space="0" w:color="auto"/>
        <w:left w:val="none" w:sz="0" w:space="0" w:color="auto"/>
        <w:bottom w:val="none" w:sz="0" w:space="0" w:color="auto"/>
        <w:right w:val="none" w:sz="0" w:space="0" w:color="auto"/>
      </w:divBdr>
      <w:divsChild>
        <w:div w:id="7116579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22719382">
      <w:bodyDiv w:val="1"/>
      <w:marLeft w:val="0"/>
      <w:marRight w:val="0"/>
      <w:marTop w:val="0"/>
      <w:marBottom w:val="0"/>
      <w:divBdr>
        <w:top w:val="none" w:sz="0" w:space="0" w:color="auto"/>
        <w:left w:val="none" w:sz="0" w:space="0" w:color="auto"/>
        <w:bottom w:val="none" w:sz="0" w:space="0" w:color="auto"/>
        <w:right w:val="none" w:sz="0" w:space="0" w:color="auto"/>
      </w:divBdr>
    </w:div>
    <w:div w:id="230384460">
      <w:bodyDiv w:val="1"/>
      <w:marLeft w:val="0"/>
      <w:marRight w:val="0"/>
      <w:marTop w:val="0"/>
      <w:marBottom w:val="0"/>
      <w:divBdr>
        <w:top w:val="none" w:sz="0" w:space="0" w:color="auto"/>
        <w:left w:val="none" w:sz="0" w:space="0" w:color="auto"/>
        <w:bottom w:val="none" w:sz="0" w:space="0" w:color="auto"/>
        <w:right w:val="none" w:sz="0" w:space="0" w:color="auto"/>
      </w:divBdr>
      <w:divsChild>
        <w:div w:id="6254256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37780961">
      <w:bodyDiv w:val="1"/>
      <w:marLeft w:val="0"/>
      <w:marRight w:val="0"/>
      <w:marTop w:val="0"/>
      <w:marBottom w:val="0"/>
      <w:divBdr>
        <w:top w:val="none" w:sz="0" w:space="0" w:color="auto"/>
        <w:left w:val="none" w:sz="0" w:space="0" w:color="auto"/>
        <w:bottom w:val="none" w:sz="0" w:space="0" w:color="auto"/>
        <w:right w:val="none" w:sz="0" w:space="0" w:color="auto"/>
      </w:divBdr>
    </w:div>
    <w:div w:id="449279584">
      <w:bodyDiv w:val="1"/>
      <w:marLeft w:val="0"/>
      <w:marRight w:val="0"/>
      <w:marTop w:val="0"/>
      <w:marBottom w:val="0"/>
      <w:divBdr>
        <w:top w:val="none" w:sz="0" w:space="0" w:color="auto"/>
        <w:left w:val="none" w:sz="0" w:space="0" w:color="auto"/>
        <w:bottom w:val="none" w:sz="0" w:space="0" w:color="auto"/>
        <w:right w:val="none" w:sz="0" w:space="0" w:color="auto"/>
      </w:divBdr>
    </w:div>
    <w:div w:id="470754525">
      <w:bodyDiv w:val="1"/>
      <w:marLeft w:val="0"/>
      <w:marRight w:val="0"/>
      <w:marTop w:val="0"/>
      <w:marBottom w:val="0"/>
      <w:divBdr>
        <w:top w:val="none" w:sz="0" w:space="0" w:color="auto"/>
        <w:left w:val="none" w:sz="0" w:space="0" w:color="auto"/>
        <w:bottom w:val="none" w:sz="0" w:space="0" w:color="auto"/>
        <w:right w:val="none" w:sz="0" w:space="0" w:color="auto"/>
      </w:divBdr>
    </w:div>
    <w:div w:id="483786857">
      <w:bodyDiv w:val="1"/>
      <w:marLeft w:val="0"/>
      <w:marRight w:val="0"/>
      <w:marTop w:val="0"/>
      <w:marBottom w:val="0"/>
      <w:divBdr>
        <w:top w:val="none" w:sz="0" w:space="0" w:color="auto"/>
        <w:left w:val="none" w:sz="0" w:space="0" w:color="auto"/>
        <w:bottom w:val="none" w:sz="0" w:space="0" w:color="auto"/>
        <w:right w:val="none" w:sz="0" w:space="0" w:color="auto"/>
      </w:divBdr>
    </w:div>
    <w:div w:id="513155911">
      <w:bodyDiv w:val="1"/>
      <w:marLeft w:val="0"/>
      <w:marRight w:val="0"/>
      <w:marTop w:val="0"/>
      <w:marBottom w:val="0"/>
      <w:divBdr>
        <w:top w:val="none" w:sz="0" w:space="0" w:color="auto"/>
        <w:left w:val="none" w:sz="0" w:space="0" w:color="auto"/>
        <w:bottom w:val="none" w:sz="0" w:space="0" w:color="auto"/>
        <w:right w:val="none" w:sz="0" w:space="0" w:color="auto"/>
      </w:divBdr>
    </w:div>
    <w:div w:id="582033285">
      <w:bodyDiv w:val="1"/>
      <w:marLeft w:val="0"/>
      <w:marRight w:val="0"/>
      <w:marTop w:val="0"/>
      <w:marBottom w:val="0"/>
      <w:divBdr>
        <w:top w:val="none" w:sz="0" w:space="0" w:color="auto"/>
        <w:left w:val="none" w:sz="0" w:space="0" w:color="auto"/>
        <w:bottom w:val="none" w:sz="0" w:space="0" w:color="auto"/>
        <w:right w:val="none" w:sz="0" w:space="0" w:color="auto"/>
      </w:divBdr>
      <w:divsChild>
        <w:div w:id="10394721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91745727">
      <w:bodyDiv w:val="1"/>
      <w:marLeft w:val="0"/>
      <w:marRight w:val="0"/>
      <w:marTop w:val="0"/>
      <w:marBottom w:val="0"/>
      <w:divBdr>
        <w:top w:val="none" w:sz="0" w:space="0" w:color="auto"/>
        <w:left w:val="none" w:sz="0" w:space="0" w:color="auto"/>
        <w:bottom w:val="none" w:sz="0" w:space="0" w:color="auto"/>
        <w:right w:val="none" w:sz="0" w:space="0" w:color="auto"/>
      </w:divBdr>
    </w:div>
    <w:div w:id="644238291">
      <w:bodyDiv w:val="1"/>
      <w:marLeft w:val="0"/>
      <w:marRight w:val="0"/>
      <w:marTop w:val="0"/>
      <w:marBottom w:val="0"/>
      <w:divBdr>
        <w:top w:val="none" w:sz="0" w:space="0" w:color="auto"/>
        <w:left w:val="none" w:sz="0" w:space="0" w:color="auto"/>
        <w:bottom w:val="none" w:sz="0" w:space="0" w:color="auto"/>
        <w:right w:val="none" w:sz="0" w:space="0" w:color="auto"/>
      </w:divBdr>
      <w:divsChild>
        <w:div w:id="8873784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82051314">
      <w:bodyDiv w:val="1"/>
      <w:marLeft w:val="0"/>
      <w:marRight w:val="0"/>
      <w:marTop w:val="0"/>
      <w:marBottom w:val="0"/>
      <w:divBdr>
        <w:top w:val="none" w:sz="0" w:space="0" w:color="auto"/>
        <w:left w:val="none" w:sz="0" w:space="0" w:color="auto"/>
        <w:bottom w:val="none" w:sz="0" w:space="0" w:color="auto"/>
        <w:right w:val="none" w:sz="0" w:space="0" w:color="auto"/>
      </w:divBdr>
    </w:div>
    <w:div w:id="802038190">
      <w:bodyDiv w:val="1"/>
      <w:marLeft w:val="0"/>
      <w:marRight w:val="0"/>
      <w:marTop w:val="0"/>
      <w:marBottom w:val="0"/>
      <w:divBdr>
        <w:top w:val="none" w:sz="0" w:space="0" w:color="auto"/>
        <w:left w:val="none" w:sz="0" w:space="0" w:color="auto"/>
        <w:bottom w:val="none" w:sz="0" w:space="0" w:color="auto"/>
        <w:right w:val="none" w:sz="0" w:space="0" w:color="auto"/>
      </w:divBdr>
      <w:divsChild>
        <w:div w:id="17215864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09329258">
      <w:bodyDiv w:val="1"/>
      <w:marLeft w:val="0"/>
      <w:marRight w:val="0"/>
      <w:marTop w:val="0"/>
      <w:marBottom w:val="0"/>
      <w:divBdr>
        <w:top w:val="none" w:sz="0" w:space="0" w:color="auto"/>
        <w:left w:val="none" w:sz="0" w:space="0" w:color="auto"/>
        <w:bottom w:val="none" w:sz="0" w:space="0" w:color="auto"/>
        <w:right w:val="none" w:sz="0" w:space="0" w:color="auto"/>
      </w:divBdr>
      <w:divsChild>
        <w:div w:id="16473214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32526767">
      <w:bodyDiv w:val="1"/>
      <w:marLeft w:val="0"/>
      <w:marRight w:val="0"/>
      <w:marTop w:val="0"/>
      <w:marBottom w:val="0"/>
      <w:divBdr>
        <w:top w:val="none" w:sz="0" w:space="0" w:color="auto"/>
        <w:left w:val="none" w:sz="0" w:space="0" w:color="auto"/>
        <w:bottom w:val="none" w:sz="0" w:space="0" w:color="auto"/>
        <w:right w:val="none" w:sz="0" w:space="0" w:color="auto"/>
      </w:divBdr>
    </w:div>
    <w:div w:id="864245332">
      <w:bodyDiv w:val="1"/>
      <w:marLeft w:val="0"/>
      <w:marRight w:val="0"/>
      <w:marTop w:val="0"/>
      <w:marBottom w:val="0"/>
      <w:divBdr>
        <w:top w:val="none" w:sz="0" w:space="0" w:color="auto"/>
        <w:left w:val="none" w:sz="0" w:space="0" w:color="auto"/>
        <w:bottom w:val="none" w:sz="0" w:space="0" w:color="auto"/>
        <w:right w:val="none" w:sz="0" w:space="0" w:color="auto"/>
      </w:divBdr>
      <w:divsChild>
        <w:div w:id="5762051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1305348">
      <w:bodyDiv w:val="1"/>
      <w:marLeft w:val="0"/>
      <w:marRight w:val="0"/>
      <w:marTop w:val="0"/>
      <w:marBottom w:val="0"/>
      <w:divBdr>
        <w:top w:val="none" w:sz="0" w:space="0" w:color="auto"/>
        <w:left w:val="none" w:sz="0" w:space="0" w:color="auto"/>
        <w:bottom w:val="none" w:sz="0" w:space="0" w:color="auto"/>
        <w:right w:val="none" w:sz="0" w:space="0" w:color="auto"/>
      </w:divBdr>
    </w:div>
    <w:div w:id="908466725">
      <w:bodyDiv w:val="1"/>
      <w:marLeft w:val="0"/>
      <w:marRight w:val="0"/>
      <w:marTop w:val="0"/>
      <w:marBottom w:val="0"/>
      <w:divBdr>
        <w:top w:val="none" w:sz="0" w:space="0" w:color="auto"/>
        <w:left w:val="none" w:sz="0" w:space="0" w:color="auto"/>
        <w:bottom w:val="none" w:sz="0" w:space="0" w:color="auto"/>
        <w:right w:val="none" w:sz="0" w:space="0" w:color="auto"/>
      </w:divBdr>
    </w:div>
    <w:div w:id="926693468">
      <w:bodyDiv w:val="1"/>
      <w:marLeft w:val="0"/>
      <w:marRight w:val="0"/>
      <w:marTop w:val="0"/>
      <w:marBottom w:val="0"/>
      <w:divBdr>
        <w:top w:val="none" w:sz="0" w:space="0" w:color="auto"/>
        <w:left w:val="none" w:sz="0" w:space="0" w:color="auto"/>
        <w:bottom w:val="none" w:sz="0" w:space="0" w:color="auto"/>
        <w:right w:val="none" w:sz="0" w:space="0" w:color="auto"/>
      </w:divBdr>
    </w:div>
    <w:div w:id="935937822">
      <w:bodyDiv w:val="1"/>
      <w:marLeft w:val="0"/>
      <w:marRight w:val="0"/>
      <w:marTop w:val="0"/>
      <w:marBottom w:val="0"/>
      <w:divBdr>
        <w:top w:val="none" w:sz="0" w:space="0" w:color="auto"/>
        <w:left w:val="none" w:sz="0" w:space="0" w:color="auto"/>
        <w:bottom w:val="none" w:sz="0" w:space="0" w:color="auto"/>
        <w:right w:val="none" w:sz="0" w:space="0" w:color="auto"/>
      </w:divBdr>
    </w:div>
    <w:div w:id="958027487">
      <w:bodyDiv w:val="1"/>
      <w:marLeft w:val="0"/>
      <w:marRight w:val="0"/>
      <w:marTop w:val="0"/>
      <w:marBottom w:val="0"/>
      <w:divBdr>
        <w:top w:val="none" w:sz="0" w:space="0" w:color="auto"/>
        <w:left w:val="none" w:sz="0" w:space="0" w:color="auto"/>
        <w:bottom w:val="none" w:sz="0" w:space="0" w:color="auto"/>
        <w:right w:val="none" w:sz="0" w:space="0" w:color="auto"/>
      </w:divBdr>
    </w:div>
    <w:div w:id="982537212">
      <w:bodyDiv w:val="1"/>
      <w:marLeft w:val="0"/>
      <w:marRight w:val="0"/>
      <w:marTop w:val="0"/>
      <w:marBottom w:val="0"/>
      <w:divBdr>
        <w:top w:val="none" w:sz="0" w:space="0" w:color="auto"/>
        <w:left w:val="none" w:sz="0" w:space="0" w:color="auto"/>
        <w:bottom w:val="none" w:sz="0" w:space="0" w:color="auto"/>
        <w:right w:val="none" w:sz="0" w:space="0" w:color="auto"/>
      </w:divBdr>
      <w:divsChild>
        <w:div w:id="2495822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85088315">
      <w:bodyDiv w:val="1"/>
      <w:marLeft w:val="0"/>
      <w:marRight w:val="0"/>
      <w:marTop w:val="0"/>
      <w:marBottom w:val="0"/>
      <w:divBdr>
        <w:top w:val="none" w:sz="0" w:space="0" w:color="auto"/>
        <w:left w:val="none" w:sz="0" w:space="0" w:color="auto"/>
        <w:bottom w:val="none" w:sz="0" w:space="0" w:color="auto"/>
        <w:right w:val="none" w:sz="0" w:space="0" w:color="auto"/>
      </w:divBdr>
    </w:div>
    <w:div w:id="1030565632">
      <w:bodyDiv w:val="1"/>
      <w:marLeft w:val="0"/>
      <w:marRight w:val="0"/>
      <w:marTop w:val="0"/>
      <w:marBottom w:val="0"/>
      <w:divBdr>
        <w:top w:val="none" w:sz="0" w:space="0" w:color="auto"/>
        <w:left w:val="none" w:sz="0" w:space="0" w:color="auto"/>
        <w:bottom w:val="none" w:sz="0" w:space="0" w:color="auto"/>
        <w:right w:val="none" w:sz="0" w:space="0" w:color="auto"/>
      </w:divBdr>
    </w:div>
    <w:div w:id="1038505421">
      <w:bodyDiv w:val="1"/>
      <w:marLeft w:val="0"/>
      <w:marRight w:val="0"/>
      <w:marTop w:val="0"/>
      <w:marBottom w:val="0"/>
      <w:divBdr>
        <w:top w:val="none" w:sz="0" w:space="0" w:color="auto"/>
        <w:left w:val="none" w:sz="0" w:space="0" w:color="auto"/>
        <w:bottom w:val="none" w:sz="0" w:space="0" w:color="auto"/>
        <w:right w:val="none" w:sz="0" w:space="0" w:color="auto"/>
      </w:divBdr>
      <w:divsChild>
        <w:div w:id="17755183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08043556">
      <w:bodyDiv w:val="1"/>
      <w:marLeft w:val="0"/>
      <w:marRight w:val="0"/>
      <w:marTop w:val="0"/>
      <w:marBottom w:val="0"/>
      <w:divBdr>
        <w:top w:val="none" w:sz="0" w:space="0" w:color="auto"/>
        <w:left w:val="none" w:sz="0" w:space="0" w:color="auto"/>
        <w:bottom w:val="none" w:sz="0" w:space="0" w:color="auto"/>
        <w:right w:val="none" w:sz="0" w:space="0" w:color="auto"/>
      </w:divBdr>
      <w:divsChild>
        <w:div w:id="458841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11364115">
      <w:bodyDiv w:val="1"/>
      <w:marLeft w:val="0"/>
      <w:marRight w:val="0"/>
      <w:marTop w:val="0"/>
      <w:marBottom w:val="0"/>
      <w:divBdr>
        <w:top w:val="none" w:sz="0" w:space="0" w:color="auto"/>
        <w:left w:val="none" w:sz="0" w:space="0" w:color="auto"/>
        <w:bottom w:val="none" w:sz="0" w:space="0" w:color="auto"/>
        <w:right w:val="none" w:sz="0" w:space="0" w:color="auto"/>
      </w:divBdr>
      <w:divsChild>
        <w:div w:id="14053776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14639136">
      <w:bodyDiv w:val="1"/>
      <w:marLeft w:val="0"/>
      <w:marRight w:val="0"/>
      <w:marTop w:val="0"/>
      <w:marBottom w:val="0"/>
      <w:divBdr>
        <w:top w:val="none" w:sz="0" w:space="0" w:color="auto"/>
        <w:left w:val="none" w:sz="0" w:space="0" w:color="auto"/>
        <w:bottom w:val="none" w:sz="0" w:space="0" w:color="auto"/>
        <w:right w:val="none" w:sz="0" w:space="0" w:color="auto"/>
      </w:divBdr>
    </w:div>
    <w:div w:id="1126584881">
      <w:bodyDiv w:val="1"/>
      <w:marLeft w:val="0"/>
      <w:marRight w:val="0"/>
      <w:marTop w:val="0"/>
      <w:marBottom w:val="0"/>
      <w:divBdr>
        <w:top w:val="none" w:sz="0" w:space="0" w:color="auto"/>
        <w:left w:val="none" w:sz="0" w:space="0" w:color="auto"/>
        <w:bottom w:val="none" w:sz="0" w:space="0" w:color="auto"/>
        <w:right w:val="none" w:sz="0" w:space="0" w:color="auto"/>
      </w:divBdr>
    </w:div>
    <w:div w:id="1134175497">
      <w:bodyDiv w:val="1"/>
      <w:marLeft w:val="0"/>
      <w:marRight w:val="0"/>
      <w:marTop w:val="0"/>
      <w:marBottom w:val="0"/>
      <w:divBdr>
        <w:top w:val="none" w:sz="0" w:space="0" w:color="auto"/>
        <w:left w:val="none" w:sz="0" w:space="0" w:color="auto"/>
        <w:bottom w:val="none" w:sz="0" w:space="0" w:color="auto"/>
        <w:right w:val="none" w:sz="0" w:space="0" w:color="auto"/>
      </w:divBdr>
      <w:divsChild>
        <w:div w:id="12210124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36681325">
      <w:bodyDiv w:val="1"/>
      <w:marLeft w:val="0"/>
      <w:marRight w:val="0"/>
      <w:marTop w:val="0"/>
      <w:marBottom w:val="0"/>
      <w:divBdr>
        <w:top w:val="none" w:sz="0" w:space="0" w:color="auto"/>
        <w:left w:val="none" w:sz="0" w:space="0" w:color="auto"/>
        <w:bottom w:val="none" w:sz="0" w:space="0" w:color="auto"/>
        <w:right w:val="none" w:sz="0" w:space="0" w:color="auto"/>
      </w:divBdr>
    </w:div>
    <w:div w:id="1140998807">
      <w:bodyDiv w:val="1"/>
      <w:marLeft w:val="0"/>
      <w:marRight w:val="0"/>
      <w:marTop w:val="0"/>
      <w:marBottom w:val="0"/>
      <w:divBdr>
        <w:top w:val="none" w:sz="0" w:space="0" w:color="auto"/>
        <w:left w:val="none" w:sz="0" w:space="0" w:color="auto"/>
        <w:bottom w:val="none" w:sz="0" w:space="0" w:color="auto"/>
        <w:right w:val="none" w:sz="0" w:space="0" w:color="auto"/>
      </w:divBdr>
    </w:div>
    <w:div w:id="1174340698">
      <w:bodyDiv w:val="1"/>
      <w:marLeft w:val="0"/>
      <w:marRight w:val="0"/>
      <w:marTop w:val="0"/>
      <w:marBottom w:val="0"/>
      <w:divBdr>
        <w:top w:val="none" w:sz="0" w:space="0" w:color="auto"/>
        <w:left w:val="none" w:sz="0" w:space="0" w:color="auto"/>
        <w:bottom w:val="none" w:sz="0" w:space="0" w:color="auto"/>
        <w:right w:val="none" w:sz="0" w:space="0" w:color="auto"/>
      </w:divBdr>
    </w:div>
    <w:div w:id="1196163841">
      <w:bodyDiv w:val="1"/>
      <w:marLeft w:val="0"/>
      <w:marRight w:val="0"/>
      <w:marTop w:val="0"/>
      <w:marBottom w:val="0"/>
      <w:divBdr>
        <w:top w:val="none" w:sz="0" w:space="0" w:color="auto"/>
        <w:left w:val="none" w:sz="0" w:space="0" w:color="auto"/>
        <w:bottom w:val="none" w:sz="0" w:space="0" w:color="auto"/>
        <w:right w:val="none" w:sz="0" w:space="0" w:color="auto"/>
      </w:divBdr>
      <w:divsChild>
        <w:div w:id="101877215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98085414">
      <w:bodyDiv w:val="1"/>
      <w:marLeft w:val="0"/>
      <w:marRight w:val="0"/>
      <w:marTop w:val="0"/>
      <w:marBottom w:val="0"/>
      <w:divBdr>
        <w:top w:val="none" w:sz="0" w:space="0" w:color="auto"/>
        <w:left w:val="none" w:sz="0" w:space="0" w:color="auto"/>
        <w:bottom w:val="none" w:sz="0" w:space="0" w:color="auto"/>
        <w:right w:val="none" w:sz="0" w:space="0" w:color="auto"/>
      </w:divBdr>
    </w:div>
    <w:div w:id="1209146960">
      <w:bodyDiv w:val="1"/>
      <w:marLeft w:val="0"/>
      <w:marRight w:val="0"/>
      <w:marTop w:val="0"/>
      <w:marBottom w:val="0"/>
      <w:divBdr>
        <w:top w:val="none" w:sz="0" w:space="0" w:color="auto"/>
        <w:left w:val="none" w:sz="0" w:space="0" w:color="auto"/>
        <w:bottom w:val="none" w:sz="0" w:space="0" w:color="auto"/>
        <w:right w:val="none" w:sz="0" w:space="0" w:color="auto"/>
      </w:divBdr>
    </w:div>
    <w:div w:id="1243030222">
      <w:bodyDiv w:val="1"/>
      <w:marLeft w:val="0"/>
      <w:marRight w:val="0"/>
      <w:marTop w:val="0"/>
      <w:marBottom w:val="0"/>
      <w:divBdr>
        <w:top w:val="none" w:sz="0" w:space="0" w:color="auto"/>
        <w:left w:val="none" w:sz="0" w:space="0" w:color="auto"/>
        <w:bottom w:val="none" w:sz="0" w:space="0" w:color="auto"/>
        <w:right w:val="none" w:sz="0" w:space="0" w:color="auto"/>
      </w:divBdr>
      <w:divsChild>
        <w:div w:id="8867254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68194636">
      <w:bodyDiv w:val="1"/>
      <w:marLeft w:val="0"/>
      <w:marRight w:val="0"/>
      <w:marTop w:val="0"/>
      <w:marBottom w:val="0"/>
      <w:divBdr>
        <w:top w:val="none" w:sz="0" w:space="0" w:color="auto"/>
        <w:left w:val="none" w:sz="0" w:space="0" w:color="auto"/>
        <w:bottom w:val="none" w:sz="0" w:space="0" w:color="auto"/>
        <w:right w:val="none" w:sz="0" w:space="0" w:color="auto"/>
      </w:divBdr>
    </w:div>
    <w:div w:id="1416895184">
      <w:bodyDiv w:val="1"/>
      <w:marLeft w:val="0"/>
      <w:marRight w:val="0"/>
      <w:marTop w:val="0"/>
      <w:marBottom w:val="0"/>
      <w:divBdr>
        <w:top w:val="none" w:sz="0" w:space="0" w:color="auto"/>
        <w:left w:val="none" w:sz="0" w:space="0" w:color="auto"/>
        <w:bottom w:val="none" w:sz="0" w:space="0" w:color="auto"/>
        <w:right w:val="none" w:sz="0" w:space="0" w:color="auto"/>
      </w:divBdr>
    </w:div>
    <w:div w:id="1453865370">
      <w:bodyDiv w:val="1"/>
      <w:marLeft w:val="0"/>
      <w:marRight w:val="0"/>
      <w:marTop w:val="0"/>
      <w:marBottom w:val="0"/>
      <w:divBdr>
        <w:top w:val="none" w:sz="0" w:space="0" w:color="auto"/>
        <w:left w:val="none" w:sz="0" w:space="0" w:color="auto"/>
        <w:bottom w:val="none" w:sz="0" w:space="0" w:color="auto"/>
        <w:right w:val="none" w:sz="0" w:space="0" w:color="auto"/>
      </w:divBdr>
    </w:div>
    <w:div w:id="1532918966">
      <w:bodyDiv w:val="1"/>
      <w:marLeft w:val="0"/>
      <w:marRight w:val="0"/>
      <w:marTop w:val="0"/>
      <w:marBottom w:val="0"/>
      <w:divBdr>
        <w:top w:val="none" w:sz="0" w:space="0" w:color="auto"/>
        <w:left w:val="none" w:sz="0" w:space="0" w:color="auto"/>
        <w:bottom w:val="none" w:sz="0" w:space="0" w:color="auto"/>
        <w:right w:val="none" w:sz="0" w:space="0" w:color="auto"/>
      </w:divBdr>
      <w:divsChild>
        <w:div w:id="20074416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2931592">
      <w:bodyDiv w:val="1"/>
      <w:marLeft w:val="0"/>
      <w:marRight w:val="0"/>
      <w:marTop w:val="0"/>
      <w:marBottom w:val="0"/>
      <w:divBdr>
        <w:top w:val="none" w:sz="0" w:space="0" w:color="auto"/>
        <w:left w:val="none" w:sz="0" w:space="0" w:color="auto"/>
        <w:bottom w:val="none" w:sz="0" w:space="0" w:color="auto"/>
        <w:right w:val="none" w:sz="0" w:space="0" w:color="auto"/>
      </w:divBdr>
    </w:div>
    <w:div w:id="1680816703">
      <w:bodyDiv w:val="1"/>
      <w:marLeft w:val="0"/>
      <w:marRight w:val="0"/>
      <w:marTop w:val="0"/>
      <w:marBottom w:val="0"/>
      <w:divBdr>
        <w:top w:val="none" w:sz="0" w:space="0" w:color="auto"/>
        <w:left w:val="none" w:sz="0" w:space="0" w:color="auto"/>
        <w:bottom w:val="none" w:sz="0" w:space="0" w:color="auto"/>
        <w:right w:val="none" w:sz="0" w:space="0" w:color="auto"/>
      </w:divBdr>
    </w:div>
    <w:div w:id="1690986709">
      <w:bodyDiv w:val="1"/>
      <w:marLeft w:val="0"/>
      <w:marRight w:val="0"/>
      <w:marTop w:val="0"/>
      <w:marBottom w:val="0"/>
      <w:divBdr>
        <w:top w:val="none" w:sz="0" w:space="0" w:color="auto"/>
        <w:left w:val="none" w:sz="0" w:space="0" w:color="auto"/>
        <w:bottom w:val="none" w:sz="0" w:space="0" w:color="auto"/>
        <w:right w:val="none" w:sz="0" w:space="0" w:color="auto"/>
      </w:divBdr>
    </w:div>
    <w:div w:id="1731035001">
      <w:bodyDiv w:val="1"/>
      <w:marLeft w:val="0"/>
      <w:marRight w:val="0"/>
      <w:marTop w:val="0"/>
      <w:marBottom w:val="0"/>
      <w:divBdr>
        <w:top w:val="none" w:sz="0" w:space="0" w:color="auto"/>
        <w:left w:val="none" w:sz="0" w:space="0" w:color="auto"/>
        <w:bottom w:val="none" w:sz="0" w:space="0" w:color="auto"/>
        <w:right w:val="none" w:sz="0" w:space="0" w:color="auto"/>
      </w:divBdr>
    </w:div>
    <w:div w:id="1765034933">
      <w:bodyDiv w:val="1"/>
      <w:marLeft w:val="0"/>
      <w:marRight w:val="0"/>
      <w:marTop w:val="0"/>
      <w:marBottom w:val="0"/>
      <w:divBdr>
        <w:top w:val="none" w:sz="0" w:space="0" w:color="auto"/>
        <w:left w:val="none" w:sz="0" w:space="0" w:color="auto"/>
        <w:bottom w:val="none" w:sz="0" w:space="0" w:color="auto"/>
        <w:right w:val="none" w:sz="0" w:space="0" w:color="auto"/>
      </w:divBdr>
      <w:divsChild>
        <w:div w:id="7645688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28591938">
      <w:bodyDiv w:val="1"/>
      <w:marLeft w:val="0"/>
      <w:marRight w:val="0"/>
      <w:marTop w:val="0"/>
      <w:marBottom w:val="0"/>
      <w:divBdr>
        <w:top w:val="none" w:sz="0" w:space="0" w:color="auto"/>
        <w:left w:val="none" w:sz="0" w:space="0" w:color="auto"/>
        <w:bottom w:val="none" w:sz="0" w:space="0" w:color="auto"/>
        <w:right w:val="none" w:sz="0" w:space="0" w:color="auto"/>
      </w:divBdr>
      <w:divsChild>
        <w:div w:id="21100036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7033247">
      <w:bodyDiv w:val="1"/>
      <w:marLeft w:val="0"/>
      <w:marRight w:val="0"/>
      <w:marTop w:val="0"/>
      <w:marBottom w:val="0"/>
      <w:divBdr>
        <w:top w:val="none" w:sz="0" w:space="0" w:color="auto"/>
        <w:left w:val="none" w:sz="0" w:space="0" w:color="auto"/>
        <w:bottom w:val="none" w:sz="0" w:space="0" w:color="auto"/>
        <w:right w:val="none" w:sz="0" w:space="0" w:color="auto"/>
      </w:divBdr>
      <w:divsChild>
        <w:div w:id="12908657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62105581">
      <w:bodyDiv w:val="1"/>
      <w:marLeft w:val="0"/>
      <w:marRight w:val="0"/>
      <w:marTop w:val="0"/>
      <w:marBottom w:val="0"/>
      <w:divBdr>
        <w:top w:val="none" w:sz="0" w:space="0" w:color="auto"/>
        <w:left w:val="none" w:sz="0" w:space="0" w:color="auto"/>
        <w:bottom w:val="none" w:sz="0" w:space="0" w:color="auto"/>
        <w:right w:val="none" w:sz="0" w:space="0" w:color="auto"/>
      </w:divBdr>
    </w:div>
    <w:div w:id="1972199833">
      <w:bodyDiv w:val="1"/>
      <w:marLeft w:val="0"/>
      <w:marRight w:val="0"/>
      <w:marTop w:val="0"/>
      <w:marBottom w:val="0"/>
      <w:divBdr>
        <w:top w:val="none" w:sz="0" w:space="0" w:color="auto"/>
        <w:left w:val="none" w:sz="0" w:space="0" w:color="auto"/>
        <w:bottom w:val="none" w:sz="0" w:space="0" w:color="auto"/>
        <w:right w:val="none" w:sz="0" w:space="0" w:color="auto"/>
      </w:divBdr>
    </w:div>
    <w:div w:id="1973100049">
      <w:bodyDiv w:val="1"/>
      <w:marLeft w:val="0"/>
      <w:marRight w:val="0"/>
      <w:marTop w:val="0"/>
      <w:marBottom w:val="0"/>
      <w:divBdr>
        <w:top w:val="none" w:sz="0" w:space="0" w:color="auto"/>
        <w:left w:val="none" w:sz="0" w:space="0" w:color="auto"/>
        <w:bottom w:val="none" w:sz="0" w:space="0" w:color="auto"/>
        <w:right w:val="none" w:sz="0" w:space="0" w:color="auto"/>
      </w:divBdr>
    </w:div>
    <w:div w:id="1978532581">
      <w:bodyDiv w:val="1"/>
      <w:marLeft w:val="0"/>
      <w:marRight w:val="0"/>
      <w:marTop w:val="0"/>
      <w:marBottom w:val="0"/>
      <w:divBdr>
        <w:top w:val="none" w:sz="0" w:space="0" w:color="auto"/>
        <w:left w:val="none" w:sz="0" w:space="0" w:color="auto"/>
        <w:bottom w:val="none" w:sz="0" w:space="0" w:color="auto"/>
        <w:right w:val="none" w:sz="0" w:space="0" w:color="auto"/>
      </w:divBdr>
      <w:divsChild>
        <w:div w:id="12873924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88439029">
      <w:bodyDiv w:val="1"/>
      <w:marLeft w:val="0"/>
      <w:marRight w:val="0"/>
      <w:marTop w:val="0"/>
      <w:marBottom w:val="0"/>
      <w:divBdr>
        <w:top w:val="none" w:sz="0" w:space="0" w:color="auto"/>
        <w:left w:val="none" w:sz="0" w:space="0" w:color="auto"/>
        <w:bottom w:val="none" w:sz="0" w:space="0" w:color="auto"/>
        <w:right w:val="none" w:sz="0" w:space="0" w:color="auto"/>
      </w:divBdr>
    </w:div>
    <w:div w:id="1991206708">
      <w:bodyDiv w:val="1"/>
      <w:marLeft w:val="0"/>
      <w:marRight w:val="0"/>
      <w:marTop w:val="0"/>
      <w:marBottom w:val="0"/>
      <w:divBdr>
        <w:top w:val="none" w:sz="0" w:space="0" w:color="auto"/>
        <w:left w:val="none" w:sz="0" w:space="0" w:color="auto"/>
        <w:bottom w:val="none" w:sz="0" w:space="0" w:color="auto"/>
        <w:right w:val="none" w:sz="0" w:space="0" w:color="auto"/>
      </w:divBdr>
    </w:div>
    <w:div w:id="2005668620">
      <w:bodyDiv w:val="1"/>
      <w:marLeft w:val="0"/>
      <w:marRight w:val="0"/>
      <w:marTop w:val="0"/>
      <w:marBottom w:val="0"/>
      <w:divBdr>
        <w:top w:val="none" w:sz="0" w:space="0" w:color="auto"/>
        <w:left w:val="none" w:sz="0" w:space="0" w:color="auto"/>
        <w:bottom w:val="none" w:sz="0" w:space="0" w:color="auto"/>
        <w:right w:val="none" w:sz="0" w:space="0" w:color="auto"/>
      </w:divBdr>
      <w:divsChild>
        <w:div w:id="14720198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79785204">
      <w:bodyDiv w:val="1"/>
      <w:marLeft w:val="0"/>
      <w:marRight w:val="0"/>
      <w:marTop w:val="0"/>
      <w:marBottom w:val="0"/>
      <w:divBdr>
        <w:top w:val="none" w:sz="0" w:space="0" w:color="auto"/>
        <w:left w:val="none" w:sz="0" w:space="0" w:color="auto"/>
        <w:bottom w:val="none" w:sz="0" w:space="0" w:color="auto"/>
        <w:right w:val="none" w:sz="0" w:space="0" w:color="auto"/>
      </w:divBdr>
    </w:div>
    <w:div w:id="2104840538">
      <w:bodyDiv w:val="1"/>
      <w:marLeft w:val="0"/>
      <w:marRight w:val="0"/>
      <w:marTop w:val="0"/>
      <w:marBottom w:val="0"/>
      <w:divBdr>
        <w:top w:val="none" w:sz="0" w:space="0" w:color="auto"/>
        <w:left w:val="none" w:sz="0" w:space="0" w:color="auto"/>
        <w:bottom w:val="none" w:sz="0" w:space="0" w:color="auto"/>
        <w:right w:val="none" w:sz="0" w:space="0" w:color="auto"/>
      </w:divBdr>
    </w:div>
    <w:div w:id="2137479265">
      <w:bodyDiv w:val="1"/>
      <w:marLeft w:val="0"/>
      <w:marRight w:val="0"/>
      <w:marTop w:val="0"/>
      <w:marBottom w:val="0"/>
      <w:divBdr>
        <w:top w:val="none" w:sz="0" w:space="0" w:color="auto"/>
        <w:left w:val="none" w:sz="0" w:space="0" w:color="auto"/>
        <w:bottom w:val="none" w:sz="0" w:space="0" w:color="auto"/>
        <w:right w:val="none" w:sz="0" w:space="0" w:color="auto"/>
      </w:divBdr>
      <w:divsChild>
        <w:div w:id="1036989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ps.gov.uk/" TargetMode="External"/><Relationship Id="rId18" Type="http://schemas.openxmlformats.org/officeDocument/2006/relationships/hyperlink" Target="https://committees.parliament.uk/publications/" TargetMode="External"/><Relationship Id="rId26" Type="http://schemas.openxmlformats.org/officeDocument/2006/relationships/hyperlink" Target="https://www.gov.uk/" TargetMode="External"/><Relationship Id="rId3" Type="http://schemas.openxmlformats.org/officeDocument/2006/relationships/settings" Target="settings.xml"/><Relationship Id="rId21" Type="http://schemas.openxmlformats.org/officeDocument/2006/relationships/hyperlink" Target="https://files.justice.org.uk/" TargetMode="External"/><Relationship Id="rId34" Type="http://schemas.openxmlformats.org/officeDocument/2006/relationships/theme" Target="theme/theme1.xml"/><Relationship Id="rId7" Type="http://schemas.openxmlformats.org/officeDocument/2006/relationships/hyperlink" Target="https://thesurvivorstrust.org/wp-content/uploads/2024/01/POL3039_Dissertation_Original.pdf" TargetMode="External"/><Relationship Id="rId12" Type="http://schemas.openxmlformats.org/officeDocument/2006/relationships/hyperlink" Target="https://www.cps.gov.uk/" TargetMode="External"/><Relationship Id="rId17" Type="http://schemas.openxmlformats.org/officeDocument/2006/relationships/hyperlink" Target="https://www.justiceinspectorates.gov.uk/" TargetMode="External"/><Relationship Id="rId25" Type="http://schemas.openxmlformats.org/officeDocument/2006/relationships/hyperlink" Target="https://www.gov.uk/"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justiceinspectorates.gov.uk/hmicfrs/publications/the-police-response-to-vulnerable-people/" TargetMode="External"/><Relationship Id="rId20" Type="http://schemas.openxmlformats.org/officeDocument/2006/relationships/hyperlink" Target="https://www.policeconduct.gov.uk/sites/default/files/documents/iopc-race-discrimination-report-November-24.pdf" TargetMode="External"/><Relationship Id="rId29" Type="http://schemas.openxmlformats.org/officeDocument/2006/relationships/hyperlink" Target="https://www.gov.scot/" TargetMode="External"/><Relationship Id="rId1" Type="http://schemas.openxmlformats.org/officeDocument/2006/relationships/numbering" Target="numbering.xml"/><Relationship Id="rId6" Type="http://schemas.openxmlformats.org/officeDocument/2006/relationships/hyperlink" Target="https://www.endviolenceagainstwomen.org.uk/wp-content/uploads/C-Decriminalisation-of-Rape-Report-CWJ-EVAW-IMKAAN-RCEW-NOV-2020.pdf" TargetMode="External"/><Relationship Id="rId11" Type="http://schemas.openxmlformats.org/officeDocument/2006/relationships/hyperlink" Target="https://www.copfs.gov.uk/services/support-at-court/vulnerable-victims-and-witnesses/" TargetMode="External"/><Relationship Id="rId24" Type="http://schemas.openxmlformats.org/officeDocument/2006/relationships/hyperlink" Target="https://www.gov.uk/" TargetMode="External"/><Relationship Id="rId32" Type="http://schemas.openxmlformats.org/officeDocument/2006/relationships/hyperlink" Target="https://www.gov.uk/" TargetMode="External"/><Relationship Id="rId5" Type="http://schemas.openxmlformats.org/officeDocument/2006/relationships/image" Target="media/image1.jpeg"/><Relationship Id="rId15" Type="http://schemas.openxmlformats.org/officeDocument/2006/relationships/hyperlink" Target="https://www.justiceinspectorates.gov.uk/hmicfrs/publications/safe-to-share/" TargetMode="External"/><Relationship Id="rId23" Type="http://schemas.openxmlformats.org/officeDocument/2006/relationships/hyperlink" Target="https://www.gov.uk/" TargetMode="External"/><Relationship Id="rId28" Type="http://schemas.openxmlformats.org/officeDocument/2006/relationships/hyperlink" Target="https://safelives.org.uk/" TargetMode="External"/><Relationship Id="rId10" Type="http://schemas.openxmlformats.org/officeDocument/2006/relationships/hyperlink" Target="https://www.college.police.uk/" TargetMode="External"/><Relationship Id="rId19" Type="http://schemas.openxmlformats.org/officeDocument/2006/relationships/hyperlink" Target="https://www.policeconduct.gov.uk/news/challenging-race-discrimination-policing-my-reflections-national-black-police-association" TargetMode="External"/><Relationship Id="rId31" Type="http://schemas.openxmlformats.org/officeDocument/2006/relationships/hyperlink" Target="https://www.gov.uk/" TargetMode="External"/><Relationship Id="rId4" Type="http://schemas.openxmlformats.org/officeDocument/2006/relationships/webSettings" Target="webSettings.xml"/><Relationship Id="rId9" Type="http://schemas.openxmlformats.org/officeDocument/2006/relationships/hyperlink" Target="https://www.college.police.uk/" TargetMode="External"/><Relationship Id="rId14" Type="http://schemas.openxmlformats.org/officeDocument/2006/relationships/hyperlink" Target="https://www.tandfonline.com/doi/full/10.1080/1068316X.2025.2611338" TargetMode="External"/><Relationship Id="rId22" Type="http://schemas.openxmlformats.org/officeDocument/2006/relationships/hyperlink" Target="https://migrationobservatory.ox.ac.uk/" TargetMode="External"/><Relationship Id="rId27" Type="http://schemas.openxmlformats.org/officeDocument/2006/relationships/hyperlink" Target="https://www.ons.gov.uk/" TargetMode="External"/><Relationship Id="rId30" Type="http://schemas.openxmlformats.org/officeDocument/2006/relationships/hyperlink" Target="https://tacklinghate.org/" TargetMode="External"/><Relationship Id="rId8" Type="http://schemas.openxmlformats.org/officeDocument/2006/relationships/hyperlink" Target="https://www.college.polic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15</Pages>
  <Words>6400</Words>
  <Characters>36486</Characters>
  <Application>Microsoft Office Word</Application>
  <DocSecurity>0</DocSecurity>
  <Lines>304</Lines>
  <Paragraphs>85</Paragraphs>
  <ScaleCrop>false</ScaleCrop>
  <Company/>
  <LinksUpToDate>false</LinksUpToDate>
  <CharactersWithSpaces>42801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Mason (2204171)</dc:creator>
  <cp:keywords/>
  <dc:description/>
  <cp:lastModifiedBy>Sadie Mason (2204171)</cp:lastModifiedBy>
  <cp:revision>4</cp:revision>
  <dcterms:created xsi:type="dcterms:W3CDTF">2026-04-14T19:04:00Z</dcterms:created>
  <dcterms:modified xsi:type="dcterms:W3CDTF">2026-04-24T10:19:00Z</dcterms:modified>
</cp:coreProperties>
</file>