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B382E" w14:textId="77777777" w:rsidR="00541E81" w:rsidRDefault="00541E81" w:rsidP="00541E81">
      <w:pPr>
        <w:jc w:val="center"/>
        <w:rPr>
          <w:rFonts w:ascii="Times New Roman" w:hAnsi="Times New Roman" w:cs="Times New Roman"/>
        </w:rPr>
      </w:pPr>
    </w:p>
    <w:p w14:paraId="6C271187" w14:textId="77777777" w:rsidR="00541E81" w:rsidRDefault="00541E81" w:rsidP="00541E81">
      <w:pPr>
        <w:jc w:val="center"/>
        <w:rPr>
          <w:rFonts w:ascii="Times New Roman" w:hAnsi="Times New Roman" w:cs="Times New Roman"/>
        </w:rPr>
      </w:pPr>
    </w:p>
    <w:p w14:paraId="31D8598F" w14:textId="77777777" w:rsidR="00541E81" w:rsidRDefault="00541E81" w:rsidP="00541E81">
      <w:pPr>
        <w:jc w:val="center"/>
        <w:rPr>
          <w:rFonts w:ascii="Times New Roman" w:hAnsi="Times New Roman" w:cs="Times New Roman"/>
        </w:rPr>
      </w:pPr>
    </w:p>
    <w:p w14:paraId="53F0A3FB" w14:textId="77777777" w:rsidR="00541E81" w:rsidRDefault="00541E81" w:rsidP="00541E81">
      <w:pPr>
        <w:jc w:val="center"/>
        <w:rPr>
          <w:rFonts w:ascii="Times New Roman" w:hAnsi="Times New Roman" w:cs="Times New Roman"/>
        </w:rPr>
      </w:pPr>
      <w:r w:rsidRPr="00167F80">
        <w:rPr>
          <w:rFonts w:ascii="Times New Roman" w:hAnsi="Times New Roman" w:cs="Times New Roman"/>
          <w:noProof/>
        </w:rPr>
        <w:drawing>
          <wp:inline distT="0" distB="0" distL="0" distR="0" wp14:anchorId="34C8F39C" wp14:editId="1C3666FD">
            <wp:extent cx="2381372" cy="9207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81372" cy="920797"/>
                    </a:xfrm>
                    <a:prstGeom prst="rect">
                      <a:avLst/>
                    </a:prstGeom>
                  </pic:spPr>
                </pic:pic>
              </a:graphicData>
            </a:graphic>
          </wp:inline>
        </w:drawing>
      </w:r>
    </w:p>
    <w:p w14:paraId="51CFB6A3" w14:textId="77777777" w:rsidR="00541E81" w:rsidRDefault="00541E81" w:rsidP="00541E81">
      <w:pPr>
        <w:jc w:val="center"/>
        <w:rPr>
          <w:rFonts w:ascii="Times New Roman" w:hAnsi="Times New Roman" w:cs="Times New Roman"/>
        </w:rPr>
      </w:pPr>
    </w:p>
    <w:p w14:paraId="289E7EFB" w14:textId="77777777" w:rsidR="00541E81" w:rsidRPr="00167F80" w:rsidRDefault="00541E81" w:rsidP="00541E81">
      <w:pPr>
        <w:jc w:val="center"/>
        <w:rPr>
          <w:rFonts w:ascii="Times New Roman" w:hAnsi="Times New Roman" w:cs="Times New Roman"/>
        </w:rPr>
      </w:pPr>
    </w:p>
    <w:tbl>
      <w:tblPr>
        <w:tblStyle w:val="TableGrid"/>
        <w:tblW w:w="9493" w:type="dxa"/>
        <w:jc w:val="center"/>
        <w:tblLook w:val="04A0" w:firstRow="1" w:lastRow="0" w:firstColumn="1" w:lastColumn="0" w:noHBand="0" w:noVBand="1"/>
      </w:tblPr>
      <w:tblGrid>
        <w:gridCol w:w="4776"/>
        <w:gridCol w:w="4717"/>
      </w:tblGrid>
      <w:tr w:rsidR="00541E81" w:rsidRPr="00383E56" w14:paraId="47E68B08" w14:textId="77777777" w:rsidTr="004D41BB">
        <w:trPr>
          <w:jc w:val="center"/>
        </w:trPr>
        <w:tc>
          <w:tcPr>
            <w:tcW w:w="4776" w:type="dxa"/>
            <w:hideMark/>
          </w:tcPr>
          <w:p w14:paraId="637A2F02" w14:textId="77777777" w:rsidR="00541E81" w:rsidRPr="00383E56" w:rsidRDefault="00541E81" w:rsidP="004D41BB">
            <w:pPr>
              <w:jc w:val="center"/>
              <w:rPr>
                <w:rFonts w:ascii="Times New Roman" w:eastAsia="Times New Roman" w:hAnsi="Times New Roman" w:cs="Times New Roman"/>
                <w:b/>
                <w:bCs/>
                <w:sz w:val="24"/>
                <w:szCs w:val="24"/>
                <w:lang w:eastAsia="en-GB"/>
              </w:rPr>
            </w:pPr>
            <w:r w:rsidRPr="00383E56">
              <w:rPr>
                <w:rFonts w:ascii="Times New Roman" w:eastAsia="Times New Roman" w:hAnsi="Times New Roman" w:cs="Times New Roman"/>
                <w:b/>
                <w:bCs/>
                <w:sz w:val="24"/>
                <w:szCs w:val="24"/>
                <w:lang w:eastAsia="en-GB"/>
              </w:rPr>
              <w:t>Field</w:t>
            </w:r>
          </w:p>
        </w:tc>
        <w:tc>
          <w:tcPr>
            <w:tcW w:w="4717" w:type="dxa"/>
            <w:hideMark/>
          </w:tcPr>
          <w:p w14:paraId="616A5909" w14:textId="77777777" w:rsidR="00541E81" w:rsidRPr="00383E56" w:rsidRDefault="00541E81" w:rsidP="004D41BB">
            <w:pPr>
              <w:jc w:val="center"/>
              <w:rPr>
                <w:rFonts w:ascii="Times New Roman" w:eastAsia="Times New Roman" w:hAnsi="Times New Roman" w:cs="Times New Roman"/>
                <w:b/>
                <w:bCs/>
                <w:sz w:val="24"/>
                <w:szCs w:val="24"/>
                <w:lang w:eastAsia="en-GB"/>
              </w:rPr>
            </w:pPr>
            <w:r w:rsidRPr="00383E56">
              <w:rPr>
                <w:rFonts w:ascii="Times New Roman" w:eastAsia="Times New Roman" w:hAnsi="Times New Roman" w:cs="Times New Roman"/>
                <w:b/>
                <w:bCs/>
                <w:sz w:val="24"/>
                <w:szCs w:val="24"/>
                <w:lang w:eastAsia="en-GB"/>
              </w:rPr>
              <w:t>Details</w:t>
            </w:r>
          </w:p>
        </w:tc>
      </w:tr>
      <w:tr w:rsidR="00541E81" w:rsidRPr="00383E56" w14:paraId="57B7FC0E" w14:textId="77777777" w:rsidTr="004D41BB">
        <w:trPr>
          <w:jc w:val="center"/>
        </w:trPr>
        <w:tc>
          <w:tcPr>
            <w:tcW w:w="4776" w:type="dxa"/>
            <w:hideMark/>
          </w:tcPr>
          <w:p w14:paraId="727086CC"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Student Name</w:t>
            </w:r>
          </w:p>
        </w:tc>
        <w:tc>
          <w:tcPr>
            <w:tcW w:w="4717" w:type="dxa"/>
            <w:hideMark/>
          </w:tcPr>
          <w:p w14:paraId="61F03898" w14:textId="77777777" w:rsidR="00541E81" w:rsidRPr="00383E56" w:rsidRDefault="00541E81" w:rsidP="004D41BB">
            <w:pPr>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Rezaul</w:t>
            </w:r>
            <w:proofErr w:type="spellEnd"/>
            <w:r>
              <w:rPr>
                <w:rFonts w:ascii="Times New Roman" w:eastAsia="Times New Roman" w:hAnsi="Times New Roman" w:cs="Times New Roman"/>
                <w:sz w:val="24"/>
                <w:szCs w:val="24"/>
                <w:lang w:eastAsia="en-GB"/>
              </w:rPr>
              <w:t xml:space="preserve"> Karim </w:t>
            </w:r>
          </w:p>
        </w:tc>
      </w:tr>
      <w:tr w:rsidR="00541E81" w:rsidRPr="00383E56" w14:paraId="46A25901" w14:textId="77777777" w:rsidTr="004D41BB">
        <w:trPr>
          <w:jc w:val="center"/>
        </w:trPr>
        <w:tc>
          <w:tcPr>
            <w:tcW w:w="4776" w:type="dxa"/>
            <w:hideMark/>
          </w:tcPr>
          <w:p w14:paraId="484D80F3"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Student ID Number</w:t>
            </w:r>
          </w:p>
        </w:tc>
        <w:tc>
          <w:tcPr>
            <w:tcW w:w="4717" w:type="dxa"/>
            <w:hideMark/>
          </w:tcPr>
          <w:p w14:paraId="6058B847" w14:textId="77777777" w:rsidR="00541E81" w:rsidRPr="00383E56" w:rsidRDefault="00541E81" w:rsidP="004D41B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2436008</w:t>
            </w:r>
          </w:p>
        </w:tc>
      </w:tr>
      <w:tr w:rsidR="00541E81" w:rsidRPr="00383E56" w14:paraId="4B2F90E3" w14:textId="77777777" w:rsidTr="004D41BB">
        <w:trPr>
          <w:jc w:val="center"/>
        </w:trPr>
        <w:tc>
          <w:tcPr>
            <w:tcW w:w="4776" w:type="dxa"/>
            <w:hideMark/>
          </w:tcPr>
          <w:p w14:paraId="5D3D53B4"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Programme</w:t>
            </w:r>
          </w:p>
        </w:tc>
        <w:tc>
          <w:tcPr>
            <w:tcW w:w="4717" w:type="dxa"/>
            <w:hideMark/>
          </w:tcPr>
          <w:p w14:paraId="14C10027"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Master of Business Administration</w:t>
            </w:r>
          </w:p>
        </w:tc>
      </w:tr>
      <w:tr w:rsidR="00541E81" w:rsidRPr="00383E56" w14:paraId="2F10CC18" w14:textId="77777777" w:rsidTr="004D41BB">
        <w:trPr>
          <w:jc w:val="center"/>
        </w:trPr>
        <w:tc>
          <w:tcPr>
            <w:tcW w:w="4776" w:type="dxa"/>
            <w:hideMark/>
          </w:tcPr>
          <w:p w14:paraId="7AD6418F"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Module</w:t>
            </w:r>
          </w:p>
        </w:tc>
        <w:tc>
          <w:tcPr>
            <w:tcW w:w="4717" w:type="dxa"/>
            <w:hideMark/>
          </w:tcPr>
          <w:p w14:paraId="089DF6C6" w14:textId="3752B590" w:rsidR="00541E81" w:rsidRPr="00383E56" w:rsidRDefault="00541E81" w:rsidP="004D41BB">
            <w:pPr>
              <w:rPr>
                <w:rFonts w:ascii="Times New Roman" w:eastAsia="Times New Roman" w:hAnsi="Times New Roman" w:cs="Times New Roman"/>
                <w:sz w:val="24"/>
                <w:szCs w:val="24"/>
                <w:lang w:eastAsia="en-GB"/>
              </w:rPr>
            </w:pPr>
            <w:r w:rsidRPr="00541E81">
              <w:rPr>
                <w:rFonts w:ascii="Times New Roman" w:eastAsia="Times New Roman" w:hAnsi="Times New Roman" w:cs="Times New Roman"/>
                <w:sz w:val="24"/>
                <w:szCs w:val="24"/>
                <w:lang w:eastAsia="en-GB"/>
              </w:rPr>
              <w:t>Marketing Management</w:t>
            </w:r>
          </w:p>
        </w:tc>
      </w:tr>
      <w:tr w:rsidR="00541E81" w:rsidRPr="00383E56" w14:paraId="589F965F" w14:textId="77777777" w:rsidTr="004D41BB">
        <w:trPr>
          <w:jc w:val="center"/>
        </w:trPr>
        <w:tc>
          <w:tcPr>
            <w:tcW w:w="4776" w:type="dxa"/>
            <w:hideMark/>
          </w:tcPr>
          <w:p w14:paraId="3272771B"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Module Code</w:t>
            </w:r>
          </w:p>
        </w:tc>
        <w:tc>
          <w:tcPr>
            <w:tcW w:w="4717" w:type="dxa"/>
            <w:hideMark/>
          </w:tcPr>
          <w:p w14:paraId="6C501E19" w14:textId="666979D8" w:rsidR="00541E81" w:rsidRPr="00383E56" w:rsidRDefault="00D97224" w:rsidP="004D41BB">
            <w:pPr>
              <w:rPr>
                <w:rFonts w:ascii="Times New Roman" w:eastAsia="Times New Roman" w:hAnsi="Times New Roman" w:cs="Times New Roman"/>
                <w:sz w:val="24"/>
                <w:szCs w:val="24"/>
                <w:lang w:eastAsia="en-GB"/>
              </w:rPr>
            </w:pPr>
            <w:r w:rsidRPr="00D97224">
              <w:rPr>
                <w:rFonts w:ascii="Times New Roman" w:eastAsia="Times New Roman" w:hAnsi="Times New Roman" w:cs="Times New Roman"/>
                <w:sz w:val="24"/>
                <w:szCs w:val="24"/>
                <w:lang w:eastAsia="en-GB"/>
              </w:rPr>
              <w:t>LCMB7024</w:t>
            </w:r>
          </w:p>
        </w:tc>
      </w:tr>
      <w:tr w:rsidR="00541E81" w:rsidRPr="00383E56" w14:paraId="614525D3" w14:textId="77777777" w:rsidTr="004D41BB">
        <w:trPr>
          <w:jc w:val="center"/>
        </w:trPr>
        <w:tc>
          <w:tcPr>
            <w:tcW w:w="4776" w:type="dxa"/>
            <w:hideMark/>
          </w:tcPr>
          <w:p w14:paraId="7D58ACEC"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Lecturer</w:t>
            </w:r>
          </w:p>
        </w:tc>
        <w:tc>
          <w:tcPr>
            <w:tcW w:w="4717" w:type="dxa"/>
          </w:tcPr>
          <w:p w14:paraId="4DEEE7F3" w14:textId="486B8247" w:rsidR="00541E81" w:rsidRPr="00383E56" w:rsidRDefault="004207D5" w:rsidP="004D41BB">
            <w:pPr>
              <w:rPr>
                <w:rFonts w:ascii="Times New Roman" w:eastAsia="Times New Roman" w:hAnsi="Times New Roman" w:cs="Times New Roman"/>
                <w:sz w:val="24"/>
                <w:szCs w:val="24"/>
                <w:lang w:eastAsia="en-GB"/>
              </w:rPr>
            </w:pPr>
            <w:r w:rsidRPr="004207D5">
              <w:rPr>
                <w:rFonts w:ascii="Times New Roman" w:eastAsia="Times New Roman" w:hAnsi="Times New Roman" w:cs="Times New Roman"/>
                <w:sz w:val="24"/>
                <w:szCs w:val="24"/>
                <w:lang w:eastAsia="en-GB"/>
              </w:rPr>
              <w:t xml:space="preserve">Dr </w:t>
            </w:r>
            <w:proofErr w:type="spellStart"/>
            <w:r w:rsidRPr="004207D5">
              <w:rPr>
                <w:rFonts w:ascii="Times New Roman" w:eastAsia="Times New Roman" w:hAnsi="Times New Roman" w:cs="Times New Roman"/>
                <w:sz w:val="24"/>
                <w:szCs w:val="24"/>
                <w:lang w:eastAsia="en-GB"/>
              </w:rPr>
              <w:t>laila</w:t>
            </w:r>
            <w:proofErr w:type="spellEnd"/>
          </w:p>
        </w:tc>
      </w:tr>
    </w:tbl>
    <w:p w14:paraId="0651F6FD" w14:textId="05331C97" w:rsidR="00E41D59" w:rsidRDefault="00E41D59" w:rsidP="00E41D59">
      <w:pPr>
        <w:jc w:val="center"/>
        <w:rPr>
          <w:rFonts w:ascii="Times New Roman" w:hAnsi="Times New Roman" w:cs="Times New Roman"/>
          <w:sz w:val="24"/>
          <w:szCs w:val="24"/>
        </w:rPr>
      </w:pPr>
    </w:p>
    <w:p w14:paraId="14DC70E6" w14:textId="67E3E931" w:rsidR="00541E81" w:rsidRDefault="00541E81" w:rsidP="00E41D59">
      <w:pPr>
        <w:jc w:val="center"/>
        <w:rPr>
          <w:rFonts w:ascii="Times New Roman" w:hAnsi="Times New Roman" w:cs="Times New Roman"/>
          <w:sz w:val="24"/>
          <w:szCs w:val="24"/>
        </w:rPr>
      </w:pPr>
    </w:p>
    <w:p w14:paraId="2D75DB23" w14:textId="1D649B7E" w:rsidR="00541E81" w:rsidRDefault="00541E81" w:rsidP="00E41D59">
      <w:pPr>
        <w:jc w:val="center"/>
        <w:rPr>
          <w:rFonts w:ascii="Times New Roman" w:hAnsi="Times New Roman" w:cs="Times New Roman"/>
          <w:sz w:val="24"/>
          <w:szCs w:val="24"/>
        </w:rPr>
      </w:pPr>
    </w:p>
    <w:p w14:paraId="37ADF914" w14:textId="283958F9" w:rsidR="00541E81" w:rsidRDefault="00541E81" w:rsidP="00E41D59">
      <w:pPr>
        <w:jc w:val="center"/>
        <w:rPr>
          <w:rFonts w:ascii="Times New Roman" w:hAnsi="Times New Roman" w:cs="Times New Roman"/>
          <w:sz w:val="24"/>
          <w:szCs w:val="24"/>
        </w:rPr>
      </w:pPr>
    </w:p>
    <w:p w14:paraId="3B1700BB" w14:textId="7C83C937" w:rsidR="00541E81" w:rsidRDefault="00541E81" w:rsidP="00E41D59">
      <w:pPr>
        <w:jc w:val="center"/>
        <w:rPr>
          <w:rFonts w:ascii="Times New Roman" w:hAnsi="Times New Roman" w:cs="Times New Roman"/>
          <w:sz w:val="24"/>
          <w:szCs w:val="24"/>
        </w:rPr>
      </w:pPr>
    </w:p>
    <w:p w14:paraId="66CB4787" w14:textId="1F83EC53" w:rsidR="00541E81" w:rsidRDefault="00541E81" w:rsidP="00E41D59">
      <w:pPr>
        <w:jc w:val="center"/>
        <w:rPr>
          <w:rFonts w:ascii="Times New Roman" w:hAnsi="Times New Roman" w:cs="Times New Roman"/>
          <w:sz w:val="24"/>
          <w:szCs w:val="24"/>
        </w:rPr>
      </w:pPr>
    </w:p>
    <w:p w14:paraId="230DDD4F" w14:textId="65EFD92B" w:rsidR="00541E81" w:rsidRDefault="00541E81" w:rsidP="00E41D59">
      <w:pPr>
        <w:jc w:val="center"/>
        <w:rPr>
          <w:rFonts w:ascii="Times New Roman" w:hAnsi="Times New Roman" w:cs="Times New Roman"/>
          <w:sz w:val="24"/>
          <w:szCs w:val="24"/>
        </w:rPr>
      </w:pPr>
    </w:p>
    <w:p w14:paraId="3D6B2CAD" w14:textId="539DAB75" w:rsidR="00541E81" w:rsidRDefault="00541E81" w:rsidP="00E41D59">
      <w:pPr>
        <w:jc w:val="center"/>
        <w:rPr>
          <w:rFonts w:ascii="Times New Roman" w:hAnsi="Times New Roman" w:cs="Times New Roman"/>
          <w:sz w:val="24"/>
          <w:szCs w:val="24"/>
        </w:rPr>
      </w:pPr>
    </w:p>
    <w:p w14:paraId="62C793B3" w14:textId="1D7A1EF5" w:rsidR="00541E81" w:rsidRDefault="00541E81" w:rsidP="00E41D59">
      <w:pPr>
        <w:jc w:val="center"/>
        <w:rPr>
          <w:rFonts w:ascii="Times New Roman" w:hAnsi="Times New Roman" w:cs="Times New Roman"/>
          <w:sz w:val="24"/>
          <w:szCs w:val="24"/>
        </w:rPr>
      </w:pPr>
    </w:p>
    <w:p w14:paraId="71026A2D" w14:textId="04B04400" w:rsidR="00541E81" w:rsidRDefault="00541E81" w:rsidP="00E41D59">
      <w:pPr>
        <w:jc w:val="center"/>
        <w:rPr>
          <w:rFonts w:ascii="Times New Roman" w:hAnsi="Times New Roman" w:cs="Times New Roman"/>
          <w:sz w:val="24"/>
          <w:szCs w:val="24"/>
        </w:rPr>
      </w:pPr>
    </w:p>
    <w:p w14:paraId="792D6D04" w14:textId="5EBC3B6C" w:rsidR="00541E81" w:rsidRDefault="00541E81" w:rsidP="00E41D59">
      <w:pPr>
        <w:jc w:val="center"/>
        <w:rPr>
          <w:rFonts w:ascii="Times New Roman" w:hAnsi="Times New Roman" w:cs="Times New Roman"/>
          <w:sz w:val="24"/>
          <w:szCs w:val="24"/>
        </w:rPr>
      </w:pPr>
    </w:p>
    <w:p w14:paraId="76407992" w14:textId="2284BFFD" w:rsidR="00541E81" w:rsidRDefault="00541E81" w:rsidP="00E41D59">
      <w:pPr>
        <w:jc w:val="center"/>
        <w:rPr>
          <w:rFonts w:ascii="Times New Roman" w:hAnsi="Times New Roman" w:cs="Times New Roman"/>
          <w:sz w:val="24"/>
          <w:szCs w:val="24"/>
        </w:rPr>
      </w:pPr>
    </w:p>
    <w:p w14:paraId="59C620C1" w14:textId="20E36FC5" w:rsidR="00541E81" w:rsidRDefault="00541E81" w:rsidP="00E41D59">
      <w:pPr>
        <w:jc w:val="center"/>
        <w:rPr>
          <w:rFonts w:ascii="Times New Roman" w:hAnsi="Times New Roman" w:cs="Times New Roman"/>
          <w:sz w:val="24"/>
          <w:szCs w:val="24"/>
        </w:rPr>
      </w:pPr>
    </w:p>
    <w:p w14:paraId="5043A25F" w14:textId="4DB8ED21" w:rsidR="00541E81" w:rsidRDefault="00541E81" w:rsidP="00E41D59">
      <w:pPr>
        <w:jc w:val="center"/>
        <w:rPr>
          <w:rFonts w:ascii="Times New Roman" w:hAnsi="Times New Roman" w:cs="Times New Roman"/>
          <w:sz w:val="24"/>
          <w:szCs w:val="24"/>
        </w:rPr>
      </w:pPr>
    </w:p>
    <w:p w14:paraId="4A6DE3EE" w14:textId="74CDEC3D" w:rsidR="00541E81" w:rsidRDefault="00541E81" w:rsidP="00E41D59">
      <w:pPr>
        <w:jc w:val="center"/>
        <w:rPr>
          <w:rFonts w:ascii="Times New Roman" w:hAnsi="Times New Roman" w:cs="Times New Roman"/>
          <w:sz w:val="24"/>
          <w:szCs w:val="24"/>
        </w:rPr>
      </w:pPr>
    </w:p>
    <w:p w14:paraId="1AECC4A4" w14:textId="08409163" w:rsidR="00541E81" w:rsidRDefault="00541E81" w:rsidP="00E41D59">
      <w:pPr>
        <w:jc w:val="center"/>
        <w:rPr>
          <w:rFonts w:ascii="Times New Roman" w:hAnsi="Times New Roman" w:cs="Times New Roman"/>
          <w:sz w:val="24"/>
          <w:szCs w:val="24"/>
        </w:rPr>
      </w:pPr>
    </w:p>
    <w:p w14:paraId="305C8259" w14:textId="68014BC0" w:rsidR="00541E81" w:rsidRDefault="00541E81" w:rsidP="00156F64">
      <w:pPr>
        <w:rPr>
          <w:rFonts w:ascii="Times New Roman" w:hAnsi="Times New Roman" w:cs="Times New Roman"/>
          <w:sz w:val="24"/>
          <w:szCs w:val="24"/>
        </w:rPr>
      </w:pPr>
    </w:p>
    <w:p w14:paraId="0296D8B6" w14:textId="77777777" w:rsidR="00E41D59" w:rsidRDefault="00E41D59" w:rsidP="00156F64">
      <w:pPr>
        <w:rPr>
          <w:rFonts w:ascii="Times New Roman" w:hAnsi="Times New Roman" w:cs="Times New Roman"/>
          <w:sz w:val="24"/>
          <w:szCs w:val="24"/>
        </w:rPr>
      </w:pPr>
    </w:p>
    <w:sdt>
      <w:sdtPr>
        <w:id w:val="-4417603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AD02324" w14:textId="2E28EB44" w:rsidR="00BC5079" w:rsidRDefault="00BC5079">
          <w:pPr>
            <w:pStyle w:val="TOCHeading"/>
          </w:pPr>
          <w:r>
            <w:t>Contents</w:t>
          </w:r>
        </w:p>
        <w:p w14:paraId="6FD11962" w14:textId="04EE4941" w:rsidR="00BC5079" w:rsidRDefault="00BC5079">
          <w:pPr>
            <w:pStyle w:val="TOC1"/>
            <w:tabs>
              <w:tab w:val="right" w:leader="dot" w:pos="9016"/>
            </w:tabs>
            <w:rPr>
              <w:noProof/>
            </w:rPr>
          </w:pPr>
          <w:r>
            <w:fldChar w:fldCharType="begin"/>
          </w:r>
          <w:r>
            <w:instrText xml:space="preserve"> TOC \o "1-3" \h \z \u </w:instrText>
          </w:r>
          <w:r>
            <w:fldChar w:fldCharType="separate"/>
          </w:r>
          <w:hyperlink w:anchor="_Toc214581088" w:history="1">
            <w:r w:rsidRPr="00F31AD0">
              <w:rPr>
                <w:rStyle w:val="Hyperlink"/>
                <w:noProof/>
              </w:rPr>
              <w:t>Introduction</w:t>
            </w:r>
            <w:r>
              <w:rPr>
                <w:noProof/>
                <w:webHidden/>
              </w:rPr>
              <w:tab/>
            </w:r>
            <w:r>
              <w:rPr>
                <w:noProof/>
                <w:webHidden/>
              </w:rPr>
              <w:fldChar w:fldCharType="begin"/>
            </w:r>
            <w:r>
              <w:rPr>
                <w:noProof/>
                <w:webHidden/>
              </w:rPr>
              <w:instrText xml:space="preserve"> PAGEREF _Toc214581088 \h </w:instrText>
            </w:r>
            <w:r>
              <w:rPr>
                <w:noProof/>
                <w:webHidden/>
              </w:rPr>
            </w:r>
            <w:r>
              <w:rPr>
                <w:noProof/>
                <w:webHidden/>
              </w:rPr>
              <w:fldChar w:fldCharType="separate"/>
            </w:r>
            <w:r>
              <w:rPr>
                <w:noProof/>
                <w:webHidden/>
              </w:rPr>
              <w:t>3</w:t>
            </w:r>
            <w:r>
              <w:rPr>
                <w:noProof/>
                <w:webHidden/>
              </w:rPr>
              <w:fldChar w:fldCharType="end"/>
            </w:r>
          </w:hyperlink>
        </w:p>
        <w:p w14:paraId="43C7A855" w14:textId="049277FC" w:rsidR="00BC5079" w:rsidRDefault="00BC5079">
          <w:pPr>
            <w:pStyle w:val="TOC1"/>
            <w:tabs>
              <w:tab w:val="right" w:leader="dot" w:pos="9016"/>
            </w:tabs>
            <w:rPr>
              <w:noProof/>
            </w:rPr>
          </w:pPr>
          <w:hyperlink w:anchor="_Toc214581089" w:history="1">
            <w:r w:rsidRPr="00F31AD0">
              <w:rPr>
                <w:rStyle w:val="Hyperlink"/>
                <w:noProof/>
              </w:rPr>
              <w:t>Task 1: Critical Analysis of Macro Marketing Environment</w:t>
            </w:r>
            <w:r>
              <w:rPr>
                <w:noProof/>
                <w:webHidden/>
              </w:rPr>
              <w:tab/>
            </w:r>
            <w:r>
              <w:rPr>
                <w:noProof/>
                <w:webHidden/>
              </w:rPr>
              <w:fldChar w:fldCharType="begin"/>
            </w:r>
            <w:r>
              <w:rPr>
                <w:noProof/>
                <w:webHidden/>
              </w:rPr>
              <w:instrText xml:space="preserve"> PAGEREF _Toc214581089 \h </w:instrText>
            </w:r>
            <w:r>
              <w:rPr>
                <w:noProof/>
                <w:webHidden/>
              </w:rPr>
            </w:r>
            <w:r>
              <w:rPr>
                <w:noProof/>
                <w:webHidden/>
              </w:rPr>
              <w:fldChar w:fldCharType="separate"/>
            </w:r>
            <w:r>
              <w:rPr>
                <w:noProof/>
                <w:webHidden/>
              </w:rPr>
              <w:t>3</w:t>
            </w:r>
            <w:r>
              <w:rPr>
                <w:noProof/>
                <w:webHidden/>
              </w:rPr>
              <w:fldChar w:fldCharType="end"/>
            </w:r>
          </w:hyperlink>
        </w:p>
        <w:p w14:paraId="5D9195BA" w14:textId="71C3DA2B" w:rsidR="00BC5079" w:rsidRDefault="00BC5079">
          <w:pPr>
            <w:pStyle w:val="TOC2"/>
            <w:tabs>
              <w:tab w:val="right" w:leader="dot" w:pos="9016"/>
            </w:tabs>
            <w:rPr>
              <w:noProof/>
            </w:rPr>
          </w:pPr>
          <w:hyperlink w:anchor="_Toc214581090" w:history="1">
            <w:r w:rsidRPr="00F31AD0">
              <w:rPr>
                <w:rStyle w:val="Hyperlink"/>
                <w:noProof/>
              </w:rPr>
              <w:t>1.1 Technological Factors: Opportunities and Threats</w:t>
            </w:r>
            <w:r>
              <w:rPr>
                <w:noProof/>
                <w:webHidden/>
              </w:rPr>
              <w:tab/>
            </w:r>
            <w:r>
              <w:rPr>
                <w:noProof/>
                <w:webHidden/>
              </w:rPr>
              <w:fldChar w:fldCharType="begin"/>
            </w:r>
            <w:r>
              <w:rPr>
                <w:noProof/>
                <w:webHidden/>
              </w:rPr>
              <w:instrText xml:space="preserve"> PAGEREF _Toc214581090 \h </w:instrText>
            </w:r>
            <w:r>
              <w:rPr>
                <w:noProof/>
                <w:webHidden/>
              </w:rPr>
            </w:r>
            <w:r>
              <w:rPr>
                <w:noProof/>
                <w:webHidden/>
              </w:rPr>
              <w:fldChar w:fldCharType="separate"/>
            </w:r>
            <w:r>
              <w:rPr>
                <w:noProof/>
                <w:webHidden/>
              </w:rPr>
              <w:t>3</w:t>
            </w:r>
            <w:r>
              <w:rPr>
                <w:noProof/>
                <w:webHidden/>
              </w:rPr>
              <w:fldChar w:fldCharType="end"/>
            </w:r>
          </w:hyperlink>
        </w:p>
        <w:p w14:paraId="3529DA09" w14:textId="5A6EB622" w:rsidR="00BC5079" w:rsidRDefault="00BC5079">
          <w:pPr>
            <w:pStyle w:val="TOC2"/>
            <w:tabs>
              <w:tab w:val="right" w:leader="dot" w:pos="9016"/>
            </w:tabs>
            <w:rPr>
              <w:noProof/>
            </w:rPr>
          </w:pPr>
          <w:hyperlink w:anchor="_Toc214581091" w:history="1">
            <w:r w:rsidRPr="00F31AD0">
              <w:rPr>
                <w:rStyle w:val="Hyperlink"/>
                <w:noProof/>
              </w:rPr>
              <w:t>1.2 Political-Legal Factors: Opportunities and Threats</w:t>
            </w:r>
            <w:r>
              <w:rPr>
                <w:noProof/>
                <w:webHidden/>
              </w:rPr>
              <w:tab/>
            </w:r>
            <w:r>
              <w:rPr>
                <w:noProof/>
                <w:webHidden/>
              </w:rPr>
              <w:fldChar w:fldCharType="begin"/>
            </w:r>
            <w:r>
              <w:rPr>
                <w:noProof/>
                <w:webHidden/>
              </w:rPr>
              <w:instrText xml:space="preserve"> PAGEREF _Toc214581091 \h </w:instrText>
            </w:r>
            <w:r>
              <w:rPr>
                <w:noProof/>
                <w:webHidden/>
              </w:rPr>
            </w:r>
            <w:r>
              <w:rPr>
                <w:noProof/>
                <w:webHidden/>
              </w:rPr>
              <w:fldChar w:fldCharType="separate"/>
            </w:r>
            <w:r>
              <w:rPr>
                <w:noProof/>
                <w:webHidden/>
              </w:rPr>
              <w:t>4</w:t>
            </w:r>
            <w:r>
              <w:rPr>
                <w:noProof/>
                <w:webHidden/>
              </w:rPr>
              <w:fldChar w:fldCharType="end"/>
            </w:r>
          </w:hyperlink>
        </w:p>
        <w:p w14:paraId="219E6077" w14:textId="72E14B26" w:rsidR="00BC5079" w:rsidRDefault="00BC5079">
          <w:pPr>
            <w:pStyle w:val="TOC1"/>
            <w:tabs>
              <w:tab w:val="right" w:leader="dot" w:pos="9016"/>
            </w:tabs>
            <w:rPr>
              <w:noProof/>
            </w:rPr>
          </w:pPr>
          <w:hyperlink w:anchor="_Toc214581092" w:history="1">
            <w:r w:rsidRPr="00F31AD0">
              <w:rPr>
                <w:rStyle w:val="Hyperlink"/>
                <w:noProof/>
              </w:rPr>
              <w:t>Task 2: Strategic Responses to External Factors</w:t>
            </w:r>
            <w:r>
              <w:rPr>
                <w:noProof/>
                <w:webHidden/>
              </w:rPr>
              <w:tab/>
            </w:r>
            <w:r>
              <w:rPr>
                <w:noProof/>
                <w:webHidden/>
              </w:rPr>
              <w:fldChar w:fldCharType="begin"/>
            </w:r>
            <w:r>
              <w:rPr>
                <w:noProof/>
                <w:webHidden/>
              </w:rPr>
              <w:instrText xml:space="preserve"> PAGEREF _Toc214581092 \h </w:instrText>
            </w:r>
            <w:r>
              <w:rPr>
                <w:noProof/>
                <w:webHidden/>
              </w:rPr>
            </w:r>
            <w:r>
              <w:rPr>
                <w:noProof/>
                <w:webHidden/>
              </w:rPr>
              <w:fldChar w:fldCharType="separate"/>
            </w:r>
            <w:r>
              <w:rPr>
                <w:noProof/>
                <w:webHidden/>
              </w:rPr>
              <w:t>6</w:t>
            </w:r>
            <w:r>
              <w:rPr>
                <w:noProof/>
                <w:webHidden/>
              </w:rPr>
              <w:fldChar w:fldCharType="end"/>
            </w:r>
          </w:hyperlink>
        </w:p>
        <w:p w14:paraId="53E77CDC" w14:textId="3B9C0969" w:rsidR="00BC5079" w:rsidRDefault="00BC5079">
          <w:pPr>
            <w:pStyle w:val="TOC2"/>
            <w:tabs>
              <w:tab w:val="right" w:leader="dot" w:pos="9016"/>
            </w:tabs>
            <w:rPr>
              <w:noProof/>
            </w:rPr>
          </w:pPr>
          <w:hyperlink w:anchor="_Toc214581093" w:history="1">
            <w:r w:rsidRPr="00F31AD0">
              <w:rPr>
                <w:rStyle w:val="Hyperlink"/>
                <w:noProof/>
              </w:rPr>
              <w:t>2.1 Strategic Responses to Technological Factors</w:t>
            </w:r>
            <w:r>
              <w:rPr>
                <w:noProof/>
                <w:webHidden/>
              </w:rPr>
              <w:tab/>
            </w:r>
            <w:r>
              <w:rPr>
                <w:noProof/>
                <w:webHidden/>
              </w:rPr>
              <w:fldChar w:fldCharType="begin"/>
            </w:r>
            <w:r>
              <w:rPr>
                <w:noProof/>
                <w:webHidden/>
              </w:rPr>
              <w:instrText xml:space="preserve"> PAGEREF _Toc214581093 \h </w:instrText>
            </w:r>
            <w:r>
              <w:rPr>
                <w:noProof/>
                <w:webHidden/>
              </w:rPr>
            </w:r>
            <w:r>
              <w:rPr>
                <w:noProof/>
                <w:webHidden/>
              </w:rPr>
              <w:fldChar w:fldCharType="separate"/>
            </w:r>
            <w:r>
              <w:rPr>
                <w:noProof/>
                <w:webHidden/>
              </w:rPr>
              <w:t>6</w:t>
            </w:r>
            <w:r>
              <w:rPr>
                <w:noProof/>
                <w:webHidden/>
              </w:rPr>
              <w:fldChar w:fldCharType="end"/>
            </w:r>
          </w:hyperlink>
        </w:p>
        <w:p w14:paraId="72ADF6A2" w14:textId="170B7FEB" w:rsidR="00BC5079" w:rsidRDefault="00BC5079">
          <w:pPr>
            <w:pStyle w:val="TOC2"/>
            <w:tabs>
              <w:tab w:val="right" w:leader="dot" w:pos="9016"/>
            </w:tabs>
            <w:rPr>
              <w:noProof/>
            </w:rPr>
          </w:pPr>
          <w:hyperlink w:anchor="_Toc214581094" w:history="1">
            <w:r w:rsidRPr="00F31AD0">
              <w:rPr>
                <w:rStyle w:val="Hyperlink"/>
                <w:noProof/>
              </w:rPr>
              <w:t>2.2 Strategic Responses to Political-Legal Factors</w:t>
            </w:r>
            <w:r>
              <w:rPr>
                <w:noProof/>
                <w:webHidden/>
              </w:rPr>
              <w:tab/>
            </w:r>
            <w:r>
              <w:rPr>
                <w:noProof/>
                <w:webHidden/>
              </w:rPr>
              <w:fldChar w:fldCharType="begin"/>
            </w:r>
            <w:r>
              <w:rPr>
                <w:noProof/>
                <w:webHidden/>
              </w:rPr>
              <w:instrText xml:space="preserve"> PAGEREF _Toc214581094 \h </w:instrText>
            </w:r>
            <w:r>
              <w:rPr>
                <w:noProof/>
                <w:webHidden/>
              </w:rPr>
            </w:r>
            <w:r>
              <w:rPr>
                <w:noProof/>
                <w:webHidden/>
              </w:rPr>
              <w:fldChar w:fldCharType="separate"/>
            </w:r>
            <w:r>
              <w:rPr>
                <w:noProof/>
                <w:webHidden/>
              </w:rPr>
              <w:t>7</w:t>
            </w:r>
            <w:r>
              <w:rPr>
                <w:noProof/>
                <w:webHidden/>
              </w:rPr>
              <w:fldChar w:fldCharType="end"/>
            </w:r>
          </w:hyperlink>
        </w:p>
        <w:p w14:paraId="16DBA894" w14:textId="0E9149A9" w:rsidR="00BC5079" w:rsidRDefault="00BC5079">
          <w:pPr>
            <w:pStyle w:val="TOC1"/>
            <w:tabs>
              <w:tab w:val="right" w:leader="dot" w:pos="9016"/>
            </w:tabs>
            <w:rPr>
              <w:noProof/>
            </w:rPr>
          </w:pPr>
          <w:hyperlink w:anchor="_Toc214581095" w:history="1">
            <w:r w:rsidRPr="00F31AD0">
              <w:rPr>
                <w:rStyle w:val="Hyperlink"/>
                <w:noProof/>
              </w:rPr>
              <w:t>Conclusion</w:t>
            </w:r>
            <w:r>
              <w:rPr>
                <w:noProof/>
                <w:webHidden/>
              </w:rPr>
              <w:tab/>
            </w:r>
            <w:r>
              <w:rPr>
                <w:noProof/>
                <w:webHidden/>
              </w:rPr>
              <w:fldChar w:fldCharType="begin"/>
            </w:r>
            <w:r>
              <w:rPr>
                <w:noProof/>
                <w:webHidden/>
              </w:rPr>
              <w:instrText xml:space="preserve"> PAGEREF _Toc214581095 \h </w:instrText>
            </w:r>
            <w:r>
              <w:rPr>
                <w:noProof/>
                <w:webHidden/>
              </w:rPr>
            </w:r>
            <w:r>
              <w:rPr>
                <w:noProof/>
                <w:webHidden/>
              </w:rPr>
              <w:fldChar w:fldCharType="separate"/>
            </w:r>
            <w:r>
              <w:rPr>
                <w:noProof/>
                <w:webHidden/>
              </w:rPr>
              <w:t>8</w:t>
            </w:r>
            <w:r>
              <w:rPr>
                <w:noProof/>
                <w:webHidden/>
              </w:rPr>
              <w:fldChar w:fldCharType="end"/>
            </w:r>
          </w:hyperlink>
        </w:p>
        <w:p w14:paraId="03DEF5D5" w14:textId="517F2048" w:rsidR="00BC5079" w:rsidRDefault="00BC5079">
          <w:pPr>
            <w:pStyle w:val="TOC1"/>
            <w:tabs>
              <w:tab w:val="right" w:leader="dot" w:pos="9016"/>
            </w:tabs>
            <w:rPr>
              <w:noProof/>
            </w:rPr>
          </w:pPr>
          <w:hyperlink w:anchor="_Toc214581096" w:history="1">
            <w:r w:rsidRPr="00F31AD0">
              <w:rPr>
                <w:rStyle w:val="Hyperlink"/>
                <w:noProof/>
              </w:rPr>
              <w:t>References</w:t>
            </w:r>
            <w:r>
              <w:rPr>
                <w:noProof/>
                <w:webHidden/>
              </w:rPr>
              <w:tab/>
            </w:r>
            <w:r>
              <w:rPr>
                <w:noProof/>
                <w:webHidden/>
              </w:rPr>
              <w:fldChar w:fldCharType="begin"/>
            </w:r>
            <w:r>
              <w:rPr>
                <w:noProof/>
                <w:webHidden/>
              </w:rPr>
              <w:instrText xml:space="preserve"> PAGEREF _Toc214581096 \h </w:instrText>
            </w:r>
            <w:r>
              <w:rPr>
                <w:noProof/>
                <w:webHidden/>
              </w:rPr>
            </w:r>
            <w:r>
              <w:rPr>
                <w:noProof/>
                <w:webHidden/>
              </w:rPr>
              <w:fldChar w:fldCharType="separate"/>
            </w:r>
            <w:r>
              <w:rPr>
                <w:noProof/>
                <w:webHidden/>
              </w:rPr>
              <w:t>9</w:t>
            </w:r>
            <w:r>
              <w:rPr>
                <w:noProof/>
                <w:webHidden/>
              </w:rPr>
              <w:fldChar w:fldCharType="end"/>
            </w:r>
          </w:hyperlink>
        </w:p>
        <w:p w14:paraId="5DE0F34B" w14:textId="15064F9D" w:rsidR="00BC5079" w:rsidRDefault="00BC5079">
          <w:r>
            <w:rPr>
              <w:b/>
              <w:bCs/>
              <w:noProof/>
            </w:rPr>
            <w:fldChar w:fldCharType="end"/>
          </w:r>
        </w:p>
      </w:sdtContent>
    </w:sdt>
    <w:p w14:paraId="33D58803" w14:textId="77777777" w:rsidR="00BC5079" w:rsidRDefault="00BC5079" w:rsidP="00E41D59">
      <w:pPr>
        <w:jc w:val="center"/>
        <w:rPr>
          <w:rFonts w:ascii="Times New Roman" w:hAnsi="Times New Roman" w:cs="Times New Roman"/>
          <w:sz w:val="24"/>
          <w:szCs w:val="24"/>
        </w:rPr>
      </w:pPr>
    </w:p>
    <w:p w14:paraId="37E43C91" w14:textId="77777777" w:rsidR="00BC5079" w:rsidRDefault="00BC5079" w:rsidP="00E41D59">
      <w:pPr>
        <w:jc w:val="center"/>
        <w:rPr>
          <w:rFonts w:ascii="Times New Roman" w:hAnsi="Times New Roman" w:cs="Times New Roman"/>
          <w:sz w:val="24"/>
          <w:szCs w:val="24"/>
        </w:rPr>
      </w:pPr>
    </w:p>
    <w:p w14:paraId="40AB882B" w14:textId="77777777" w:rsidR="00BC5079" w:rsidRDefault="00BC5079" w:rsidP="00E41D59">
      <w:pPr>
        <w:jc w:val="center"/>
        <w:rPr>
          <w:rFonts w:ascii="Times New Roman" w:hAnsi="Times New Roman" w:cs="Times New Roman"/>
          <w:sz w:val="24"/>
          <w:szCs w:val="24"/>
        </w:rPr>
      </w:pPr>
    </w:p>
    <w:p w14:paraId="2D64898E" w14:textId="77777777" w:rsidR="00BC5079" w:rsidRDefault="00BC5079" w:rsidP="00E41D59">
      <w:pPr>
        <w:jc w:val="center"/>
        <w:rPr>
          <w:rFonts w:ascii="Times New Roman" w:hAnsi="Times New Roman" w:cs="Times New Roman"/>
          <w:sz w:val="24"/>
          <w:szCs w:val="24"/>
        </w:rPr>
      </w:pPr>
    </w:p>
    <w:p w14:paraId="171F8795" w14:textId="77777777" w:rsidR="00BC5079" w:rsidRDefault="00BC5079" w:rsidP="00E41D59">
      <w:pPr>
        <w:jc w:val="center"/>
        <w:rPr>
          <w:rFonts w:ascii="Times New Roman" w:hAnsi="Times New Roman" w:cs="Times New Roman"/>
          <w:sz w:val="24"/>
          <w:szCs w:val="24"/>
        </w:rPr>
      </w:pPr>
    </w:p>
    <w:p w14:paraId="500904DA" w14:textId="77777777" w:rsidR="00BC5079" w:rsidRDefault="00BC5079" w:rsidP="00E41D59">
      <w:pPr>
        <w:jc w:val="center"/>
        <w:rPr>
          <w:rFonts w:ascii="Times New Roman" w:hAnsi="Times New Roman" w:cs="Times New Roman"/>
          <w:sz w:val="24"/>
          <w:szCs w:val="24"/>
        </w:rPr>
      </w:pPr>
    </w:p>
    <w:p w14:paraId="3954A94F" w14:textId="77777777" w:rsidR="00BC5079" w:rsidRDefault="00BC5079" w:rsidP="00E41D59">
      <w:pPr>
        <w:jc w:val="center"/>
        <w:rPr>
          <w:rFonts w:ascii="Times New Roman" w:hAnsi="Times New Roman" w:cs="Times New Roman"/>
          <w:sz w:val="24"/>
          <w:szCs w:val="24"/>
        </w:rPr>
      </w:pPr>
    </w:p>
    <w:p w14:paraId="398DF443" w14:textId="77777777" w:rsidR="00BC5079" w:rsidRDefault="00BC5079" w:rsidP="00E41D59">
      <w:pPr>
        <w:jc w:val="center"/>
        <w:rPr>
          <w:rFonts w:ascii="Times New Roman" w:hAnsi="Times New Roman" w:cs="Times New Roman"/>
          <w:sz w:val="24"/>
          <w:szCs w:val="24"/>
        </w:rPr>
      </w:pPr>
    </w:p>
    <w:p w14:paraId="5F5CBAD5" w14:textId="77777777" w:rsidR="00BC5079" w:rsidRDefault="00BC5079" w:rsidP="00E41D59">
      <w:pPr>
        <w:jc w:val="center"/>
        <w:rPr>
          <w:rFonts w:ascii="Times New Roman" w:hAnsi="Times New Roman" w:cs="Times New Roman"/>
          <w:sz w:val="24"/>
          <w:szCs w:val="24"/>
        </w:rPr>
      </w:pPr>
    </w:p>
    <w:p w14:paraId="3E48E7E4" w14:textId="77777777" w:rsidR="00BC5079" w:rsidRDefault="00BC5079" w:rsidP="00E41D59">
      <w:pPr>
        <w:jc w:val="center"/>
        <w:rPr>
          <w:rFonts w:ascii="Times New Roman" w:hAnsi="Times New Roman" w:cs="Times New Roman"/>
          <w:sz w:val="24"/>
          <w:szCs w:val="24"/>
        </w:rPr>
      </w:pPr>
    </w:p>
    <w:p w14:paraId="079E502D" w14:textId="77777777" w:rsidR="00BC5079" w:rsidRDefault="00BC5079" w:rsidP="00E41D59">
      <w:pPr>
        <w:jc w:val="center"/>
        <w:rPr>
          <w:rFonts w:ascii="Times New Roman" w:hAnsi="Times New Roman" w:cs="Times New Roman"/>
          <w:sz w:val="24"/>
          <w:szCs w:val="24"/>
        </w:rPr>
      </w:pPr>
    </w:p>
    <w:p w14:paraId="62E8F018" w14:textId="77777777" w:rsidR="00BC5079" w:rsidRDefault="00BC5079" w:rsidP="00E41D59">
      <w:pPr>
        <w:jc w:val="center"/>
        <w:rPr>
          <w:rFonts w:ascii="Times New Roman" w:hAnsi="Times New Roman" w:cs="Times New Roman"/>
          <w:sz w:val="24"/>
          <w:szCs w:val="24"/>
        </w:rPr>
      </w:pPr>
    </w:p>
    <w:p w14:paraId="17326A8D" w14:textId="77777777" w:rsidR="00BC5079" w:rsidRDefault="00BC5079" w:rsidP="00E41D59">
      <w:pPr>
        <w:jc w:val="center"/>
        <w:rPr>
          <w:rFonts w:ascii="Times New Roman" w:hAnsi="Times New Roman" w:cs="Times New Roman"/>
          <w:sz w:val="24"/>
          <w:szCs w:val="24"/>
        </w:rPr>
      </w:pPr>
    </w:p>
    <w:p w14:paraId="001A2A34" w14:textId="77777777" w:rsidR="00BC5079" w:rsidRDefault="00BC5079" w:rsidP="00E41D59">
      <w:pPr>
        <w:jc w:val="center"/>
        <w:rPr>
          <w:rFonts w:ascii="Times New Roman" w:hAnsi="Times New Roman" w:cs="Times New Roman"/>
          <w:sz w:val="24"/>
          <w:szCs w:val="24"/>
        </w:rPr>
      </w:pPr>
    </w:p>
    <w:p w14:paraId="390F9957" w14:textId="77777777" w:rsidR="00BC5079" w:rsidRDefault="00BC5079" w:rsidP="00E41D59">
      <w:pPr>
        <w:jc w:val="center"/>
        <w:rPr>
          <w:rFonts w:ascii="Times New Roman" w:hAnsi="Times New Roman" w:cs="Times New Roman"/>
          <w:sz w:val="24"/>
          <w:szCs w:val="24"/>
        </w:rPr>
      </w:pPr>
    </w:p>
    <w:p w14:paraId="3F940F4E" w14:textId="77777777" w:rsidR="00BC5079" w:rsidRDefault="00BC5079" w:rsidP="00E41D59">
      <w:pPr>
        <w:jc w:val="center"/>
        <w:rPr>
          <w:rFonts w:ascii="Times New Roman" w:hAnsi="Times New Roman" w:cs="Times New Roman"/>
          <w:sz w:val="24"/>
          <w:szCs w:val="24"/>
        </w:rPr>
      </w:pPr>
    </w:p>
    <w:p w14:paraId="00E98EC0" w14:textId="77777777" w:rsidR="00BC5079" w:rsidRDefault="00BC5079" w:rsidP="00E41D59">
      <w:pPr>
        <w:jc w:val="center"/>
        <w:rPr>
          <w:rFonts w:ascii="Times New Roman" w:hAnsi="Times New Roman" w:cs="Times New Roman"/>
          <w:sz w:val="24"/>
          <w:szCs w:val="24"/>
        </w:rPr>
      </w:pPr>
    </w:p>
    <w:p w14:paraId="3886B36B" w14:textId="77777777" w:rsidR="00BC5079" w:rsidRDefault="00BC5079" w:rsidP="00E41D59">
      <w:pPr>
        <w:jc w:val="center"/>
        <w:rPr>
          <w:rFonts w:ascii="Times New Roman" w:hAnsi="Times New Roman" w:cs="Times New Roman"/>
          <w:sz w:val="24"/>
          <w:szCs w:val="24"/>
        </w:rPr>
      </w:pPr>
    </w:p>
    <w:p w14:paraId="00800A80" w14:textId="3A8FD127" w:rsidR="00BC5079" w:rsidRDefault="00BC5079" w:rsidP="00BC5079">
      <w:pPr>
        <w:rPr>
          <w:rFonts w:ascii="Times New Roman" w:hAnsi="Times New Roman" w:cs="Times New Roman"/>
          <w:sz w:val="24"/>
          <w:szCs w:val="24"/>
        </w:rPr>
      </w:pPr>
    </w:p>
    <w:p w14:paraId="3A578E73" w14:textId="77777777" w:rsidR="00BC5079" w:rsidRDefault="00BC5079" w:rsidP="00BC5079">
      <w:pPr>
        <w:rPr>
          <w:rFonts w:ascii="Times New Roman" w:hAnsi="Times New Roman" w:cs="Times New Roman"/>
          <w:sz w:val="24"/>
          <w:szCs w:val="24"/>
        </w:rPr>
      </w:pPr>
    </w:p>
    <w:p w14:paraId="2D03C0A5" w14:textId="02E75A4E" w:rsidR="00E41D59" w:rsidRPr="00E41D59" w:rsidRDefault="00E41D59" w:rsidP="00E41D59">
      <w:pPr>
        <w:jc w:val="center"/>
        <w:rPr>
          <w:rFonts w:ascii="Times New Roman" w:hAnsi="Times New Roman" w:cs="Times New Roman"/>
          <w:sz w:val="24"/>
          <w:szCs w:val="24"/>
        </w:rPr>
      </w:pPr>
      <w:r w:rsidRPr="00E41D59">
        <w:rPr>
          <w:rFonts w:ascii="Times New Roman" w:hAnsi="Times New Roman" w:cs="Times New Roman"/>
          <w:sz w:val="24"/>
          <w:szCs w:val="24"/>
        </w:rPr>
        <w:lastRenderedPageBreak/>
        <w:t>Marketing Environmental Analysis for Pioneers and Followers in the Middle Eastern Airline Industry</w:t>
      </w:r>
    </w:p>
    <w:p w14:paraId="04023F1B" w14:textId="77777777" w:rsidR="00E41D59" w:rsidRPr="00E41D59" w:rsidRDefault="00E41D59" w:rsidP="00D140C0">
      <w:pPr>
        <w:pStyle w:val="Heading1"/>
      </w:pPr>
      <w:bookmarkStart w:id="0" w:name="_Toc214581088"/>
      <w:r w:rsidRPr="00E41D59">
        <w:t>Introduction</w:t>
      </w:r>
      <w:bookmarkEnd w:id="0"/>
    </w:p>
    <w:p w14:paraId="653B9505"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 industry operates within a dynamic and complex macro-environment where external forces continually reshape competitive landscapes and strategic imperatives. This analysis examines the strategic positioning of Emirates Airlines and Etihad Airways, two prominent Middle Eastern carriers that exemplify pioneering and follower strategies respectively within the highly competitive aviation sector. Emirates, established in 1985, has consistently demonstrated pioneering characteristics through aggressive expansion, innovation, and market leadership, whilst Etihad Airways, founded in 2003, has adopted strategic follower approaches, learning from established competitors whilst carving its distinct market position (O'Connell, 2011). This paper critically analyses two crucial macro-environmental factors—technological developments and political-legal factors—examining how changes within these dimensions create opportunities and threats for both strategic orientations, and evaluating their respective responses to maintain competitive advantage.</w:t>
      </w:r>
    </w:p>
    <w:p w14:paraId="39D0D315" w14:textId="77777777" w:rsidR="00E41D59" w:rsidRPr="00E41D59" w:rsidRDefault="00E41D59" w:rsidP="00D140C0">
      <w:pPr>
        <w:pStyle w:val="Heading1"/>
      </w:pPr>
      <w:bookmarkStart w:id="1" w:name="_Toc214581089"/>
      <w:r w:rsidRPr="00E41D59">
        <w:t>Task 1: Critical Analysis of Macro Marketing Environment</w:t>
      </w:r>
      <w:bookmarkEnd w:id="1"/>
    </w:p>
    <w:p w14:paraId="1B3EA68C" w14:textId="77777777" w:rsidR="00E41D59" w:rsidRPr="00E41D59" w:rsidRDefault="00E41D59" w:rsidP="00D140C0">
      <w:pPr>
        <w:pStyle w:val="Heading2"/>
      </w:pPr>
      <w:bookmarkStart w:id="2" w:name="_Toc214581090"/>
      <w:r w:rsidRPr="00E41D59">
        <w:t>1.1 Technological Factors: Opportunities and Threats</w:t>
      </w:r>
      <w:bookmarkEnd w:id="2"/>
    </w:p>
    <w:p w14:paraId="4D87FB23"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Technological advancements represent a fundamental driver of transformation within the aviation industry, profoundly influencing operational efficiency, customer experience, and competitive positioning (Amankwah-Amoah, 2018). For pioneering organisations like Emirates, technological developments present substantial opportunities to reinforce market leadership through early adoption and competitive differentiation.</w:t>
      </w:r>
    </w:p>
    <w:p w14:paraId="74BA42FB"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has capitalised on technological innovations through strategic investments in next-generation aircraft, particularly the Airbus A380 and Boeing 777 fleets, which offer superior fuel efficiency, passenger capacity, and operational capabilities (Clark, 2017). The airline's pioneering adoption of advanced in-flight entertainment systems, including personal screens with extensive content libraries across all classes, established industry benchmarks that competitors subsequently emulated (</w:t>
      </w:r>
      <w:proofErr w:type="spellStart"/>
      <w:r w:rsidRPr="00E41D59">
        <w:rPr>
          <w:rFonts w:ascii="Times New Roman" w:hAnsi="Times New Roman" w:cs="Times New Roman"/>
          <w:sz w:val="24"/>
          <w:szCs w:val="24"/>
        </w:rPr>
        <w:t>Gössling</w:t>
      </w:r>
      <w:proofErr w:type="spellEnd"/>
      <w:r w:rsidRPr="00E41D59">
        <w:rPr>
          <w:rFonts w:ascii="Times New Roman" w:hAnsi="Times New Roman" w:cs="Times New Roman"/>
          <w:sz w:val="24"/>
          <w:szCs w:val="24"/>
        </w:rPr>
        <w:t xml:space="preserve"> and Nilsson, 2010). Furthermore, Emirates' investment in digital transformation—encompassing mobile applications, artificial intelligence-powered customer service, and sophisticated revenue management systems—has enabled enhanced customer engagement and operational optimisation (Pearson and Merkert, 2014).</w:t>
      </w:r>
    </w:p>
    <w:p w14:paraId="28A88C26"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However, technological advancement simultaneously poses threats to pioneering organisations. The substantial capital requirements associated with maintaining technological leadership create financial vulnerabilities, particularly during economic downturns or periods of reduced demand (O'Connell, 2011). Emirates' aggressive fleet expansion strategy, whilst providing capacity advantages, resulted in significant debt obligations and operational inflexibility when the COVID-19 pandemic dramatically reduced global air travel demand (Forsyth et al., 2020). Additionally, the rapid pace of technological change risks rendering recent investments obsolete, creating depreciation concerns and competitive disadvantages if newer technologies emerge before investment recoupment.</w:t>
      </w:r>
    </w:p>
    <w:p w14:paraId="6515561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lastRenderedPageBreak/>
        <w:t>For follower organisations such as Etihad Airways, technological developments present distinct opportunity profiles characterised by reduced risk through observational learning and selective adoption. Etihad has strategically benefited from analysing Emirates' technological investments, adopting proven innovations whilst avoiding costly experimentation with unproven technologies (</w:t>
      </w: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xml:space="preserve"> et al., 2014). This approach enabled Etihad to implement comparable in-flight entertainment systems and digital customer interfaces at lower development costs and reduced implementation risks. Furthermore, follower positioning allows strategic timing flexibility, enabling technology adoption when maturity reduces costs and performance uncertainties.</w:t>
      </w:r>
    </w:p>
    <w:p w14:paraId="7E9554DF"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Nevertheless, technological factors equally threaten follower organisations through competitive disadvantage and market perception challenges. Delayed technology adoption risks customer dissatisfaction when service offerings appear inferior to pioneering competitors, potentially eroding brand equity and customer loyalty (Tellis and Golder, 2002). Etihad's comparatively slower adoption of certain digital innovations created customer experience gaps relative to Emirates, particularly amongst technologically sophisticated traveller segments who prioritise cutting-edge amenities. Additionally, follower strategies may engender brand perceptions of imitativeness rather than innovation, complicating differentiation efforts and premium positioning strategies (Shankar et al., 1998).</w:t>
      </w:r>
    </w:p>
    <w:p w14:paraId="41E5F402"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democratisation of aviation technology through third-party suppliers increasingly enables rapid competitive convergence, diminishing sustainable advantages from technological investments alone (Amankwah-Amoah, 2018). Both Emirates and Etihad face threats from emerging technologies that fundamentally disrupt traditional business models, including sustainable aviation fuels, electric aircraft, and autonomous systems that may require substantial strategic reorientation and capital redeployment.</w:t>
      </w:r>
    </w:p>
    <w:p w14:paraId="2DCEDA74" w14:textId="77777777" w:rsidR="00E41D59" w:rsidRPr="00E41D59" w:rsidRDefault="00E41D59" w:rsidP="00D140C0">
      <w:pPr>
        <w:pStyle w:val="Heading2"/>
      </w:pPr>
      <w:bookmarkStart w:id="3" w:name="_Toc214581091"/>
      <w:r w:rsidRPr="00E41D59">
        <w:t>1.2 Political-Legal Factors: Opportunities and Threats</w:t>
      </w:r>
      <w:bookmarkEnd w:id="3"/>
    </w:p>
    <w:p w14:paraId="739F52ED"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Political-legal factors exert profound influence upon airline operations, encompassing regulatory frameworks, bilateral air service agreements, government policies, and geopolitical dynamics that shape market access and competitive conditions (</w:t>
      </w:r>
      <w:proofErr w:type="spellStart"/>
      <w:r w:rsidRPr="00E41D59">
        <w:rPr>
          <w:rFonts w:ascii="Times New Roman" w:hAnsi="Times New Roman" w:cs="Times New Roman"/>
          <w:sz w:val="24"/>
          <w:szCs w:val="24"/>
        </w:rPr>
        <w:t>Doganis</w:t>
      </w:r>
      <w:proofErr w:type="spellEnd"/>
      <w:r w:rsidRPr="00E41D59">
        <w:rPr>
          <w:rFonts w:ascii="Times New Roman" w:hAnsi="Times New Roman" w:cs="Times New Roman"/>
          <w:sz w:val="24"/>
          <w:szCs w:val="24"/>
        </w:rPr>
        <w:t>, 2019). The Middle Eastern aviation sector demonstrates particular sensitivity to political-legal developments given the region's complex geopolitical environment and the government ownership structures characterising Emirates and Etihad.</w:t>
      </w:r>
    </w:p>
    <w:p w14:paraId="423D568B"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For pioneering organisations like Emirates, supportive political-legal environments create substantial opportunities for market expansion and competitive advantage. The United Arab Emirates government's aviation liberalisation policies and strategic support for Emirates through Dubai's development as a global aviation hub have facilitated unprecedented growth trajectories (O'Connell, 2011). Emirates has leveraged extensive bilateral air service agreements negotiated by the UAE government to establish one of the world's most comprehensive route networks, connecting over 150 destinations across six continents (Clark, 2017). Government investment in Dubai International Airport and the subsequent development of Al Maktoum International Airport provided infrastructure capabilities that enabled Emirates' capacity expansion strategies without the constraints facing competitors in congested markets.</w:t>
      </w:r>
    </w:p>
    <w:p w14:paraId="462DE37E"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Additionally, favourable regulatory environments regarding foreign ownership restrictions, cabotage rules, and operational freedoms have enabled Emirates to implement aggressive competitive strategies that might face legal obstacles in more restrictive jurisdictions (Forsyth </w:t>
      </w:r>
      <w:r w:rsidRPr="00E41D59">
        <w:rPr>
          <w:rFonts w:ascii="Times New Roman" w:hAnsi="Times New Roman" w:cs="Times New Roman"/>
          <w:sz w:val="24"/>
          <w:szCs w:val="24"/>
        </w:rPr>
        <w:lastRenderedPageBreak/>
        <w:t>et al., 2020). The airline's ability to operate effectively unrestricted by legacy regulations governing many Western carriers represents a significant structural advantage in pursuing pioneering strategies.</w:t>
      </w:r>
    </w:p>
    <w:p w14:paraId="697D402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However, political-legal factors equally generate substantial threats for pioneering organisations. Emirates' aggressive expansion and competitive positioning have attracted political opposition from competitors and their governments, manifesting in protectionist measures and accusations of unfair subsidisation (</w:t>
      </w: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xml:space="preserve"> et al., 2014). United States carriers successfully lobbied their government regarding alleged subsidies to Gulf carriers, creating diplomatic tensions and threatening market access to crucial routes. Brexit, regional conflicts, travel restrictions, and changing immigration policies introduce uncertainties that disproportionately impact airlines with extensive international networks like Emirates, potentially necessitating rapid strategic adjustments and route rationalisations (</w:t>
      </w:r>
      <w:proofErr w:type="spellStart"/>
      <w:r w:rsidRPr="00E41D59">
        <w:rPr>
          <w:rFonts w:ascii="Times New Roman" w:hAnsi="Times New Roman" w:cs="Times New Roman"/>
          <w:sz w:val="24"/>
          <w:szCs w:val="24"/>
        </w:rPr>
        <w:t>Doganis</w:t>
      </w:r>
      <w:proofErr w:type="spellEnd"/>
      <w:r w:rsidRPr="00E41D59">
        <w:rPr>
          <w:rFonts w:ascii="Times New Roman" w:hAnsi="Times New Roman" w:cs="Times New Roman"/>
          <w:sz w:val="24"/>
          <w:szCs w:val="24"/>
        </w:rPr>
        <w:t>, 2019).</w:t>
      </w:r>
    </w:p>
    <w:p w14:paraId="0513CB4E"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Geopolitical tensions within the Middle East region pose existential threats to pioneering Gulf carriers. The 2017-2021 Qatar diplomatic crisis demonstrated how political disputes can immediately sever market access, with Saudi Arabia, UAE, Bahrain, and Egypt closing their airspace to Qatari carriers, illustrating the fragility of political permissions upon which Gulf aviation success depends (O'Connell and Bueno, 2018). While this crisis primarily affected Qatar Airways, it underscored vulnerabilities facing all Gulf carriers, including Emirates, should similar political disagreements emerge.</w:t>
      </w:r>
    </w:p>
    <w:p w14:paraId="636B115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For follower organisations like Etihad Airways, political-legal factors present opportunities through strategic positioning within geopolitical frameworks and differentiated regulatory approaches. Etihad's later market entry enabled strategic learning from regulatory challenges encountered by Emirates, potentially informing more politically sustainable growth strategies (Pearson and Merkert, 2014). Abu Dhabi's political positioning as a diplomatic and cultural hub somewhat distinct from Dubai's commercial focus has provided Etihad with alternative strategic pathways and potentially reduced political opposition from established carriers.</w:t>
      </w:r>
    </w:p>
    <w:p w14:paraId="1D85955F"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Furthermore, changing political-legal environments occasionally favour follower positioning through regulatory responses to pioneering dominance. Antitrust concerns, capacity restrictions at congested hubs, and political pressures for market diversity may create deliberate opportunities for secondary players to gain market access or preferential treatment as regulators seek competitive balance (</w:t>
      </w:r>
      <w:proofErr w:type="spellStart"/>
      <w:r w:rsidRPr="00E41D59">
        <w:rPr>
          <w:rFonts w:ascii="Times New Roman" w:hAnsi="Times New Roman" w:cs="Times New Roman"/>
          <w:sz w:val="24"/>
          <w:szCs w:val="24"/>
        </w:rPr>
        <w:t>Doganis</w:t>
      </w:r>
      <w:proofErr w:type="spellEnd"/>
      <w:r w:rsidRPr="00E41D59">
        <w:rPr>
          <w:rFonts w:ascii="Times New Roman" w:hAnsi="Times New Roman" w:cs="Times New Roman"/>
          <w:sz w:val="24"/>
          <w:szCs w:val="24"/>
        </w:rPr>
        <w:t>, 2019).</w:t>
      </w:r>
    </w:p>
    <w:p w14:paraId="28C011A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Nonetheless, political-legal factors pose severe threats to follower organisations, particularly given their typically weaker financial positions and reduced political leverage compared to pioneers. Etihad's challenges in negotiating equivalent bilateral rights and airport access compared to Emirates reflects power asymmetries favouring established market leaders (</w:t>
      </w: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xml:space="preserve"> et al., 2014). Political instability, changing regulations, and protectionist measures disproportionately threaten follower organisations with fewer resources to weather disruptions or lobby for favourable policy outcomes.</w:t>
      </w:r>
    </w:p>
    <w:p w14:paraId="6B726A6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The COVID-19 pandemic starkly illustrated political-legal vulnerabilities for both strategic orientations, with governments worldwide implementing unprecedented travel restrictions, border closures, and quarantine requirements that decimated aviation demand (Forsyth et al., 2020). However, government ownership structures that characterise both Emirates and Etihad provided critical advantages through state financial support unavailable to privately-owned </w:t>
      </w:r>
      <w:r w:rsidRPr="00E41D59">
        <w:rPr>
          <w:rFonts w:ascii="Times New Roman" w:hAnsi="Times New Roman" w:cs="Times New Roman"/>
          <w:sz w:val="24"/>
          <w:szCs w:val="24"/>
        </w:rPr>
        <w:lastRenderedPageBreak/>
        <w:t>competitors, demonstrating how political-legal positioning can constitute decisive advantages during existential crises.</w:t>
      </w:r>
    </w:p>
    <w:p w14:paraId="1F696589" w14:textId="77777777" w:rsidR="00E41D59" w:rsidRPr="00E41D59" w:rsidRDefault="00E41D59" w:rsidP="00D140C0">
      <w:pPr>
        <w:pStyle w:val="Heading1"/>
      </w:pPr>
      <w:bookmarkStart w:id="4" w:name="_Toc214581092"/>
      <w:r w:rsidRPr="00E41D59">
        <w:t>Task 2: Strategic Responses to External Factors</w:t>
      </w:r>
      <w:bookmarkEnd w:id="4"/>
    </w:p>
    <w:p w14:paraId="29690A85" w14:textId="77777777" w:rsidR="00E41D59" w:rsidRPr="00E41D59" w:rsidRDefault="00E41D59" w:rsidP="00D140C0">
      <w:pPr>
        <w:pStyle w:val="Heading2"/>
      </w:pPr>
      <w:bookmarkStart w:id="5" w:name="_Toc214581093"/>
      <w:r w:rsidRPr="00E41D59">
        <w:t>2.1 Strategic Responses to Technological Factors</w:t>
      </w:r>
      <w:bookmarkEnd w:id="5"/>
    </w:p>
    <w:p w14:paraId="3DC54A50"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pioneering approach to technological opportunities manifests through aggressive innovation leadership and first-mover advantage exploitation strategies. The airline consistently pursues product differentiation through technological superiority, exemplified by its industry-leading in-flight entertainment system, ICE (Information, Communication, Entertainment), which offers over 6,500 channels across multiple languages (Clark, 2017). This technological differentiation supports premium pricing strategies and reinforces Emirates' positioning as a quality leader within the full-service carrier segment.</w:t>
      </w:r>
    </w:p>
    <w:p w14:paraId="54C0A92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employs fleet modernisation as a core competitive strategy, maintaining one of the youngest and most technologically advanced fleets globally through substantial capital investments in next-generation aircraft (O'Connell, 2011). This strategy aligns with broader differentiation objectives whilst delivering operational efficiencies through reduced fuel consumption and maintenance costs. The airline's pioneering commitment to the Airbus A380 programme, becoming the largest operator of this aircraft type, exemplifies its willingness to accept first-mover risks in pursuit of capacity advantages and service differentiation opportunities.</w:t>
      </w:r>
    </w:p>
    <w:p w14:paraId="7E26A2BF"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Digital transformation represents another dimension of Emirates' technological response strategy, with substantial investments in customer relationship management systems, mobile applications, and artificial intelligence-powered customer service interfaces (Pearson and Merkert, 2014). These initiatives support market penetration strategies by reducing customer acquisition costs whilst enhancing retention through personalised service delivery and seamless customer experiences across digital and physical touchpoints.</w:t>
      </w:r>
    </w:p>
    <w:p w14:paraId="2B3E6835"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To mitigate technological threats, Emirates employs strategic partnerships with technology providers and aircraft manufacturers, sharing development risks whilst securing early access to innovations (</w:t>
      </w:r>
      <w:proofErr w:type="spellStart"/>
      <w:r w:rsidRPr="00E41D59">
        <w:rPr>
          <w:rFonts w:ascii="Times New Roman" w:hAnsi="Times New Roman" w:cs="Times New Roman"/>
          <w:sz w:val="24"/>
          <w:szCs w:val="24"/>
        </w:rPr>
        <w:t>Gössling</w:t>
      </w:r>
      <w:proofErr w:type="spellEnd"/>
      <w:r w:rsidRPr="00E41D59">
        <w:rPr>
          <w:rFonts w:ascii="Times New Roman" w:hAnsi="Times New Roman" w:cs="Times New Roman"/>
          <w:sz w:val="24"/>
          <w:szCs w:val="24"/>
        </w:rPr>
        <w:t xml:space="preserve"> and Nilsson, 2010). Additionally, the airline maintains diversified fleet portfolios balancing innovation leadership with operational pragmatism, preventing over-dependence on single technologies or platforms that might underperform or face unforeseen challenges.</w:t>
      </w:r>
    </w:p>
    <w:p w14:paraId="1430859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Etihad Airways' follower strategy regarding technological factors emphasises selective adoption, cost efficiency, and strategic imitation with differentiation. Rather than pursuing comprehensive innovation leadership, Etihad identifies specific technological domains where investment generates maximum competitive returns whilst accepting follower positioning in areas where pioneering offers limited sustainable advantages (</w:t>
      </w: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xml:space="preserve"> et al., 2014). This approach enabled Etihad to implement comparable technological capabilities at reduced costs through purchasing matured technologies and avoiding expensive developmental risks.</w:t>
      </w:r>
    </w:p>
    <w:p w14:paraId="248268A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Etihad's "Residence" product on selected A380 aircraft exemplifies strategic differentiation through selective technological innovation, offering ultra-premium accommodation </w:t>
      </w:r>
      <w:proofErr w:type="gramStart"/>
      <w:r w:rsidRPr="00E41D59">
        <w:rPr>
          <w:rFonts w:ascii="Times New Roman" w:hAnsi="Times New Roman" w:cs="Times New Roman"/>
          <w:sz w:val="24"/>
          <w:szCs w:val="24"/>
        </w:rPr>
        <w:t>exceeding</w:t>
      </w:r>
      <w:proofErr w:type="gramEnd"/>
      <w:r w:rsidRPr="00E41D59">
        <w:rPr>
          <w:rFonts w:ascii="Times New Roman" w:hAnsi="Times New Roman" w:cs="Times New Roman"/>
          <w:sz w:val="24"/>
          <w:szCs w:val="24"/>
        </w:rPr>
        <w:t xml:space="preserve"> even Emirates' first-class offerings in specific market segments (O'Connell and Bueno, 2018). This focused differentiation strategy targets niche customer segments willing to pay substantial </w:t>
      </w:r>
      <w:r w:rsidRPr="00E41D59">
        <w:rPr>
          <w:rFonts w:ascii="Times New Roman" w:hAnsi="Times New Roman" w:cs="Times New Roman"/>
          <w:sz w:val="24"/>
          <w:szCs w:val="24"/>
        </w:rPr>
        <w:lastRenderedPageBreak/>
        <w:t>premiums for unique experiences, avoiding direct competition across all service dimensions whilst establishing distinctive brand positioning.</w:t>
      </w:r>
    </w:p>
    <w:p w14:paraId="39F64E66"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airline's technological strategy incorporates strategic alliances and partnerships to access innovations without full investment burdens. Etihad's previous equity partnerships with airlines including Air Berlin, Alitalia, and Virgin Australia intended to share technological capabilities, operational best practices, and economies of scale, although many of these partnerships subsequently struggled financially (Pearson and Merkert, 2014). Nevertheless, this approach reflects follower strategies emphasising collaborative advantage rather than independent innovation leadership.</w:t>
      </w:r>
    </w:p>
    <w:p w14:paraId="392A7692"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To address technological threats, Etihad pursues operational flexibility and asset-light strategies where feasible, including aircraft leasing arrangements that reduce capital commitments whilst maintaining fleet modernity (</w:t>
      </w: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xml:space="preserve"> et al., 2014). This approach provides adaptation flexibility as technologies evolve, avoiding the sunk cost constraints facing pioneers with substantial owned-asset portfolios.</w:t>
      </w:r>
    </w:p>
    <w:p w14:paraId="2D139EE0" w14:textId="77777777" w:rsidR="00E41D59" w:rsidRPr="00E41D59" w:rsidRDefault="00E41D59" w:rsidP="00D140C0">
      <w:pPr>
        <w:pStyle w:val="Heading2"/>
      </w:pPr>
      <w:bookmarkStart w:id="6" w:name="_Toc214581094"/>
      <w:r w:rsidRPr="00E41D59">
        <w:t>2.2 Strategic Responses to Political-Legal Factors</w:t>
      </w:r>
      <w:bookmarkEnd w:id="6"/>
    </w:p>
    <w:p w14:paraId="64C2B710"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response to political-legal opportunities centres upon leveraging government support and diplomatic relationships to secure market access and preferential operating conditions. The airline maintains extraordinarily close alignment with UAE government objectives, positioning itself as a national flagship and economic development catalyst justifying continued state support (Clark, 2017). This strategic positioning has facilitated government investments in aviation infrastructure, bilateral air service negotiations favouring Emirates' route expansion, and financial support during crisis periods.</w:t>
      </w:r>
    </w:p>
    <w:p w14:paraId="1CF5C9C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employs intensive lobbying and public relations strategies in key markets to counter protectionist pressures and maintain market access. The airline engages directly with foreign governments, industry associations, and public stakeholders to advocate for open skies policies and challenge accusations of unfair subsidisation (Forsyth et al., 2020). These defensive strategies aim to preserve existing advantages whilst expanding into new markets despite political opposition from incumbent carriers.</w:t>
      </w:r>
    </w:p>
    <w:p w14:paraId="1C4B1038"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Geographic diversification represents Emirates' core strategy for mitigating political-legal threats, with extensive route networks dispersing risk across multiple political jurisdictions and reducing dependence upon any single market (O'Connell, 2011). When political circumstances deteriorate in specific regions, Emirates can redirect capacity toward more favourable markets, maintaining overall network viability despite localised disruptions.</w:t>
      </w:r>
    </w:p>
    <w:p w14:paraId="06B9F2E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 strategically positions Dubai as a neutral, cosmopolitan hub appealing across diverse political and cultural contexts, enabling market access that might be restricted for carriers from more politically contentious origins (</w:t>
      </w:r>
      <w:proofErr w:type="spellStart"/>
      <w:r w:rsidRPr="00E41D59">
        <w:rPr>
          <w:rFonts w:ascii="Times New Roman" w:hAnsi="Times New Roman" w:cs="Times New Roman"/>
          <w:sz w:val="24"/>
          <w:szCs w:val="24"/>
        </w:rPr>
        <w:t>Doganis</w:t>
      </w:r>
      <w:proofErr w:type="spellEnd"/>
      <w:r w:rsidRPr="00E41D59">
        <w:rPr>
          <w:rFonts w:ascii="Times New Roman" w:hAnsi="Times New Roman" w:cs="Times New Roman"/>
          <w:sz w:val="24"/>
          <w:szCs w:val="24"/>
        </w:rPr>
        <w:t>, 2019). This neutral positioning strategy facilitates traffic flows between regions with political tensions, capturing sixth-freedom traffic opportunities unavailable to carriers from politically aligned jurisdictions.</w:t>
      </w:r>
    </w:p>
    <w:p w14:paraId="26A8A1D3"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Etihad Airways' political-legal response strategies emphasise diplomatic positioning, strategic patience, and opportunistic expansion within politically favourable circumstances. Abu Dhabi's distinct political identity and diplomatic approach provide Etihad with differentiated positioning opportunities relative to Emirates, potentially reducing political opposition in markets sensitive to Dubai's commercial aggressiveness (O'Connell and Bueno, 2018).</w:t>
      </w:r>
    </w:p>
    <w:p w14:paraId="2E54D294"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lastRenderedPageBreak/>
        <w:t>Etihad's equity partnership strategy, whilst ultimately problematic financially, represented a sophisticated political-legal response attempting to secure market access and political legitimacy through local ownership stakes in foreign carriers (Pearson and Merkert, 2014). By partnering with established national carriers, Etihad sought to mitigate political opposition whilst accessing route networks and operational synergies. Although many partnerships ultimately failed, the strategic logic reflected follower adaptation to political-legal constraints limiting direct expansion opportunities available to pioneers.</w:t>
      </w:r>
    </w:p>
    <w:p w14:paraId="071F30B7"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 employs focused market selection strategies, prioritising politically stable regions and markets with supportive regulatory environments rather than pursuing comprehensive global coverage (</w:t>
      </w: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xml:space="preserve"> et al., 2014). This selective approach reduces political risk exposure whilst concentrating resources on markets offering superior risk-adjusted returns.</w:t>
      </w:r>
    </w:p>
    <w:p w14:paraId="529C91C1"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Both airlines have demonstrated crisis response capabilities during political-legal disruptions, with rapid route adjustments, capacity redeployments, and operational modifications preserving network viability during regional conflicts and political tensions (Forsyth et al., 2020). The COVID-19 pandemic responses illustrated both carriers' abilities to adapt to unprecedented political-legal disruptions, with fleet groundings, network suspensions, and financial restructurings enabling organisational survival through existential threats.</w:t>
      </w:r>
    </w:p>
    <w:p w14:paraId="5B907892" w14:textId="77777777" w:rsidR="00E41D59" w:rsidRPr="00E41D59" w:rsidRDefault="00E41D59" w:rsidP="00D140C0">
      <w:pPr>
        <w:pStyle w:val="Heading1"/>
      </w:pPr>
      <w:bookmarkStart w:id="7" w:name="_Toc214581095"/>
      <w:r w:rsidRPr="00E41D59">
        <w:t>Conclusion</w:t>
      </w:r>
      <w:bookmarkEnd w:id="7"/>
    </w:p>
    <w:p w14:paraId="506E629D"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This analysis demonstrates that macro-environmental factors create fundamentally different opportunity and threat profiles for pioneering and follower organisations, necessitating distinct strategic responses aligned with competitive positioning. Emirates' pioneering strategy leverages technological and political-legal opportunities through aggressive innovation, extensive government support, and first-mover advantages, whilst managing associated threats through diversification, lobbying, and strategic partnerships. Etihad's follower approach emphasises selective adoption, reduced risk exposure, and strategic imitation with focused differentiation, accepting competitive disadvantages in some dimensions whilst avoiding costly pioneering risks.</w:t>
      </w:r>
    </w:p>
    <w:p w14:paraId="35C9F841"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Technological factors favour pioneers through differentiation opportunities and market leadership, whilst threatening through high costs and rapid obsolescence. Followers benefit from reduced development costs and observational learning but face perception challenges and competitive gaps. Political-legal factors offer pioneers market access advantages through government support and diplomatic leverage whilst creating vulnerabilities through political opposition and geopolitical exposure. Followers navigate political-legal environments through strategic patience and diplomatic positioning but suffer from reduced political leverage and fewer resources for crisis management.</w:t>
      </w:r>
    </w:p>
    <w:p w14:paraId="20459993"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Both strategic orientations remain viable within dynamic macro-environments, with success depending upon effective alignment between environmental positioning and organisational capabilities. The Middle Eastern airline industry illustrates how pioneering and follower strategies can coexist within competitive markets, with each approach offering distinct advantages and vulnerabilities requiring continuous strategic adaptation to maintain competitiveness amidst evolving external circumstances.</w:t>
      </w:r>
    </w:p>
    <w:p w14:paraId="7A1E8AF8" w14:textId="77777777" w:rsidR="00D140C0" w:rsidRDefault="00D140C0" w:rsidP="00E41D59">
      <w:pPr>
        <w:jc w:val="both"/>
        <w:rPr>
          <w:rFonts w:ascii="Times New Roman" w:hAnsi="Times New Roman" w:cs="Times New Roman"/>
          <w:sz w:val="24"/>
          <w:szCs w:val="24"/>
        </w:rPr>
      </w:pPr>
    </w:p>
    <w:p w14:paraId="29216C94" w14:textId="37A2C2F9" w:rsidR="00E41D59" w:rsidRPr="00E41D59" w:rsidRDefault="00E41D59" w:rsidP="00D140C0">
      <w:pPr>
        <w:pStyle w:val="Heading1"/>
      </w:pPr>
      <w:bookmarkStart w:id="8" w:name="_Toc214581096"/>
      <w:r w:rsidRPr="00E41D59">
        <w:lastRenderedPageBreak/>
        <w:t>References</w:t>
      </w:r>
      <w:bookmarkEnd w:id="8"/>
    </w:p>
    <w:p w14:paraId="024F2AE2" w14:textId="63905DF5"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Amankwah-Amoah, J. 2018</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w:t>
      </w:r>
      <w:r w:rsidRPr="00E15B3C">
        <w:rPr>
          <w:rFonts w:ascii="Times New Roman" w:hAnsi="Times New Roman" w:cs="Times New Roman"/>
          <w:i/>
          <w:iCs/>
          <w:sz w:val="24"/>
          <w:szCs w:val="24"/>
        </w:rPr>
        <w:t xml:space="preserve">Why are so many new airline failures occurring in </w:t>
      </w:r>
      <w:proofErr w:type="gramStart"/>
      <w:r w:rsidRPr="00E15B3C">
        <w:rPr>
          <w:rFonts w:ascii="Times New Roman" w:hAnsi="Times New Roman" w:cs="Times New Roman"/>
          <w:i/>
          <w:iCs/>
          <w:sz w:val="24"/>
          <w:szCs w:val="24"/>
        </w:rPr>
        <w:t>Africa?</w:t>
      </w:r>
      <w:r w:rsidR="00E15B3C">
        <w:rPr>
          <w:rFonts w:ascii="Times New Roman" w:hAnsi="Times New Roman" w:cs="Times New Roman"/>
          <w:sz w:val="24"/>
          <w:szCs w:val="24"/>
        </w:rPr>
        <w:t>.</w:t>
      </w:r>
      <w:proofErr w:type="gramEnd"/>
      <w:r w:rsidRPr="00E41D59">
        <w:rPr>
          <w:rFonts w:ascii="Times New Roman" w:hAnsi="Times New Roman" w:cs="Times New Roman"/>
          <w:sz w:val="24"/>
          <w:szCs w:val="24"/>
        </w:rPr>
        <w:t xml:space="preserve"> Journal of Air Transport Management, 68, pp. 18-26.</w:t>
      </w:r>
    </w:p>
    <w:p w14:paraId="322CCDA9" w14:textId="73076FFC"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Clark, P. 2017</w:t>
      </w:r>
      <w:r w:rsidR="00E15B3C">
        <w:rPr>
          <w:rFonts w:ascii="Times New Roman" w:hAnsi="Times New Roman" w:cs="Times New Roman"/>
          <w:sz w:val="24"/>
          <w:szCs w:val="24"/>
        </w:rPr>
        <w:t xml:space="preserve">. </w:t>
      </w:r>
      <w:r w:rsidRPr="00E15B3C">
        <w:rPr>
          <w:rFonts w:ascii="Times New Roman" w:hAnsi="Times New Roman" w:cs="Times New Roman"/>
          <w:i/>
          <w:iCs/>
          <w:sz w:val="24"/>
          <w:szCs w:val="24"/>
        </w:rPr>
        <w:t>Flights to Success: The Emirates Story</w:t>
      </w:r>
      <w:r w:rsidRPr="00E41D59">
        <w:rPr>
          <w:rFonts w:ascii="Times New Roman" w:hAnsi="Times New Roman" w:cs="Times New Roman"/>
          <w:sz w:val="24"/>
          <w:szCs w:val="24"/>
        </w:rPr>
        <w:t>. London: Profile Books.</w:t>
      </w:r>
    </w:p>
    <w:p w14:paraId="7BDA90A7" w14:textId="40447F6A" w:rsidR="00E41D59" w:rsidRPr="00E41D59" w:rsidRDefault="00E41D59" w:rsidP="00E41D59">
      <w:pPr>
        <w:jc w:val="both"/>
        <w:rPr>
          <w:rFonts w:ascii="Times New Roman" w:hAnsi="Times New Roman" w:cs="Times New Roman"/>
          <w:sz w:val="24"/>
          <w:szCs w:val="24"/>
        </w:rPr>
      </w:pPr>
      <w:proofErr w:type="spellStart"/>
      <w:r w:rsidRPr="00E41D59">
        <w:rPr>
          <w:rFonts w:ascii="Times New Roman" w:hAnsi="Times New Roman" w:cs="Times New Roman"/>
          <w:sz w:val="24"/>
          <w:szCs w:val="24"/>
        </w:rPr>
        <w:t>Doganis</w:t>
      </w:r>
      <w:proofErr w:type="spellEnd"/>
      <w:r w:rsidRPr="00E41D59">
        <w:rPr>
          <w:rFonts w:ascii="Times New Roman" w:hAnsi="Times New Roman" w:cs="Times New Roman"/>
          <w:sz w:val="24"/>
          <w:szCs w:val="24"/>
        </w:rPr>
        <w:t xml:space="preserve">, R. </w:t>
      </w:r>
      <w:r w:rsidR="00E15B3C">
        <w:rPr>
          <w:rFonts w:ascii="Times New Roman" w:hAnsi="Times New Roman" w:cs="Times New Roman"/>
          <w:sz w:val="24"/>
          <w:szCs w:val="24"/>
        </w:rPr>
        <w:t>.</w:t>
      </w:r>
      <w:r w:rsidRPr="00E41D59">
        <w:rPr>
          <w:rFonts w:ascii="Times New Roman" w:hAnsi="Times New Roman" w:cs="Times New Roman"/>
          <w:sz w:val="24"/>
          <w:szCs w:val="24"/>
        </w:rPr>
        <w:t>2019</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w:t>
      </w:r>
      <w:r w:rsidRPr="00E15B3C">
        <w:rPr>
          <w:rFonts w:ascii="Times New Roman" w:hAnsi="Times New Roman" w:cs="Times New Roman"/>
          <w:i/>
          <w:iCs/>
          <w:sz w:val="24"/>
          <w:szCs w:val="24"/>
        </w:rPr>
        <w:t>Flying Off Course: Airline Economics and Marketing</w:t>
      </w:r>
      <w:r w:rsidRPr="00E41D59">
        <w:rPr>
          <w:rFonts w:ascii="Times New Roman" w:hAnsi="Times New Roman" w:cs="Times New Roman"/>
          <w:sz w:val="24"/>
          <w:szCs w:val="24"/>
        </w:rPr>
        <w:t xml:space="preserve">. 5th </w:t>
      </w:r>
      <w:proofErr w:type="spellStart"/>
      <w:r w:rsidRPr="00E41D59">
        <w:rPr>
          <w:rFonts w:ascii="Times New Roman" w:hAnsi="Times New Roman" w:cs="Times New Roman"/>
          <w:sz w:val="24"/>
          <w:szCs w:val="24"/>
        </w:rPr>
        <w:t>edn</w:t>
      </w:r>
      <w:proofErr w:type="spellEnd"/>
      <w:r w:rsidRPr="00E41D59">
        <w:rPr>
          <w:rFonts w:ascii="Times New Roman" w:hAnsi="Times New Roman" w:cs="Times New Roman"/>
          <w:sz w:val="24"/>
          <w:szCs w:val="24"/>
        </w:rPr>
        <w:t>. London: Routledge.</w:t>
      </w:r>
    </w:p>
    <w:p w14:paraId="0AEC59B9" w14:textId="6D5C7FAD"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Forsyth, P., </w:t>
      </w:r>
      <w:proofErr w:type="spellStart"/>
      <w:r w:rsidRPr="00E41D59">
        <w:rPr>
          <w:rFonts w:ascii="Times New Roman" w:hAnsi="Times New Roman" w:cs="Times New Roman"/>
          <w:sz w:val="24"/>
          <w:szCs w:val="24"/>
        </w:rPr>
        <w:t>Guiomard</w:t>
      </w:r>
      <w:proofErr w:type="spellEnd"/>
      <w:r w:rsidRPr="00E41D59">
        <w:rPr>
          <w:rFonts w:ascii="Times New Roman" w:hAnsi="Times New Roman" w:cs="Times New Roman"/>
          <w:sz w:val="24"/>
          <w:szCs w:val="24"/>
        </w:rPr>
        <w:t>, C., and Niemeier, H.M. 2020</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Covid-19, the collapse in passenger demand and airport charges', Journal of Air Transport Management, 89, 101932.</w:t>
      </w:r>
    </w:p>
    <w:p w14:paraId="283AB5D9" w14:textId="35F97502" w:rsidR="00E41D59" w:rsidRPr="00E41D59" w:rsidRDefault="00E41D59" w:rsidP="00E41D59">
      <w:pPr>
        <w:jc w:val="both"/>
        <w:rPr>
          <w:rFonts w:ascii="Times New Roman" w:hAnsi="Times New Roman" w:cs="Times New Roman"/>
          <w:sz w:val="24"/>
          <w:szCs w:val="24"/>
        </w:rPr>
      </w:pPr>
      <w:proofErr w:type="spellStart"/>
      <w:r w:rsidRPr="00E41D59">
        <w:rPr>
          <w:rFonts w:ascii="Times New Roman" w:hAnsi="Times New Roman" w:cs="Times New Roman"/>
          <w:sz w:val="24"/>
          <w:szCs w:val="24"/>
        </w:rPr>
        <w:t>Gössling</w:t>
      </w:r>
      <w:proofErr w:type="spellEnd"/>
      <w:r w:rsidRPr="00E41D59">
        <w:rPr>
          <w:rFonts w:ascii="Times New Roman" w:hAnsi="Times New Roman" w:cs="Times New Roman"/>
          <w:sz w:val="24"/>
          <w:szCs w:val="24"/>
        </w:rPr>
        <w:t>, S. and Nilsson, J.H. 2010</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 xml:space="preserve">Frequent flyer programmes and the reproduction of </w:t>
      </w:r>
      <w:proofErr w:type="spellStart"/>
      <w:r w:rsidRPr="00E41D59">
        <w:rPr>
          <w:rFonts w:ascii="Times New Roman" w:hAnsi="Times New Roman" w:cs="Times New Roman"/>
          <w:sz w:val="24"/>
          <w:szCs w:val="24"/>
        </w:rPr>
        <w:t>aeromobility</w:t>
      </w:r>
      <w:proofErr w:type="spellEnd"/>
      <w:r w:rsidR="00E15B3C">
        <w:rPr>
          <w:rFonts w:ascii="Times New Roman" w:hAnsi="Times New Roman" w:cs="Times New Roman"/>
          <w:sz w:val="24"/>
          <w:szCs w:val="24"/>
        </w:rPr>
        <w:t xml:space="preserve">. </w:t>
      </w:r>
      <w:r w:rsidRPr="00E41D59">
        <w:rPr>
          <w:rFonts w:ascii="Times New Roman" w:hAnsi="Times New Roman" w:cs="Times New Roman"/>
          <w:sz w:val="24"/>
          <w:szCs w:val="24"/>
        </w:rPr>
        <w:t xml:space="preserve"> Environment and Planning A, 42(1), pp. 241-252.</w:t>
      </w:r>
    </w:p>
    <w:p w14:paraId="6F5EFCAD" w14:textId="0D470C93" w:rsidR="00E41D59" w:rsidRPr="00E41D59" w:rsidRDefault="00E41D59" w:rsidP="00E41D59">
      <w:pPr>
        <w:jc w:val="both"/>
        <w:rPr>
          <w:rFonts w:ascii="Times New Roman" w:hAnsi="Times New Roman" w:cs="Times New Roman"/>
          <w:sz w:val="24"/>
          <w:szCs w:val="24"/>
        </w:rPr>
      </w:pPr>
      <w:proofErr w:type="spellStart"/>
      <w:r w:rsidRPr="00E41D59">
        <w:rPr>
          <w:rFonts w:ascii="Times New Roman" w:hAnsi="Times New Roman" w:cs="Times New Roman"/>
          <w:sz w:val="24"/>
          <w:szCs w:val="24"/>
        </w:rPr>
        <w:t>Homsombat</w:t>
      </w:r>
      <w:proofErr w:type="spellEnd"/>
      <w:r w:rsidRPr="00E41D59">
        <w:rPr>
          <w:rFonts w:ascii="Times New Roman" w:hAnsi="Times New Roman" w:cs="Times New Roman"/>
          <w:sz w:val="24"/>
          <w:szCs w:val="24"/>
        </w:rPr>
        <w:t>, W., Lei, Z., and Fu, X. 2014</w:t>
      </w:r>
      <w:r w:rsidR="00E15B3C">
        <w:rPr>
          <w:rFonts w:ascii="Times New Roman" w:hAnsi="Times New Roman" w:cs="Times New Roman"/>
          <w:sz w:val="24"/>
          <w:szCs w:val="24"/>
        </w:rPr>
        <w:t xml:space="preserve">. </w:t>
      </w:r>
      <w:r w:rsidRPr="00E15B3C">
        <w:rPr>
          <w:rFonts w:ascii="Times New Roman" w:hAnsi="Times New Roman" w:cs="Times New Roman"/>
          <w:i/>
          <w:iCs/>
          <w:sz w:val="24"/>
          <w:szCs w:val="24"/>
        </w:rPr>
        <w:t>Competitive effects of the airlines-within-airlines strategy: Pricing and route entry patterns</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Transportation Research Part E: Logistics and Transportation Review, 63, pp. 1-16.</w:t>
      </w:r>
    </w:p>
    <w:p w14:paraId="2A10778E" w14:textId="02A2736A"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O'Connell, J.F. </w:t>
      </w:r>
      <w:r w:rsidR="00E15B3C" w:rsidRPr="00E41D59">
        <w:rPr>
          <w:rFonts w:ascii="Times New Roman" w:hAnsi="Times New Roman" w:cs="Times New Roman"/>
          <w:sz w:val="24"/>
          <w:szCs w:val="24"/>
        </w:rPr>
        <w:t>2011. The</w:t>
      </w:r>
      <w:r w:rsidRPr="00E15B3C">
        <w:rPr>
          <w:rFonts w:ascii="Times New Roman" w:hAnsi="Times New Roman" w:cs="Times New Roman"/>
          <w:i/>
          <w:iCs/>
          <w:sz w:val="24"/>
          <w:szCs w:val="24"/>
        </w:rPr>
        <w:t xml:space="preserve"> rise of the Arabian Gulf carriers: An insight into the business model of Emirates </w:t>
      </w:r>
      <w:proofErr w:type="spellStart"/>
      <w:r w:rsidRPr="00E15B3C">
        <w:rPr>
          <w:rFonts w:ascii="Times New Roman" w:hAnsi="Times New Roman" w:cs="Times New Roman"/>
          <w:i/>
          <w:iCs/>
          <w:sz w:val="24"/>
          <w:szCs w:val="24"/>
        </w:rPr>
        <w:t>Airline</w:t>
      </w:r>
      <w:r w:rsidR="00E15B3C">
        <w:rPr>
          <w:rFonts w:ascii="Times New Roman" w:hAnsi="Times New Roman" w:cs="Times New Roman"/>
          <w:sz w:val="24"/>
          <w:szCs w:val="24"/>
        </w:rPr>
        <w:t>.</w:t>
      </w:r>
      <w:r w:rsidRPr="00E41D59">
        <w:rPr>
          <w:rFonts w:ascii="Times New Roman" w:hAnsi="Times New Roman" w:cs="Times New Roman"/>
          <w:sz w:val="24"/>
          <w:szCs w:val="24"/>
        </w:rPr>
        <w:t>Journal</w:t>
      </w:r>
      <w:proofErr w:type="spellEnd"/>
      <w:r w:rsidRPr="00E41D59">
        <w:rPr>
          <w:rFonts w:ascii="Times New Roman" w:hAnsi="Times New Roman" w:cs="Times New Roman"/>
          <w:sz w:val="24"/>
          <w:szCs w:val="24"/>
        </w:rPr>
        <w:t xml:space="preserve"> of Air Transport Management, 17(6), pp. 339-346.</w:t>
      </w:r>
    </w:p>
    <w:p w14:paraId="54C73C0E" w14:textId="35265A3D"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O'Connell, J.F. and Bueno, O.E. 2018</w:t>
      </w:r>
      <w:r w:rsidR="00E15B3C">
        <w:rPr>
          <w:rFonts w:ascii="Times New Roman" w:hAnsi="Times New Roman" w:cs="Times New Roman"/>
          <w:sz w:val="24"/>
          <w:szCs w:val="24"/>
        </w:rPr>
        <w:t xml:space="preserve">. </w:t>
      </w:r>
      <w:r w:rsidRPr="00E15B3C">
        <w:rPr>
          <w:rFonts w:ascii="Times New Roman" w:hAnsi="Times New Roman" w:cs="Times New Roman"/>
          <w:i/>
          <w:iCs/>
          <w:sz w:val="24"/>
          <w:szCs w:val="24"/>
        </w:rPr>
        <w:t xml:space="preserve">A study into the hub performance Emirates, Etihad Airways and Qatar Airways and their competitive position against the major European </w:t>
      </w:r>
      <w:proofErr w:type="spellStart"/>
      <w:r w:rsidRPr="00E15B3C">
        <w:rPr>
          <w:rFonts w:ascii="Times New Roman" w:hAnsi="Times New Roman" w:cs="Times New Roman"/>
          <w:i/>
          <w:iCs/>
          <w:sz w:val="24"/>
          <w:szCs w:val="24"/>
        </w:rPr>
        <w:t>hubbing</w:t>
      </w:r>
      <w:proofErr w:type="spellEnd"/>
      <w:r w:rsidRPr="00E15B3C">
        <w:rPr>
          <w:rFonts w:ascii="Times New Roman" w:hAnsi="Times New Roman" w:cs="Times New Roman"/>
          <w:i/>
          <w:iCs/>
          <w:sz w:val="24"/>
          <w:szCs w:val="24"/>
        </w:rPr>
        <w:t xml:space="preserve"> airlines</w:t>
      </w:r>
      <w:r w:rsidR="00E15B3C">
        <w:rPr>
          <w:rFonts w:ascii="Times New Roman" w:hAnsi="Times New Roman" w:cs="Times New Roman"/>
          <w:i/>
          <w:iCs/>
          <w:sz w:val="24"/>
          <w:szCs w:val="24"/>
        </w:rPr>
        <w:t>.</w:t>
      </w:r>
      <w:r w:rsidRPr="00E41D59">
        <w:rPr>
          <w:rFonts w:ascii="Times New Roman" w:hAnsi="Times New Roman" w:cs="Times New Roman"/>
          <w:sz w:val="24"/>
          <w:szCs w:val="24"/>
        </w:rPr>
        <w:t xml:space="preserve"> Journal of Air Transport Management, 69, pp. 1-18.</w:t>
      </w:r>
    </w:p>
    <w:p w14:paraId="7A57CB23" w14:textId="61B0272B"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Pearson, J. and Merkert, R. </w:t>
      </w:r>
      <w:r w:rsidR="00E15B3C">
        <w:rPr>
          <w:rFonts w:ascii="Times New Roman" w:hAnsi="Times New Roman" w:cs="Times New Roman"/>
          <w:sz w:val="24"/>
          <w:szCs w:val="24"/>
        </w:rPr>
        <w:t>2</w:t>
      </w:r>
      <w:r w:rsidRPr="00E41D59">
        <w:rPr>
          <w:rFonts w:ascii="Times New Roman" w:hAnsi="Times New Roman" w:cs="Times New Roman"/>
          <w:sz w:val="24"/>
          <w:szCs w:val="24"/>
        </w:rPr>
        <w:t>014</w:t>
      </w:r>
      <w:r w:rsidR="00E15B3C">
        <w:rPr>
          <w:rFonts w:ascii="Times New Roman" w:hAnsi="Times New Roman" w:cs="Times New Roman"/>
          <w:sz w:val="24"/>
          <w:szCs w:val="24"/>
        </w:rPr>
        <w:t>.</w:t>
      </w:r>
      <w:r w:rsidRPr="00E15B3C">
        <w:rPr>
          <w:rFonts w:ascii="Times New Roman" w:hAnsi="Times New Roman" w:cs="Times New Roman"/>
          <w:i/>
          <w:iCs/>
          <w:sz w:val="24"/>
          <w:szCs w:val="24"/>
        </w:rPr>
        <w:t>Airlines-within-airlines: A business model moving East</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Journal of Air Transport Management, 38, pp. 21-26.</w:t>
      </w:r>
    </w:p>
    <w:p w14:paraId="1518E6B1" w14:textId="23F375FE"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Shankar, V., Carpenter, G.S. and Krishnamurthi, L. </w:t>
      </w:r>
      <w:r w:rsidR="00E15B3C">
        <w:rPr>
          <w:rFonts w:ascii="Times New Roman" w:hAnsi="Times New Roman" w:cs="Times New Roman"/>
          <w:sz w:val="24"/>
          <w:szCs w:val="24"/>
        </w:rPr>
        <w:t>1</w:t>
      </w:r>
      <w:r w:rsidRPr="00E41D59">
        <w:rPr>
          <w:rFonts w:ascii="Times New Roman" w:hAnsi="Times New Roman" w:cs="Times New Roman"/>
          <w:sz w:val="24"/>
          <w:szCs w:val="24"/>
        </w:rPr>
        <w:t>998</w:t>
      </w:r>
      <w:r w:rsidR="00E15B3C">
        <w:rPr>
          <w:rFonts w:ascii="Times New Roman" w:hAnsi="Times New Roman" w:cs="Times New Roman"/>
          <w:sz w:val="24"/>
          <w:szCs w:val="24"/>
        </w:rPr>
        <w:t>.</w:t>
      </w:r>
      <w:r w:rsidRPr="00E15B3C">
        <w:rPr>
          <w:rFonts w:ascii="Times New Roman" w:hAnsi="Times New Roman" w:cs="Times New Roman"/>
          <w:i/>
          <w:iCs/>
          <w:sz w:val="24"/>
          <w:szCs w:val="24"/>
        </w:rPr>
        <w:t>Late mover advantage: How innovative late entrants outsell pioneers</w:t>
      </w:r>
      <w:r w:rsidR="00E15B3C">
        <w:rPr>
          <w:rFonts w:ascii="Times New Roman" w:hAnsi="Times New Roman" w:cs="Times New Roman"/>
          <w:i/>
          <w:iCs/>
          <w:sz w:val="24"/>
          <w:szCs w:val="24"/>
        </w:rPr>
        <w:t>.</w:t>
      </w:r>
      <w:r w:rsidRPr="00E41D59">
        <w:rPr>
          <w:rFonts w:ascii="Times New Roman" w:hAnsi="Times New Roman" w:cs="Times New Roman"/>
          <w:sz w:val="24"/>
          <w:szCs w:val="24"/>
        </w:rPr>
        <w:t xml:space="preserve"> Journal of Marketing Research, 35(1), pp. 54-70.</w:t>
      </w:r>
    </w:p>
    <w:p w14:paraId="5FD1E28D" w14:textId="77496D7D"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Tellis, G.J. and Golder, P.N. </w:t>
      </w:r>
      <w:r w:rsidR="00E15B3C">
        <w:rPr>
          <w:rFonts w:ascii="Times New Roman" w:hAnsi="Times New Roman" w:cs="Times New Roman"/>
          <w:sz w:val="24"/>
          <w:szCs w:val="24"/>
        </w:rPr>
        <w:t>.</w:t>
      </w:r>
      <w:r w:rsidRPr="00E41D59">
        <w:rPr>
          <w:rFonts w:ascii="Times New Roman" w:hAnsi="Times New Roman" w:cs="Times New Roman"/>
          <w:sz w:val="24"/>
          <w:szCs w:val="24"/>
        </w:rPr>
        <w:t>2002</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w:t>
      </w:r>
      <w:r w:rsidRPr="00E15B3C">
        <w:rPr>
          <w:rFonts w:ascii="Times New Roman" w:hAnsi="Times New Roman" w:cs="Times New Roman"/>
          <w:i/>
          <w:iCs/>
          <w:sz w:val="24"/>
          <w:szCs w:val="24"/>
        </w:rPr>
        <w:t>Will and Vision: How Latecomers Grow to Dominate Markets</w:t>
      </w:r>
      <w:r w:rsidRPr="00E41D59">
        <w:rPr>
          <w:rFonts w:ascii="Times New Roman" w:hAnsi="Times New Roman" w:cs="Times New Roman"/>
          <w:sz w:val="24"/>
          <w:szCs w:val="24"/>
        </w:rPr>
        <w:t>. New York: McGraw-Hill.</w:t>
      </w:r>
    </w:p>
    <w:sectPr w:rsidR="00E41D59" w:rsidRPr="00E41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D59"/>
    <w:rsid w:val="00156F64"/>
    <w:rsid w:val="004207D5"/>
    <w:rsid w:val="00541E81"/>
    <w:rsid w:val="00545407"/>
    <w:rsid w:val="00BC5079"/>
    <w:rsid w:val="00D140C0"/>
    <w:rsid w:val="00D97224"/>
    <w:rsid w:val="00E15B3C"/>
    <w:rsid w:val="00E41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D15A3"/>
  <w15:chartTrackingRefBased/>
  <w15:docId w15:val="{3732A8C8-5E3C-4386-A5F5-E6B052F19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0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0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1E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40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40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5079"/>
    <w:pPr>
      <w:outlineLvl w:val="9"/>
    </w:pPr>
    <w:rPr>
      <w:lang w:val="en-US"/>
    </w:rPr>
  </w:style>
  <w:style w:type="paragraph" w:styleId="TOC1">
    <w:name w:val="toc 1"/>
    <w:basedOn w:val="Normal"/>
    <w:next w:val="Normal"/>
    <w:autoRedefine/>
    <w:uiPriority w:val="39"/>
    <w:unhideWhenUsed/>
    <w:rsid w:val="00BC5079"/>
    <w:pPr>
      <w:spacing w:after="100"/>
    </w:pPr>
  </w:style>
  <w:style w:type="paragraph" w:styleId="TOC2">
    <w:name w:val="toc 2"/>
    <w:basedOn w:val="Normal"/>
    <w:next w:val="Normal"/>
    <w:autoRedefine/>
    <w:uiPriority w:val="39"/>
    <w:unhideWhenUsed/>
    <w:rsid w:val="00BC5079"/>
    <w:pPr>
      <w:spacing w:after="100"/>
      <w:ind w:left="220"/>
    </w:pPr>
  </w:style>
  <w:style w:type="character" w:styleId="Hyperlink">
    <w:name w:val="Hyperlink"/>
    <w:basedOn w:val="DefaultParagraphFont"/>
    <w:uiPriority w:val="99"/>
    <w:unhideWhenUsed/>
    <w:rsid w:val="00BC50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7D734-C295-4121-A40B-335F8AF2E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3632</Words>
  <Characters>20706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Zafar Md Imran [Student-PECS]</dc:creator>
  <cp:keywords/>
  <dc:description/>
  <cp:lastModifiedBy>Abu Zafar Md Imran [Student-PECS]</cp:lastModifiedBy>
  <cp:revision>9</cp:revision>
  <dcterms:created xsi:type="dcterms:W3CDTF">2025-11-19T21:40:00Z</dcterms:created>
  <dcterms:modified xsi:type="dcterms:W3CDTF">2025-11-21T01:36:00Z</dcterms:modified>
</cp:coreProperties>
</file>