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C6CDA" w14:textId="77777777" w:rsidR="007B5AC3" w:rsidRPr="00592EE3" w:rsidRDefault="007B5AC3">
      <w:pPr>
        <w:pStyle w:val="Normal1"/>
        <w:rPr>
          <w:color w:val="000000" w:themeColor="text1"/>
          <w:lang w:val="en-GB"/>
        </w:rPr>
      </w:pPr>
    </w:p>
    <w:p w14:paraId="3C88E60D" w14:textId="77777777" w:rsidR="007B5AC3" w:rsidRPr="00592EE3" w:rsidRDefault="007B5AC3">
      <w:pPr>
        <w:pStyle w:val="Normal1"/>
        <w:rPr>
          <w:color w:val="000000" w:themeColor="text1"/>
          <w:lang w:val="en-GB"/>
        </w:rPr>
      </w:pPr>
    </w:p>
    <w:p w14:paraId="6AEE4821" w14:textId="77777777" w:rsidR="007B5AC3" w:rsidRPr="00592EE3" w:rsidRDefault="007B5AC3">
      <w:pPr>
        <w:pStyle w:val="Normal1"/>
        <w:rPr>
          <w:color w:val="000000" w:themeColor="text1"/>
          <w:lang w:val="en-GB"/>
        </w:rPr>
      </w:pPr>
    </w:p>
    <w:p w14:paraId="68E3998E" w14:textId="02F19706" w:rsidR="00957141" w:rsidRPr="00957141" w:rsidRDefault="00957141" w:rsidP="00957141">
      <w:pPr>
        <w:rPr>
          <w:sz w:val="40"/>
          <w:szCs w:val="40"/>
        </w:rPr>
      </w:pPr>
      <w:r w:rsidRPr="00957141">
        <w:rPr>
          <w:sz w:val="40"/>
          <w:szCs w:val="40"/>
        </w:rPr>
        <w:t>LCBB</w:t>
      </w:r>
      <w:r w:rsidR="001E0218">
        <w:rPr>
          <w:sz w:val="40"/>
          <w:szCs w:val="40"/>
        </w:rPr>
        <w:t>5004</w:t>
      </w:r>
    </w:p>
    <w:p w14:paraId="5251F7CC" w14:textId="77777777" w:rsidR="007B5AC3" w:rsidRPr="00592EE3" w:rsidRDefault="007B5AC3">
      <w:pPr>
        <w:pStyle w:val="Normal1"/>
        <w:rPr>
          <w:color w:val="000000" w:themeColor="text1"/>
          <w:lang w:val="en-GB"/>
        </w:rPr>
      </w:pPr>
    </w:p>
    <w:p w14:paraId="4DD05C4B" w14:textId="77777777" w:rsidR="007D5CB4" w:rsidRDefault="007D5CB4" w:rsidP="007D5CB4">
      <w:pPr>
        <w:pStyle w:val="Normal1"/>
        <w:jc w:val="center"/>
        <w:rPr>
          <w:color w:val="000000" w:themeColor="text1"/>
          <w:lang w:val="en-GB"/>
        </w:rPr>
      </w:pPr>
    </w:p>
    <w:p w14:paraId="15DB9EE2" w14:textId="77777777" w:rsidR="007D5CB4" w:rsidRDefault="007D5CB4" w:rsidP="007D5CB4">
      <w:pPr>
        <w:pStyle w:val="Normal1"/>
        <w:jc w:val="center"/>
        <w:rPr>
          <w:color w:val="000000" w:themeColor="text1"/>
          <w:lang w:val="en-GB"/>
        </w:rPr>
      </w:pPr>
    </w:p>
    <w:p w14:paraId="16633B04" w14:textId="77777777" w:rsidR="007D5CB4" w:rsidRDefault="007D5CB4" w:rsidP="007D5CB4">
      <w:pPr>
        <w:pStyle w:val="Normal1"/>
        <w:jc w:val="center"/>
        <w:rPr>
          <w:color w:val="000000" w:themeColor="text1"/>
          <w:lang w:val="en-GB"/>
        </w:rPr>
      </w:pPr>
    </w:p>
    <w:p w14:paraId="22E03B28" w14:textId="77777777" w:rsidR="007D5CB4" w:rsidRDefault="007D5CB4" w:rsidP="00957141">
      <w:pPr>
        <w:pStyle w:val="Normal1"/>
        <w:rPr>
          <w:color w:val="000000" w:themeColor="text1"/>
          <w:lang w:val="en-GB"/>
        </w:rPr>
      </w:pPr>
    </w:p>
    <w:p w14:paraId="2F4A9D11" w14:textId="77777777" w:rsidR="007D5CB4" w:rsidRDefault="007D5CB4" w:rsidP="007D5CB4">
      <w:pPr>
        <w:pStyle w:val="Normal1"/>
        <w:jc w:val="center"/>
        <w:rPr>
          <w:color w:val="000000" w:themeColor="text1"/>
          <w:lang w:val="en-GB"/>
        </w:rPr>
      </w:pPr>
    </w:p>
    <w:p w14:paraId="0EBE7260" w14:textId="77777777" w:rsidR="007D5CB4" w:rsidRDefault="007D5CB4" w:rsidP="007D5CB4">
      <w:pPr>
        <w:pStyle w:val="Normal1"/>
        <w:jc w:val="center"/>
        <w:rPr>
          <w:color w:val="000000" w:themeColor="text1"/>
          <w:lang w:val="en-GB"/>
        </w:rPr>
      </w:pPr>
    </w:p>
    <w:p w14:paraId="371FF4C3" w14:textId="77777777" w:rsidR="007D5CB4" w:rsidRDefault="007D5CB4" w:rsidP="007D5CB4">
      <w:pPr>
        <w:pStyle w:val="Normal1"/>
        <w:jc w:val="center"/>
        <w:rPr>
          <w:color w:val="000000" w:themeColor="text1"/>
          <w:lang w:val="en-GB"/>
        </w:rPr>
      </w:pPr>
    </w:p>
    <w:p w14:paraId="21B81582" w14:textId="77777777" w:rsidR="007D5CB4" w:rsidRDefault="007D5CB4" w:rsidP="007D5CB4">
      <w:pPr>
        <w:pStyle w:val="Normal1"/>
        <w:jc w:val="center"/>
        <w:rPr>
          <w:color w:val="000000" w:themeColor="text1"/>
          <w:lang w:val="en-GB"/>
        </w:rPr>
      </w:pPr>
    </w:p>
    <w:p w14:paraId="4B569FCD" w14:textId="77777777" w:rsidR="007D5CB4" w:rsidRDefault="007D5CB4" w:rsidP="007D5CB4">
      <w:pPr>
        <w:pStyle w:val="Normal1"/>
        <w:jc w:val="center"/>
        <w:rPr>
          <w:color w:val="000000" w:themeColor="text1"/>
          <w:lang w:val="en-GB"/>
        </w:rPr>
      </w:pPr>
    </w:p>
    <w:p w14:paraId="2C243991" w14:textId="77777777" w:rsidR="007D5CB4" w:rsidRDefault="007D5CB4" w:rsidP="007D5CB4">
      <w:pPr>
        <w:pStyle w:val="Normal1"/>
        <w:jc w:val="center"/>
        <w:rPr>
          <w:color w:val="000000" w:themeColor="text1"/>
          <w:lang w:val="en-GB"/>
        </w:rPr>
      </w:pPr>
    </w:p>
    <w:p w14:paraId="04C12900" w14:textId="7434B6A1" w:rsidR="007D5CB4" w:rsidRDefault="007D5CB4" w:rsidP="007D5CB4">
      <w:pPr>
        <w:pStyle w:val="TableParagraph"/>
        <w:spacing w:before="115" w:line="252" w:lineRule="exact"/>
        <w:ind w:left="106"/>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t xml:space="preserve">                                                               </w:t>
      </w:r>
    </w:p>
    <w:p w14:paraId="0A687C07" w14:textId="77777777" w:rsidR="00DE31BA" w:rsidRPr="00592EE3" w:rsidRDefault="00DE31BA" w:rsidP="007D5CB4">
      <w:pPr>
        <w:pStyle w:val="TableParagraph"/>
        <w:spacing w:before="115" w:line="252" w:lineRule="exact"/>
        <w:ind w:left="106"/>
        <w:rPr>
          <w:rFonts w:ascii="Times New Roman" w:hAnsi="Times New Roman" w:cs="Times New Roman"/>
          <w:b/>
          <w:color w:val="000000" w:themeColor="text1"/>
          <w:sz w:val="24"/>
          <w:szCs w:val="24"/>
          <w:lang w:val="en-GB"/>
        </w:rPr>
      </w:pPr>
    </w:p>
    <w:p w14:paraId="56C76EA6" w14:textId="10EA7AC4" w:rsidR="00DE31BA" w:rsidRDefault="001E0218" w:rsidP="007D5CB4">
      <w:pPr>
        <w:pStyle w:val="Normal1"/>
        <w:jc w:val="center"/>
        <w:rPr>
          <w:rFonts w:ascii="Times New Roman" w:hAnsi="Times New Roman" w:cs="Times New Roman"/>
          <w:b/>
          <w:color w:val="000000" w:themeColor="text1"/>
          <w:sz w:val="48"/>
          <w:szCs w:val="48"/>
          <w:lang w:val="en-GB"/>
        </w:rPr>
      </w:pPr>
      <w:r>
        <w:rPr>
          <w:rFonts w:ascii="Times New Roman" w:hAnsi="Times New Roman" w:cs="Times New Roman"/>
          <w:b/>
          <w:color w:val="000000" w:themeColor="text1"/>
          <w:sz w:val="48"/>
          <w:szCs w:val="48"/>
          <w:lang w:val="en-GB"/>
        </w:rPr>
        <w:t>Managing People</w:t>
      </w:r>
    </w:p>
    <w:p w14:paraId="0E7465E2" w14:textId="7ACCAB57" w:rsidR="001E0218" w:rsidRDefault="001E0218" w:rsidP="007D5CB4">
      <w:pPr>
        <w:pStyle w:val="Normal1"/>
        <w:jc w:val="center"/>
        <w:rPr>
          <w:sz w:val="52"/>
          <w:szCs w:val="52"/>
        </w:rPr>
      </w:pPr>
      <w:r>
        <w:rPr>
          <w:rFonts w:ascii="Times New Roman" w:hAnsi="Times New Roman" w:cs="Times New Roman"/>
          <w:b/>
          <w:color w:val="000000" w:themeColor="text1"/>
          <w:sz w:val="48"/>
          <w:szCs w:val="48"/>
          <w:lang w:val="en-GB"/>
        </w:rPr>
        <w:t xml:space="preserve">Assessment </w:t>
      </w:r>
      <w:r w:rsidR="008C3CF8">
        <w:rPr>
          <w:rFonts w:ascii="Times New Roman" w:hAnsi="Times New Roman" w:cs="Times New Roman"/>
          <w:b/>
          <w:color w:val="000000" w:themeColor="text1"/>
          <w:sz w:val="48"/>
          <w:szCs w:val="48"/>
          <w:lang w:val="en-GB"/>
        </w:rPr>
        <w:t>2</w:t>
      </w:r>
    </w:p>
    <w:p w14:paraId="04E5EDD2" w14:textId="77777777" w:rsidR="00DE31BA" w:rsidRDefault="00DE31BA" w:rsidP="00DE31BA">
      <w:pPr>
        <w:pStyle w:val="Normal1"/>
        <w:rPr>
          <w:sz w:val="52"/>
          <w:szCs w:val="52"/>
        </w:rPr>
      </w:pPr>
    </w:p>
    <w:p w14:paraId="740C6564" w14:textId="77777777" w:rsidR="00DE31BA" w:rsidRDefault="00DE31BA" w:rsidP="00DE31BA">
      <w:pPr>
        <w:pStyle w:val="Normal1"/>
        <w:rPr>
          <w:sz w:val="52"/>
          <w:szCs w:val="52"/>
        </w:rPr>
      </w:pPr>
    </w:p>
    <w:p w14:paraId="37A772B1" w14:textId="1F918D26" w:rsidR="00DE31BA" w:rsidRDefault="00DE31BA" w:rsidP="00DE31BA">
      <w:pPr>
        <w:pStyle w:val="Normal1"/>
        <w:rPr>
          <w:sz w:val="52"/>
          <w:szCs w:val="52"/>
        </w:rPr>
      </w:pPr>
    </w:p>
    <w:p w14:paraId="2DE0BBA7" w14:textId="218BCF22" w:rsidR="00957141" w:rsidRDefault="00957141" w:rsidP="00DE31BA">
      <w:pPr>
        <w:pStyle w:val="Normal1"/>
        <w:rPr>
          <w:sz w:val="52"/>
          <w:szCs w:val="52"/>
        </w:rPr>
      </w:pPr>
    </w:p>
    <w:p w14:paraId="0B96208C" w14:textId="77777777" w:rsidR="00957141" w:rsidRDefault="00957141" w:rsidP="00DE31BA">
      <w:pPr>
        <w:pStyle w:val="Normal1"/>
        <w:rPr>
          <w:sz w:val="52"/>
          <w:szCs w:val="52"/>
        </w:rPr>
      </w:pPr>
    </w:p>
    <w:p w14:paraId="3AFC65B2" w14:textId="6BCE29A7" w:rsidR="00DD1B73" w:rsidRDefault="00DE31BA" w:rsidP="00DE31BA">
      <w:pPr>
        <w:pStyle w:val="Normal1"/>
        <w:rPr>
          <w:sz w:val="32"/>
          <w:szCs w:val="32"/>
        </w:rPr>
      </w:pPr>
      <w:r w:rsidRPr="005039F1">
        <w:rPr>
          <w:sz w:val="32"/>
          <w:szCs w:val="32"/>
        </w:rPr>
        <w:t>Module Tutor:</w:t>
      </w:r>
      <w:r w:rsidRPr="00D17FA3">
        <w:rPr>
          <w:b/>
          <w:bCs/>
          <w:sz w:val="32"/>
          <w:szCs w:val="32"/>
        </w:rPr>
        <w:t xml:space="preserve"> </w:t>
      </w:r>
      <w:r w:rsidR="00D17FA3">
        <w:rPr>
          <w:sz w:val="32"/>
          <w:szCs w:val="32"/>
        </w:rPr>
        <w:t xml:space="preserve">Olusoyi Ashaye </w:t>
      </w:r>
    </w:p>
    <w:p w14:paraId="08BB8D2A" w14:textId="77777777" w:rsidR="00D17FA3" w:rsidRDefault="00DD1B73" w:rsidP="00DD1B73">
      <w:pPr>
        <w:jc w:val="both"/>
        <w:rPr>
          <w:sz w:val="32"/>
          <w:szCs w:val="32"/>
        </w:rPr>
      </w:pPr>
      <w:r w:rsidRPr="005039F1">
        <w:rPr>
          <w:sz w:val="32"/>
          <w:szCs w:val="32"/>
        </w:rPr>
        <w:t>Student: Bogdan Radulescu</w:t>
      </w:r>
      <w:r>
        <w:rPr>
          <w:sz w:val="32"/>
          <w:szCs w:val="32"/>
        </w:rPr>
        <w:t xml:space="preserve">        </w:t>
      </w:r>
    </w:p>
    <w:p w14:paraId="7FD63195" w14:textId="320F07E9" w:rsidR="00DD1B73" w:rsidRPr="005039F1" w:rsidRDefault="00D17FA3" w:rsidP="00DD1B73">
      <w:pPr>
        <w:jc w:val="both"/>
        <w:rPr>
          <w:sz w:val="32"/>
          <w:szCs w:val="32"/>
        </w:rPr>
      </w:pPr>
      <w:r>
        <w:rPr>
          <w:sz w:val="32"/>
          <w:szCs w:val="32"/>
        </w:rPr>
        <w:t xml:space="preserve">ID: </w:t>
      </w:r>
      <w:r w:rsidR="00DD1B73">
        <w:rPr>
          <w:sz w:val="32"/>
          <w:szCs w:val="32"/>
        </w:rPr>
        <w:t>2022697</w:t>
      </w:r>
    </w:p>
    <w:p w14:paraId="17FC8B89" w14:textId="77777777" w:rsidR="008B1C38" w:rsidRDefault="008B1C38" w:rsidP="00DE31BA">
      <w:pPr>
        <w:pStyle w:val="Normal1"/>
        <w:rPr>
          <w:color w:val="000000" w:themeColor="text1"/>
          <w:lang w:val="en-GB"/>
        </w:rPr>
      </w:pPr>
    </w:p>
    <w:p w14:paraId="6508EF92" w14:textId="77777777" w:rsidR="008B1C38" w:rsidRDefault="008B1C38" w:rsidP="00DE31BA">
      <w:pPr>
        <w:pStyle w:val="Normal1"/>
        <w:rPr>
          <w:color w:val="000000" w:themeColor="text1"/>
          <w:lang w:val="en-GB"/>
        </w:rPr>
      </w:pPr>
    </w:p>
    <w:p w14:paraId="5D65B0D2" w14:textId="77777777" w:rsidR="008B1C38" w:rsidRDefault="008B1C38" w:rsidP="00DE31BA">
      <w:pPr>
        <w:pStyle w:val="Normal1"/>
        <w:rPr>
          <w:color w:val="000000" w:themeColor="text1"/>
          <w:lang w:val="en-GB"/>
        </w:rPr>
      </w:pPr>
    </w:p>
    <w:p w14:paraId="0B7D33EB" w14:textId="146D6B1C" w:rsidR="008B1C38" w:rsidRDefault="00B6767A" w:rsidP="00DE31BA">
      <w:pPr>
        <w:pStyle w:val="Normal1"/>
        <w:rPr>
          <w:color w:val="000000" w:themeColor="text1"/>
          <w:lang w:val="en-GB"/>
        </w:rPr>
      </w:pPr>
      <w:r>
        <w:rPr>
          <w:color w:val="000000" w:themeColor="text1"/>
          <w:lang w:val="en-GB"/>
        </w:rPr>
        <w:t xml:space="preserve">Date:    </w:t>
      </w:r>
      <w:r w:rsidR="008B1C38">
        <w:rPr>
          <w:color w:val="000000" w:themeColor="text1"/>
          <w:lang w:val="en-GB"/>
        </w:rPr>
        <w:t>09/05/2022</w:t>
      </w:r>
    </w:p>
    <w:p w14:paraId="73383EB6" w14:textId="0516CBD0" w:rsidR="00235D2E" w:rsidRDefault="008B1C38" w:rsidP="00DE31BA">
      <w:pPr>
        <w:pStyle w:val="Normal1"/>
        <w:rPr>
          <w:color w:val="000000" w:themeColor="text1"/>
          <w:lang w:val="en-GB"/>
        </w:rPr>
      </w:pPr>
      <w:r>
        <w:rPr>
          <w:color w:val="000000" w:themeColor="text1"/>
          <w:lang w:val="en-GB"/>
        </w:rPr>
        <w:t>Words: 2116</w:t>
      </w:r>
      <w:r w:rsidR="00587737" w:rsidRPr="00592EE3">
        <w:rPr>
          <w:color w:val="000000" w:themeColor="text1"/>
          <w:lang w:val="en-GB"/>
        </w:rPr>
        <w:br w:type="page"/>
      </w:r>
    </w:p>
    <w:p w14:paraId="582255A5" w14:textId="383C8AF6" w:rsidR="00CD5549" w:rsidRDefault="00CD5549" w:rsidP="00CD5549">
      <w:pPr>
        <w:pStyle w:val="Normal1"/>
      </w:pPr>
    </w:p>
    <w:p w14:paraId="550F6B0D" w14:textId="4B8AAA5D" w:rsidR="00CD5549" w:rsidRDefault="00CD5549" w:rsidP="00CD5549">
      <w:pPr>
        <w:pStyle w:val="Normal1"/>
      </w:pPr>
    </w:p>
    <w:p w14:paraId="21B6870E" w14:textId="7267F2AF" w:rsidR="00CD5549" w:rsidRDefault="00CD5549" w:rsidP="00CD5549">
      <w:pPr>
        <w:pStyle w:val="Normal1"/>
      </w:pPr>
    </w:p>
    <w:p w14:paraId="7E46E172" w14:textId="0043CD3A" w:rsidR="00CD5549" w:rsidRDefault="00CD5549" w:rsidP="00CD5549">
      <w:pPr>
        <w:pStyle w:val="Normal1"/>
      </w:pPr>
    </w:p>
    <w:p w14:paraId="55B5C3F4" w14:textId="183E00C0" w:rsidR="008C3CF8" w:rsidRDefault="008C3CF8" w:rsidP="008C3CF8">
      <w:pPr>
        <w:pStyle w:val="Heading1"/>
      </w:pPr>
      <w:r>
        <w:t>Introduction</w:t>
      </w:r>
    </w:p>
    <w:p w14:paraId="1DAF8657" w14:textId="71C1811B" w:rsidR="008C3CF8" w:rsidRDefault="008C3CF8" w:rsidP="008C3CF8">
      <w:pPr>
        <w:pStyle w:val="Normal1"/>
      </w:pPr>
    </w:p>
    <w:p w14:paraId="2782F048" w14:textId="6548BD37" w:rsidR="008C3CF8" w:rsidRDefault="008C3CF8" w:rsidP="008C3CF8">
      <w:pPr>
        <w:pStyle w:val="Normal1"/>
      </w:pPr>
    </w:p>
    <w:p w14:paraId="328FD6A0" w14:textId="77777777" w:rsidR="008C3CF8" w:rsidRPr="008C3CF8" w:rsidRDefault="008C3CF8" w:rsidP="008C3CF8">
      <w:pPr>
        <w:pStyle w:val="Normal1"/>
      </w:pPr>
    </w:p>
    <w:p w14:paraId="392B5D5B" w14:textId="53298454" w:rsidR="008C3CF8" w:rsidRDefault="008C3CF8" w:rsidP="008B1C38">
      <w:pPr>
        <w:spacing w:line="360" w:lineRule="auto"/>
        <w:jc w:val="both"/>
        <w:rPr>
          <w:color w:val="0E101A"/>
          <w:highlight w:val="white"/>
        </w:rPr>
      </w:pPr>
      <w:r>
        <w:rPr>
          <w:color w:val="0E101A"/>
          <w:highlight w:val="white"/>
        </w:rPr>
        <w:t>Employees are playing a dominant role in an organisation. They are the base of a strong organisation. An organisation needs to create a great workforce. Effective involvement of employees strengthens the infrastructure of an organisation. With this involvement employees feel more value and are an essential part of the organisation. It also helps to improve their work culture. By engaging employees, they become more aware and responsible for their execution. Employee involvement is mandatory as well as the prime part of an organisation as it directly affects the accomplishment (Johnson et al., 2018). Efficient involvement of employees upgrades innovative and creative thinking skills. In this process, they can easily tackle the issues in the workplace. An organisation needs to value their employees. the organisation should Contact several employer-based programs that help them to engage more in the organisation. It also refined their working manner. There are also a lot of tools that are implemented in an organisation to measure the engagement of employees. The organisation sometimes also adopts some strategic activities that effectively enhance employee engagement. The report aims to understand the importance of employees' involvement in an organisation. It also delivered the concept of various tools that are used in an organisation to measure employee engagement.</w:t>
      </w:r>
    </w:p>
    <w:p w14:paraId="7AC659F0" w14:textId="26753AB5" w:rsidR="008C3CF8" w:rsidRDefault="008C3CF8" w:rsidP="008B1C38">
      <w:pPr>
        <w:spacing w:line="360" w:lineRule="auto"/>
        <w:jc w:val="both"/>
        <w:rPr>
          <w:color w:val="0E101A"/>
          <w:highlight w:val="white"/>
        </w:rPr>
      </w:pPr>
    </w:p>
    <w:p w14:paraId="7A5A0898" w14:textId="77777777" w:rsidR="008C3CF8" w:rsidRDefault="008C3CF8" w:rsidP="008B1C38">
      <w:pPr>
        <w:spacing w:line="360" w:lineRule="auto"/>
        <w:jc w:val="both"/>
        <w:rPr>
          <w:color w:val="0E101A"/>
          <w:highlight w:val="white"/>
        </w:rPr>
      </w:pPr>
    </w:p>
    <w:p w14:paraId="4FA92D3F" w14:textId="6B089D10" w:rsidR="008C3CF8" w:rsidRDefault="008C3CF8" w:rsidP="008C3CF8">
      <w:pPr>
        <w:pStyle w:val="Heading1"/>
      </w:pPr>
      <w:bookmarkStart w:id="0" w:name="_30j0zll" w:colFirst="0" w:colLast="0"/>
      <w:bookmarkEnd w:id="0"/>
      <w:r>
        <w:t xml:space="preserve">Concept Of Employee Engagement </w:t>
      </w:r>
    </w:p>
    <w:p w14:paraId="447E53BE" w14:textId="3D5F6D46" w:rsidR="008C3CF8" w:rsidRDefault="008C3CF8" w:rsidP="008C3CF8">
      <w:pPr>
        <w:pStyle w:val="Normal1"/>
      </w:pPr>
    </w:p>
    <w:p w14:paraId="10EFFAB0" w14:textId="77777777" w:rsidR="008C3CF8" w:rsidRPr="008C3CF8" w:rsidRDefault="008C3CF8" w:rsidP="008C3CF8">
      <w:pPr>
        <w:pStyle w:val="Normal1"/>
      </w:pPr>
    </w:p>
    <w:p w14:paraId="536ABB2B" w14:textId="77777777" w:rsidR="008C3CF8" w:rsidRDefault="008C3CF8" w:rsidP="008B1C38">
      <w:pPr>
        <w:spacing w:line="360" w:lineRule="auto"/>
        <w:jc w:val="both"/>
        <w:rPr>
          <w:color w:val="0E101A"/>
        </w:rPr>
      </w:pPr>
      <w:r>
        <w:rPr>
          <w:color w:val="0E101A"/>
        </w:rPr>
        <w:t xml:space="preserve">The employees play an important role in the functioning of an organisation. Employees provide the labour and skill which facilitates the manufacturing and production of goods and services. The competency of the employees hugely derives from the outcome of the organisation. The employee should have a feeling of belonging to the organisation and the role the employee is designated to play (Motyka, 2018). The department of Human </w:t>
      </w:r>
      <w:r>
        <w:rPr>
          <w:color w:val="0E101A"/>
        </w:rPr>
        <w:lastRenderedPageBreak/>
        <w:t xml:space="preserve">Resources is hugely responsible and plays a significant role in the engagement of the employees. The organisation is responsible </w:t>
      </w:r>
    </w:p>
    <w:p w14:paraId="1DB71732" w14:textId="77777777" w:rsidR="008C3CF8" w:rsidRDefault="008C3CF8" w:rsidP="008B1C38">
      <w:pPr>
        <w:spacing w:line="360" w:lineRule="auto"/>
        <w:jc w:val="both"/>
        <w:rPr>
          <w:color w:val="0E101A"/>
        </w:rPr>
      </w:pPr>
    </w:p>
    <w:p w14:paraId="2839A4C7" w14:textId="409B37C3" w:rsidR="008C3CF8" w:rsidRDefault="008C3CF8" w:rsidP="008B1C38">
      <w:pPr>
        <w:spacing w:line="360" w:lineRule="auto"/>
        <w:jc w:val="both"/>
        <w:rPr>
          <w:color w:val="0E101A"/>
        </w:rPr>
      </w:pPr>
      <w:r>
        <w:rPr>
          <w:color w:val="0E101A"/>
        </w:rPr>
        <w:t xml:space="preserve">to provide a productive working environment which makes the employee feel satisfied with the work put in. The responsibilities should be divided among the employees in such a manner which shall induce the involvement of the employees. The feeling of engagement fosters a sense of belonging and of importance. The employee garners the feeling that the input he has put in shall affect the functionality of the organisation (Men, Neil and Ewing, 2020). The input shall make a huge difference in the organisation. The responsibility is therefore vested in the organisation to treat the employees in such a manner that the relationship between the workplace and the employees shall flourish. Encouragement and motivation should be provided by the organisation to the employees. Reward culture should be practised, which is a great tool to encourage and engage the employees. The organisation should acknowledge the accomplishments of the employees in the workplace irrespective of how big or small the achievement is. Praises and rewards help in boosting the confidence of the employees and induce efficiency in the workplace. The acknowledgement shall make the employees feel that their work is important and valued in the organisation. </w:t>
      </w:r>
    </w:p>
    <w:p w14:paraId="4673266E" w14:textId="38DF8F76" w:rsidR="008C3CF8" w:rsidRDefault="008C3CF8" w:rsidP="008B1C38">
      <w:pPr>
        <w:spacing w:line="360" w:lineRule="auto"/>
        <w:jc w:val="both"/>
        <w:rPr>
          <w:color w:val="0E101A"/>
        </w:rPr>
      </w:pPr>
      <w:r>
        <w:rPr>
          <w:color w:val="0E101A"/>
        </w:rPr>
        <w:t xml:space="preserve">The organisation should ensure that all the necessary equipment which are required at the workplace is provided to the employees. Employee rights should be kept in mind and employees should in no way be exploited. Salary must be paid in time, being underpaid and overworked increases the feeling of disinterest for the company Proper communication should be maintained and the problems and queries of the employees should be solved. Teamwork should be encouraged and the voice of every employee should be given equal importance. The basic needs of employees should be kept in mind to facilitate employee engagement. </w:t>
      </w:r>
    </w:p>
    <w:p w14:paraId="738F73B0" w14:textId="77777777" w:rsidR="008B1C38" w:rsidRDefault="008B1C38" w:rsidP="008B1C38">
      <w:pPr>
        <w:spacing w:line="360" w:lineRule="auto"/>
        <w:jc w:val="both"/>
        <w:rPr>
          <w:color w:val="0E101A"/>
        </w:rPr>
      </w:pPr>
    </w:p>
    <w:p w14:paraId="4A963662" w14:textId="667D0711" w:rsidR="008C3CF8" w:rsidRDefault="008C3CF8" w:rsidP="008C3CF8">
      <w:pPr>
        <w:pStyle w:val="Heading1"/>
      </w:pPr>
      <w:bookmarkStart w:id="1" w:name="_1fob9te" w:colFirst="0" w:colLast="0"/>
      <w:bookmarkEnd w:id="1"/>
      <w:r>
        <w:t xml:space="preserve">Drivers Of Employee Engagement </w:t>
      </w:r>
    </w:p>
    <w:p w14:paraId="6584F608" w14:textId="77777777" w:rsidR="008B1C38" w:rsidRPr="008B1C38" w:rsidRDefault="008B1C38" w:rsidP="008B1C38">
      <w:pPr>
        <w:pStyle w:val="Normal1"/>
      </w:pPr>
    </w:p>
    <w:p w14:paraId="4435FECE" w14:textId="77777777" w:rsidR="008B1C38" w:rsidRPr="008B1C38" w:rsidRDefault="008B1C38" w:rsidP="008B1C38">
      <w:pPr>
        <w:pStyle w:val="Normal1"/>
      </w:pPr>
    </w:p>
    <w:p w14:paraId="4351A2DA" w14:textId="77777777" w:rsidR="008C3CF8" w:rsidRDefault="008C3CF8" w:rsidP="008B1C38">
      <w:pPr>
        <w:spacing w:line="360" w:lineRule="auto"/>
        <w:jc w:val="both"/>
        <w:rPr>
          <w:color w:val="0E101A"/>
        </w:rPr>
      </w:pPr>
      <w:r>
        <w:rPr>
          <w:color w:val="0E101A"/>
        </w:rPr>
        <w:t xml:space="preserve">An appraisal is an important tool in the effective management of the employees. Rewards and praises enhance the engagement of the employees and instil commitment towards the organisation. There are certain drivers which enhance the engagement of the </w:t>
      </w:r>
      <w:r>
        <w:rPr>
          <w:color w:val="0E101A"/>
        </w:rPr>
        <w:lastRenderedPageBreak/>
        <w:t xml:space="preserve">employees. The first day of the employee at the organisation after the recruitment shall entail the nature of the work and the responsibilities of the employees (Khodakarami and Dirani, 2020). The objectives of the organisation and the expectations of the organisation from the employees should be made clear. This shall foster a better understanding of the nature of work at the organisation. The employees can visualise their role in the organisation from the first day itself which eradicates the scope of doubt and confusion. The present and future duties of the employees shall be clear. Necessary tools and resources should be provided to facilitate the productivity of the employees. The employees should not feel that they are not able to perform their best due to a lack of </w:t>
      </w:r>
    </w:p>
    <w:p w14:paraId="3A582A52" w14:textId="77777777" w:rsidR="008C3CF8" w:rsidRDefault="008C3CF8" w:rsidP="008B1C38">
      <w:pPr>
        <w:spacing w:line="360" w:lineRule="auto"/>
        <w:jc w:val="both"/>
        <w:rPr>
          <w:color w:val="0E101A"/>
        </w:rPr>
      </w:pPr>
    </w:p>
    <w:p w14:paraId="7FB12111" w14:textId="2DE16122" w:rsidR="008C3CF8" w:rsidRDefault="008C3CF8" w:rsidP="008B1C38">
      <w:pPr>
        <w:spacing w:line="360" w:lineRule="auto"/>
        <w:jc w:val="both"/>
        <w:rPr>
          <w:color w:val="0E101A"/>
        </w:rPr>
      </w:pPr>
      <w:r>
        <w:rPr>
          <w:color w:val="0E101A"/>
        </w:rPr>
        <w:t xml:space="preserve">resources. Maslow’s Hierarchy of Needs states that the needs of individuals should be fulfilled to bring out the best in them (Bakhru and Sharma, 2022). The personal and professional needs of the employees should be fulfilled. The employees should be allowed to strike a balance between their personal life and their professional life. The employee should not be overworked which shall create a feeling of frustration and disrupt the mental health of the employee. Any frustration and feeling of distress shall make the employee feel distracted at the workplace, affecting their quality of work. Health benefits should be provided to the employees and proper training shall enable the employees to upgrade their skills and knowledge. Diversity should be practised in the workplace and there should be equal treatment for all. Any discrimination or mistreatment at the workplace results in the feeling of ignorance and affects the mental health of the employees. </w:t>
      </w:r>
    </w:p>
    <w:p w14:paraId="6A96E473" w14:textId="77777777" w:rsidR="008C3CF8" w:rsidRDefault="008C3CF8" w:rsidP="008C3CF8">
      <w:pPr>
        <w:pStyle w:val="Heading1"/>
      </w:pPr>
      <w:bookmarkStart w:id="2" w:name="_3znysh7" w:colFirst="0" w:colLast="0"/>
      <w:bookmarkEnd w:id="2"/>
    </w:p>
    <w:p w14:paraId="494E96B7" w14:textId="39C71261" w:rsidR="008C3CF8" w:rsidRDefault="008C3CF8" w:rsidP="008C3CF8">
      <w:pPr>
        <w:pStyle w:val="Heading1"/>
      </w:pPr>
      <w:r>
        <w:t xml:space="preserve">Diagnostic Tools To Measure Engagement </w:t>
      </w:r>
    </w:p>
    <w:p w14:paraId="2518DDB8" w14:textId="77777777" w:rsidR="008C3CF8" w:rsidRPr="008C3CF8" w:rsidRDefault="008C3CF8" w:rsidP="008C3CF8">
      <w:pPr>
        <w:pStyle w:val="Normal1"/>
      </w:pPr>
    </w:p>
    <w:p w14:paraId="66F8C8F7" w14:textId="77777777" w:rsidR="008C3CF8" w:rsidRDefault="008C3CF8" w:rsidP="008C3CF8">
      <w:pPr>
        <w:spacing w:line="360" w:lineRule="auto"/>
        <w:jc w:val="both"/>
        <w:rPr>
          <w:color w:val="0E101A"/>
        </w:rPr>
      </w:pPr>
      <w:r>
        <w:rPr>
          <w:color w:val="0E101A"/>
        </w:rPr>
        <w:t xml:space="preserve">There are various Diagnostic tools which are used to measure employee engagement in the organisation. These tools enable HR to treat the engagement of the employees, retain employees and also foster the turnover of the recruits. </w:t>
      </w:r>
    </w:p>
    <w:p w14:paraId="71428771" w14:textId="77777777" w:rsidR="008C3CF8" w:rsidRDefault="008C3CF8" w:rsidP="008C3CF8">
      <w:pPr>
        <w:spacing w:line="360" w:lineRule="auto"/>
        <w:jc w:val="both"/>
        <w:rPr>
          <w:color w:val="0E101A"/>
        </w:rPr>
      </w:pPr>
      <w:r>
        <w:rPr>
          <w:b/>
          <w:color w:val="0E101A"/>
        </w:rPr>
        <w:t xml:space="preserve">Employee Survey: </w:t>
      </w:r>
      <w:r>
        <w:rPr>
          <w:color w:val="0E101A"/>
        </w:rPr>
        <w:t xml:space="preserve">Periodic surveys are essential for measuring the involvement of the employees in the organisation. This procedure furnishes the motivational aspect in the employees to provide their valuable ideas to the organisation. Communication is an important aspect to facilitate a positive environment in the workplace. </w:t>
      </w:r>
    </w:p>
    <w:p w14:paraId="2052E07B" w14:textId="77777777" w:rsidR="008C3CF8" w:rsidRDefault="008C3CF8" w:rsidP="008C3CF8">
      <w:pPr>
        <w:spacing w:line="360" w:lineRule="auto"/>
        <w:jc w:val="both"/>
        <w:rPr>
          <w:color w:val="0E101A"/>
        </w:rPr>
      </w:pPr>
      <w:r>
        <w:rPr>
          <w:b/>
          <w:color w:val="0E101A"/>
        </w:rPr>
        <w:lastRenderedPageBreak/>
        <w:t xml:space="preserve">Conduct Interviews: </w:t>
      </w:r>
      <w:r>
        <w:rPr>
          <w:color w:val="0E101A"/>
        </w:rPr>
        <w:t>Regular interviewing shall enable the employees to engage in the workplace effectively. The Exit and Stay Interview shall enable the employees to participate in the working of the company more effectively. The interviews enable the organisation to keep its employees motivated and ensure customer loyalty. Exit interviews enable the employees to acknowledge the factors related to employment.</w:t>
      </w:r>
    </w:p>
    <w:p w14:paraId="267A8DDA" w14:textId="77777777" w:rsidR="008C3CF8" w:rsidRDefault="008C3CF8" w:rsidP="008C3CF8">
      <w:pPr>
        <w:spacing w:line="360" w:lineRule="auto"/>
        <w:jc w:val="both"/>
        <w:rPr>
          <w:color w:val="0E101A"/>
        </w:rPr>
      </w:pPr>
      <w:r>
        <w:rPr>
          <w:b/>
          <w:color w:val="0E101A"/>
        </w:rPr>
        <w:t>Employee recognition and reward programme</w:t>
      </w:r>
      <w:r>
        <w:rPr>
          <w:color w:val="0E101A"/>
        </w:rPr>
        <w:t xml:space="preserve">: An activity which hugely benefits the engagement of the employees is the recognition of the employees (Gustomo et al., 2019). Employee engagement is facilitated as employees feel acknowledged and valued. A report states that almost 70% of the employees put in more input in the workplace when they feel more valued in the company. Using this Diagnostic tool, HR can discover new factors which foster the involvement of the employees. </w:t>
      </w:r>
    </w:p>
    <w:p w14:paraId="43D03219" w14:textId="77777777" w:rsidR="008C3CF8" w:rsidRDefault="008C3CF8" w:rsidP="008C3CF8">
      <w:pPr>
        <w:spacing w:line="360" w:lineRule="auto"/>
        <w:jc w:val="both"/>
        <w:rPr>
          <w:b/>
          <w:color w:val="0E101A"/>
        </w:rPr>
      </w:pPr>
    </w:p>
    <w:p w14:paraId="258DC769" w14:textId="77777777" w:rsidR="008C3CF8" w:rsidRDefault="008C3CF8" w:rsidP="008C3CF8">
      <w:pPr>
        <w:spacing w:line="360" w:lineRule="auto"/>
        <w:jc w:val="both"/>
        <w:rPr>
          <w:b/>
          <w:color w:val="0E101A"/>
        </w:rPr>
      </w:pPr>
    </w:p>
    <w:p w14:paraId="46A09C64" w14:textId="251EB18A" w:rsidR="008C3CF8" w:rsidRDefault="008C3CF8" w:rsidP="008C3CF8">
      <w:pPr>
        <w:spacing w:line="360" w:lineRule="auto"/>
        <w:jc w:val="both"/>
        <w:rPr>
          <w:color w:val="0E101A"/>
        </w:rPr>
      </w:pPr>
      <w:r>
        <w:rPr>
          <w:b/>
          <w:color w:val="0E101A"/>
        </w:rPr>
        <w:t>Measurement of Retention rate and Productivity metrics</w:t>
      </w:r>
      <w:r>
        <w:rPr>
          <w:color w:val="0E101A"/>
        </w:rPr>
        <w:t xml:space="preserve">: The calculator of the production matrix and the rate of retention enables an organisation to understand the engagement of the employees in the workplace. The involvement of the employees impacts the image of the brand in the market and increases the sales and generation of revenue. These tools enable us to diagnose the engagement of the measurement of work put in the production process. </w:t>
      </w:r>
    </w:p>
    <w:p w14:paraId="1A9C8B03" w14:textId="77777777" w:rsidR="008C3CF8" w:rsidRDefault="008C3CF8" w:rsidP="008C3CF8">
      <w:pPr>
        <w:spacing w:line="360" w:lineRule="auto"/>
        <w:jc w:val="both"/>
        <w:rPr>
          <w:color w:val="0E101A"/>
        </w:rPr>
      </w:pPr>
      <w:r>
        <w:rPr>
          <w:b/>
          <w:color w:val="0E101A"/>
        </w:rPr>
        <w:t xml:space="preserve">Focus on smaller groups: </w:t>
      </w:r>
      <w:r>
        <w:rPr>
          <w:color w:val="0E101A"/>
        </w:rPr>
        <w:t xml:space="preserve">A large structure often faces a challenge in managing the employees. Various meetings involving a lot of employees become difficult to manage. It is advisable to incorporate teams in a smaller group which shall facilitate the management of the employees. Implementation of the tools enables the employee to feel valued and their work appreciated. The efficiency of the employees enhances the productivity of the employees which fosters the growth of the organisation. </w:t>
      </w:r>
    </w:p>
    <w:p w14:paraId="028DAE09" w14:textId="45FEA473" w:rsidR="008C3CF8" w:rsidRDefault="008C3CF8" w:rsidP="008C3CF8">
      <w:pPr>
        <w:pStyle w:val="Heading1"/>
      </w:pPr>
      <w:bookmarkStart w:id="3" w:name="_2et92p0" w:colFirst="0" w:colLast="0"/>
      <w:bookmarkEnd w:id="3"/>
      <w:r>
        <w:t xml:space="preserve">Employee Value Proposition </w:t>
      </w:r>
    </w:p>
    <w:p w14:paraId="54F7A9FD" w14:textId="77777777" w:rsidR="008C3CF8" w:rsidRPr="008C3CF8" w:rsidRDefault="008C3CF8" w:rsidP="008C3CF8">
      <w:pPr>
        <w:pStyle w:val="Normal1"/>
      </w:pPr>
    </w:p>
    <w:p w14:paraId="105A4EBD" w14:textId="77777777" w:rsidR="008C3CF8" w:rsidRDefault="008C3CF8" w:rsidP="008C3CF8">
      <w:pPr>
        <w:spacing w:line="360" w:lineRule="auto"/>
        <w:jc w:val="both"/>
        <w:rPr>
          <w:color w:val="0E101A"/>
          <w:highlight w:val="white"/>
        </w:rPr>
      </w:pPr>
      <w:r>
        <w:rPr>
          <w:color w:val="0E101A"/>
          <w:highlight w:val="white"/>
        </w:rPr>
        <w:t xml:space="preserve">Employees' value proportion is described as a typical set of benefits that employees receive in return for the effort, strategies and also experience they bring to the organisation. This is a prime part of an organisation. Employees' value proportion effectively evaluates the uniqueness of this company (Baqi and Indradewa, 2021). It is also important to create a distinctive employee value proposition in the organisation. Moreover, this process includes some strategic activities that ultimately ameliorate the </w:t>
      </w:r>
      <w:r>
        <w:rPr>
          <w:color w:val="0E101A"/>
          <w:highlight w:val="white"/>
        </w:rPr>
        <w:lastRenderedPageBreak/>
        <w:t>EVP. Fostering the employee's value proportion through the right channel and reviewing the results help to create a superior EVP in the organisation. Also, interview the existing and the previous employees to help to recognise the principal components of employees' value proportion.</w:t>
      </w:r>
    </w:p>
    <w:p w14:paraId="2EC47162" w14:textId="77777777" w:rsidR="008C3CF8" w:rsidRDefault="008C3CF8" w:rsidP="008C3CF8">
      <w:pPr>
        <w:spacing w:line="360" w:lineRule="auto"/>
        <w:jc w:val="both"/>
        <w:rPr>
          <w:color w:val="0E101A"/>
          <w:highlight w:val="white"/>
        </w:rPr>
      </w:pPr>
      <w:r>
        <w:rPr>
          <w:color w:val="0E101A"/>
          <w:highlight w:val="white"/>
        </w:rPr>
        <w:t xml:space="preserve">Building efficient communication helps to ameliorate the employee's value proportion in the enterprise. One can easily find creative ideas by proper implementation of a unique employee value proposition. Some ways help to develop a realistic employee value proposition. In this process, one must understand the insight of the previous workers. This process also assists in recognising potential staff in the organisation. Employees value proportion to promote the brand image as well as work culture. It ultimately had a positive impact on the brand.  implementing a cross-functional team helps to acknowledge the exposure that is beneficial to enhance the value of that organisation. one should understand the strategy of employees that ultimately differentiate the execution of one company from others. It also reforms the EVP (Ronda, Valor and Abril, 2018). After identifying the uniqueness of the employee's value proposition one must find an innovative way to build quality communication. the company must ensure the communication skills of the </w:t>
      </w:r>
    </w:p>
    <w:p w14:paraId="17A88F8A" w14:textId="77777777" w:rsidR="008C3CF8" w:rsidRDefault="008C3CF8" w:rsidP="008C3CF8">
      <w:pPr>
        <w:spacing w:line="360" w:lineRule="auto"/>
        <w:jc w:val="both"/>
        <w:rPr>
          <w:color w:val="0E101A"/>
          <w:highlight w:val="white"/>
        </w:rPr>
      </w:pPr>
    </w:p>
    <w:p w14:paraId="738B565E" w14:textId="389752D0" w:rsidR="008C3CF8" w:rsidRDefault="008C3CF8" w:rsidP="008C3CF8">
      <w:pPr>
        <w:spacing w:line="360" w:lineRule="auto"/>
        <w:jc w:val="both"/>
        <w:rPr>
          <w:color w:val="0E101A"/>
          <w:highlight w:val="white"/>
        </w:rPr>
      </w:pPr>
      <w:r>
        <w:rPr>
          <w:color w:val="0E101A"/>
          <w:highlight w:val="white"/>
        </w:rPr>
        <w:t>new employees. Establishing a good relationship with consumers and a strategic market value help to create a positive impression in the organisation. Assimilate the EVP into a reward programme that helps the employees to perform efficiently. It also ameliorates their experience by the EVP program annually. Examine the employee's value proportion, and upgrade the employee's performance and the value of the company. However, sometimes it also develops several issues to choose the best fit for the organisation. Moreover, the EVP effectively helps to acknowledge the significance of the employees in an organisation.</w:t>
      </w:r>
    </w:p>
    <w:p w14:paraId="2050B973" w14:textId="77777777" w:rsidR="008C3CF8" w:rsidRDefault="008C3CF8" w:rsidP="008C3CF8">
      <w:pPr>
        <w:spacing w:line="360" w:lineRule="auto"/>
        <w:jc w:val="both"/>
        <w:rPr>
          <w:color w:val="0E101A"/>
          <w:highlight w:val="white"/>
        </w:rPr>
      </w:pPr>
    </w:p>
    <w:p w14:paraId="437D3D59" w14:textId="53E739FB" w:rsidR="008C3CF8" w:rsidRDefault="008C3CF8" w:rsidP="008C3CF8">
      <w:pPr>
        <w:pStyle w:val="Heading1"/>
      </w:pPr>
      <w:bookmarkStart w:id="4" w:name="_tyjcwt" w:colFirst="0" w:colLast="0"/>
      <w:bookmarkEnd w:id="4"/>
      <w:r>
        <w:t xml:space="preserve">Levels Of Engagement Raising Strategies </w:t>
      </w:r>
    </w:p>
    <w:p w14:paraId="68A83DC7" w14:textId="77777777" w:rsidR="008C3CF8" w:rsidRPr="008C3CF8" w:rsidRDefault="008C3CF8" w:rsidP="008C3CF8">
      <w:pPr>
        <w:pStyle w:val="Normal1"/>
      </w:pPr>
    </w:p>
    <w:p w14:paraId="36A75A12" w14:textId="77777777" w:rsidR="008C3CF8" w:rsidRDefault="008C3CF8" w:rsidP="008C3CF8">
      <w:pPr>
        <w:spacing w:line="360" w:lineRule="auto"/>
        <w:jc w:val="both"/>
        <w:rPr>
          <w:color w:val="0E101A"/>
        </w:rPr>
      </w:pPr>
      <w:r>
        <w:rPr>
          <w:color w:val="0E101A"/>
        </w:rPr>
        <w:t>There are a lot of strategic activities that are adopted by an organisation to increase the employees' engagement. Employee engagement is defined as a state where the employees are efficiently inspired about their work (</w:t>
      </w:r>
      <w:r>
        <w:rPr>
          <w:color w:val="0E101A"/>
          <w:highlight w:val="white"/>
        </w:rPr>
        <w:t>Fletcher, 2019</w:t>
      </w:r>
      <w:r>
        <w:rPr>
          <w:color w:val="0E101A"/>
        </w:rPr>
        <w:t xml:space="preserve">). Also, it ameliorates the value of the organisation. The organisation includes several factors that ultimately </w:t>
      </w:r>
      <w:r>
        <w:rPr>
          <w:color w:val="0E101A"/>
        </w:rPr>
        <w:lastRenderedPageBreak/>
        <w:t>stimulate the employee's engagement with the organisation. It also has an effective impact on the working culture. The factors that influence employees' performance and their engagement in the workplace are as follows:</w:t>
      </w:r>
    </w:p>
    <w:p w14:paraId="4D373D1B" w14:textId="77777777" w:rsidR="008C3CF8" w:rsidRDefault="008C3CF8" w:rsidP="008C3CF8">
      <w:pPr>
        <w:numPr>
          <w:ilvl w:val="0"/>
          <w:numId w:val="15"/>
        </w:numPr>
        <w:spacing w:line="360" w:lineRule="auto"/>
        <w:jc w:val="both"/>
        <w:rPr>
          <w:rFonts w:ascii="Times New Roman" w:eastAsia="Times New Roman" w:hAnsi="Times New Roman" w:cs="Times New Roman"/>
        </w:rPr>
      </w:pPr>
      <w:r>
        <w:rPr>
          <w:b/>
          <w:color w:val="0E101A"/>
        </w:rPr>
        <w:t>Prioritize the feedback:</w:t>
      </w:r>
      <w:r>
        <w:rPr>
          <w:color w:val="0E101A"/>
        </w:rPr>
        <w:t xml:space="preserve"> It is an effective method that helps to understand and increase the involvement of employees in the organisation. Prioritising the feedback from the employees helps to improve the working culture in the company. The employees feel more important in this process. It also helps to ameliorate their performance in the workplace. It is also narrated as a positive attribute of the management. This is a superior step to increase the level of employee involvement.</w:t>
      </w:r>
    </w:p>
    <w:p w14:paraId="5B30031B" w14:textId="77777777" w:rsidR="008C3CF8" w:rsidRDefault="008C3CF8" w:rsidP="008C3CF8">
      <w:pPr>
        <w:numPr>
          <w:ilvl w:val="0"/>
          <w:numId w:val="15"/>
        </w:numPr>
        <w:spacing w:line="360" w:lineRule="auto"/>
        <w:jc w:val="both"/>
        <w:rPr>
          <w:rFonts w:ascii="Times New Roman" w:eastAsia="Times New Roman" w:hAnsi="Times New Roman" w:cs="Times New Roman"/>
        </w:rPr>
      </w:pPr>
      <w:r>
        <w:rPr>
          <w:b/>
          <w:color w:val="0E101A"/>
        </w:rPr>
        <w:t xml:space="preserve">Prioritize the health: </w:t>
      </w:r>
      <w:r>
        <w:rPr>
          <w:color w:val="0E101A"/>
        </w:rPr>
        <w:t>Prioritising the mental and physical health of employees to engage effectively in an enterprise. An organisation must conduct an initiative that delivers an effective impression on the mental and physical health of workers (</w:t>
      </w:r>
      <w:r>
        <w:rPr>
          <w:color w:val="0E101A"/>
          <w:highlight w:val="white"/>
        </w:rPr>
        <w:t>Rai et al., 2018</w:t>
      </w:r>
      <w:r>
        <w:rPr>
          <w:color w:val="0E101A"/>
        </w:rPr>
        <w:t>). Offering free meditation classes help employees to get mentally fit and more productive. Providing those classes in the middle of the busy working days act as a booster. It also delivers good mental and physical help in the organisation. Those initiatives also enhance the sustainability of the employees in the organisation.</w:t>
      </w:r>
    </w:p>
    <w:p w14:paraId="380993AC" w14:textId="77777777" w:rsidR="008C3CF8" w:rsidRPr="008C3CF8" w:rsidRDefault="008C3CF8" w:rsidP="008C3CF8">
      <w:pPr>
        <w:numPr>
          <w:ilvl w:val="0"/>
          <w:numId w:val="15"/>
        </w:numPr>
        <w:spacing w:line="360" w:lineRule="auto"/>
        <w:jc w:val="both"/>
        <w:rPr>
          <w:rFonts w:ascii="Times New Roman" w:eastAsia="Times New Roman" w:hAnsi="Times New Roman" w:cs="Times New Roman"/>
        </w:rPr>
      </w:pPr>
      <w:r>
        <w:rPr>
          <w:b/>
          <w:color w:val="0E101A"/>
        </w:rPr>
        <w:t>Conducting reward programmes to discover top performers:</w:t>
      </w:r>
      <w:r>
        <w:rPr>
          <w:color w:val="0E101A"/>
        </w:rPr>
        <w:t xml:space="preserve"> This is the best way to improve the performance of employees in the organisation. It also ameliorates the </w:t>
      </w:r>
    </w:p>
    <w:p w14:paraId="59FF0D51" w14:textId="77777777" w:rsidR="008C3CF8" w:rsidRDefault="008C3CF8" w:rsidP="008C3CF8">
      <w:pPr>
        <w:spacing w:line="360" w:lineRule="auto"/>
        <w:ind w:left="720"/>
        <w:jc w:val="both"/>
        <w:rPr>
          <w:rFonts w:ascii="Times New Roman" w:eastAsia="Times New Roman" w:hAnsi="Times New Roman" w:cs="Times New Roman"/>
        </w:rPr>
      </w:pPr>
    </w:p>
    <w:p w14:paraId="5250D7D7" w14:textId="77777777" w:rsidR="008C3CF8" w:rsidRDefault="008C3CF8" w:rsidP="008C3CF8">
      <w:pPr>
        <w:spacing w:line="360" w:lineRule="auto"/>
        <w:ind w:left="720"/>
        <w:jc w:val="both"/>
        <w:rPr>
          <w:rFonts w:ascii="Times New Roman" w:eastAsia="Times New Roman" w:hAnsi="Times New Roman" w:cs="Times New Roman"/>
        </w:rPr>
      </w:pPr>
    </w:p>
    <w:p w14:paraId="5BF41BE4" w14:textId="28AEBB36" w:rsidR="008C3CF8" w:rsidRPr="008C3CF8" w:rsidRDefault="008C3CF8" w:rsidP="008C3CF8">
      <w:pPr>
        <w:spacing w:line="360" w:lineRule="auto"/>
        <w:ind w:left="720"/>
        <w:jc w:val="both"/>
        <w:rPr>
          <w:rFonts w:ascii="Times New Roman" w:eastAsia="Times New Roman" w:hAnsi="Times New Roman" w:cs="Times New Roman"/>
        </w:rPr>
      </w:pPr>
      <w:r w:rsidRPr="008C3CF8">
        <w:rPr>
          <w:color w:val="0E101A"/>
        </w:rPr>
        <w:t>execution. Reward programs help to increase the efficiency of the employees. It not only inspires the employees but also makes them more sustainable in the organisation. It helps to discover the top performer in the organisation.</w:t>
      </w:r>
    </w:p>
    <w:p w14:paraId="3EDEE80C" w14:textId="77777777" w:rsidR="008C3CF8" w:rsidRDefault="008C3CF8" w:rsidP="008C3CF8">
      <w:pPr>
        <w:numPr>
          <w:ilvl w:val="0"/>
          <w:numId w:val="15"/>
        </w:numPr>
        <w:spacing w:line="360" w:lineRule="auto"/>
        <w:jc w:val="both"/>
        <w:rPr>
          <w:rFonts w:ascii="Times New Roman" w:eastAsia="Times New Roman" w:hAnsi="Times New Roman" w:cs="Times New Roman"/>
        </w:rPr>
      </w:pPr>
      <w:r>
        <w:rPr>
          <w:b/>
          <w:color w:val="0E101A"/>
        </w:rPr>
        <w:t xml:space="preserve">Understand and emphasize the goal: </w:t>
      </w:r>
      <w:r>
        <w:rPr>
          <w:color w:val="0E101A"/>
        </w:rPr>
        <w:t xml:space="preserve"> Understanding the goal is a key element to performing better in the workplace. It is very dominant to acknowledge the core goal of the company. Understanding accurate achievement helps the workforce to revamp their production by satisfying all major points of that task. </w:t>
      </w:r>
    </w:p>
    <w:p w14:paraId="17B457E6" w14:textId="77777777" w:rsidR="008C3CF8" w:rsidRDefault="008C3CF8" w:rsidP="008C3CF8">
      <w:pPr>
        <w:pStyle w:val="Heading1"/>
      </w:pPr>
      <w:bookmarkStart w:id="5" w:name="_3dy6vkm" w:colFirst="0" w:colLast="0"/>
      <w:bookmarkEnd w:id="5"/>
    </w:p>
    <w:p w14:paraId="2662E733" w14:textId="77777777" w:rsidR="008C3CF8" w:rsidRDefault="008C3CF8" w:rsidP="008C3CF8">
      <w:pPr>
        <w:pStyle w:val="Heading1"/>
      </w:pPr>
    </w:p>
    <w:p w14:paraId="0878F59F" w14:textId="0275290D" w:rsidR="008C3CF8" w:rsidRDefault="008C3CF8" w:rsidP="008C3CF8">
      <w:pPr>
        <w:pStyle w:val="Heading1"/>
      </w:pPr>
      <w:r>
        <w:t xml:space="preserve">Conclusion </w:t>
      </w:r>
    </w:p>
    <w:p w14:paraId="63B4984F" w14:textId="2243FE92" w:rsidR="008C3CF8" w:rsidRDefault="008C3CF8" w:rsidP="008C3CF8">
      <w:pPr>
        <w:pStyle w:val="Normal1"/>
      </w:pPr>
    </w:p>
    <w:p w14:paraId="2589F8CA" w14:textId="77777777" w:rsidR="008C3CF8" w:rsidRPr="008C3CF8" w:rsidRDefault="008C3CF8" w:rsidP="008C3CF8">
      <w:pPr>
        <w:pStyle w:val="Normal1"/>
      </w:pPr>
    </w:p>
    <w:p w14:paraId="23737F66" w14:textId="77777777" w:rsidR="008C3CF8" w:rsidRDefault="008C3CF8" w:rsidP="008C3CF8">
      <w:pPr>
        <w:spacing w:line="360" w:lineRule="auto"/>
        <w:jc w:val="both"/>
        <w:rPr>
          <w:color w:val="0E101A"/>
          <w:highlight w:val="white"/>
        </w:rPr>
      </w:pPr>
      <w:r>
        <w:rPr>
          <w:color w:val="0E101A"/>
          <w:highlight w:val="white"/>
        </w:rPr>
        <w:t xml:space="preserve">Therefore it can be concluded that the employees are the prime key of an organisation. They act as the backbone that provides support to the infrastructure of the company. The author also highlights that effective engagement of employees ameliorates the value of the organisation. An organisation must adopt several programmes that ultimately inspire its employees to work efficiently in the organisation. It is the responsibility of a company to deliver a positive workplace that assists the employees to improve their working culture. The organisation must use several strategic activities that help to enhance the employee's involvement in the organisation. </w:t>
      </w:r>
      <w:r>
        <w:br w:type="page"/>
      </w:r>
    </w:p>
    <w:p w14:paraId="0ACE3FD9" w14:textId="77777777" w:rsidR="008C3CF8" w:rsidRDefault="008C3CF8" w:rsidP="008C3CF8">
      <w:pPr>
        <w:pStyle w:val="Heading1"/>
      </w:pPr>
      <w:bookmarkStart w:id="6" w:name="_1t3h5sf" w:colFirst="0" w:colLast="0"/>
      <w:bookmarkEnd w:id="6"/>
    </w:p>
    <w:p w14:paraId="6D4B77D3" w14:textId="391A1761" w:rsidR="008C3CF8" w:rsidRPr="008C3CF8" w:rsidRDefault="008C3CF8" w:rsidP="008C3CF8">
      <w:pPr>
        <w:pStyle w:val="Heading1"/>
        <w:rPr>
          <w:color w:val="0E101A"/>
        </w:rPr>
      </w:pPr>
      <w:r>
        <w:t>Reference List</w:t>
      </w:r>
    </w:p>
    <w:p w14:paraId="0340CFBE" w14:textId="77777777" w:rsidR="008C3CF8" w:rsidRDefault="008C3CF8" w:rsidP="008C3CF8">
      <w:pPr>
        <w:spacing w:line="360" w:lineRule="auto"/>
        <w:jc w:val="both"/>
        <w:rPr>
          <w:color w:val="0E101A"/>
          <w:highlight w:val="white"/>
        </w:rPr>
      </w:pPr>
    </w:p>
    <w:p w14:paraId="686E69B0" w14:textId="77777777" w:rsidR="008C3CF8" w:rsidRDefault="008C3CF8" w:rsidP="00CD5549">
      <w:pPr>
        <w:pStyle w:val="Normal1"/>
      </w:pPr>
    </w:p>
    <w:p w14:paraId="6ED97195" w14:textId="41EC684F" w:rsidR="008C3CF8" w:rsidRDefault="008C3CF8" w:rsidP="008C3CF8">
      <w:pPr>
        <w:spacing w:line="360" w:lineRule="auto"/>
        <w:jc w:val="both"/>
        <w:rPr>
          <w:color w:val="0E101A"/>
          <w:highlight w:val="white"/>
        </w:rPr>
      </w:pPr>
      <w:r>
        <w:rPr>
          <w:color w:val="0E101A"/>
          <w:highlight w:val="white"/>
        </w:rPr>
        <w:t xml:space="preserve">Bakhru, K.M. and Sharma, A., </w:t>
      </w:r>
      <w:r w:rsidR="008B1C38">
        <w:rPr>
          <w:color w:val="0E101A"/>
          <w:highlight w:val="white"/>
        </w:rPr>
        <w:t>(</w:t>
      </w:r>
      <w:r>
        <w:rPr>
          <w:color w:val="0E101A"/>
          <w:highlight w:val="white"/>
        </w:rPr>
        <w:t>2022</w:t>
      </w:r>
      <w:r w:rsidR="008B1C38">
        <w:rPr>
          <w:color w:val="0E101A"/>
          <w:highlight w:val="white"/>
        </w:rPr>
        <w:t>)</w:t>
      </w:r>
      <w:r>
        <w:rPr>
          <w:color w:val="0E101A"/>
          <w:highlight w:val="white"/>
        </w:rPr>
        <w:t xml:space="preserve"> Unlocking drivers for employee engagement through human resource analytics. In </w:t>
      </w:r>
      <w:r>
        <w:rPr>
          <w:i/>
          <w:color w:val="0E101A"/>
          <w:highlight w:val="white"/>
        </w:rPr>
        <w:t>Research Anthology on Human Resource Practices for the Modern Workforce</w:t>
      </w:r>
      <w:r>
        <w:rPr>
          <w:color w:val="0E101A"/>
          <w:highlight w:val="white"/>
        </w:rPr>
        <w:t xml:space="preserve"> (pp. 471-490). IGI Global. Available at: </w:t>
      </w:r>
      <w:hyperlink r:id="rId8">
        <w:r>
          <w:rPr>
            <w:color w:val="0E101A"/>
            <w:highlight w:val="white"/>
            <w:u w:val="single"/>
          </w:rPr>
          <w:t>https://www.researchgate.net/profile/Kanupriya-Bakhru/publication/330459696_Unlocking_Drivers_for_Employee_Engagement_Through_Human_Resource_Analytics/links/5c4944e0a6fdccd6b5c44042/Unlocking-Drivers-for-Employee-Engagement-Through-Human-Resource-Analytics.pdf</w:t>
        </w:r>
      </w:hyperlink>
    </w:p>
    <w:p w14:paraId="3B47292F" w14:textId="77777777" w:rsidR="008B1C38" w:rsidRDefault="008B1C38" w:rsidP="008C3CF8">
      <w:pPr>
        <w:spacing w:line="360" w:lineRule="auto"/>
        <w:jc w:val="both"/>
        <w:rPr>
          <w:color w:val="0E101A"/>
          <w:highlight w:val="white"/>
        </w:rPr>
      </w:pPr>
    </w:p>
    <w:p w14:paraId="26E76082" w14:textId="078603A9" w:rsidR="008C3CF8" w:rsidRDefault="008C3CF8" w:rsidP="008C3CF8">
      <w:pPr>
        <w:spacing w:line="360" w:lineRule="auto"/>
        <w:jc w:val="both"/>
        <w:rPr>
          <w:color w:val="0E101A"/>
          <w:highlight w:val="white"/>
        </w:rPr>
      </w:pPr>
      <w:r>
        <w:rPr>
          <w:color w:val="0E101A"/>
          <w:highlight w:val="white"/>
        </w:rPr>
        <w:t xml:space="preserve">Baqi, F.A. and Indradewa, R., </w:t>
      </w:r>
      <w:r w:rsidR="008B1C38">
        <w:rPr>
          <w:color w:val="0E101A"/>
          <w:highlight w:val="white"/>
        </w:rPr>
        <w:t>(</w:t>
      </w:r>
      <w:r>
        <w:rPr>
          <w:color w:val="0E101A"/>
          <w:highlight w:val="white"/>
        </w:rPr>
        <w:t>2021</w:t>
      </w:r>
      <w:r w:rsidR="008B1C38">
        <w:rPr>
          <w:color w:val="0E101A"/>
          <w:highlight w:val="white"/>
        </w:rPr>
        <w:t>)</w:t>
      </w:r>
      <w:r>
        <w:rPr>
          <w:color w:val="0E101A"/>
          <w:highlight w:val="white"/>
        </w:rPr>
        <w:t xml:space="preserve"> The Effect of Compensation on Job Satisfaction of Permanent Employees and Contract Employees. </w:t>
      </w:r>
      <w:r>
        <w:rPr>
          <w:i/>
          <w:color w:val="0E101A"/>
          <w:highlight w:val="white"/>
        </w:rPr>
        <w:t>American International Journal of Business Management</w:t>
      </w:r>
      <w:r>
        <w:rPr>
          <w:color w:val="0E101A"/>
          <w:highlight w:val="white"/>
        </w:rPr>
        <w:t xml:space="preserve">, </w:t>
      </w:r>
      <w:r>
        <w:rPr>
          <w:i/>
          <w:color w:val="0E101A"/>
          <w:highlight w:val="white"/>
        </w:rPr>
        <w:t>4</w:t>
      </w:r>
      <w:r>
        <w:rPr>
          <w:color w:val="0E101A"/>
          <w:highlight w:val="white"/>
        </w:rPr>
        <w:t xml:space="preserve">(08), pp.144-151. Available at: </w:t>
      </w:r>
      <w:hyperlink r:id="rId9">
        <w:r>
          <w:rPr>
            <w:color w:val="0E101A"/>
            <w:highlight w:val="white"/>
            <w:u w:val="single"/>
          </w:rPr>
          <w:t>https://www.aijbm.com/wp-content/uploads/2021/08/P48144151.pdf</w:t>
        </w:r>
      </w:hyperlink>
    </w:p>
    <w:p w14:paraId="235824BC" w14:textId="77777777" w:rsidR="008B1C38" w:rsidRDefault="008B1C38" w:rsidP="008C3CF8">
      <w:pPr>
        <w:spacing w:line="360" w:lineRule="auto"/>
        <w:jc w:val="both"/>
        <w:rPr>
          <w:color w:val="0E101A"/>
          <w:highlight w:val="white"/>
        </w:rPr>
      </w:pPr>
    </w:p>
    <w:p w14:paraId="156E2CFA" w14:textId="7F5CB9FD" w:rsidR="008C3CF8" w:rsidRDefault="008C3CF8" w:rsidP="008C3CF8">
      <w:pPr>
        <w:spacing w:line="360" w:lineRule="auto"/>
        <w:jc w:val="both"/>
        <w:rPr>
          <w:b/>
          <w:color w:val="0E101A"/>
        </w:rPr>
      </w:pPr>
      <w:r>
        <w:rPr>
          <w:color w:val="0E101A"/>
          <w:highlight w:val="white"/>
        </w:rPr>
        <w:t xml:space="preserve">Fletcher, L., </w:t>
      </w:r>
      <w:r w:rsidR="008B1C38">
        <w:rPr>
          <w:color w:val="0E101A"/>
          <w:highlight w:val="white"/>
        </w:rPr>
        <w:t>(</w:t>
      </w:r>
      <w:r>
        <w:rPr>
          <w:color w:val="0E101A"/>
          <w:highlight w:val="white"/>
        </w:rPr>
        <w:t>2019</w:t>
      </w:r>
      <w:r w:rsidR="008B1C38">
        <w:rPr>
          <w:color w:val="0E101A"/>
          <w:highlight w:val="white"/>
        </w:rPr>
        <w:t>)</w:t>
      </w:r>
      <w:r>
        <w:rPr>
          <w:color w:val="0E101A"/>
          <w:highlight w:val="white"/>
        </w:rPr>
        <w:t xml:space="preserve"> How can personal development lead to increased engagement? The roles of meaningfulness and perceived line manager relations. </w:t>
      </w:r>
      <w:r>
        <w:rPr>
          <w:i/>
          <w:color w:val="0E101A"/>
          <w:highlight w:val="white"/>
        </w:rPr>
        <w:t>The International Journal of Human Resource Management</w:t>
      </w:r>
      <w:r>
        <w:rPr>
          <w:color w:val="0E101A"/>
          <w:highlight w:val="white"/>
        </w:rPr>
        <w:t xml:space="preserve">, </w:t>
      </w:r>
      <w:r>
        <w:rPr>
          <w:i/>
          <w:color w:val="0E101A"/>
          <w:highlight w:val="white"/>
        </w:rPr>
        <w:t>30</w:t>
      </w:r>
      <w:r>
        <w:rPr>
          <w:color w:val="0E101A"/>
          <w:highlight w:val="white"/>
        </w:rPr>
        <w:t xml:space="preserve">(7), pp.1203-1226. Available at: </w:t>
      </w:r>
      <w:hyperlink r:id="rId10">
        <w:r>
          <w:rPr>
            <w:color w:val="0E101A"/>
            <w:highlight w:val="white"/>
            <w:u w:val="single"/>
          </w:rPr>
          <w:t>https://publications.aston.ac.uk/id/eprint/29314/1/Roles_of_meaningfulness_and_perceived_line_manager_relations.pdf</w:t>
        </w:r>
      </w:hyperlink>
    </w:p>
    <w:p w14:paraId="625F5C17" w14:textId="77777777" w:rsidR="008B1C38" w:rsidRDefault="008B1C38" w:rsidP="008C3CF8">
      <w:pPr>
        <w:spacing w:line="360" w:lineRule="auto"/>
        <w:jc w:val="both"/>
        <w:rPr>
          <w:color w:val="0E101A"/>
          <w:highlight w:val="white"/>
        </w:rPr>
      </w:pPr>
    </w:p>
    <w:p w14:paraId="3EC02CD1" w14:textId="7B721367" w:rsidR="008C3CF8" w:rsidRDefault="008C3CF8" w:rsidP="008C3CF8">
      <w:pPr>
        <w:spacing w:line="360" w:lineRule="auto"/>
        <w:jc w:val="both"/>
        <w:rPr>
          <w:b/>
          <w:color w:val="0E101A"/>
        </w:rPr>
      </w:pPr>
      <w:r>
        <w:rPr>
          <w:color w:val="0E101A"/>
          <w:highlight w:val="white"/>
        </w:rPr>
        <w:t xml:space="preserve">Gustomo, A., Febriansyah, H., Ginting, H. and Santoso, I.M., </w:t>
      </w:r>
      <w:r w:rsidR="008B1C38">
        <w:rPr>
          <w:color w:val="0E101A"/>
          <w:highlight w:val="white"/>
        </w:rPr>
        <w:t>(</w:t>
      </w:r>
      <w:r>
        <w:rPr>
          <w:color w:val="0E101A"/>
          <w:highlight w:val="white"/>
        </w:rPr>
        <w:t>2019</w:t>
      </w:r>
      <w:r w:rsidR="008B1C38">
        <w:rPr>
          <w:color w:val="0E101A"/>
          <w:highlight w:val="white"/>
        </w:rPr>
        <w:t>)</w:t>
      </w:r>
      <w:r>
        <w:rPr>
          <w:color w:val="0E101A"/>
          <w:highlight w:val="white"/>
        </w:rPr>
        <w:t xml:space="preserve"> Understanding narrative effects: The impact of direct storytelling intervention on increasing employee engagement among the employees of a state-owned enterprise in West Java, Indonesia. </w:t>
      </w:r>
      <w:r>
        <w:rPr>
          <w:i/>
          <w:color w:val="0E101A"/>
          <w:highlight w:val="white"/>
        </w:rPr>
        <w:t>Journal of workplace learning</w:t>
      </w:r>
      <w:r>
        <w:rPr>
          <w:color w:val="0E101A"/>
          <w:highlight w:val="white"/>
        </w:rPr>
        <w:t xml:space="preserve">. Available at: </w:t>
      </w:r>
      <w:hyperlink r:id="rId11">
        <w:r>
          <w:rPr>
            <w:color w:val="0E101A"/>
            <w:highlight w:val="white"/>
            <w:u w:val="single"/>
          </w:rPr>
          <w:t>https://www.emerald.com/insight/content/doi/10.1108/JWL-07-2018-0088/full/pdf</w:t>
        </w:r>
      </w:hyperlink>
    </w:p>
    <w:p w14:paraId="3ED48EAB" w14:textId="77777777" w:rsidR="008B1C38" w:rsidRDefault="008B1C38" w:rsidP="008C3CF8">
      <w:pPr>
        <w:spacing w:line="360" w:lineRule="auto"/>
        <w:jc w:val="both"/>
        <w:rPr>
          <w:color w:val="0E101A"/>
          <w:highlight w:val="white"/>
        </w:rPr>
      </w:pPr>
    </w:p>
    <w:p w14:paraId="6D841807" w14:textId="19F3F396" w:rsidR="008C3CF8" w:rsidRDefault="008C3CF8" w:rsidP="008C3CF8">
      <w:pPr>
        <w:spacing w:line="360" w:lineRule="auto"/>
        <w:jc w:val="both"/>
        <w:rPr>
          <w:color w:val="0E101A"/>
          <w:highlight w:val="white"/>
        </w:rPr>
      </w:pPr>
      <w:r>
        <w:rPr>
          <w:color w:val="0E101A"/>
          <w:highlight w:val="white"/>
        </w:rPr>
        <w:t>Johnson, A., Nguyen, H., Groth, M. and White, L.,</w:t>
      </w:r>
      <w:r w:rsidR="008B1C38">
        <w:rPr>
          <w:color w:val="0E101A"/>
          <w:highlight w:val="white"/>
        </w:rPr>
        <w:t>(</w:t>
      </w:r>
      <w:r>
        <w:rPr>
          <w:color w:val="0E101A"/>
          <w:highlight w:val="white"/>
        </w:rPr>
        <w:t>2018</w:t>
      </w:r>
      <w:r w:rsidR="008B1C38">
        <w:rPr>
          <w:color w:val="0E101A"/>
          <w:highlight w:val="white"/>
        </w:rPr>
        <w:t>)</w:t>
      </w:r>
      <w:r>
        <w:rPr>
          <w:color w:val="0E101A"/>
          <w:highlight w:val="white"/>
        </w:rPr>
        <w:t xml:space="preserve"> Workplace aggression and organisational effectiveness: The mediating role of employee engagement. </w:t>
      </w:r>
      <w:r>
        <w:rPr>
          <w:i/>
          <w:color w:val="0E101A"/>
          <w:highlight w:val="white"/>
        </w:rPr>
        <w:t>Australian Journal of Management</w:t>
      </w:r>
      <w:r>
        <w:rPr>
          <w:color w:val="0E101A"/>
          <w:highlight w:val="white"/>
        </w:rPr>
        <w:t xml:space="preserve">, </w:t>
      </w:r>
      <w:r>
        <w:rPr>
          <w:i/>
          <w:color w:val="0E101A"/>
          <w:highlight w:val="white"/>
        </w:rPr>
        <w:t>43</w:t>
      </w:r>
      <w:r>
        <w:rPr>
          <w:color w:val="0E101A"/>
          <w:highlight w:val="white"/>
        </w:rPr>
        <w:t xml:space="preserve">(4), pp.614-631. Available at: </w:t>
      </w:r>
      <w:hyperlink r:id="rId12">
        <w:r>
          <w:rPr>
            <w:color w:val="0E101A"/>
            <w:highlight w:val="white"/>
            <w:u w:val="single"/>
          </w:rPr>
          <w:t>https://journals.sagepub.com/doi/pdf/10.1177/0312896218768378</w:t>
        </w:r>
      </w:hyperlink>
    </w:p>
    <w:p w14:paraId="44700EC8" w14:textId="77777777" w:rsidR="008B1C38" w:rsidRDefault="008B1C38" w:rsidP="008C3CF8">
      <w:pPr>
        <w:spacing w:line="360" w:lineRule="auto"/>
        <w:jc w:val="both"/>
        <w:rPr>
          <w:color w:val="0E101A"/>
          <w:highlight w:val="white"/>
        </w:rPr>
      </w:pPr>
    </w:p>
    <w:p w14:paraId="7F9AB708" w14:textId="3891978F" w:rsidR="008C3CF8" w:rsidRDefault="008C3CF8" w:rsidP="008C3CF8">
      <w:pPr>
        <w:spacing w:line="360" w:lineRule="auto"/>
        <w:jc w:val="both"/>
        <w:rPr>
          <w:color w:val="0E101A"/>
          <w:highlight w:val="white"/>
        </w:rPr>
      </w:pPr>
      <w:r>
        <w:rPr>
          <w:color w:val="0E101A"/>
          <w:highlight w:val="white"/>
        </w:rPr>
        <w:t xml:space="preserve">Khodakarami, N. and Dirani, K., </w:t>
      </w:r>
      <w:r w:rsidR="008B1C38">
        <w:rPr>
          <w:color w:val="0E101A"/>
          <w:highlight w:val="white"/>
        </w:rPr>
        <w:t>(</w:t>
      </w:r>
      <w:r>
        <w:rPr>
          <w:color w:val="0E101A"/>
          <w:highlight w:val="white"/>
        </w:rPr>
        <w:t>2020</w:t>
      </w:r>
      <w:r w:rsidR="008B1C38">
        <w:rPr>
          <w:color w:val="0E101A"/>
          <w:highlight w:val="white"/>
        </w:rPr>
        <w:t>)</w:t>
      </w:r>
      <w:r>
        <w:rPr>
          <w:color w:val="0E101A"/>
          <w:highlight w:val="white"/>
        </w:rPr>
        <w:t xml:space="preserve"> Drivers of employee engagement: Differences by work area and gender. </w:t>
      </w:r>
      <w:r>
        <w:rPr>
          <w:i/>
          <w:color w:val="0E101A"/>
          <w:highlight w:val="white"/>
        </w:rPr>
        <w:t>Industrial and Commercial Training</w:t>
      </w:r>
      <w:r>
        <w:rPr>
          <w:color w:val="0E101A"/>
          <w:highlight w:val="white"/>
        </w:rPr>
        <w:t xml:space="preserve">. Available at: </w:t>
      </w:r>
      <w:hyperlink r:id="rId13">
        <w:r>
          <w:rPr>
            <w:color w:val="0E101A"/>
            <w:highlight w:val="white"/>
            <w:u w:val="single"/>
          </w:rPr>
          <w:t>https://www.researchgate.net/profile/Nima-Khodakarami/publication/339386067_Drivers_of_employee_engagement_differences_by_work_area_and_gender/links/5e4ff532299bf1cdb93cc277/Drivers-of-employee-engagement-differences-by-work-area-and-gender.pdf</w:t>
        </w:r>
      </w:hyperlink>
    </w:p>
    <w:p w14:paraId="0AA6B59A" w14:textId="77777777" w:rsidR="008B1C38" w:rsidRDefault="008B1C38" w:rsidP="008C3CF8">
      <w:pPr>
        <w:spacing w:line="360" w:lineRule="auto"/>
        <w:jc w:val="both"/>
        <w:rPr>
          <w:color w:val="0E101A"/>
          <w:highlight w:val="white"/>
        </w:rPr>
      </w:pPr>
    </w:p>
    <w:p w14:paraId="6D6C9CB9" w14:textId="646B7CFC" w:rsidR="008C3CF8" w:rsidRDefault="008C3CF8" w:rsidP="008C3CF8">
      <w:pPr>
        <w:spacing w:line="360" w:lineRule="auto"/>
        <w:jc w:val="both"/>
        <w:rPr>
          <w:color w:val="0E101A"/>
          <w:highlight w:val="white"/>
        </w:rPr>
      </w:pPr>
      <w:r>
        <w:rPr>
          <w:color w:val="0E101A"/>
          <w:highlight w:val="white"/>
        </w:rPr>
        <w:t xml:space="preserve">Men, L.R., O’Neil, J. and Ewing, M., </w:t>
      </w:r>
      <w:r w:rsidR="008B1C38">
        <w:rPr>
          <w:color w:val="0E101A"/>
          <w:highlight w:val="white"/>
        </w:rPr>
        <w:t>(</w:t>
      </w:r>
      <w:r>
        <w:rPr>
          <w:color w:val="0E101A"/>
          <w:highlight w:val="white"/>
        </w:rPr>
        <w:t>2020</w:t>
      </w:r>
      <w:r w:rsidR="008B1C38">
        <w:rPr>
          <w:color w:val="0E101A"/>
          <w:highlight w:val="white"/>
        </w:rPr>
        <w:t xml:space="preserve">) </w:t>
      </w:r>
      <w:r>
        <w:rPr>
          <w:color w:val="0E101A"/>
          <w:highlight w:val="white"/>
        </w:rPr>
        <w:t xml:space="preserve">Examining the effects of internal social media usage on employee engagement. </w:t>
      </w:r>
      <w:r>
        <w:rPr>
          <w:i/>
          <w:color w:val="0E101A"/>
          <w:highlight w:val="white"/>
        </w:rPr>
        <w:t>Public Relations Review</w:t>
      </w:r>
      <w:r>
        <w:rPr>
          <w:color w:val="0E101A"/>
          <w:highlight w:val="white"/>
        </w:rPr>
        <w:t xml:space="preserve">, </w:t>
      </w:r>
      <w:r>
        <w:rPr>
          <w:i/>
          <w:color w:val="0E101A"/>
          <w:highlight w:val="white"/>
        </w:rPr>
        <w:t>46</w:t>
      </w:r>
      <w:r>
        <w:rPr>
          <w:color w:val="0E101A"/>
          <w:highlight w:val="white"/>
        </w:rPr>
        <w:t xml:space="preserve">(2), p.101880. Available at: </w:t>
      </w:r>
      <w:hyperlink r:id="rId14">
        <w:r>
          <w:rPr>
            <w:color w:val="0E101A"/>
            <w:highlight w:val="white"/>
            <w:u w:val="single"/>
          </w:rPr>
          <w:t>https://www.researchgate.net/profile/Linjuan-Men/publication/338807636_Examining_the_effects_of_internal_social_media_usage_on_employee_engagement/links/60915278a6fdccaebd08f2a2/Examining-the-effects-of-internal-social-media-usage-on-employee-engagement.pdf</w:t>
        </w:r>
      </w:hyperlink>
    </w:p>
    <w:p w14:paraId="297E1154" w14:textId="77777777" w:rsidR="008B1C38" w:rsidRDefault="008B1C38" w:rsidP="008C3CF8">
      <w:pPr>
        <w:spacing w:line="360" w:lineRule="auto"/>
        <w:jc w:val="both"/>
        <w:rPr>
          <w:color w:val="0E101A"/>
          <w:highlight w:val="white"/>
        </w:rPr>
      </w:pPr>
    </w:p>
    <w:p w14:paraId="7AC557EB" w14:textId="7D33061A" w:rsidR="008C3CF8" w:rsidRDefault="008C3CF8" w:rsidP="008C3CF8">
      <w:pPr>
        <w:spacing w:line="360" w:lineRule="auto"/>
        <w:jc w:val="both"/>
        <w:rPr>
          <w:color w:val="0E101A"/>
          <w:highlight w:val="white"/>
        </w:rPr>
      </w:pPr>
      <w:r>
        <w:rPr>
          <w:color w:val="0E101A"/>
          <w:highlight w:val="white"/>
        </w:rPr>
        <w:t xml:space="preserve">Motyka, B., </w:t>
      </w:r>
      <w:r w:rsidR="008B1C38">
        <w:rPr>
          <w:color w:val="0E101A"/>
          <w:highlight w:val="white"/>
        </w:rPr>
        <w:t>(</w:t>
      </w:r>
      <w:r>
        <w:rPr>
          <w:color w:val="0E101A"/>
          <w:highlight w:val="white"/>
        </w:rPr>
        <w:t>2018</w:t>
      </w:r>
      <w:r w:rsidR="008B1C38">
        <w:rPr>
          <w:color w:val="0E101A"/>
          <w:highlight w:val="white"/>
        </w:rPr>
        <w:t>)</w:t>
      </w:r>
      <w:r>
        <w:rPr>
          <w:color w:val="0E101A"/>
          <w:highlight w:val="white"/>
        </w:rPr>
        <w:t xml:space="preserve"> Employee engagement and performance: a systematic literature review. </w:t>
      </w:r>
      <w:r>
        <w:rPr>
          <w:i/>
          <w:color w:val="0E101A"/>
          <w:highlight w:val="white"/>
        </w:rPr>
        <w:t>International Journal of Management and Economics</w:t>
      </w:r>
      <w:r>
        <w:rPr>
          <w:color w:val="0E101A"/>
          <w:highlight w:val="white"/>
        </w:rPr>
        <w:t xml:space="preserve">, </w:t>
      </w:r>
      <w:r>
        <w:rPr>
          <w:i/>
          <w:color w:val="0E101A"/>
          <w:highlight w:val="white"/>
        </w:rPr>
        <w:t>54</w:t>
      </w:r>
      <w:r>
        <w:rPr>
          <w:color w:val="0E101A"/>
          <w:highlight w:val="white"/>
        </w:rPr>
        <w:t xml:space="preserve">(3), pp.227-244. Available at: </w:t>
      </w:r>
      <w:hyperlink r:id="rId15">
        <w:r>
          <w:rPr>
            <w:color w:val="0E101A"/>
            <w:highlight w:val="white"/>
            <w:u w:val="single"/>
          </w:rPr>
          <w:t>https://sciendo.com/es/article/10.2478/ijme-2018-0018</w:t>
        </w:r>
      </w:hyperlink>
    </w:p>
    <w:p w14:paraId="0D4A79E5" w14:textId="77777777" w:rsidR="008B1C38" w:rsidRDefault="008B1C38" w:rsidP="008C3CF8">
      <w:pPr>
        <w:spacing w:line="360" w:lineRule="auto"/>
        <w:jc w:val="both"/>
        <w:rPr>
          <w:color w:val="0E101A"/>
          <w:highlight w:val="white"/>
        </w:rPr>
      </w:pPr>
    </w:p>
    <w:p w14:paraId="7FCAD62B" w14:textId="30A03628" w:rsidR="008C3CF8" w:rsidRDefault="008C3CF8" w:rsidP="008C3CF8">
      <w:pPr>
        <w:spacing w:line="360" w:lineRule="auto"/>
        <w:jc w:val="both"/>
        <w:rPr>
          <w:color w:val="0E101A"/>
          <w:highlight w:val="white"/>
        </w:rPr>
      </w:pPr>
      <w:r>
        <w:rPr>
          <w:color w:val="0E101A"/>
          <w:highlight w:val="white"/>
        </w:rPr>
        <w:t xml:space="preserve">Rai, A., Ghosh, P., Chauhan, R. and Singh, R., </w:t>
      </w:r>
      <w:r w:rsidR="008B1C38">
        <w:rPr>
          <w:color w:val="0E101A"/>
          <w:highlight w:val="white"/>
        </w:rPr>
        <w:t>(</w:t>
      </w:r>
      <w:r>
        <w:rPr>
          <w:color w:val="0E101A"/>
          <w:highlight w:val="white"/>
        </w:rPr>
        <w:t>2018</w:t>
      </w:r>
      <w:r w:rsidR="008B1C38">
        <w:rPr>
          <w:color w:val="0E101A"/>
          <w:highlight w:val="white"/>
        </w:rPr>
        <w:t>)</w:t>
      </w:r>
      <w:r>
        <w:rPr>
          <w:color w:val="0E101A"/>
          <w:highlight w:val="white"/>
        </w:rPr>
        <w:t xml:space="preserve"> Improving in-role and extra-role performances with rewards and recognition: does engagement mediate the process?. </w:t>
      </w:r>
      <w:r>
        <w:rPr>
          <w:i/>
          <w:color w:val="0E101A"/>
          <w:highlight w:val="white"/>
        </w:rPr>
        <w:t>Management Research Review</w:t>
      </w:r>
      <w:r>
        <w:rPr>
          <w:color w:val="0E101A"/>
          <w:highlight w:val="white"/>
        </w:rPr>
        <w:t xml:space="preserve">. Available at: </w:t>
      </w:r>
      <w:hyperlink r:id="rId16">
        <w:r>
          <w:rPr>
            <w:color w:val="0E101A"/>
            <w:highlight w:val="white"/>
            <w:u w:val="single"/>
          </w:rPr>
          <w:t>https://www.researchgate.net/profile/Piyali-Ghosh/publication/325510350_Improving_in-role_and_extra-role_performances_with_rewards_and_recognition_Does_engagement_mediate_the_process/links/6119cabb1ca20f6f86257367/Improving-in-role-and-extra-role-performances-with-rewards-and-recognition-Does-engagement-mediate-the-process.pdf</w:t>
        </w:r>
      </w:hyperlink>
    </w:p>
    <w:p w14:paraId="30791826" w14:textId="77777777" w:rsidR="008B1C38" w:rsidRDefault="008B1C38" w:rsidP="008C3CF8">
      <w:pPr>
        <w:spacing w:line="360" w:lineRule="auto"/>
        <w:jc w:val="both"/>
        <w:rPr>
          <w:color w:val="0E101A"/>
          <w:highlight w:val="white"/>
        </w:rPr>
      </w:pPr>
    </w:p>
    <w:p w14:paraId="23871CF2" w14:textId="122F0254" w:rsidR="008C3CF8" w:rsidRDefault="008C3CF8" w:rsidP="008C3CF8">
      <w:pPr>
        <w:spacing w:line="360" w:lineRule="auto"/>
        <w:jc w:val="both"/>
        <w:rPr>
          <w:color w:val="0E101A"/>
          <w:highlight w:val="white"/>
        </w:rPr>
      </w:pPr>
      <w:r>
        <w:rPr>
          <w:color w:val="0E101A"/>
          <w:highlight w:val="white"/>
        </w:rPr>
        <w:t xml:space="preserve">Ronda, L., Valor, C. and Abril, C., </w:t>
      </w:r>
      <w:r w:rsidR="008B1C38">
        <w:rPr>
          <w:color w:val="0E101A"/>
          <w:highlight w:val="white"/>
        </w:rPr>
        <w:t>(</w:t>
      </w:r>
      <w:r>
        <w:rPr>
          <w:color w:val="0E101A"/>
          <w:highlight w:val="white"/>
        </w:rPr>
        <w:t>2018</w:t>
      </w:r>
      <w:r w:rsidR="008B1C38">
        <w:rPr>
          <w:color w:val="0E101A"/>
          <w:highlight w:val="white"/>
        </w:rPr>
        <w:t xml:space="preserve">) </w:t>
      </w:r>
      <w:r>
        <w:rPr>
          <w:color w:val="0E101A"/>
          <w:highlight w:val="white"/>
        </w:rPr>
        <w:t xml:space="preserve">Are they willing to work for you? An employee-centric view of employer brand attractiveness. </w:t>
      </w:r>
      <w:r>
        <w:rPr>
          <w:i/>
          <w:color w:val="0E101A"/>
          <w:highlight w:val="white"/>
        </w:rPr>
        <w:t>Journal of Product &amp; Brand Management</w:t>
      </w:r>
      <w:r>
        <w:rPr>
          <w:color w:val="0E101A"/>
          <w:highlight w:val="white"/>
        </w:rPr>
        <w:t xml:space="preserve">. Available at: </w:t>
      </w:r>
      <w:hyperlink r:id="rId17">
        <w:r>
          <w:rPr>
            <w:color w:val="0E101A"/>
            <w:highlight w:val="white"/>
            <w:u w:val="single"/>
          </w:rPr>
          <w:t>https://www.researchgate.net/profile/Lorena-Ronda/publication/328811464_Are_they_willing_to_work_for_you_An_employee-centric_view_to_employer_brand_attractiveness/links/5d09ddf192851cfcc622c441/Are-</w:t>
        </w:r>
        <w:r>
          <w:rPr>
            <w:color w:val="0E101A"/>
            <w:highlight w:val="white"/>
            <w:u w:val="single"/>
          </w:rPr>
          <w:lastRenderedPageBreak/>
          <w:t>they-willing-to-work-for-you-An-employee-centric-view-to-employer-brand-attractiveness.pdf</w:t>
        </w:r>
      </w:hyperlink>
    </w:p>
    <w:p w14:paraId="5515B25D" w14:textId="3C68787F" w:rsidR="00CD5549" w:rsidRDefault="00CD5549" w:rsidP="00CD5549">
      <w:pPr>
        <w:pStyle w:val="Normal1"/>
      </w:pPr>
    </w:p>
    <w:p w14:paraId="0EE36A65" w14:textId="45755864" w:rsidR="00CD5549" w:rsidRDefault="00CD5549" w:rsidP="00CD5549">
      <w:pPr>
        <w:pStyle w:val="Normal1"/>
      </w:pPr>
    </w:p>
    <w:p w14:paraId="41CCDAE8" w14:textId="6AF6C34E" w:rsidR="00CD5549" w:rsidRDefault="00CD5549" w:rsidP="00CD5549">
      <w:pPr>
        <w:pStyle w:val="Normal1"/>
      </w:pPr>
    </w:p>
    <w:p w14:paraId="17AF7D0D" w14:textId="425D1CFC" w:rsidR="00CD5549" w:rsidRDefault="00CD5549" w:rsidP="00CD5549">
      <w:pPr>
        <w:pStyle w:val="Normal1"/>
      </w:pPr>
    </w:p>
    <w:p w14:paraId="092DD168" w14:textId="3DC73ECD" w:rsidR="00CD5549" w:rsidRDefault="00CD5549" w:rsidP="00CD5549">
      <w:pPr>
        <w:pStyle w:val="Normal1"/>
      </w:pPr>
    </w:p>
    <w:p w14:paraId="1FC104E8" w14:textId="4AE6083B" w:rsidR="00CD5549" w:rsidRDefault="00CD5549" w:rsidP="00CD5549">
      <w:pPr>
        <w:pStyle w:val="Normal1"/>
      </w:pPr>
    </w:p>
    <w:p w14:paraId="75D69200" w14:textId="43AC10A5" w:rsidR="00CD5549" w:rsidRDefault="00CD5549" w:rsidP="00CD5549">
      <w:pPr>
        <w:pStyle w:val="Normal1"/>
      </w:pPr>
    </w:p>
    <w:p w14:paraId="3B077384" w14:textId="27E7662C" w:rsidR="00CD5549" w:rsidRDefault="00CD5549" w:rsidP="00CD5549">
      <w:pPr>
        <w:pStyle w:val="Normal1"/>
      </w:pPr>
    </w:p>
    <w:p w14:paraId="734769F1" w14:textId="15B83917" w:rsidR="00CD5549" w:rsidRDefault="00CD5549" w:rsidP="00CD5549">
      <w:pPr>
        <w:pStyle w:val="Normal1"/>
      </w:pPr>
    </w:p>
    <w:p w14:paraId="1E89B453" w14:textId="23D784B5" w:rsidR="00CD5549" w:rsidRDefault="00CD5549" w:rsidP="00CD5549">
      <w:pPr>
        <w:pStyle w:val="Normal1"/>
      </w:pPr>
    </w:p>
    <w:p w14:paraId="1E0AE235" w14:textId="77777777" w:rsidR="00CD5549" w:rsidRPr="00CD5549" w:rsidRDefault="00CD5549" w:rsidP="00CD5549">
      <w:pPr>
        <w:pStyle w:val="Normal1"/>
      </w:pPr>
    </w:p>
    <w:p w14:paraId="7F1FABED" w14:textId="77777777" w:rsidR="001E0218" w:rsidRDefault="001E0218" w:rsidP="008C3CF8">
      <w:pPr>
        <w:pStyle w:val="Heading1"/>
      </w:pPr>
    </w:p>
    <w:p w14:paraId="36CD52D9" w14:textId="77777777" w:rsidR="007D5CB4" w:rsidRPr="00592EE3" w:rsidRDefault="007D5CB4">
      <w:pPr>
        <w:pStyle w:val="Normal1"/>
        <w:rPr>
          <w:color w:val="000000" w:themeColor="text1"/>
          <w:lang w:val="en-GB"/>
        </w:rPr>
      </w:pPr>
    </w:p>
    <w:sectPr w:rsidR="007D5CB4" w:rsidRPr="00592EE3" w:rsidSect="00A57C43">
      <w:headerReference w:type="default" r:id="rId18"/>
      <w:footerReference w:type="default" r:id="rId19"/>
      <w:pgSz w:w="12240" w:h="15840"/>
      <w:pgMar w:top="1418" w:right="1814" w:bottom="1418" w:left="1814" w:header="720" w:footer="720" w:gutter="0"/>
      <w:pgBorders w:offsetFrom="page">
        <w:top w:val="thickThinSmallGap" w:sz="24" w:space="24" w:color="auto" w:shadow="1"/>
        <w:left w:val="thickThinSmallGap" w:sz="24" w:space="24" w:color="auto" w:shadow="1"/>
        <w:bottom w:val="thickThinSmallGap" w:sz="24" w:space="24" w:color="auto" w:shadow="1"/>
        <w:right w:val="thickThinSmallGap" w:sz="24" w:space="24" w:color="auto" w:shadow="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1F70F" w14:textId="77777777" w:rsidR="00D66F87" w:rsidRDefault="00D66F87" w:rsidP="007B5AC3">
      <w:pPr>
        <w:spacing w:line="240" w:lineRule="auto"/>
      </w:pPr>
      <w:r>
        <w:separator/>
      </w:r>
    </w:p>
  </w:endnote>
  <w:endnote w:type="continuationSeparator" w:id="0">
    <w:p w14:paraId="0D58BBEE" w14:textId="77777777" w:rsidR="00D66F87" w:rsidRDefault="00D66F87" w:rsidP="007B5A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5794"/>
      <w:docPartObj>
        <w:docPartGallery w:val="Page Numbers (Bottom of Page)"/>
        <w:docPartUnique/>
      </w:docPartObj>
    </w:sdtPr>
    <w:sdtEndPr>
      <w:rPr>
        <w:color w:val="7F7F7F" w:themeColor="background1" w:themeShade="7F"/>
        <w:spacing w:val="60"/>
      </w:rPr>
    </w:sdtEndPr>
    <w:sdtContent>
      <w:p w14:paraId="770A7B28" w14:textId="77777777" w:rsidR="007B5AC3" w:rsidRDefault="007B5AC3">
        <w:pPr>
          <w:pStyle w:val="Footer"/>
          <w:pBdr>
            <w:top w:val="single" w:sz="4" w:space="1" w:color="D9D9D9" w:themeColor="background1" w:themeShade="D9"/>
          </w:pBdr>
          <w:jc w:val="right"/>
        </w:pPr>
        <w:r w:rsidRPr="007B5AC3">
          <w:rPr>
            <w:rFonts w:ascii="Times New Roman" w:hAnsi="Times New Roman" w:cs="Times New Roman"/>
            <w:color w:val="000000" w:themeColor="text1"/>
            <w:sz w:val="20"/>
          </w:rPr>
          <w:fldChar w:fldCharType="begin"/>
        </w:r>
        <w:r w:rsidRPr="007B5AC3">
          <w:rPr>
            <w:rFonts w:ascii="Times New Roman" w:hAnsi="Times New Roman" w:cs="Times New Roman"/>
            <w:color w:val="000000" w:themeColor="text1"/>
            <w:sz w:val="20"/>
          </w:rPr>
          <w:instrText xml:space="preserve"> PAGE   \* MERGEFORMAT </w:instrText>
        </w:r>
        <w:r w:rsidRPr="007B5AC3">
          <w:rPr>
            <w:rFonts w:ascii="Times New Roman" w:hAnsi="Times New Roman" w:cs="Times New Roman"/>
            <w:color w:val="000000" w:themeColor="text1"/>
            <w:sz w:val="20"/>
          </w:rPr>
          <w:fldChar w:fldCharType="separate"/>
        </w:r>
        <w:r w:rsidR="004C2BC7">
          <w:rPr>
            <w:rFonts w:ascii="Times New Roman" w:hAnsi="Times New Roman" w:cs="Times New Roman"/>
            <w:noProof/>
            <w:color w:val="000000" w:themeColor="text1"/>
            <w:sz w:val="20"/>
          </w:rPr>
          <w:t>2</w:t>
        </w:r>
        <w:r w:rsidRPr="007B5AC3">
          <w:rPr>
            <w:rFonts w:ascii="Times New Roman" w:hAnsi="Times New Roman" w:cs="Times New Roman"/>
            <w:color w:val="000000" w:themeColor="text1"/>
            <w:sz w:val="20"/>
          </w:rPr>
          <w:fldChar w:fldCharType="end"/>
        </w:r>
        <w:r w:rsidRPr="007B5AC3">
          <w:rPr>
            <w:rFonts w:ascii="Times New Roman" w:hAnsi="Times New Roman" w:cs="Times New Roman"/>
            <w:color w:val="000000" w:themeColor="text1"/>
            <w:sz w:val="20"/>
          </w:rPr>
          <w:t xml:space="preserve"> | </w:t>
        </w:r>
        <w:r w:rsidRPr="007B5AC3">
          <w:rPr>
            <w:rFonts w:ascii="Times New Roman" w:hAnsi="Times New Roman" w:cs="Times New Roman"/>
            <w:color w:val="000000" w:themeColor="text1"/>
            <w:spacing w:val="60"/>
            <w:sz w:val="20"/>
          </w:rPr>
          <w:t>Page</w:t>
        </w:r>
      </w:p>
    </w:sdtContent>
  </w:sdt>
  <w:p w14:paraId="6823A052" w14:textId="77777777" w:rsidR="007B5AC3" w:rsidRDefault="007B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27811" w14:textId="77777777" w:rsidR="00D66F87" w:rsidRDefault="00D66F87" w:rsidP="007B5AC3">
      <w:pPr>
        <w:spacing w:line="240" w:lineRule="auto"/>
      </w:pPr>
      <w:r>
        <w:separator/>
      </w:r>
    </w:p>
  </w:footnote>
  <w:footnote w:type="continuationSeparator" w:id="0">
    <w:p w14:paraId="608EF076" w14:textId="77777777" w:rsidR="00D66F87" w:rsidRDefault="00D66F87" w:rsidP="007B5A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DA96C" w14:textId="77777777" w:rsidR="007B5AC3" w:rsidRDefault="007B5AC3">
    <w:pPr>
      <w:pStyle w:val="Header"/>
    </w:pPr>
    <w:r w:rsidRPr="007B5AC3">
      <w:rPr>
        <w:noProof/>
      </w:rPr>
      <w:drawing>
        <wp:inline distT="0" distB="0" distL="0" distR="0" wp14:anchorId="72326BF9" wp14:editId="13653223">
          <wp:extent cx="180975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01E2C"/>
    <w:multiLevelType w:val="multilevel"/>
    <w:tmpl w:val="7DAC91C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E71F3B"/>
    <w:multiLevelType w:val="multilevel"/>
    <w:tmpl w:val="856E5C9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AF4C0D"/>
    <w:multiLevelType w:val="multilevel"/>
    <w:tmpl w:val="9B7A1BF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91076D"/>
    <w:multiLevelType w:val="multilevel"/>
    <w:tmpl w:val="46C668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9FC1CB8"/>
    <w:multiLevelType w:val="multilevel"/>
    <w:tmpl w:val="FF3A0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EA484D"/>
    <w:multiLevelType w:val="multilevel"/>
    <w:tmpl w:val="ED6E3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E6A5CB3"/>
    <w:multiLevelType w:val="multilevel"/>
    <w:tmpl w:val="29CCF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1864E8"/>
    <w:multiLevelType w:val="multilevel"/>
    <w:tmpl w:val="BFCEBE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4C935CD"/>
    <w:multiLevelType w:val="multilevel"/>
    <w:tmpl w:val="797E5A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6659D9"/>
    <w:multiLevelType w:val="multilevel"/>
    <w:tmpl w:val="469C4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9EA679C"/>
    <w:multiLevelType w:val="multilevel"/>
    <w:tmpl w:val="0CB284F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3F241FB"/>
    <w:multiLevelType w:val="hybridMultilevel"/>
    <w:tmpl w:val="079E7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1439EB"/>
    <w:multiLevelType w:val="multilevel"/>
    <w:tmpl w:val="5B0A2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8C22C90"/>
    <w:multiLevelType w:val="multilevel"/>
    <w:tmpl w:val="967C83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F322093"/>
    <w:multiLevelType w:val="multilevel"/>
    <w:tmpl w:val="A40A8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52280717">
    <w:abstractNumId w:val="9"/>
  </w:num>
  <w:num w:numId="2" w16cid:durableId="1648974772">
    <w:abstractNumId w:val="12"/>
  </w:num>
  <w:num w:numId="3" w16cid:durableId="1527478029">
    <w:abstractNumId w:val="14"/>
  </w:num>
  <w:num w:numId="4" w16cid:durableId="1662193364">
    <w:abstractNumId w:val="4"/>
  </w:num>
  <w:num w:numId="5" w16cid:durableId="1321497073">
    <w:abstractNumId w:val="8"/>
  </w:num>
  <w:num w:numId="6" w16cid:durableId="1040739259">
    <w:abstractNumId w:val="13"/>
  </w:num>
  <w:num w:numId="7" w16cid:durableId="1530877246">
    <w:abstractNumId w:val="5"/>
  </w:num>
  <w:num w:numId="8" w16cid:durableId="754860678">
    <w:abstractNumId w:val="3"/>
  </w:num>
  <w:num w:numId="9" w16cid:durableId="336544583">
    <w:abstractNumId w:val="7"/>
  </w:num>
  <w:num w:numId="10" w16cid:durableId="442653091">
    <w:abstractNumId w:val="6"/>
  </w:num>
  <w:num w:numId="11" w16cid:durableId="1969780664">
    <w:abstractNumId w:val="11"/>
  </w:num>
  <w:num w:numId="12" w16cid:durableId="1485004986">
    <w:abstractNumId w:val="1"/>
  </w:num>
  <w:num w:numId="13" w16cid:durableId="288052363">
    <w:abstractNumId w:val="10"/>
  </w:num>
  <w:num w:numId="14" w16cid:durableId="341474787">
    <w:abstractNumId w:val="2"/>
  </w:num>
  <w:num w:numId="15" w16cid:durableId="974212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D2E"/>
    <w:rsid w:val="000B0200"/>
    <w:rsid w:val="001040F9"/>
    <w:rsid w:val="001309AD"/>
    <w:rsid w:val="00171A70"/>
    <w:rsid w:val="00181E2E"/>
    <w:rsid w:val="0019602A"/>
    <w:rsid w:val="001A0DB2"/>
    <w:rsid w:val="001A404C"/>
    <w:rsid w:val="001E0218"/>
    <w:rsid w:val="001F4619"/>
    <w:rsid w:val="00235D2E"/>
    <w:rsid w:val="002C538F"/>
    <w:rsid w:val="002D74F4"/>
    <w:rsid w:val="00310A95"/>
    <w:rsid w:val="00356B57"/>
    <w:rsid w:val="003B033A"/>
    <w:rsid w:val="0042230C"/>
    <w:rsid w:val="0046220A"/>
    <w:rsid w:val="004C2BC7"/>
    <w:rsid w:val="0052413C"/>
    <w:rsid w:val="005839E2"/>
    <w:rsid w:val="00587737"/>
    <w:rsid w:val="00592EE3"/>
    <w:rsid w:val="005A1167"/>
    <w:rsid w:val="00664B8F"/>
    <w:rsid w:val="006E225E"/>
    <w:rsid w:val="006E4C35"/>
    <w:rsid w:val="00731FB9"/>
    <w:rsid w:val="007B3357"/>
    <w:rsid w:val="007B5AC3"/>
    <w:rsid w:val="007D5CB4"/>
    <w:rsid w:val="00804C0B"/>
    <w:rsid w:val="008B1C38"/>
    <w:rsid w:val="008C3CF8"/>
    <w:rsid w:val="008F31A9"/>
    <w:rsid w:val="00957141"/>
    <w:rsid w:val="00A106D4"/>
    <w:rsid w:val="00A57C43"/>
    <w:rsid w:val="00AD5AD1"/>
    <w:rsid w:val="00B05582"/>
    <w:rsid w:val="00B21582"/>
    <w:rsid w:val="00B6767A"/>
    <w:rsid w:val="00BC0993"/>
    <w:rsid w:val="00CD5549"/>
    <w:rsid w:val="00D17FA3"/>
    <w:rsid w:val="00D54D4B"/>
    <w:rsid w:val="00D66F87"/>
    <w:rsid w:val="00DD1B73"/>
    <w:rsid w:val="00DE0571"/>
    <w:rsid w:val="00DE31BA"/>
    <w:rsid w:val="00EC2E48"/>
    <w:rsid w:val="00F2086C"/>
    <w:rsid w:val="00FD1A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163F5"/>
  <w15:docId w15:val="{DFE90B59-AE80-5A45-82F8-C26F251C7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qFormat/>
    <w:rsid w:val="008C3CF8"/>
    <w:pPr>
      <w:keepNext/>
      <w:keepLines/>
      <w:spacing w:before="160" w:line="360" w:lineRule="auto"/>
      <w:jc w:val="center"/>
      <w:outlineLvl w:val="0"/>
    </w:pPr>
    <w:rPr>
      <w:rFonts w:ascii="Times New Roman" w:hAnsi="Times New Roman"/>
      <w:b/>
      <w:sz w:val="28"/>
      <w:szCs w:val="40"/>
    </w:rPr>
  </w:style>
  <w:style w:type="paragraph" w:styleId="Heading2">
    <w:name w:val="heading 2"/>
    <w:basedOn w:val="Normal1"/>
    <w:next w:val="Normal1"/>
    <w:uiPriority w:val="9"/>
    <w:qFormat/>
    <w:rsid w:val="00235D2E"/>
    <w:pPr>
      <w:keepNext/>
      <w:keepLines/>
      <w:spacing w:before="360" w:after="120"/>
      <w:outlineLvl w:val="1"/>
    </w:pPr>
    <w:rPr>
      <w:sz w:val="32"/>
      <w:szCs w:val="32"/>
    </w:rPr>
  </w:style>
  <w:style w:type="paragraph" w:styleId="Heading3">
    <w:name w:val="heading 3"/>
    <w:basedOn w:val="Normal1"/>
    <w:next w:val="Normal1"/>
    <w:rsid w:val="00235D2E"/>
    <w:pPr>
      <w:keepNext/>
      <w:keepLines/>
      <w:spacing w:before="320" w:after="80"/>
      <w:outlineLvl w:val="2"/>
    </w:pPr>
    <w:rPr>
      <w:color w:val="434343"/>
      <w:sz w:val="28"/>
      <w:szCs w:val="28"/>
    </w:rPr>
  </w:style>
  <w:style w:type="paragraph" w:styleId="Heading4">
    <w:name w:val="heading 4"/>
    <w:basedOn w:val="Normal1"/>
    <w:next w:val="Normal1"/>
    <w:rsid w:val="00235D2E"/>
    <w:pPr>
      <w:keepNext/>
      <w:keepLines/>
      <w:spacing w:before="280" w:after="80"/>
      <w:outlineLvl w:val="3"/>
    </w:pPr>
    <w:rPr>
      <w:color w:val="666666"/>
      <w:sz w:val="24"/>
      <w:szCs w:val="24"/>
    </w:rPr>
  </w:style>
  <w:style w:type="paragraph" w:styleId="Heading5">
    <w:name w:val="heading 5"/>
    <w:basedOn w:val="Normal1"/>
    <w:next w:val="Normal1"/>
    <w:rsid w:val="00235D2E"/>
    <w:pPr>
      <w:keepNext/>
      <w:keepLines/>
      <w:spacing w:before="240" w:after="80"/>
      <w:outlineLvl w:val="4"/>
    </w:pPr>
    <w:rPr>
      <w:color w:val="666666"/>
    </w:rPr>
  </w:style>
  <w:style w:type="paragraph" w:styleId="Heading6">
    <w:name w:val="heading 6"/>
    <w:basedOn w:val="Normal1"/>
    <w:next w:val="Normal1"/>
    <w:rsid w:val="00235D2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35D2E"/>
  </w:style>
  <w:style w:type="paragraph" w:styleId="Title">
    <w:name w:val="Title"/>
    <w:basedOn w:val="Normal1"/>
    <w:next w:val="Normal1"/>
    <w:rsid w:val="00235D2E"/>
    <w:pPr>
      <w:keepNext/>
      <w:keepLines/>
      <w:spacing w:after="60"/>
    </w:pPr>
    <w:rPr>
      <w:sz w:val="52"/>
      <w:szCs w:val="52"/>
    </w:rPr>
  </w:style>
  <w:style w:type="paragraph" w:styleId="Subtitle">
    <w:name w:val="Subtitle"/>
    <w:basedOn w:val="Normal1"/>
    <w:next w:val="Normal1"/>
    <w:rsid w:val="00235D2E"/>
    <w:pPr>
      <w:keepNext/>
      <w:keepLines/>
      <w:spacing w:after="320"/>
    </w:pPr>
    <w:rPr>
      <w:color w:val="666666"/>
      <w:sz w:val="30"/>
      <w:szCs w:val="30"/>
    </w:rPr>
  </w:style>
  <w:style w:type="table" w:customStyle="1" w:styleId="a">
    <w:basedOn w:val="TableNormal"/>
    <w:rsid w:val="00235D2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B5AC3"/>
    <w:pPr>
      <w:tabs>
        <w:tab w:val="center" w:pos="4680"/>
        <w:tab w:val="right" w:pos="9360"/>
      </w:tabs>
      <w:spacing w:line="240" w:lineRule="auto"/>
    </w:pPr>
  </w:style>
  <w:style w:type="character" w:customStyle="1" w:styleId="HeaderChar">
    <w:name w:val="Header Char"/>
    <w:basedOn w:val="DefaultParagraphFont"/>
    <w:link w:val="Header"/>
    <w:uiPriority w:val="99"/>
    <w:rsid w:val="007B5AC3"/>
  </w:style>
  <w:style w:type="paragraph" w:styleId="Footer">
    <w:name w:val="footer"/>
    <w:basedOn w:val="Normal"/>
    <w:link w:val="FooterChar"/>
    <w:uiPriority w:val="99"/>
    <w:unhideWhenUsed/>
    <w:rsid w:val="007B5AC3"/>
    <w:pPr>
      <w:tabs>
        <w:tab w:val="center" w:pos="4680"/>
        <w:tab w:val="right" w:pos="9360"/>
      </w:tabs>
      <w:spacing w:line="240" w:lineRule="auto"/>
    </w:pPr>
  </w:style>
  <w:style w:type="character" w:customStyle="1" w:styleId="FooterChar">
    <w:name w:val="Footer Char"/>
    <w:basedOn w:val="DefaultParagraphFont"/>
    <w:link w:val="Footer"/>
    <w:uiPriority w:val="99"/>
    <w:rsid w:val="007B5AC3"/>
  </w:style>
  <w:style w:type="paragraph" w:styleId="BalloonText">
    <w:name w:val="Balloon Text"/>
    <w:basedOn w:val="Normal"/>
    <w:link w:val="BalloonTextChar"/>
    <w:uiPriority w:val="99"/>
    <w:semiHidden/>
    <w:unhideWhenUsed/>
    <w:rsid w:val="007B5A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AC3"/>
    <w:rPr>
      <w:rFonts w:ascii="Tahoma" w:hAnsi="Tahoma" w:cs="Tahoma"/>
      <w:sz w:val="16"/>
      <w:szCs w:val="16"/>
    </w:rPr>
  </w:style>
  <w:style w:type="paragraph" w:customStyle="1" w:styleId="TableParagraph">
    <w:name w:val="Table Paragraph"/>
    <w:basedOn w:val="Normal"/>
    <w:uiPriority w:val="1"/>
    <w:qFormat/>
    <w:rsid w:val="007B5AC3"/>
    <w:pPr>
      <w:widowControl w:val="0"/>
      <w:autoSpaceDE w:val="0"/>
      <w:autoSpaceDN w:val="0"/>
      <w:spacing w:line="240" w:lineRule="auto"/>
    </w:pPr>
    <w:rPr>
      <w:lang w:val="en-US"/>
    </w:rPr>
  </w:style>
  <w:style w:type="table" w:styleId="MediumList1-Accent4">
    <w:name w:val="Medium List 1 Accent 4"/>
    <w:basedOn w:val="TableNormal"/>
    <w:uiPriority w:val="65"/>
    <w:rsid w:val="001F4619"/>
    <w:pPr>
      <w:spacing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paragraph" w:styleId="TOCHeading">
    <w:name w:val="TOC Heading"/>
    <w:basedOn w:val="Heading1"/>
    <w:next w:val="Normal"/>
    <w:uiPriority w:val="39"/>
    <w:unhideWhenUsed/>
    <w:qFormat/>
    <w:rsid w:val="004C2BC7"/>
    <w:pPr>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4C2BC7"/>
    <w:pPr>
      <w:spacing w:after="100"/>
    </w:pPr>
  </w:style>
  <w:style w:type="character" w:styleId="Hyperlink">
    <w:name w:val="Hyperlink"/>
    <w:basedOn w:val="DefaultParagraphFont"/>
    <w:uiPriority w:val="99"/>
    <w:unhideWhenUsed/>
    <w:rsid w:val="004C2BC7"/>
    <w:rPr>
      <w:color w:val="0000FF" w:themeColor="hyperlink"/>
      <w:u w:val="single"/>
    </w:rPr>
  </w:style>
  <w:style w:type="paragraph" w:styleId="TOC2">
    <w:name w:val="toc 2"/>
    <w:basedOn w:val="Normal"/>
    <w:next w:val="Normal"/>
    <w:autoRedefine/>
    <w:uiPriority w:val="39"/>
    <w:unhideWhenUsed/>
    <w:rsid w:val="00CD5549"/>
    <w:pPr>
      <w:spacing w:after="100"/>
      <w:ind w:left="220"/>
    </w:pPr>
    <w:rPr>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anupriya-Bakhru/publication/330459696_Unlocking_Drivers_for_Employee_Engagement_Through_Human_Resource_Analytics/links/5c4944e0a6fdccd6b5c44042/Unlocking-Drivers-for-Employee-Engagement-Through-Human-Resource-Analytics.pdf" TargetMode="External"/><Relationship Id="rId13" Type="http://schemas.openxmlformats.org/officeDocument/2006/relationships/hyperlink" Target="https://www.researchgate.net/profile/Nima-Khodakarami/publication/339386067_Drivers_of_employee_engagement_differences_by_work_area_and_gender/links/5e4ff532299bf1cdb93cc277/Drivers-of-employee-engagement-differences-by-work-area-and-gender.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journals.sagepub.com/doi/pdf/10.1177/0312896218768378" TargetMode="External"/><Relationship Id="rId17" Type="http://schemas.openxmlformats.org/officeDocument/2006/relationships/hyperlink" Target="https://www.researchgate.net/profile/Lorena-Ronda/publication/328811464_Are_they_willing_to_work_for_you_An_employee-centric_view_to_employer_brand_attractiveness/links/5d09ddf192851cfcc622c441/Are-they-willing-to-work-for-you-An-employee-centric-view-to-employer-brand-attractiveness.pdf" TargetMode="External"/><Relationship Id="rId2" Type="http://schemas.openxmlformats.org/officeDocument/2006/relationships/numbering" Target="numbering.xml"/><Relationship Id="rId16" Type="http://schemas.openxmlformats.org/officeDocument/2006/relationships/hyperlink" Target="https://www.researchgate.net/profile/Piyali-Ghosh/publication/325510350_Improving_in-role_and_extra-role_performances_with_rewards_and_recognition_Does_engagement_mediate_the_process/links/6119cabb1ca20f6f86257367/Improving-in-role-and-extra-role-performances-with-rewards-and-recognition-Does-engagement-mediate-the-proces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content/doi/10.1108/JWL-07-2018-0088/full/pdf" TargetMode="External"/><Relationship Id="rId5" Type="http://schemas.openxmlformats.org/officeDocument/2006/relationships/webSettings" Target="webSettings.xml"/><Relationship Id="rId15" Type="http://schemas.openxmlformats.org/officeDocument/2006/relationships/hyperlink" Target="https://sciendo.com/es/article/10.2478/ijme-2018-0018" TargetMode="External"/><Relationship Id="rId10" Type="http://schemas.openxmlformats.org/officeDocument/2006/relationships/hyperlink" Target="https://publications.aston.ac.uk/id/eprint/29314/1/Roles_of_meaningfulness_and_perceived_line_manager_relations.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ijbm.com/wp-content/uploads/2021/08/P48144151.pdf" TargetMode="External"/><Relationship Id="rId14" Type="http://schemas.openxmlformats.org/officeDocument/2006/relationships/hyperlink" Target="https://www.researchgate.net/profile/Linjuan-Men/publication/338807636_Examining_the_effects_of_internal_social_media_usage_on_employee_engagement/links/60915278a6fdccaebd08f2a2/Examining-the-effects-of-internal-social-media-usage-on-employee-engagement.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04B101-72CB-4C74-8C0D-83F1B7FC1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2981</Words>
  <Characters>16994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 Tutui (2023029)</cp:lastModifiedBy>
  <cp:revision>3</cp:revision>
  <dcterms:created xsi:type="dcterms:W3CDTF">2022-05-09T18:22:00Z</dcterms:created>
  <dcterms:modified xsi:type="dcterms:W3CDTF">2022-05-09T18:23:00Z</dcterms:modified>
</cp:coreProperties>
</file>